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8E652A" w14:paraId="20072C85" w14:textId="77777777" w:rsidTr="00FF09C1">
        <w:trPr>
          <w:trHeight w:val="709"/>
        </w:trPr>
        <w:tc>
          <w:tcPr>
            <w:tcW w:w="976" w:type="dxa"/>
            <w:tcBorders>
              <w:bottom w:val="single" w:sz="12" w:space="0" w:color="auto"/>
            </w:tcBorders>
          </w:tcPr>
          <w:p w14:paraId="0CEA580B" w14:textId="77777777" w:rsidR="00207A6E" w:rsidRPr="00584A8D" w:rsidRDefault="00207A6E" w:rsidP="00584A8D">
            <w:pPr>
              <w:suppressLineNumbers/>
              <w:suppressAutoHyphens/>
              <w:kinsoku w:val="0"/>
              <w:overflowPunct w:val="0"/>
              <w:autoSpaceDE w:val="0"/>
              <w:autoSpaceDN w:val="0"/>
              <w:adjustRightInd w:val="0"/>
              <w:snapToGrid w:val="0"/>
              <w:rPr>
                <w:snapToGrid w:val="0"/>
                <w:kern w:val="22"/>
              </w:rPr>
            </w:pPr>
            <w:r w:rsidRPr="00584A8D">
              <w:rPr>
                <w:noProof/>
                <w:snapToGrid w:val="0"/>
                <w:kern w:val="22"/>
                <w:lang w:eastAsia="zh-CN"/>
              </w:rPr>
              <w:drawing>
                <wp:inline distT="0" distB="0" distL="0" distR="0" wp14:anchorId="36712131" wp14:editId="2D1330F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5404B8E" w14:textId="77777777" w:rsidR="00207A6E" w:rsidRPr="00584A8D" w:rsidRDefault="00207A6E" w:rsidP="00584A8D">
            <w:pPr>
              <w:suppressLineNumbers/>
              <w:suppressAutoHyphens/>
              <w:kinsoku w:val="0"/>
              <w:overflowPunct w:val="0"/>
              <w:autoSpaceDE w:val="0"/>
              <w:autoSpaceDN w:val="0"/>
              <w:adjustRightInd w:val="0"/>
              <w:snapToGrid w:val="0"/>
              <w:rPr>
                <w:snapToGrid w:val="0"/>
                <w:kern w:val="22"/>
              </w:rPr>
            </w:pPr>
            <w:r w:rsidRPr="00584A8D">
              <w:rPr>
                <w:noProof/>
                <w:snapToGrid w:val="0"/>
                <w:kern w:val="22"/>
                <w:lang w:eastAsia="zh-CN"/>
              </w:rPr>
              <w:drawing>
                <wp:inline distT="0" distB="0" distL="0" distR="0" wp14:anchorId="544A373D" wp14:editId="3E36124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E9F4AD8" w14:textId="77777777" w:rsidR="00207A6E" w:rsidRPr="00584A8D" w:rsidRDefault="00207A6E" w:rsidP="00584A8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584A8D">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8E652A" w14:paraId="6A5C70A2" w14:textId="77777777" w:rsidTr="009554D5">
        <w:trPr>
          <w:trHeight w:val="1693"/>
        </w:trPr>
        <w:tc>
          <w:tcPr>
            <w:tcW w:w="6227" w:type="dxa"/>
            <w:tcBorders>
              <w:top w:val="nil"/>
              <w:bottom w:val="single" w:sz="36" w:space="0" w:color="000000"/>
            </w:tcBorders>
          </w:tcPr>
          <w:p w14:paraId="4E439AF2" w14:textId="77777777" w:rsidR="00F16F02" w:rsidRPr="008E652A" w:rsidRDefault="00F16F02" w:rsidP="00584A8D">
            <w:pPr>
              <w:suppressLineNumbers/>
              <w:suppressAutoHyphens/>
              <w:kinsoku w:val="0"/>
              <w:overflowPunct w:val="0"/>
              <w:autoSpaceDE w:val="0"/>
              <w:autoSpaceDN w:val="0"/>
              <w:adjustRightInd w:val="0"/>
              <w:snapToGrid w:val="0"/>
              <w:rPr>
                <w:snapToGrid w:val="0"/>
                <w:kern w:val="22"/>
              </w:rPr>
            </w:pPr>
          </w:p>
          <w:p w14:paraId="129C0B56" w14:textId="77777777" w:rsidR="00F16F02" w:rsidRPr="008E652A" w:rsidRDefault="00F16F02" w:rsidP="00584A8D">
            <w:pPr>
              <w:suppressLineNumbers/>
              <w:suppressAutoHyphens/>
              <w:kinsoku w:val="0"/>
              <w:overflowPunct w:val="0"/>
              <w:autoSpaceDE w:val="0"/>
              <w:autoSpaceDN w:val="0"/>
              <w:adjustRightInd w:val="0"/>
              <w:snapToGrid w:val="0"/>
              <w:rPr>
                <w:snapToGrid w:val="0"/>
                <w:kern w:val="22"/>
              </w:rPr>
            </w:pPr>
            <w:r w:rsidRPr="00584A8D">
              <w:rPr>
                <w:noProof/>
                <w:snapToGrid w:val="0"/>
                <w:kern w:val="22"/>
                <w:lang w:eastAsia="zh-CN"/>
              </w:rPr>
              <w:drawing>
                <wp:inline distT="0" distB="0" distL="0" distR="0" wp14:anchorId="3B66FB17" wp14:editId="78BB7306">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076B986B" w14:textId="77777777" w:rsidR="00F16F02" w:rsidRPr="008E652A" w:rsidRDefault="00F16F02" w:rsidP="00584A8D">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45C300DC" w14:textId="77777777" w:rsidR="00F16F02" w:rsidRPr="008E652A" w:rsidRDefault="00F16F02" w:rsidP="00584A8D">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6504D668" w14:textId="77777777" w:rsidR="00F16F02" w:rsidRPr="005A60BD" w:rsidRDefault="00F16F02" w:rsidP="00584A8D">
            <w:pPr>
              <w:suppressLineNumbers/>
              <w:suppressAutoHyphens/>
              <w:kinsoku w:val="0"/>
              <w:overflowPunct w:val="0"/>
              <w:autoSpaceDE w:val="0"/>
              <w:autoSpaceDN w:val="0"/>
              <w:adjustRightInd w:val="0"/>
              <w:snapToGrid w:val="0"/>
              <w:ind w:left="63"/>
              <w:rPr>
                <w:snapToGrid w:val="0"/>
                <w:kern w:val="22"/>
                <w:szCs w:val="22"/>
              </w:rPr>
            </w:pPr>
            <w:r w:rsidRPr="005A60BD">
              <w:rPr>
                <w:snapToGrid w:val="0"/>
                <w:kern w:val="22"/>
                <w:szCs w:val="22"/>
              </w:rPr>
              <w:t>Distr.</w:t>
            </w:r>
          </w:p>
          <w:p w14:paraId="05A22F7F" w14:textId="77777777" w:rsidR="00F16F02" w:rsidRPr="005A60BD" w:rsidRDefault="00F16F02" w:rsidP="00584A8D">
            <w:pPr>
              <w:suppressLineNumbers/>
              <w:suppressAutoHyphens/>
              <w:kinsoku w:val="0"/>
              <w:overflowPunct w:val="0"/>
              <w:autoSpaceDE w:val="0"/>
              <w:autoSpaceDN w:val="0"/>
              <w:adjustRightInd w:val="0"/>
              <w:snapToGrid w:val="0"/>
              <w:ind w:left="63"/>
              <w:rPr>
                <w:snapToGrid w:val="0"/>
                <w:kern w:val="22"/>
                <w:szCs w:val="22"/>
              </w:rPr>
            </w:pPr>
            <w:r w:rsidRPr="005A60BD">
              <w:rPr>
                <w:snapToGrid w:val="0"/>
                <w:kern w:val="22"/>
                <w:szCs w:val="22"/>
              </w:rPr>
              <w:t>GENERAL</w:t>
            </w:r>
          </w:p>
          <w:p w14:paraId="3A04DB33" w14:textId="77777777" w:rsidR="00F16F02" w:rsidRPr="005A60BD" w:rsidRDefault="00F16F02" w:rsidP="00584A8D">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675A18FA" w14:textId="3516DF57" w:rsidR="00F16F02" w:rsidRPr="005A60BD" w:rsidRDefault="00517B15" w:rsidP="00584A8D">
                <w:pPr>
                  <w:suppressLineNumbers/>
                  <w:suppressAutoHyphens/>
                  <w:kinsoku w:val="0"/>
                  <w:overflowPunct w:val="0"/>
                  <w:autoSpaceDE w:val="0"/>
                  <w:autoSpaceDN w:val="0"/>
                  <w:adjustRightInd w:val="0"/>
                  <w:snapToGrid w:val="0"/>
                  <w:ind w:left="63"/>
                  <w:rPr>
                    <w:snapToGrid w:val="0"/>
                    <w:kern w:val="22"/>
                    <w:szCs w:val="22"/>
                  </w:rPr>
                </w:pPr>
                <w:r w:rsidRPr="00584A8D">
                  <w:rPr>
                    <w:snapToGrid w:val="0"/>
                    <w:kern w:val="22"/>
                    <w:szCs w:val="22"/>
                  </w:rPr>
                  <w:t>CBD/SBSTTA/22/9</w:t>
                </w:r>
              </w:p>
            </w:sdtContent>
          </w:sdt>
          <w:p w14:paraId="067D2CC7" w14:textId="77777777" w:rsidR="00F16F02" w:rsidRPr="005A60BD" w:rsidRDefault="00D44967" w:rsidP="00584A8D">
            <w:pPr>
              <w:suppressLineNumbers/>
              <w:suppressAutoHyphens/>
              <w:kinsoku w:val="0"/>
              <w:overflowPunct w:val="0"/>
              <w:autoSpaceDE w:val="0"/>
              <w:autoSpaceDN w:val="0"/>
              <w:adjustRightInd w:val="0"/>
              <w:snapToGrid w:val="0"/>
              <w:ind w:left="63"/>
              <w:rPr>
                <w:snapToGrid w:val="0"/>
                <w:kern w:val="22"/>
                <w:szCs w:val="22"/>
              </w:rPr>
            </w:pPr>
            <w:r w:rsidRPr="005A60BD">
              <w:rPr>
                <w:snapToGrid w:val="0"/>
                <w:kern w:val="22"/>
                <w:szCs w:val="22"/>
              </w:rPr>
              <w:t xml:space="preserve">28 </w:t>
            </w:r>
            <w:r w:rsidR="00F50B48" w:rsidRPr="005A60BD">
              <w:rPr>
                <w:snapToGrid w:val="0"/>
                <w:kern w:val="22"/>
                <w:szCs w:val="22"/>
              </w:rPr>
              <w:t xml:space="preserve">April </w:t>
            </w:r>
            <w:r w:rsidR="00D15589" w:rsidRPr="005A60BD">
              <w:rPr>
                <w:snapToGrid w:val="0"/>
                <w:kern w:val="22"/>
                <w:szCs w:val="22"/>
              </w:rPr>
              <w:t>2018</w:t>
            </w:r>
          </w:p>
          <w:p w14:paraId="0B2B8EBC" w14:textId="77777777" w:rsidR="00F16F02" w:rsidRPr="005A60BD" w:rsidRDefault="00F16F02" w:rsidP="00584A8D">
            <w:pPr>
              <w:suppressLineNumbers/>
              <w:suppressAutoHyphens/>
              <w:kinsoku w:val="0"/>
              <w:overflowPunct w:val="0"/>
              <w:autoSpaceDE w:val="0"/>
              <w:autoSpaceDN w:val="0"/>
              <w:adjustRightInd w:val="0"/>
              <w:snapToGrid w:val="0"/>
              <w:ind w:left="63"/>
              <w:rPr>
                <w:snapToGrid w:val="0"/>
                <w:kern w:val="22"/>
                <w:szCs w:val="22"/>
              </w:rPr>
            </w:pPr>
          </w:p>
          <w:p w14:paraId="210F7DDE" w14:textId="77777777" w:rsidR="00F16F02" w:rsidRPr="00584A8D" w:rsidRDefault="00F16F02" w:rsidP="00584A8D">
            <w:pPr>
              <w:suppressLineNumbers/>
              <w:suppressAutoHyphens/>
              <w:kinsoku w:val="0"/>
              <w:overflowPunct w:val="0"/>
              <w:autoSpaceDE w:val="0"/>
              <w:autoSpaceDN w:val="0"/>
              <w:adjustRightInd w:val="0"/>
              <w:snapToGrid w:val="0"/>
              <w:ind w:left="63"/>
              <w:rPr>
                <w:snapToGrid w:val="0"/>
                <w:kern w:val="22"/>
                <w:szCs w:val="22"/>
                <w:u w:val="single"/>
              </w:rPr>
            </w:pPr>
            <w:r w:rsidRPr="005A60BD">
              <w:rPr>
                <w:snapToGrid w:val="0"/>
                <w:kern w:val="22"/>
                <w:szCs w:val="22"/>
              </w:rPr>
              <w:t>ORIGINAL:  ENGLISH</w:t>
            </w:r>
          </w:p>
        </w:tc>
      </w:tr>
    </w:tbl>
    <w:bookmarkStart w:id="0" w:name="Meeting"/>
    <w:p w14:paraId="7759DF86" w14:textId="77777777" w:rsidR="00CA6B87" w:rsidRPr="00584A8D" w:rsidRDefault="00901E59" w:rsidP="00584A8D">
      <w:pPr>
        <w:pStyle w:val="meetingname"/>
        <w:suppressLineNumbers/>
        <w:suppressAutoHyphens/>
        <w:kinsoku w:val="0"/>
        <w:overflowPunct w:val="0"/>
        <w:autoSpaceDE w:val="0"/>
        <w:autoSpaceDN w:val="0"/>
        <w:adjustRightInd w:val="0"/>
        <w:snapToGrid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D51069" w:rsidRPr="00584A8D">
            <w:rPr>
              <w:kern w:val="22"/>
              <w:szCs w:val="22"/>
            </w:rPr>
            <w:t>SUBSIDIARY BODY ON SCIENTIFIC, TECHNICAL AND TECHNOLOGICAL ADVICE</w:t>
          </w:r>
        </w:sdtContent>
      </w:sdt>
      <w:bookmarkEnd w:id="0"/>
    </w:p>
    <w:p w14:paraId="4DE10E5E" w14:textId="77777777" w:rsidR="00D51069" w:rsidRPr="00584A8D" w:rsidRDefault="00D51069" w:rsidP="00584A8D">
      <w:pPr>
        <w:suppressLineNumbers/>
        <w:suppressAutoHyphens/>
        <w:kinsoku w:val="0"/>
        <w:overflowPunct w:val="0"/>
        <w:autoSpaceDE w:val="0"/>
        <w:autoSpaceDN w:val="0"/>
        <w:adjustRightInd w:val="0"/>
        <w:snapToGrid w:val="0"/>
        <w:rPr>
          <w:snapToGrid w:val="0"/>
          <w:kern w:val="22"/>
          <w:szCs w:val="22"/>
          <w:lang w:eastAsia="nb-NO"/>
        </w:rPr>
      </w:pPr>
      <w:r w:rsidRPr="00584A8D">
        <w:rPr>
          <w:snapToGrid w:val="0"/>
          <w:kern w:val="22"/>
          <w:szCs w:val="22"/>
          <w:lang w:eastAsia="nb-NO"/>
        </w:rPr>
        <w:t>Twenty-</w:t>
      </w:r>
      <w:r w:rsidR="00FB3B70" w:rsidRPr="00584A8D">
        <w:rPr>
          <w:snapToGrid w:val="0"/>
          <w:kern w:val="22"/>
          <w:szCs w:val="22"/>
          <w:lang w:eastAsia="nb-NO"/>
        </w:rPr>
        <w:t>second</w:t>
      </w:r>
      <w:r w:rsidRPr="00584A8D">
        <w:rPr>
          <w:snapToGrid w:val="0"/>
          <w:kern w:val="22"/>
          <w:szCs w:val="22"/>
          <w:lang w:eastAsia="nb-NO"/>
        </w:rPr>
        <w:t xml:space="preserve"> meeting</w:t>
      </w:r>
    </w:p>
    <w:p w14:paraId="4DF0FB32" w14:textId="77777777" w:rsidR="00CA6B87" w:rsidRPr="00584A8D" w:rsidRDefault="00D51069" w:rsidP="00584A8D">
      <w:pPr>
        <w:suppressLineNumbers/>
        <w:suppressAutoHyphens/>
        <w:kinsoku w:val="0"/>
        <w:overflowPunct w:val="0"/>
        <w:autoSpaceDE w:val="0"/>
        <w:autoSpaceDN w:val="0"/>
        <w:adjustRightInd w:val="0"/>
        <w:snapToGrid w:val="0"/>
        <w:rPr>
          <w:snapToGrid w:val="0"/>
          <w:kern w:val="22"/>
          <w:szCs w:val="22"/>
          <w:lang w:eastAsia="nb-NO"/>
        </w:rPr>
      </w:pPr>
      <w:r w:rsidRPr="00584A8D">
        <w:rPr>
          <w:snapToGrid w:val="0"/>
          <w:kern w:val="22"/>
          <w:szCs w:val="22"/>
          <w:lang w:eastAsia="nb-NO"/>
        </w:rPr>
        <w:t>Montreal</w:t>
      </w:r>
      <w:r w:rsidR="00CA6B87" w:rsidRPr="00584A8D">
        <w:rPr>
          <w:snapToGrid w:val="0"/>
          <w:kern w:val="22"/>
          <w:szCs w:val="22"/>
          <w:lang w:eastAsia="nb-NO"/>
        </w:rPr>
        <w:t xml:space="preserve">, </w:t>
      </w:r>
      <w:r w:rsidRPr="00584A8D">
        <w:rPr>
          <w:snapToGrid w:val="0"/>
          <w:kern w:val="22"/>
          <w:szCs w:val="22"/>
          <w:lang w:eastAsia="nb-NO"/>
        </w:rPr>
        <w:t xml:space="preserve">Canada, </w:t>
      </w:r>
      <w:r w:rsidR="00D15589" w:rsidRPr="00584A8D">
        <w:rPr>
          <w:snapToGrid w:val="0"/>
          <w:kern w:val="22"/>
          <w:szCs w:val="22"/>
          <w:lang w:eastAsia="nb-NO"/>
        </w:rPr>
        <w:t>2-7 July 2018</w:t>
      </w:r>
    </w:p>
    <w:p w14:paraId="30E19F35" w14:textId="77777777" w:rsidR="00CA6B87" w:rsidRPr="00584A8D" w:rsidRDefault="00D51069" w:rsidP="00584A8D">
      <w:pPr>
        <w:suppressLineNumbers/>
        <w:suppressAutoHyphens/>
        <w:kinsoku w:val="0"/>
        <w:overflowPunct w:val="0"/>
        <w:autoSpaceDE w:val="0"/>
        <w:autoSpaceDN w:val="0"/>
        <w:adjustRightInd w:val="0"/>
        <w:snapToGrid w:val="0"/>
        <w:rPr>
          <w:snapToGrid w:val="0"/>
          <w:kern w:val="22"/>
          <w:szCs w:val="22"/>
          <w:lang w:eastAsia="nb-NO"/>
        </w:rPr>
      </w:pPr>
      <w:r w:rsidRPr="00584A8D">
        <w:rPr>
          <w:snapToGrid w:val="0"/>
          <w:kern w:val="22"/>
          <w:szCs w:val="22"/>
          <w:lang w:eastAsia="nb-NO"/>
        </w:rPr>
        <w:t>I</w:t>
      </w:r>
      <w:r w:rsidR="00CA6B87" w:rsidRPr="00584A8D">
        <w:rPr>
          <w:snapToGrid w:val="0"/>
          <w:kern w:val="22"/>
          <w:szCs w:val="22"/>
          <w:lang w:eastAsia="nb-NO"/>
        </w:rPr>
        <w:t xml:space="preserve">tem </w:t>
      </w:r>
      <w:r w:rsidR="005F416D" w:rsidRPr="00584A8D">
        <w:rPr>
          <w:snapToGrid w:val="0"/>
          <w:kern w:val="22"/>
          <w:szCs w:val="22"/>
          <w:lang w:eastAsia="nb-NO"/>
        </w:rPr>
        <w:t>10</w:t>
      </w:r>
      <w:r w:rsidRPr="00584A8D">
        <w:rPr>
          <w:snapToGrid w:val="0"/>
          <w:kern w:val="22"/>
          <w:szCs w:val="22"/>
          <w:lang w:eastAsia="nb-NO"/>
        </w:rPr>
        <w:t xml:space="preserve"> of the provisional agenda</w:t>
      </w:r>
      <w:r w:rsidRPr="00584A8D">
        <w:rPr>
          <w:rStyle w:val="FootnoteReference"/>
          <w:snapToGrid w:val="0"/>
          <w:kern w:val="22"/>
          <w:sz w:val="22"/>
          <w:szCs w:val="22"/>
          <w:u w:val="none"/>
          <w:lang w:eastAsia="nb-NO"/>
        </w:rPr>
        <w:footnoteReference w:customMarkFollows="1" w:id="1"/>
        <w:t>*</w:t>
      </w:r>
    </w:p>
    <w:p w14:paraId="5AA57943" w14:textId="080EAB53" w:rsidR="00406BC6" w:rsidRPr="00584A8D" w:rsidRDefault="00901E59" w:rsidP="00584A8D">
      <w:pPr>
        <w:pStyle w:val="Heading1"/>
        <w:suppressLineNumbers/>
        <w:tabs>
          <w:tab w:val="clear" w:pos="720"/>
        </w:tabs>
        <w:suppressAutoHyphens/>
        <w:kinsoku w:val="0"/>
        <w:overflowPunct w:val="0"/>
        <w:autoSpaceDE w:val="0"/>
        <w:autoSpaceDN w:val="0"/>
        <w:adjustRightInd w:val="0"/>
        <w:snapToGrid w:val="0"/>
        <w:rPr>
          <w:snapToGrid w:val="0"/>
          <w:kern w:val="22"/>
          <w:szCs w:val="22"/>
        </w:rPr>
      </w:pPr>
      <w:sdt>
        <w:sdtPr>
          <w:rPr>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8E652A" w:rsidRPr="00584A8D">
            <w:rPr>
              <w:bCs/>
              <w:snapToGrid w:val="0"/>
              <w:kern w:val="22"/>
              <w:szCs w:val="22"/>
            </w:rPr>
            <w:t>Invasive alien species</w:t>
          </w:r>
        </w:sdtContent>
      </w:sdt>
    </w:p>
    <w:p w14:paraId="1929E459" w14:textId="77777777" w:rsidR="00C85EA4" w:rsidRPr="00584A8D" w:rsidRDefault="00C85EA4" w:rsidP="00584A8D">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sidRPr="00584A8D">
        <w:rPr>
          <w:b w:val="0"/>
          <w:i/>
          <w:snapToGrid w:val="0"/>
          <w:kern w:val="22"/>
          <w:szCs w:val="22"/>
        </w:rPr>
        <w:t>Note by the Executive Secretary</w:t>
      </w:r>
    </w:p>
    <w:p w14:paraId="1B54A9B4" w14:textId="35CF319F" w:rsidR="00F44287" w:rsidRPr="00584A8D" w:rsidRDefault="007E4BED" w:rsidP="00584A8D">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584A8D">
        <w:rPr>
          <w:bCs/>
          <w:caps w:val="0"/>
          <w:snapToGrid w:val="0"/>
          <w:kern w:val="22"/>
          <w:szCs w:val="22"/>
        </w:rPr>
        <w:t>BACKGROUND</w:t>
      </w:r>
    </w:p>
    <w:p w14:paraId="6A4338F9" w14:textId="0EF4857B" w:rsidR="001361FA" w:rsidRPr="00584A8D" w:rsidRDefault="00A5276F"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t>At its twelfth meeting, the Conference of the Parties adopted</w:t>
      </w:r>
      <w:r w:rsidR="006D55B4" w:rsidRPr="00584A8D">
        <w:rPr>
          <w:rFonts w:eastAsia="Yu Mincho"/>
          <w:snapToGrid w:val="0"/>
          <w:kern w:val="22"/>
          <w:szCs w:val="22"/>
          <w:lang w:eastAsia="ja-JP"/>
        </w:rPr>
        <w:t xml:space="preserve"> the</w:t>
      </w:r>
      <w:r w:rsidRPr="00584A8D">
        <w:rPr>
          <w:rFonts w:eastAsia="Yu Mincho"/>
          <w:snapToGrid w:val="0"/>
          <w:kern w:val="22"/>
          <w:szCs w:val="22"/>
          <w:lang w:eastAsia="ja-JP"/>
        </w:rPr>
        <w:t xml:space="preserve"> Voluntary </w:t>
      </w:r>
      <w:r w:rsidRPr="00584A8D">
        <w:rPr>
          <w:snapToGrid w:val="0"/>
          <w:kern w:val="22"/>
          <w:szCs w:val="22"/>
        </w:rPr>
        <w:t>Guidance on Devising and Implementing Measures to Address the Risks Associated with the Introduction of Alien Species as Pets, Aquarium and Terrarium Species, and as Live Bait and Live Food</w:t>
      </w:r>
      <w:r w:rsidR="005940D5" w:rsidRPr="00584A8D">
        <w:rPr>
          <w:snapToGrid w:val="0"/>
          <w:kern w:val="22"/>
          <w:szCs w:val="22"/>
        </w:rPr>
        <w:t>.</w:t>
      </w:r>
      <w:r w:rsidRPr="00584A8D">
        <w:rPr>
          <w:rStyle w:val="FootnoteReference"/>
          <w:snapToGrid w:val="0"/>
          <w:kern w:val="22"/>
          <w:sz w:val="22"/>
          <w:szCs w:val="22"/>
          <w:u w:val="none"/>
          <w:vertAlign w:val="superscript"/>
        </w:rPr>
        <w:footnoteReference w:id="2"/>
      </w:r>
      <w:r w:rsidRPr="00584A8D">
        <w:rPr>
          <w:rFonts w:eastAsia="Yu Mincho"/>
          <w:snapToGrid w:val="0"/>
          <w:kern w:val="22"/>
          <w:szCs w:val="22"/>
          <w:lang w:eastAsia="ja-JP"/>
        </w:rPr>
        <w:t xml:space="preserve"> At its</w:t>
      </w:r>
      <w:r w:rsidR="00350BDD" w:rsidRPr="00584A8D">
        <w:rPr>
          <w:rFonts w:eastAsia="Yu Mincho"/>
          <w:snapToGrid w:val="0"/>
          <w:kern w:val="22"/>
          <w:szCs w:val="22"/>
          <w:lang w:eastAsia="ja-JP"/>
        </w:rPr>
        <w:t xml:space="preserve"> thirteenth</w:t>
      </w:r>
      <w:r w:rsidRPr="00584A8D">
        <w:rPr>
          <w:rFonts w:eastAsia="Yu Mincho"/>
          <w:snapToGrid w:val="0"/>
          <w:kern w:val="22"/>
          <w:szCs w:val="22"/>
          <w:lang w:eastAsia="ja-JP"/>
        </w:rPr>
        <w:t xml:space="preserve"> meeting, </w:t>
      </w:r>
      <w:r w:rsidR="00F73BC4" w:rsidRPr="00584A8D">
        <w:rPr>
          <w:rFonts w:eastAsia="Yu Mincho"/>
          <w:snapToGrid w:val="0"/>
          <w:kern w:val="22"/>
          <w:szCs w:val="22"/>
          <w:lang w:eastAsia="ja-JP"/>
        </w:rPr>
        <w:t>it</w:t>
      </w:r>
      <w:r w:rsidR="005F416D" w:rsidRPr="00584A8D">
        <w:rPr>
          <w:rFonts w:eastAsia="Yu Mincho"/>
          <w:snapToGrid w:val="0"/>
          <w:kern w:val="22"/>
          <w:szCs w:val="22"/>
          <w:lang w:eastAsia="ja-JP"/>
        </w:rPr>
        <w:t xml:space="preserve"> requested the Executive Secretary </w:t>
      </w:r>
      <w:r w:rsidR="005A3002" w:rsidRPr="00584A8D">
        <w:rPr>
          <w:snapToGrid w:val="0"/>
          <w:kern w:val="22"/>
          <w:szCs w:val="22"/>
        </w:rPr>
        <w:t>to prepare</w:t>
      </w:r>
      <w:r w:rsidR="0029349F" w:rsidRPr="00584A8D">
        <w:rPr>
          <w:snapToGrid w:val="0"/>
          <w:kern w:val="22"/>
          <w:szCs w:val="22"/>
        </w:rPr>
        <w:t xml:space="preserve"> </w:t>
      </w:r>
      <w:r w:rsidR="005A3002" w:rsidRPr="00584A8D">
        <w:rPr>
          <w:snapToGrid w:val="0"/>
          <w:kern w:val="22"/>
          <w:szCs w:val="22"/>
        </w:rPr>
        <w:t>draft supplemental guidance</w:t>
      </w:r>
      <w:r w:rsidR="002F1C31" w:rsidRPr="00584A8D">
        <w:rPr>
          <w:snapToGrid w:val="0"/>
          <w:kern w:val="22"/>
          <w:szCs w:val="22"/>
        </w:rPr>
        <w:t xml:space="preserve"> to incorporate unintentional introduction of invasive alien species, through “hitchhikers” or contaminants</w:t>
      </w:r>
      <w:r w:rsidR="00603D71" w:rsidRPr="00584A8D">
        <w:rPr>
          <w:snapToGrid w:val="0"/>
          <w:kern w:val="22"/>
          <w:szCs w:val="22"/>
        </w:rPr>
        <w:t xml:space="preserve">, </w:t>
      </w:r>
      <w:r w:rsidR="00FB5F2F" w:rsidRPr="00584A8D">
        <w:rPr>
          <w:snapToGrid w:val="0"/>
          <w:kern w:val="22"/>
          <w:szCs w:val="22"/>
        </w:rPr>
        <w:t>and materials associated with the trade in live alien species, such as packing material, substrate or food</w:t>
      </w:r>
      <w:r w:rsidRPr="00584A8D">
        <w:rPr>
          <w:snapToGrid w:val="0"/>
          <w:kern w:val="22"/>
          <w:szCs w:val="22"/>
        </w:rPr>
        <w:t xml:space="preserve"> </w:t>
      </w:r>
      <w:r w:rsidR="0029349F" w:rsidRPr="00584A8D">
        <w:rPr>
          <w:snapToGrid w:val="0"/>
          <w:kern w:val="22"/>
          <w:szCs w:val="22"/>
        </w:rPr>
        <w:t>for consideration by the Subsidiary Body on Scientific, Technical and Technological Advice</w:t>
      </w:r>
      <w:r w:rsidR="001361FA" w:rsidRPr="00584A8D">
        <w:rPr>
          <w:snapToGrid w:val="0"/>
          <w:kern w:val="22"/>
          <w:szCs w:val="22"/>
        </w:rPr>
        <w:t>.</w:t>
      </w:r>
      <w:r w:rsidR="0067680B" w:rsidRPr="00584A8D">
        <w:rPr>
          <w:rStyle w:val="FootnoteReference"/>
          <w:snapToGrid w:val="0"/>
          <w:kern w:val="22"/>
          <w:sz w:val="22"/>
          <w:szCs w:val="22"/>
          <w:u w:val="none"/>
          <w:vertAlign w:val="superscript"/>
        </w:rPr>
        <w:footnoteReference w:id="3"/>
      </w:r>
    </w:p>
    <w:p w14:paraId="2FED916F" w14:textId="77777777" w:rsidR="00745F78" w:rsidRPr="00584A8D" w:rsidRDefault="005A3002"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snapToGrid w:val="0"/>
          <w:kern w:val="22"/>
          <w:szCs w:val="22"/>
        </w:rPr>
        <w:t>In the same decision</w:t>
      </w:r>
      <w:r w:rsidR="00745F78" w:rsidRPr="00584A8D">
        <w:rPr>
          <w:snapToGrid w:val="0"/>
          <w:kern w:val="22"/>
          <w:szCs w:val="22"/>
        </w:rPr>
        <w:t>,</w:t>
      </w:r>
      <w:r w:rsidRPr="00584A8D">
        <w:rPr>
          <w:snapToGrid w:val="0"/>
          <w:kern w:val="22"/>
          <w:szCs w:val="22"/>
        </w:rPr>
        <w:t xml:space="preserve"> the Conference of the Parties also requested the Executive Secretary</w:t>
      </w:r>
      <w:r w:rsidR="00127DBA" w:rsidRPr="00584A8D">
        <w:rPr>
          <w:snapToGrid w:val="0"/>
          <w:kern w:val="22"/>
          <w:szCs w:val="22"/>
        </w:rPr>
        <w:t>:</w:t>
      </w:r>
    </w:p>
    <w:p w14:paraId="47F11528" w14:textId="1F6C5B4B" w:rsidR="00745F78" w:rsidRPr="00584A8D" w:rsidRDefault="00745F78" w:rsidP="00584A8D">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snapToGrid w:val="0"/>
          <w:kern w:val="22"/>
          <w:szCs w:val="22"/>
        </w:rPr>
        <w:t xml:space="preserve">To explore, </w:t>
      </w:r>
      <w:r w:rsidR="00C956D5" w:rsidRPr="00584A8D">
        <w:rPr>
          <w:snapToGrid w:val="0"/>
          <w:kern w:val="22"/>
          <w:szCs w:val="22"/>
        </w:rPr>
        <w:t>in collaboration with various international organizations</w:t>
      </w:r>
      <w:r w:rsidRPr="00584A8D">
        <w:rPr>
          <w:snapToGrid w:val="0"/>
          <w:kern w:val="22"/>
          <w:szCs w:val="22"/>
        </w:rPr>
        <w:t>, the need for tools or guidance for Parties that may assist national customs authorities in facilitating the necessary control of live alien species via</w:t>
      </w:r>
      <w:r w:rsidR="008F1649" w:rsidRPr="00584A8D">
        <w:rPr>
          <w:snapToGrid w:val="0"/>
          <w:kern w:val="22"/>
          <w:szCs w:val="22"/>
        </w:rPr>
        <w:t xml:space="preserve"> e-commerce </w:t>
      </w:r>
      <w:r w:rsidR="00127DBA" w:rsidRPr="00584A8D">
        <w:rPr>
          <w:snapToGrid w:val="0"/>
          <w:kern w:val="22"/>
          <w:szCs w:val="22"/>
        </w:rPr>
        <w:t>(para</w:t>
      </w:r>
      <w:r w:rsidR="005940D5" w:rsidRPr="00584A8D">
        <w:rPr>
          <w:snapToGrid w:val="0"/>
          <w:kern w:val="22"/>
          <w:szCs w:val="22"/>
        </w:rPr>
        <w:t>.</w:t>
      </w:r>
      <w:r w:rsidR="00127DBA" w:rsidRPr="00584A8D">
        <w:rPr>
          <w:snapToGrid w:val="0"/>
          <w:kern w:val="22"/>
          <w:szCs w:val="22"/>
        </w:rPr>
        <w:t xml:space="preserve"> 9(a))</w:t>
      </w:r>
      <w:r w:rsidR="002F1C31" w:rsidRPr="00584A8D">
        <w:rPr>
          <w:snapToGrid w:val="0"/>
          <w:kern w:val="22"/>
          <w:szCs w:val="22"/>
        </w:rPr>
        <w:t>;</w:t>
      </w:r>
    </w:p>
    <w:p w14:paraId="06C58477" w14:textId="54689C2C" w:rsidR="00745F78" w:rsidRPr="00584A8D" w:rsidRDefault="00745F78" w:rsidP="00584A8D">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 xml:space="preserve">To </w:t>
      </w:r>
      <w:r w:rsidR="008F1649" w:rsidRPr="00584A8D">
        <w:rPr>
          <w:rFonts w:eastAsia="Yu Mincho"/>
          <w:snapToGrid w:val="0"/>
          <w:kern w:val="22"/>
          <w:szCs w:val="22"/>
          <w:lang w:eastAsia="ja-JP"/>
        </w:rPr>
        <w:t xml:space="preserve">identify </w:t>
      </w:r>
      <w:r w:rsidR="002F1C31" w:rsidRPr="00584A8D">
        <w:rPr>
          <w:rFonts w:eastAsia="Yu Mincho"/>
          <w:snapToGrid w:val="0"/>
          <w:kern w:val="22"/>
          <w:szCs w:val="22"/>
          <w:lang w:eastAsia="ja-JP"/>
        </w:rPr>
        <w:t>options for supplementing risk assessment and risk management standards for the use of biological control agents</w:t>
      </w:r>
      <w:r w:rsidR="001361FA" w:rsidRPr="00584A8D">
        <w:rPr>
          <w:rFonts w:eastAsia="Yu Mincho"/>
          <w:snapToGrid w:val="0"/>
          <w:kern w:val="22"/>
          <w:szCs w:val="22"/>
          <w:lang w:eastAsia="ja-JP"/>
        </w:rPr>
        <w:t xml:space="preserve"> </w:t>
      </w:r>
      <w:r w:rsidRPr="00584A8D">
        <w:rPr>
          <w:snapToGrid w:val="0"/>
          <w:kern w:val="22"/>
          <w:szCs w:val="22"/>
        </w:rPr>
        <w:t>against invasive alien species, including in aquatic environments</w:t>
      </w:r>
      <w:r w:rsidRPr="00584A8D">
        <w:rPr>
          <w:rFonts w:eastAsia="Yu Mincho"/>
          <w:snapToGrid w:val="0"/>
          <w:kern w:val="22"/>
          <w:szCs w:val="22"/>
          <w:lang w:eastAsia="ja-JP"/>
        </w:rPr>
        <w:t xml:space="preserve"> </w:t>
      </w:r>
      <w:r w:rsidR="00127DBA" w:rsidRPr="00584A8D">
        <w:rPr>
          <w:rFonts w:eastAsia="Yu Mincho"/>
          <w:snapToGrid w:val="0"/>
          <w:kern w:val="22"/>
          <w:szCs w:val="22"/>
          <w:lang w:eastAsia="ja-JP"/>
        </w:rPr>
        <w:t>(para</w:t>
      </w:r>
      <w:r w:rsidR="00AB6AA2" w:rsidRPr="00584A8D">
        <w:rPr>
          <w:rFonts w:eastAsia="Yu Mincho"/>
          <w:snapToGrid w:val="0"/>
          <w:kern w:val="22"/>
          <w:szCs w:val="22"/>
          <w:lang w:eastAsia="ja-JP"/>
        </w:rPr>
        <w:t>. </w:t>
      </w:r>
      <w:r w:rsidR="00127DBA" w:rsidRPr="00584A8D">
        <w:rPr>
          <w:rFonts w:eastAsia="Yu Mincho"/>
          <w:snapToGrid w:val="0"/>
          <w:kern w:val="22"/>
          <w:szCs w:val="22"/>
          <w:lang w:eastAsia="ja-JP"/>
        </w:rPr>
        <w:t>16)</w:t>
      </w:r>
      <w:r w:rsidR="002F1C31" w:rsidRPr="00584A8D">
        <w:rPr>
          <w:rFonts w:eastAsia="Yu Mincho"/>
          <w:snapToGrid w:val="0"/>
          <w:kern w:val="22"/>
          <w:szCs w:val="22"/>
          <w:lang w:eastAsia="ja-JP"/>
        </w:rPr>
        <w:t>;</w:t>
      </w:r>
    </w:p>
    <w:p w14:paraId="6277700B" w14:textId="3B3F6315" w:rsidR="00745F78" w:rsidRPr="00584A8D" w:rsidRDefault="00745F78" w:rsidP="00584A8D">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 xml:space="preserve">To </w:t>
      </w:r>
      <w:r w:rsidRPr="00584A8D">
        <w:rPr>
          <w:snapToGrid w:val="0"/>
          <w:kern w:val="22"/>
          <w:szCs w:val="22"/>
        </w:rPr>
        <w:t xml:space="preserve">continue to compile or </w:t>
      </w:r>
      <w:r w:rsidR="002F1C31" w:rsidRPr="00584A8D">
        <w:rPr>
          <w:rFonts w:eastAsia="Yu Mincho"/>
          <w:snapToGrid w:val="0"/>
          <w:kern w:val="22"/>
          <w:szCs w:val="22"/>
          <w:lang w:eastAsia="ja-JP"/>
        </w:rPr>
        <w:t>develop and maintain decision support tools</w:t>
      </w:r>
      <w:r w:rsidRPr="00584A8D">
        <w:rPr>
          <w:rFonts w:eastAsia="Yu Mincho"/>
          <w:snapToGrid w:val="0"/>
          <w:kern w:val="22"/>
          <w:szCs w:val="22"/>
          <w:lang w:eastAsia="ja-JP"/>
        </w:rPr>
        <w:t>,</w:t>
      </w:r>
      <w:r w:rsidR="002F1C31" w:rsidRPr="00584A8D">
        <w:rPr>
          <w:rFonts w:eastAsia="Yu Mincho"/>
          <w:snapToGrid w:val="0"/>
          <w:kern w:val="22"/>
          <w:szCs w:val="22"/>
          <w:lang w:eastAsia="ja-JP"/>
        </w:rPr>
        <w:t xml:space="preserve"> </w:t>
      </w:r>
      <w:r w:rsidRPr="00584A8D">
        <w:rPr>
          <w:snapToGrid w:val="0"/>
          <w:kern w:val="22"/>
          <w:szCs w:val="22"/>
        </w:rPr>
        <w:t xml:space="preserve">in a coordinated manner with the Intergovernmental Science-Policy Platform on Biodiversity and Ecosystem Services, </w:t>
      </w:r>
      <w:r w:rsidR="002F1C31" w:rsidRPr="00584A8D">
        <w:rPr>
          <w:rFonts w:eastAsia="Yu Mincho"/>
          <w:snapToGrid w:val="0"/>
          <w:kern w:val="22"/>
          <w:szCs w:val="22"/>
          <w:lang w:eastAsia="ja-JP"/>
        </w:rPr>
        <w:t>and make th</w:t>
      </w:r>
      <w:r w:rsidR="00127DBA" w:rsidRPr="00584A8D">
        <w:rPr>
          <w:rFonts w:eastAsia="Yu Mincho"/>
          <w:snapToGrid w:val="0"/>
          <w:kern w:val="22"/>
          <w:szCs w:val="22"/>
          <w:lang w:eastAsia="ja-JP"/>
        </w:rPr>
        <w:t>em</w:t>
      </w:r>
      <w:r w:rsidR="002F1C31" w:rsidRPr="00584A8D">
        <w:rPr>
          <w:rFonts w:eastAsia="Yu Mincho"/>
          <w:snapToGrid w:val="0"/>
          <w:kern w:val="22"/>
          <w:szCs w:val="22"/>
          <w:lang w:eastAsia="ja-JP"/>
        </w:rPr>
        <w:t xml:space="preserve"> available through the clearing-house mechanism of the Convention</w:t>
      </w:r>
      <w:r w:rsidR="001361FA" w:rsidRPr="00584A8D">
        <w:rPr>
          <w:rFonts w:eastAsia="Yu Mincho"/>
          <w:snapToGrid w:val="0"/>
          <w:kern w:val="22"/>
          <w:szCs w:val="22"/>
          <w:lang w:eastAsia="ja-JP"/>
        </w:rPr>
        <w:t xml:space="preserve"> </w:t>
      </w:r>
      <w:r w:rsidR="00127DBA" w:rsidRPr="00584A8D">
        <w:rPr>
          <w:rFonts w:eastAsia="Yu Mincho"/>
          <w:snapToGrid w:val="0"/>
          <w:kern w:val="22"/>
          <w:szCs w:val="22"/>
          <w:lang w:eastAsia="ja-JP"/>
        </w:rPr>
        <w:t>(para</w:t>
      </w:r>
      <w:r w:rsidR="005940D5" w:rsidRPr="00584A8D">
        <w:rPr>
          <w:rFonts w:eastAsia="Yu Mincho"/>
          <w:snapToGrid w:val="0"/>
          <w:kern w:val="22"/>
          <w:szCs w:val="22"/>
          <w:lang w:eastAsia="ja-JP"/>
        </w:rPr>
        <w:t>.</w:t>
      </w:r>
      <w:r w:rsidR="00127DBA" w:rsidRPr="00584A8D">
        <w:rPr>
          <w:rFonts w:eastAsia="Yu Mincho"/>
          <w:snapToGrid w:val="0"/>
          <w:kern w:val="22"/>
          <w:szCs w:val="22"/>
          <w:lang w:eastAsia="ja-JP"/>
        </w:rPr>
        <w:t xml:space="preserve"> 17(a))</w:t>
      </w:r>
      <w:r w:rsidR="002F1C31" w:rsidRPr="00584A8D">
        <w:rPr>
          <w:rFonts w:eastAsia="Yu Mincho"/>
          <w:snapToGrid w:val="0"/>
          <w:kern w:val="22"/>
          <w:szCs w:val="22"/>
          <w:lang w:eastAsia="ja-JP"/>
        </w:rPr>
        <w:t>;</w:t>
      </w:r>
    </w:p>
    <w:p w14:paraId="1B123349" w14:textId="6D59406D" w:rsidR="00745F78" w:rsidRPr="00584A8D" w:rsidRDefault="00745F78" w:rsidP="00584A8D">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 xml:space="preserve">To </w:t>
      </w:r>
      <w:r w:rsidR="002F1C31" w:rsidRPr="00584A8D">
        <w:rPr>
          <w:rFonts w:eastAsia="Yu Mincho"/>
          <w:snapToGrid w:val="0"/>
          <w:kern w:val="22"/>
          <w:szCs w:val="22"/>
          <w:lang w:eastAsia="ja-JP"/>
        </w:rPr>
        <w:t xml:space="preserve">develop technical guidance for conducting cost-benefit and cost-effectiveness analysis </w:t>
      </w:r>
      <w:r w:rsidRPr="00584A8D">
        <w:rPr>
          <w:snapToGrid w:val="0"/>
          <w:kern w:val="22"/>
          <w:szCs w:val="22"/>
        </w:rPr>
        <w:t>for the management of invasive alien species</w:t>
      </w:r>
      <w:r w:rsidRPr="00584A8D">
        <w:rPr>
          <w:rFonts w:eastAsia="Yu Mincho"/>
          <w:snapToGrid w:val="0"/>
          <w:kern w:val="22"/>
          <w:szCs w:val="22"/>
          <w:lang w:eastAsia="ja-JP"/>
        </w:rPr>
        <w:t xml:space="preserve"> </w:t>
      </w:r>
      <w:r w:rsidR="00127DBA" w:rsidRPr="00584A8D">
        <w:rPr>
          <w:rFonts w:eastAsia="Yu Mincho"/>
          <w:snapToGrid w:val="0"/>
          <w:kern w:val="22"/>
          <w:szCs w:val="22"/>
          <w:lang w:eastAsia="ja-JP"/>
        </w:rPr>
        <w:t>(para</w:t>
      </w:r>
      <w:r w:rsidR="005940D5" w:rsidRPr="00584A8D">
        <w:rPr>
          <w:rFonts w:eastAsia="Yu Mincho"/>
          <w:snapToGrid w:val="0"/>
          <w:kern w:val="22"/>
          <w:szCs w:val="22"/>
          <w:lang w:eastAsia="ja-JP"/>
        </w:rPr>
        <w:t>.</w:t>
      </w:r>
      <w:r w:rsidR="00127DBA" w:rsidRPr="00584A8D">
        <w:rPr>
          <w:rFonts w:eastAsia="Yu Mincho"/>
          <w:snapToGrid w:val="0"/>
          <w:kern w:val="22"/>
          <w:szCs w:val="22"/>
          <w:lang w:eastAsia="ja-JP"/>
        </w:rPr>
        <w:t xml:space="preserve"> 17(b))</w:t>
      </w:r>
      <w:r w:rsidR="002F1C31" w:rsidRPr="00584A8D">
        <w:rPr>
          <w:rFonts w:eastAsia="Yu Mincho"/>
          <w:snapToGrid w:val="0"/>
          <w:kern w:val="22"/>
          <w:szCs w:val="22"/>
          <w:lang w:eastAsia="ja-JP"/>
        </w:rPr>
        <w:t>;</w:t>
      </w:r>
    </w:p>
    <w:p w14:paraId="24463078" w14:textId="39643540" w:rsidR="00745F78" w:rsidRPr="00584A8D" w:rsidRDefault="00745F78" w:rsidP="00584A8D">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 xml:space="preserve">To </w:t>
      </w:r>
      <w:r w:rsidR="002F1C31" w:rsidRPr="00584A8D">
        <w:rPr>
          <w:rFonts w:eastAsia="Yu Mincho"/>
          <w:snapToGrid w:val="0"/>
          <w:kern w:val="22"/>
          <w:szCs w:val="22"/>
          <w:lang w:eastAsia="ja-JP"/>
        </w:rPr>
        <w:t>develop guidance on invasive alien species management that takes into consideration the impacts of climate change</w:t>
      </w:r>
      <w:r w:rsidRPr="00584A8D">
        <w:rPr>
          <w:rFonts w:eastAsia="Yu Mincho"/>
          <w:snapToGrid w:val="0"/>
          <w:kern w:val="22"/>
          <w:szCs w:val="22"/>
          <w:lang w:eastAsia="ja-JP"/>
        </w:rPr>
        <w:t>,</w:t>
      </w:r>
      <w:r w:rsidR="00127DBA" w:rsidRPr="00584A8D">
        <w:rPr>
          <w:rFonts w:eastAsia="Yu Mincho"/>
          <w:snapToGrid w:val="0"/>
          <w:kern w:val="22"/>
          <w:szCs w:val="22"/>
          <w:lang w:eastAsia="ja-JP"/>
        </w:rPr>
        <w:t xml:space="preserve"> </w:t>
      </w:r>
      <w:r w:rsidRPr="00584A8D">
        <w:rPr>
          <w:snapToGrid w:val="0"/>
          <w:kern w:val="22"/>
          <w:szCs w:val="22"/>
        </w:rPr>
        <w:t>natural disasters and land-use change on the management of biological invasions</w:t>
      </w:r>
      <w:r w:rsidRPr="00584A8D">
        <w:rPr>
          <w:rFonts w:eastAsia="Yu Mincho"/>
          <w:snapToGrid w:val="0"/>
          <w:kern w:val="22"/>
          <w:szCs w:val="22"/>
          <w:lang w:eastAsia="ja-JP"/>
        </w:rPr>
        <w:t xml:space="preserve"> </w:t>
      </w:r>
      <w:r w:rsidR="00127DBA" w:rsidRPr="00584A8D">
        <w:rPr>
          <w:rFonts w:eastAsia="Yu Mincho"/>
          <w:snapToGrid w:val="0"/>
          <w:kern w:val="22"/>
          <w:szCs w:val="22"/>
          <w:lang w:eastAsia="ja-JP"/>
        </w:rPr>
        <w:t>(para</w:t>
      </w:r>
      <w:r w:rsidR="005940D5" w:rsidRPr="00584A8D">
        <w:rPr>
          <w:rFonts w:eastAsia="Yu Mincho"/>
          <w:snapToGrid w:val="0"/>
          <w:kern w:val="22"/>
          <w:szCs w:val="22"/>
          <w:lang w:eastAsia="ja-JP"/>
        </w:rPr>
        <w:t>.</w:t>
      </w:r>
      <w:r w:rsidR="00127DBA" w:rsidRPr="00584A8D">
        <w:rPr>
          <w:rFonts w:eastAsia="Yu Mincho"/>
          <w:snapToGrid w:val="0"/>
          <w:kern w:val="22"/>
          <w:szCs w:val="22"/>
          <w:lang w:eastAsia="ja-JP"/>
        </w:rPr>
        <w:t xml:space="preserve"> 17(c));</w:t>
      </w:r>
    </w:p>
    <w:p w14:paraId="33BE20DE" w14:textId="2F93417B" w:rsidR="0082398F" w:rsidRPr="00584A8D" w:rsidRDefault="00745F78" w:rsidP="00584A8D">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 xml:space="preserve">To </w:t>
      </w:r>
      <w:r w:rsidR="002F1C31" w:rsidRPr="00584A8D">
        <w:rPr>
          <w:rFonts w:eastAsia="Yu Mincho"/>
          <w:snapToGrid w:val="0"/>
          <w:kern w:val="22"/>
          <w:szCs w:val="22"/>
          <w:lang w:eastAsia="ja-JP"/>
        </w:rPr>
        <w:t>compil</w:t>
      </w:r>
      <w:r w:rsidRPr="00584A8D">
        <w:rPr>
          <w:rFonts w:eastAsia="Yu Mincho"/>
          <w:snapToGrid w:val="0"/>
          <w:kern w:val="22"/>
          <w:szCs w:val="22"/>
          <w:lang w:eastAsia="ja-JP"/>
        </w:rPr>
        <w:t>e</w:t>
      </w:r>
      <w:r w:rsidR="002F1C31" w:rsidRPr="00584A8D">
        <w:rPr>
          <w:rFonts w:eastAsia="Yu Mincho"/>
          <w:snapToGrid w:val="0"/>
          <w:kern w:val="22"/>
          <w:szCs w:val="22"/>
          <w:lang w:eastAsia="ja-JP"/>
        </w:rPr>
        <w:t xml:space="preserve"> information on the potential consequences of invasive alien species on social, economic and cultural values</w:t>
      </w:r>
      <w:r w:rsidR="00127DBA" w:rsidRPr="00584A8D">
        <w:rPr>
          <w:rFonts w:eastAsia="Yu Mincho"/>
          <w:snapToGrid w:val="0"/>
          <w:kern w:val="22"/>
          <w:szCs w:val="22"/>
          <w:lang w:eastAsia="ja-JP"/>
        </w:rPr>
        <w:t xml:space="preserve"> (para</w:t>
      </w:r>
      <w:r w:rsidR="005940D5" w:rsidRPr="00584A8D">
        <w:rPr>
          <w:rFonts w:eastAsia="Yu Mincho"/>
          <w:snapToGrid w:val="0"/>
          <w:kern w:val="22"/>
          <w:szCs w:val="22"/>
          <w:lang w:eastAsia="ja-JP"/>
        </w:rPr>
        <w:t>.</w:t>
      </w:r>
      <w:r w:rsidR="00127DBA" w:rsidRPr="00584A8D">
        <w:rPr>
          <w:rFonts w:eastAsia="Yu Mincho"/>
          <w:snapToGrid w:val="0"/>
          <w:kern w:val="22"/>
          <w:szCs w:val="22"/>
          <w:lang w:eastAsia="ja-JP"/>
        </w:rPr>
        <w:t xml:space="preserve"> 17(d))</w:t>
      </w:r>
      <w:r w:rsidRPr="00584A8D">
        <w:rPr>
          <w:rFonts w:eastAsia="Yu Mincho"/>
          <w:snapToGrid w:val="0"/>
          <w:kern w:val="22"/>
          <w:szCs w:val="22"/>
          <w:lang w:eastAsia="ja-JP"/>
        </w:rPr>
        <w:t>;</w:t>
      </w:r>
    </w:p>
    <w:p w14:paraId="1FFFC41C" w14:textId="746692EA" w:rsidR="0082398F" w:rsidRPr="00584A8D" w:rsidRDefault="0082398F" w:rsidP="00584A8D">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lastRenderedPageBreak/>
        <w:t xml:space="preserve">To make the information requested in paragraph 22 </w:t>
      </w:r>
      <w:r w:rsidR="001D6F33" w:rsidRPr="00584A8D">
        <w:rPr>
          <w:rFonts w:eastAsia="Yu Mincho"/>
          <w:snapToGrid w:val="0"/>
          <w:kern w:val="22"/>
          <w:szCs w:val="22"/>
          <w:lang w:eastAsia="ja-JP"/>
        </w:rPr>
        <w:t xml:space="preserve">of decision </w:t>
      </w:r>
      <w:hyperlink r:id="rId11" w:history="1">
        <w:r w:rsidR="001D6F33" w:rsidRPr="00584A8D">
          <w:rPr>
            <w:rStyle w:val="Hyperlink"/>
            <w:rFonts w:eastAsia="Yu Mincho"/>
            <w:snapToGrid w:val="0"/>
            <w:kern w:val="22"/>
            <w:szCs w:val="22"/>
            <w:lang w:eastAsia="ja-JP"/>
          </w:rPr>
          <w:t>XIII/13</w:t>
        </w:r>
      </w:hyperlink>
      <w:r w:rsidR="001D6F33" w:rsidRPr="00584A8D">
        <w:rPr>
          <w:rFonts w:eastAsia="Yu Mincho"/>
          <w:snapToGrid w:val="0"/>
          <w:kern w:val="22"/>
          <w:szCs w:val="22"/>
          <w:lang w:eastAsia="ja-JP"/>
        </w:rPr>
        <w:t xml:space="preserve"> </w:t>
      </w:r>
      <w:r w:rsidRPr="00584A8D">
        <w:rPr>
          <w:rFonts w:eastAsia="Yu Mincho"/>
          <w:snapToGrid w:val="0"/>
          <w:kern w:val="22"/>
          <w:szCs w:val="22"/>
          <w:lang w:eastAsia="ja-JP"/>
        </w:rPr>
        <w:t>available through the clearing-house mechanism and other means (para</w:t>
      </w:r>
      <w:r w:rsidR="005940D5" w:rsidRPr="00584A8D">
        <w:rPr>
          <w:rFonts w:eastAsia="Yu Mincho"/>
          <w:snapToGrid w:val="0"/>
          <w:kern w:val="22"/>
          <w:szCs w:val="22"/>
          <w:lang w:eastAsia="ja-JP"/>
        </w:rPr>
        <w:t>.</w:t>
      </w:r>
      <w:r w:rsidRPr="00584A8D">
        <w:rPr>
          <w:rFonts w:eastAsia="Yu Mincho"/>
          <w:snapToGrid w:val="0"/>
          <w:kern w:val="22"/>
          <w:szCs w:val="22"/>
          <w:lang w:eastAsia="ja-JP"/>
        </w:rPr>
        <w:t xml:space="preserve"> 23(a));</w:t>
      </w:r>
    </w:p>
    <w:p w14:paraId="32132962" w14:textId="30839CE4" w:rsidR="00745F78" w:rsidRPr="00584A8D" w:rsidRDefault="0082398F" w:rsidP="00584A8D">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To continue to provide support for data collection, standardization, sharing and open access at global level through the Global Invasive Alien Species Information Partnership (para</w:t>
      </w:r>
      <w:r w:rsidR="005940D5" w:rsidRPr="00584A8D">
        <w:rPr>
          <w:rFonts w:eastAsia="Yu Mincho"/>
          <w:snapToGrid w:val="0"/>
          <w:kern w:val="22"/>
          <w:szCs w:val="22"/>
          <w:lang w:eastAsia="ja-JP"/>
        </w:rPr>
        <w:t>.</w:t>
      </w:r>
      <w:r w:rsidRPr="00584A8D">
        <w:rPr>
          <w:rFonts w:eastAsia="Yu Mincho"/>
          <w:snapToGrid w:val="0"/>
          <w:kern w:val="22"/>
          <w:szCs w:val="22"/>
          <w:lang w:eastAsia="ja-JP"/>
        </w:rPr>
        <w:t xml:space="preserve"> 23(b)</w:t>
      </w:r>
      <w:r w:rsidR="005B670A" w:rsidRPr="00584A8D">
        <w:rPr>
          <w:rFonts w:eastAsia="Yu Mincho"/>
          <w:snapToGrid w:val="0"/>
          <w:kern w:val="22"/>
          <w:szCs w:val="22"/>
          <w:lang w:eastAsia="ja-JP"/>
        </w:rPr>
        <w:t>);</w:t>
      </w:r>
    </w:p>
    <w:p w14:paraId="17601B40" w14:textId="31030481" w:rsidR="00383034" w:rsidRPr="00584A8D" w:rsidRDefault="00745F78" w:rsidP="00584A8D">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To report on progress to the Subsidiary Body on Scientific, Technical and Technological Advice at a meeting to be held prior to the fourteenth meeting of the Conference of the Parties.</w:t>
      </w:r>
    </w:p>
    <w:p w14:paraId="10C3BAA6" w14:textId="084B4BC4" w:rsidR="006B6FD2" w:rsidRPr="00584A8D" w:rsidRDefault="00272642"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snapToGrid w:val="0"/>
          <w:kern w:val="22"/>
          <w:szCs w:val="22"/>
        </w:rPr>
        <w:t>In decision XIII/13, t</w:t>
      </w:r>
      <w:r w:rsidR="006B6FD2" w:rsidRPr="00584A8D">
        <w:rPr>
          <w:snapToGrid w:val="0"/>
          <w:kern w:val="22"/>
          <w:szCs w:val="22"/>
        </w:rPr>
        <w:t>he Conference of the Parties invited relevant organizations, including the Invasive Species Specialist Group of the International Union for Conservation of Nature (IUCN-ISSG) and members of the Global Invasive Alien Species Information Partnership and other organizations that manage databases pertaining to trade in wild animals and plants, to continue their work to further develop methodologies for prioritizing the pathways of introduction of invasive alien species and for characterizing risks, and to facilitate information exchange related to invasive alien species (paras.</w:t>
      </w:r>
      <w:r w:rsidR="00F65E89" w:rsidRPr="00584A8D">
        <w:rPr>
          <w:snapToGrid w:val="0"/>
          <w:kern w:val="22"/>
          <w:szCs w:val="22"/>
        </w:rPr>
        <w:t> </w:t>
      </w:r>
      <w:r w:rsidR="006B6FD2" w:rsidRPr="00584A8D">
        <w:rPr>
          <w:snapToGrid w:val="0"/>
          <w:kern w:val="22"/>
          <w:szCs w:val="22"/>
        </w:rPr>
        <w:t>6 and</w:t>
      </w:r>
      <w:r w:rsidR="00F65E89" w:rsidRPr="00584A8D">
        <w:rPr>
          <w:snapToGrid w:val="0"/>
          <w:kern w:val="22"/>
          <w:szCs w:val="22"/>
        </w:rPr>
        <w:t> </w:t>
      </w:r>
      <w:r w:rsidR="006B6FD2" w:rsidRPr="00584A8D">
        <w:rPr>
          <w:snapToGrid w:val="0"/>
          <w:kern w:val="22"/>
          <w:szCs w:val="22"/>
        </w:rPr>
        <w:t>20).</w:t>
      </w:r>
    </w:p>
    <w:p w14:paraId="26CB09E5" w14:textId="0CAE8706" w:rsidR="007A2BBC" w:rsidRPr="00584A8D" w:rsidRDefault="00070B54"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t xml:space="preserve">In </w:t>
      </w:r>
      <w:r w:rsidR="00350BDD" w:rsidRPr="00584A8D">
        <w:rPr>
          <w:rFonts w:eastAsia="Yu Mincho"/>
          <w:snapToGrid w:val="0"/>
          <w:kern w:val="22"/>
          <w:szCs w:val="22"/>
          <w:lang w:eastAsia="ja-JP"/>
        </w:rPr>
        <w:t xml:space="preserve">response </w:t>
      </w:r>
      <w:r w:rsidR="00C74FC1" w:rsidRPr="00584A8D">
        <w:rPr>
          <w:rFonts w:eastAsia="Yu Mincho"/>
          <w:snapToGrid w:val="0"/>
          <w:kern w:val="22"/>
          <w:szCs w:val="22"/>
          <w:lang w:eastAsia="ja-JP"/>
        </w:rPr>
        <w:t>to these requests</w:t>
      </w:r>
      <w:r w:rsidR="00301F42" w:rsidRPr="00584A8D">
        <w:rPr>
          <w:rFonts w:eastAsia="Yu Mincho"/>
          <w:snapToGrid w:val="0"/>
          <w:kern w:val="22"/>
          <w:szCs w:val="22"/>
          <w:lang w:eastAsia="ja-JP"/>
        </w:rPr>
        <w:t>,</w:t>
      </w:r>
      <w:r w:rsidRPr="00584A8D">
        <w:rPr>
          <w:rFonts w:eastAsia="Yu Mincho"/>
          <w:snapToGrid w:val="0"/>
          <w:kern w:val="22"/>
          <w:szCs w:val="22"/>
          <w:lang w:eastAsia="ja-JP"/>
        </w:rPr>
        <w:t xml:space="preserve"> the Secretariat </w:t>
      </w:r>
      <w:r w:rsidR="00350BDD" w:rsidRPr="00584A8D">
        <w:rPr>
          <w:rFonts w:eastAsia="Yu Mincho"/>
          <w:snapToGrid w:val="0"/>
          <w:kern w:val="22"/>
          <w:szCs w:val="22"/>
          <w:lang w:eastAsia="ja-JP"/>
        </w:rPr>
        <w:t>requested information and perspectives</w:t>
      </w:r>
      <w:r w:rsidR="00C74FC1" w:rsidRPr="00584A8D">
        <w:rPr>
          <w:rFonts w:eastAsia="Yu Mincho"/>
          <w:snapToGrid w:val="0"/>
          <w:kern w:val="22"/>
          <w:szCs w:val="22"/>
          <w:lang w:eastAsia="ja-JP"/>
        </w:rPr>
        <w:t xml:space="preserve"> from Parties and observers</w:t>
      </w:r>
      <w:r w:rsidR="00350BDD" w:rsidRPr="00584A8D">
        <w:rPr>
          <w:rFonts w:eastAsia="Yu Mincho"/>
          <w:snapToGrid w:val="0"/>
          <w:kern w:val="22"/>
          <w:szCs w:val="22"/>
          <w:lang w:eastAsia="ja-JP"/>
        </w:rPr>
        <w:t xml:space="preserve"> on the issues noted above</w:t>
      </w:r>
      <w:r w:rsidR="001D6F33" w:rsidRPr="00584A8D">
        <w:rPr>
          <w:rFonts w:eastAsia="Yu Mincho"/>
          <w:snapToGrid w:val="0"/>
          <w:kern w:val="22"/>
          <w:szCs w:val="22"/>
          <w:lang w:eastAsia="ja-JP"/>
        </w:rPr>
        <w:t>.</w:t>
      </w:r>
      <w:r w:rsidR="00C74FC1" w:rsidRPr="00584A8D">
        <w:rPr>
          <w:rStyle w:val="FootnoteReference"/>
          <w:rFonts w:eastAsia="Yu Mincho"/>
          <w:snapToGrid w:val="0"/>
          <w:kern w:val="22"/>
          <w:sz w:val="22"/>
          <w:szCs w:val="22"/>
          <w:u w:val="none"/>
          <w:vertAlign w:val="superscript"/>
          <w:lang w:eastAsia="ja-JP"/>
        </w:rPr>
        <w:footnoteReference w:id="4"/>
      </w:r>
      <w:r w:rsidR="00C74FC1" w:rsidRPr="00584A8D">
        <w:rPr>
          <w:rFonts w:eastAsia="Yu Mincho"/>
          <w:snapToGrid w:val="0"/>
          <w:kern w:val="22"/>
          <w:szCs w:val="22"/>
          <w:lang w:eastAsia="ja-JP"/>
        </w:rPr>
        <w:t xml:space="preserve"> </w:t>
      </w:r>
      <w:r w:rsidR="00F0786A" w:rsidRPr="00584A8D">
        <w:rPr>
          <w:rFonts w:eastAsia="Yu Mincho"/>
          <w:snapToGrid w:val="0"/>
          <w:kern w:val="22"/>
          <w:szCs w:val="22"/>
          <w:lang w:eastAsia="ja-JP"/>
        </w:rPr>
        <w:t>A total of 153 s</w:t>
      </w:r>
      <w:r w:rsidR="00F50B48" w:rsidRPr="00584A8D">
        <w:rPr>
          <w:rFonts w:eastAsia="Yu Mincho"/>
          <w:snapToGrid w:val="0"/>
          <w:kern w:val="22"/>
          <w:szCs w:val="22"/>
          <w:lang w:eastAsia="ja-JP"/>
        </w:rPr>
        <w:t xml:space="preserve">ubmissions were received from </w:t>
      </w:r>
      <w:r w:rsidR="00C74FC1" w:rsidRPr="00584A8D">
        <w:rPr>
          <w:rFonts w:eastAsia="Yu Mincho"/>
          <w:snapToGrid w:val="0"/>
          <w:kern w:val="22"/>
          <w:szCs w:val="22"/>
          <w:lang w:eastAsia="ja-JP"/>
        </w:rPr>
        <w:t xml:space="preserve">Parties and </w:t>
      </w:r>
      <w:r w:rsidR="00350BDD" w:rsidRPr="00584A8D">
        <w:rPr>
          <w:rFonts w:eastAsia="Yu Mincho"/>
          <w:snapToGrid w:val="0"/>
          <w:kern w:val="22"/>
          <w:szCs w:val="22"/>
          <w:lang w:eastAsia="ja-JP"/>
        </w:rPr>
        <w:t>observers</w:t>
      </w:r>
      <w:r w:rsidR="005940D5" w:rsidRPr="00584A8D">
        <w:rPr>
          <w:rFonts w:eastAsia="Yu Mincho"/>
          <w:snapToGrid w:val="0"/>
          <w:kern w:val="22"/>
          <w:szCs w:val="22"/>
          <w:lang w:eastAsia="ja-JP"/>
        </w:rPr>
        <w:t>.</w:t>
      </w:r>
      <w:r w:rsidR="00C74FC1" w:rsidRPr="00584A8D">
        <w:rPr>
          <w:rStyle w:val="FootnoteReference"/>
          <w:snapToGrid w:val="0"/>
          <w:kern w:val="22"/>
          <w:sz w:val="22"/>
          <w:szCs w:val="22"/>
          <w:u w:val="none"/>
          <w:vertAlign w:val="superscript"/>
        </w:rPr>
        <w:footnoteReference w:id="5"/>
      </w:r>
      <w:r w:rsidR="00C74FC1" w:rsidRPr="00584A8D">
        <w:rPr>
          <w:rFonts w:eastAsia="Yu Mincho"/>
          <w:snapToGrid w:val="0"/>
          <w:kern w:val="22"/>
          <w:szCs w:val="22"/>
          <w:lang w:eastAsia="ja-JP"/>
        </w:rPr>
        <w:t xml:space="preserve"> </w:t>
      </w:r>
      <w:r w:rsidR="00350BDD" w:rsidRPr="00584A8D">
        <w:rPr>
          <w:rFonts w:eastAsia="Yu Mincho"/>
          <w:snapToGrid w:val="0"/>
          <w:kern w:val="22"/>
          <w:szCs w:val="22"/>
          <w:lang w:eastAsia="ja-JP"/>
        </w:rPr>
        <w:t>The Secretariat also</w:t>
      </w:r>
      <w:r w:rsidR="00C74FC1" w:rsidRPr="00584A8D">
        <w:rPr>
          <w:rFonts w:eastAsia="Yu Mincho"/>
          <w:snapToGrid w:val="0"/>
          <w:kern w:val="22"/>
          <w:szCs w:val="22"/>
          <w:lang w:eastAsia="ja-JP"/>
        </w:rPr>
        <w:t xml:space="preserve"> </w:t>
      </w:r>
      <w:r w:rsidRPr="00584A8D">
        <w:rPr>
          <w:rFonts w:eastAsia="Yu Mincho"/>
          <w:snapToGrid w:val="0"/>
          <w:kern w:val="22"/>
          <w:szCs w:val="22"/>
          <w:lang w:eastAsia="ja-JP"/>
        </w:rPr>
        <w:t>convened the eighth meeting of the Inter-agency Liaison Group on Invasive Alien Species, in collaboration with the World Customs Organization</w:t>
      </w:r>
      <w:r w:rsidR="002D08D7" w:rsidRPr="00584A8D">
        <w:rPr>
          <w:rFonts w:eastAsia="Yu Mincho"/>
          <w:snapToGrid w:val="0"/>
          <w:kern w:val="22"/>
          <w:szCs w:val="22"/>
          <w:lang w:eastAsia="ja-JP"/>
        </w:rPr>
        <w:t>,</w:t>
      </w:r>
      <w:r w:rsidR="00C74FC1" w:rsidRPr="00584A8D">
        <w:rPr>
          <w:rStyle w:val="FootnoteReference"/>
          <w:snapToGrid w:val="0"/>
          <w:kern w:val="22"/>
          <w:sz w:val="22"/>
          <w:szCs w:val="22"/>
          <w:u w:val="none"/>
          <w:vertAlign w:val="superscript"/>
        </w:rPr>
        <w:footnoteReference w:id="6"/>
      </w:r>
      <w:r w:rsidRPr="00584A8D">
        <w:rPr>
          <w:rFonts w:eastAsia="Yu Mincho"/>
          <w:snapToGrid w:val="0"/>
          <w:kern w:val="22"/>
          <w:szCs w:val="22"/>
          <w:lang w:eastAsia="ja-JP"/>
        </w:rPr>
        <w:t xml:space="preserve"> and </w:t>
      </w:r>
      <w:r w:rsidR="00A60160" w:rsidRPr="00584A8D">
        <w:rPr>
          <w:rFonts w:eastAsia="Yu Mincho"/>
          <w:snapToGrid w:val="0"/>
          <w:kern w:val="22"/>
          <w:szCs w:val="22"/>
          <w:lang w:eastAsia="ja-JP"/>
        </w:rPr>
        <w:t>o</w:t>
      </w:r>
      <w:r w:rsidRPr="00584A8D">
        <w:rPr>
          <w:rFonts w:eastAsia="Yu Mincho"/>
          <w:snapToGrid w:val="0"/>
          <w:kern w:val="22"/>
          <w:szCs w:val="22"/>
          <w:lang w:eastAsia="ja-JP"/>
        </w:rPr>
        <w:t xml:space="preserve">rganized an informal </w:t>
      </w:r>
      <w:r w:rsidR="00B26FF9" w:rsidRPr="00584A8D">
        <w:rPr>
          <w:rFonts w:eastAsia="Yu Mincho"/>
          <w:snapToGrid w:val="0"/>
          <w:kern w:val="22"/>
          <w:szCs w:val="22"/>
          <w:lang w:eastAsia="ja-JP"/>
        </w:rPr>
        <w:t>e</w:t>
      </w:r>
      <w:r w:rsidRPr="00584A8D">
        <w:rPr>
          <w:rFonts w:eastAsia="Yu Mincho"/>
          <w:snapToGrid w:val="0"/>
          <w:kern w:val="22"/>
          <w:szCs w:val="22"/>
          <w:lang w:eastAsia="ja-JP"/>
        </w:rPr>
        <w:t xml:space="preserve">xpert </w:t>
      </w:r>
      <w:r w:rsidR="00B26FF9" w:rsidRPr="00584A8D">
        <w:rPr>
          <w:rFonts w:eastAsia="Yu Mincho"/>
          <w:snapToGrid w:val="0"/>
          <w:kern w:val="22"/>
          <w:szCs w:val="22"/>
          <w:lang w:eastAsia="ja-JP"/>
        </w:rPr>
        <w:t>w</w:t>
      </w:r>
      <w:r w:rsidRPr="00584A8D">
        <w:rPr>
          <w:rFonts w:eastAsia="Yu Mincho"/>
          <w:snapToGrid w:val="0"/>
          <w:kern w:val="22"/>
          <w:szCs w:val="22"/>
          <w:lang w:eastAsia="ja-JP"/>
        </w:rPr>
        <w:t>orkshop</w:t>
      </w:r>
      <w:r w:rsidR="005940D5" w:rsidRPr="00584A8D">
        <w:rPr>
          <w:rFonts w:eastAsia="Yu Mincho"/>
          <w:snapToGrid w:val="0"/>
          <w:kern w:val="22"/>
          <w:szCs w:val="22"/>
          <w:lang w:eastAsia="ja-JP"/>
        </w:rPr>
        <w:t>.</w:t>
      </w:r>
      <w:r w:rsidR="00C74FC1" w:rsidRPr="00584A8D">
        <w:rPr>
          <w:rStyle w:val="FootnoteReference"/>
          <w:snapToGrid w:val="0"/>
          <w:kern w:val="22"/>
          <w:sz w:val="22"/>
          <w:szCs w:val="22"/>
          <w:u w:val="none"/>
          <w:vertAlign w:val="superscript"/>
        </w:rPr>
        <w:footnoteReference w:id="7"/>
      </w:r>
    </w:p>
    <w:p w14:paraId="0A9C775F" w14:textId="456AF2BC" w:rsidR="00C74FC1" w:rsidRPr="00584A8D" w:rsidRDefault="00F0786A"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t>Section I</w:t>
      </w:r>
      <w:r w:rsidR="00171927" w:rsidRPr="00584A8D">
        <w:rPr>
          <w:rFonts w:eastAsia="Yu Mincho"/>
          <w:snapToGrid w:val="0"/>
          <w:kern w:val="22"/>
          <w:szCs w:val="22"/>
          <w:lang w:eastAsia="ja-JP"/>
        </w:rPr>
        <w:t xml:space="preserve"> </w:t>
      </w:r>
      <w:r w:rsidR="001E7161" w:rsidRPr="00584A8D">
        <w:rPr>
          <w:rFonts w:eastAsia="Yu Mincho"/>
          <w:snapToGrid w:val="0"/>
          <w:kern w:val="22"/>
          <w:szCs w:val="22"/>
          <w:lang w:eastAsia="ja-JP"/>
        </w:rPr>
        <w:t>of</w:t>
      </w:r>
      <w:r w:rsidR="00171927" w:rsidRPr="00584A8D">
        <w:rPr>
          <w:rFonts w:eastAsia="Yu Mincho"/>
          <w:snapToGrid w:val="0"/>
          <w:kern w:val="22"/>
          <w:szCs w:val="22"/>
          <w:lang w:eastAsia="ja-JP"/>
        </w:rPr>
        <w:t xml:space="preserve"> the present document </w:t>
      </w:r>
      <w:r w:rsidR="001E7161" w:rsidRPr="00584A8D">
        <w:rPr>
          <w:rFonts w:eastAsia="Yu Mincho"/>
          <w:snapToGrid w:val="0"/>
          <w:kern w:val="22"/>
          <w:szCs w:val="22"/>
          <w:lang w:eastAsia="ja-JP"/>
        </w:rPr>
        <w:t>discusses</w:t>
      </w:r>
      <w:r w:rsidR="00171927" w:rsidRPr="00584A8D">
        <w:rPr>
          <w:rFonts w:eastAsia="Yu Mincho"/>
          <w:snapToGrid w:val="0"/>
          <w:kern w:val="22"/>
          <w:szCs w:val="22"/>
          <w:lang w:eastAsia="ja-JP"/>
        </w:rPr>
        <w:t xml:space="preserve"> the supplementary guidance on the unintentional introduction of invasive alien species, through “hitchhikers” or contaminants, and materials associated with the trade in live alien species, such as packing material, substrate or food. Section II </w:t>
      </w:r>
      <w:r w:rsidR="001E7161" w:rsidRPr="00584A8D">
        <w:rPr>
          <w:rFonts w:eastAsia="Yu Mincho"/>
          <w:snapToGrid w:val="0"/>
          <w:kern w:val="22"/>
          <w:szCs w:val="22"/>
          <w:lang w:eastAsia="ja-JP"/>
        </w:rPr>
        <w:t>covers</w:t>
      </w:r>
      <w:r w:rsidR="00171927" w:rsidRPr="00584A8D">
        <w:rPr>
          <w:rFonts w:eastAsia="Yu Mincho"/>
          <w:snapToGrid w:val="0"/>
          <w:kern w:val="22"/>
          <w:szCs w:val="22"/>
          <w:lang w:eastAsia="ja-JP"/>
        </w:rPr>
        <w:t xml:space="preserve"> </w:t>
      </w:r>
      <w:r w:rsidR="007A2BBC" w:rsidRPr="00584A8D">
        <w:rPr>
          <w:rFonts w:eastAsia="Yu Mincho"/>
          <w:snapToGrid w:val="0"/>
          <w:kern w:val="22"/>
          <w:szCs w:val="22"/>
          <w:lang w:eastAsia="ja-JP"/>
        </w:rPr>
        <w:t xml:space="preserve">e-commerce </w:t>
      </w:r>
      <w:r w:rsidR="00171927" w:rsidRPr="00584A8D">
        <w:rPr>
          <w:rFonts w:eastAsia="Yu Mincho"/>
          <w:snapToGrid w:val="0"/>
          <w:kern w:val="22"/>
          <w:szCs w:val="22"/>
          <w:lang w:eastAsia="ja-JP"/>
        </w:rPr>
        <w:t xml:space="preserve">and section </w:t>
      </w:r>
      <w:r w:rsidR="00C816E8" w:rsidRPr="00584A8D">
        <w:rPr>
          <w:rFonts w:eastAsia="Yu Mincho"/>
          <w:snapToGrid w:val="0"/>
          <w:kern w:val="22"/>
          <w:szCs w:val="22"/>
          <w:lang w:eastAsia="ja-JP"/>
        </w:rPr>
        <w:t>III</w:t>
      </w:r>
      <w:r w:rsidR="00171927" w:rsidRPr="00584A8D">
        <w:rPr>
          <w:rFonts w:eastAsia="Yu Mincho"/>
          <w:snapToGrid w:val="0"/>
          <w:kern w:val="22"/>
          <w:szCs w:val="22"/>
          <w:lang w:eastAsia="ja-JP"/>
        </w:rPr>
        <w:t xml:space="preserve"> considers the </w:t>
      </w:r>
      <w:r w:rsidR="007A2BBC" w:rsidRPr="00584A8D">
        <w:rPr>
          <w:rFonts w:eastAsia="Yu Mincho"/>
          <w:snapToGrid w:val="0"/>
          <w:kern w:val="22"/>
          <w:szCs w:val="22"/>
          <w:lang w:eastAsia="ja-JP"/>
        </w:rPr>
        <w:t>development of tools, other guidance and information systems</w:t>
      </w:r>
      <w:r w:rsidR="00171927" w:rsidRPr="00584A8D">
        <w:rPr>
          <w:rFonts w:eastAsia="Yu Mincho"/>
          <w:snapToGrid w:val="0"/>
          <w:kern w:val="22"/>
          <w:szCs w:val="22"/>
          <w:lang w:eastAsia="ja-JP"/>
        </w:rPr>
        <w:t>.</w:t>
      </w:r>
      <w:r w:rsidR="007A2BBC" w:rsidRPr="00584A8D">
        <w:rPr>
          <w:rFonts w:eastAsia="Yu Mincho"/>
          <w:snapToGrid w:val="0"/>
          <w:kern w:val="22"/>
          <w:szCs w:val="22"/>
          <w:lang w:eastAsia="ja-JP"/>
        </w:rPr>
        <w:t xml:space="preserve"> </w:t>
      </w:r>
      <w:r w:rsidR="00171927" w:rsidRPr="00584A8D">
        <w:rPr>
          <w:rFonts w:eastAsia="Yu Mincho"/>
          <w:snapToGrid w:val="0"/>
          <w:kern w:val="22"/>
          <w:szCs w:val="22"/>
          <w:lang w:eastAsia="ja-JP"/>
        </w:rPr>
        <w:t>O</w:t>
      </w:r>
      <w:r w:rsidR="000A734E" w:rsidRPr="00584A8D">
        <w:rPr>
          <w:rFonts w:eastAsia="Yu Mincho"/>
          <w:snapToGrid w:val="0"/>
          <w:kern w:val="22"/>
          <w:szCs w:val="22"/>
          <w:lang w:eastAsia="ja-JP"/>
        </w:rPr>
        <w:t xml:space="preserve">ther matters </w:t>
      </w:r>
      <w:r w:rsidR="00171927" w:rsidRPr="00584A8D">
        <w:rPr>
          <w:rFonts w:eastAsia="Yu Mincho"/>
          <w:snapToGrid w:val="0"/>
          <w:kern w:val="22"/>
          <w:szCs w:val="22"/>
          <w:lang w:eastAsia="ja-JP"/>
        </w:rPr>
        <w:t>are covered in s</w:t>
      </w:r>
      <w:r w:rsidR="000A734E" w:rsidRPr="00584A8D">
        <w:rPr>
          <w:rFonts w:eastAsia="Yu Mincho"/>
          <w:snapToGrid w:val="0"/>
          <w:kern w:val="22"/>
          <w:szCs w:val="22"/>
          <w:lang w:eastAsia="ja-JP"/>
        </w:rPr>
        <w:t xml:space="preserve">ection </w:t>
      </w:r>
      <w:r w:rsidR="00C816E8" w:rsidRPr="00584A8D">
        <w:rPr>
          <w:rFonts w:eastAsia="Yu Mincho"/>
          <w:snapToGrid w:val="0"/>
          <w:kern w:val="22"/>
          <w:szCs w:val="22"/>
          <w:lang w:eastAsia="ja-JP"/>
        </w:rPr>
        <w:t>I</w:t>
      </w:r>
      <w:r w:rsidR="000A734E" w:rsidRPr="00584A8D">
        <w:rPr>
          <w:rFonts w:eastAsia="Yu Mincho"/>
          <w:snapToGrid w:val="0"/>
          <w:kern w:val="22"/>
          <w:szCs w:val="22"/>
          <w:lang w:eastAsia="ja-JP"/>
        </w:rPr>
        <w:t>V</w:t>
      </w:r>
      <w:r w:rsidR="0045601D" w:rsidRPr="00584A8D">
        <w:rPr>
          <w:rFonts w:eastAsia="Yu Mincho"/>
          <w:snapToGrid w:val="0"/>
          <w:kern w:val="22"/>
          <w:szCs w:val="22"/>
          <w:lang w:eastAsia="ja-JP"/>
        </w:rPr>
        <w:t>,</w:t>
      </w:r>
      <w:r w:rsidR="00171927" w:rsidRPr="00584A8D">
        <w:rPr>
          <w:rFonts w:eastAsia="Yu Mincho"/>
          <w:snapToGrid w:val="0"/>
          <w:kern w:val="22"/>
          <w:szCs w:val="22"/>
          <w:lang w:eastAsia="ja-JP"/>
        </w:rPr>
        <w:t xml:space="preserve"> and section V contains a draft recommendation for the consideration of the Subsidiary Body</w:t>
      </w:r>
      <w:r w:rsidR="003C392E" w:rsidRPr="00584A8D">
        <w:rPr>
          <w:rFonts w:eastAsia="Yu Mincho"/>
          <w:snapToGrid w:val="0"/>
          <w:kern w:val="22"/>
          <w:szCs w:val="22"/>
          <w:lang w:eastAsia="ja-JP"/>
        </w:rPr>
        <w:t>, with the supplementary guidance annexed</w:t>
      </w:r>
      <w:r w:rsidR="000A734E" w:rsidRPr="00584A8D">
        <w:rPr>
          <w:rFonts w:eastAsia="Yu Mincho"/>
          <w:snapToGrid w:val="0"/>
          <w:kern w:val="22"/>
          <w:szCs w:val="22"/>
          <w:lang w:eastAsia="ja-JP"/>
        </w:rPr>
        <w:t>.</w:t>
      </w:r>
      <w:r w:rsidR="00102F35" w:rsidRPr="00584A8D">
        <w:rPr>
          <w:rFonts w:eastAsia="Yu Mincho"/>
          <w:snapToGrid w:val="0"/>
          <w:kern w:val="22"/>
          <w:szCs w:val="22"/>
          <w:lang w:eastAsia="ja-JP"/>
        </w:rPr>
        <w:t xml:space="preserve"> </w:t>
      </w:r>
      <w:r w:rsidR="0045601D" w:rsidRPr="00584A8D">
        <w:rPr>
          <w:rFonts w:eastAsia="Yu Mincho"/>
          <w:snapToGrid w:val="0"/>
          <w:kern w:val="22"/>
          <w:szCs w:val="22"/>
          <w:lang w:eastAsia="ja-JP"/>
        </w:rPr>
        <w:t>The present document</w:t>
      </w:r>
      <w:r w:rsidR="00102F35" w:rsidRPr="00584A8D">
        <w:rPr>
          <w:rFonts w:eastAsia="Yu Mincho"/>
          <w:snapToGrid w:val="0"/>
          <w:kern w:val="22"/>
          <w:szCs w:val="22"/>
          <w:lang w:eastAsia="ja-JP"/>
        </w:rPr>
        <w:t xml:space="preserve"> is supported by several information documents.</w:t>
      </w:r>
    </w:p>
    <w:p w14:paraId="14806537" w14:textId="32EEDDB4" w:rsidR="00C74FC1" w:rsidRPr="00584A8D" w:rsidRDefault="007E4BED" w:rsidP="00584A8D">
      <w:pPr>
        <w:pStyle w:val="Heading1longmultiline"/>
        <w:numPr>
          <w:ilvl w:val="0"/>
          <w:numId w:val="50"/>
        </w:numPr>
        <w:suppressLineNumbers/>
        <w:tabs>
          <w:tab w:val="clear" w:pos="720"/>
        </w:tabs>
        <w:suppressAutoHyphens/>
        <w:kinsoku w:val="0"/>
        <w:overflowPunct w:val="0"/>
        <w:autoSpaceDE w:val="0"/>
        <w:autoSpaceDN w:val="0"/>
        <w:adjustRightInd w:val="0"/>
        <w:snapToGrid w:val="0"/>
        <w:spacing w:before="120"/>
        <w:ind w:left="792" w:hanging="432"/>
        <w:rPr>
          <w:rFonts w:eastAsia="Yu Mincho"/>
          <w:bCs/>
          <w:snapToGrid w:val="0"/>
          <w:kern w:val="22"/>
          <w:szCs w:val="22"/>
          <w:lang w:eastAsia="ja-JP"/>
        </w:rPr>
      </w:pPr>
      <w:r w:rsidRPr="00584A8D">
        <w:rPr>
          <w:bCs/>
          <w:caps w:val="0"/>
          <w:snapToGrid w:val="0"/>
          <w:kern w:val="22"/>
          <w:szCs w:val="22"/>
        </w:rPr>
        <w:t>DEVELOPMENT OF SUPPLEMENTARY GUIDANCE TO AVOID UNINTENTIONAL INTRODUCTIONS OF INVASIVE ALIEN SPECIES ASSOCIATED WITH THE TRADE IN LIVE ALIEN SPECIES</w:t>
      </w:r>
    </w:p>
    <w:p w14:paraId="632D8F7A" w14:textId="25EE963D" w:rsidR="00070B54" w:rsidRPr="00584A8D" w:rsidRDefault="00A51BE9"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t>T</w:t>
      </w:r>
      <w:r w:rsidR="00F50B48" w:rsidRPr="00584A8D">
        <w:rPr>
          <w:rFonts w:eastAsia="Yu Mincho"/>
          <w:snapToGrid w:val="0"/>
          <w:kern w:val="22"/>
          <w:szCs w:val="22"/>
          <w:lang w:eastAsia="ja-JP"/>
        </w:rPr>
        <w:t xml:space="preserve">he following points emerged from the work mentioned in paragraph </w:t>
      </w:r>
      <w:r w:rsidR="00C75979" w:rsidRPr="00584A8D">
        <w:rPr>
          <w:rFonts w:eastAsia="Yu Mincho"/>
          <w:snapToGrid w:val="0"/>
          <w:kern w:val="22"/>
          <w:szCs w:val="22"/>
          <w:lang w:eastAsia="ja-JP"/>
        </w:rPr>
        <w:t>4</w:t>
      </w:r>
      <w:r w:rsidR="00F50B48" w:rsidRPr="00584A8D">
        <w:rPr>
          <w:rFonts w:eastAsia="Yu Mincho"/>
          <w:snapToGrid w:val="0"/>
          <w:kern w:val="22"/>
          <w:szCs w:val="22"/>
          <w:lang w:eastAsia="ja-JP"/>
        </w:rPr>
        <w:t xml:space="preserve"> above</w:t>
      </w:r>
      <w:r w:rsidR="00171927" w:rsidRPr="00584A8D">
        <w:rPr>
          <w:rFonts w:eastAsia="Yu Mincho"/>
          <w:snapToGrid w:val="0"/>
          <w:kern w:val="22"/>
          <w:szCs w:val="22"/>
          <w:lang w:eastAsia="ja-JP"/>
        </w:rPr>
        <w:t xml:space="preserve"> and were considered in the development of the </w:t>
      </w:r>
      <w:r w:rsidRPr="00584A8D">
        <w:rPr>
          <w:rFonts w:eastAsia="Yu Mincho"/>
          <w:snapToGrid w:val="0"/>
          <w:kern w:val="22"/>
          <w:szCs w:val="22"/>
          <w:lang w:eastAsia="ja-JP"/>
        </w:rPr>
        <w:t>draft supplementa</w:t>
      </w:r>
      <w:r w:rsidR="00DF4EAE" w:rsidRPr="00584A8D">
        <w:rPr>
          <w:rFonts w:eastAsia="Yu Mincho"/>
          <w:snapToGrid w:val="0"/>
          <w:kern w:val="22"/>
          <w:szCs w:val="22"/>
          <w:lang w:eastAsia="ja-JP"/>
        </w:rPr>
        <w:t>ry</w:t>
      </w:r>
      <w:r w:rsidRPr="00584A8D">
        <w:rPr>
          <w:rFonts w:eastAsia="Yu Mincho"/>
          <w:snapToGrid w:val="0"/>
          <w:kern w:val="22"/>
          <w:szCs w:val="22"/>
          <w:lang w:eastAsia="ja-JP"/>
        </w:rPr>
        <w:t xml:space="preserve"> guidance</w:t>
      </w:r>
      <w:r w:rsidR="001F5D56" w:rsidRPr="00584A8D">
        <w:rPr>
          <w:rFonts w:eastAsia="Yu Mincho"/>
          <w:snapToGrid w:val="0"/>
          <w:kern w:val="22"/>
          <w:szCs w:val="22"/>
          <w:lang w:eastAsia="ja-JP"/>
        </w:rPr>
        <w:t>, which</w:t>
      </w:r>
      <w:r w:rsidRPr="00584A8D">
        <w:rPr>
          <w:rFonts w:eastAsia="Yu Mincho"/>
          <w:snapToGrid w:val="0"/>
          <w:kern w:val="22"/>
          <w:szCs w:val="22"/>
          <w:lang w:eastAsia="ja-JP"/>
        </w:rPr>
        <w:t xml:space="preserve"> is annex</w:t>
      </w:r>
      <w:r w:rsidR="00BA7688" w:rsidRPr="00584A8D">
        <w:rPr>
          <w:rFonts w:eastAsia="Yu Mincho"/>
          <w:snapToGrid w:val="0"/>
          <w:kern w:val="22"/>
          <w:szCs w:val="22"/>
          <w:lang w:eastAsia="ja-JP"/>
        </w:rPr>
        <w:t>ed</w:t>
      </w:r>
      <w:r w:rsidRPr="00584A8D">
        <w:rPr>
          <w:rFonts w:eastAsia="Yu Mincho"/>
          <w:snapToGrid w:val="0"/>
          <w:kern w:val="22"/>
          <w:szCs w:val="22"/>
          <w:lang w:eastAsia="ja-JP"/>
        </w:rPr>
        <w:t xml:space="preserve"> to th</w:t>
      </w:r>
      <w:r w:rsidR="008F34E9" w:rsidRPr="00584A8D">
        <w:rPr>
          <w:rFonts w:eastAsia="Yu Mincho"/>
          <w:snapToGrid w:val="0"/>
          <w:kern w:val="22"/>
          <w:szCs w:val="22"/>
          <w:lang w:eastAsia="ja-JP"/>
        </w:rPr>
        <w:t xml:space="preserve">e </w:t>
      </w:r>
      <w:r w:rsidR="00BA7688" w:rsidRPr="00584A8D">
        <w:rPr>
          <w:rFonts w:eastAsia="Yu Mincho"/>
          <w:snapToGrid w:val="0"/>
          <w:kern w:val="22"/>
          <w:szCs w:val="22"/>
          <w:lang w:eastAsia="ja-JP"/>
        </w:rPr>
        <w:t>draft decision in section V</w:t>
      </w:r>
      <w:r w:rsidR="008F34E9" w:rsidRPr="00584A8D">
        <w:rPr>
          <w:rFonts w:eastAsia="Yu Mincho"/>
          <w:snapToGrid w:val="0"/>
          <w:kern w:val="22"/>
          <w:szCs w:val="22"/>
          <w:lang w:eastAsia="ja-JP"/>
        </w:rPr>
        <w:t>.</w:t>
      </w:r>
    </w:p>
    <w:p w14:paraId="48A981D7" w14:textId="02E7A695" w:rsidR="00070B54" w:rsidRPr="00584A8D" w:rsidRDefault="00070B54"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lastRenderedPageBreak/>
        <w:t xml:space="preserve">While </w:t>
      </w:r>
      <w:r w:rsidR="00F50B48" w:rsidRPr="00584A8D">
        <w:rPr>
          <w:rFonts w:eastAsia="Yu Mincho"/>
          <w:snapToGrid w:val="0"/>
          <w:kern w:val="22"/>
          <w:szCs w:val="22"/>
          <w:lang w:eastAsia="ja-JP"/>
        </w:rPr>
        <w:t>progress has been made</w:t>
      </w:r>
      <w:r w:rsidRPr="00584A8D">
        <w:rPr>
          <w:rFonts w:eastAsia="Yu Mincho"/>
          <w:snapToGrid w:val="0"/>
          <w:kern w:val="22"/>
          <w:szCs w:val="22"/>
          <w:lang w:eastAsia="ja-JP"/>
        </w:rPr>
        <w:t xml:space="preserve"> </w:t>
      </w:r>
      <w:r w:rsidR="00B87395" w:rsidRPr="00584A8D">
        <w:rPr>
          <w:rFonts w:eastAsia="Yu Mincho"/>
          <w:snapToGrid w:val="0"/>
          <w:kern w:val="22"/>
          <w:szCs w:val="22"/>
          <w:lang w:eastAsia="ja-JP"/>
        </w:rPr>
        <w:t xml:space="preserve">in </w:t>
      </w:r>
      <w:r w:rsidRPr="00584A8D">
        <w:rPr>
          <w:rFonts w:eastAsia="Yu Mincho"/>
          <w:snapToGrid w:val="0"/>
          <w:kern w:val="22"/>
          <w:szCs w:val="22"/>
          <w:lang w:eastAsia="ja-JP"/>
        </w:rPr>
        <w:t>address</w:t>
      </w:r>
      <w:r w:rsidR="00B87395" w:rsidRPr="00584A8D">
        <w:rPr>
          <w:rFonts w:eastAsia="Yu Mincho"/>
          <w:snapToGrid w:val="0"/>
          <w:kern w:val="22"/>
          <w:szCs w:val="22"/>
          <w:lang w:eastAsia="ja-JP"/>
        </w:rPr>
        <w:t>ing</w:t>
      </w:r>
      <w:r w:rsidRPr="00584A8D">
        <w:rPr>
          <w:rFonts w:eastAsia="Yu Mincho"/>
          <w:snapToGrid w:val="0"/>
          <w:kern w:val="22"/>
          <w:szCs w:val="22"/>
          <w:lang w:eastAsia="ja-JP"/>
        </w:rPr>
        <w:t xml:space="preserve"> </w:t>
      </w:r>
      <w:r w:rsidR="00350BDD" w:rsidRPr="00584A8D">
        <w:rPr>
          <w:rFonts w:eastAsia="Yu Mincho"/>
          <w:snapToGrid w:val="0"/>
          <w:kern w:val="22"/>
          <w:szCs w:val="22"/>
          <w:lang w:eastAsia="ja-JP"/>
        </w:rPr>
        <w:t xml:space="preserve">the </w:t>
      </w:r>
      <w:r w:rsidRPr="00584A8D">
        <w:rPr>
          <w:rFonts w:eastAsia="Yu Mincho"/>
          <w:snapToGrid w:val="0"/>
          <w:kern w:val="22"/>
          <w:szCs w:val="22"/>
          <w:lang w:eastAsia="ja-JP"/>
        </w:rPr>
        <w:t xml:space="preserve">intentional introductions of invasive alien species through </w:t>
      </w:r>
      <w:r w:rsidR="00292F7C" w:rsidRPr="00584A8D">
        <w:rPr>
          <w:rFonts w:eastAsia="Yu Mincho"/>
          <w:snapToGrid w:val="0"/>
          <w:kern w:val="22"/>
          <w:szCs w:val="22"/>
          <w:lang w:eastAsia="ja-JP"/>
        </w:rPr>
        <w:t xml:space="preserve">the </w:t>
      </w:r>
      <w:r w:rsidRPr="00584A8D">
        <w:rPr>
          <w:rFonts w:eastAsia="Yu Mincho"/>
          <w:snapToGrid w:val="0"/>
          <w:kern w:val="22"/>
          <w:szCs w:val="22"/>
          <w:lang w:eastAsia="ja-JP"/>
        </w:rPr>
        <w:t>develop</w:t>
      </w:r>
      <w:r w:rsidR="00292F7C" w:rsidRPr="00584A8D">
        <w:rPr>
          <w:rFonts w:eastAsia="Yu Mincho"/>
          <w:snapToGrid w:val="0"/>
          <w:kern w:val="22"/>
          <w:szCs w:val="22"/>
          <w:lang w:eastAsia="ja-JP"/>
        </w:rPr>
        <w:t>ment of</w:t>
      </w:r>
      <w:r w:rsidRPr="00584A8D">
        <w:rPr>
          <w:rFonts w:eastAsia="Yu Mincho"/>
          <w:snapToGrid w:val="0"/>
          <w:kern w:val="22"/>
          <w:szCs w:val="22"/>
          <w:lang w:eastAsia="ja-JP"/>
        </w:rPr>
        <w:t xml:space="preserve"> national and regional regulations in line with the rules and principles </w:t>
      </w:r>
      <w:r w:rsidR="00292F7C" w:rsidRPr="00584A8D">
        <w:rPr>
          <w:rFonts w:eastAsia="Yu Mincho"/>
          <w:snapToGrid w:val="0"/>
          <w:kern w:val="22"/>
          <w:szCs w:val="22"/>
          <w:lang w:eastAsia="ja-JP"/>
        </w:rPr>
        <w:t xml:space="preserve">laid down </w:t>
      </w:r>
      <w:r w:rsidRPr="00584A8D">
        <w:rPr>
          <w:rFonts w:eastAsia="Yu Mincho"/>
          <w:snapToGrid w:val="0"/>
          <w:kern w:val="22"/>
          <w:szCs w:val="22"/>
          <w:lang w:eastAsia="ja-JP"/>
        </w:rPr>
        <w:t xml:space="preserve">by the </w:t>
      </w:r>
      <w:r w:rsidR="00292F7C" w:rsidRPr="00584A8D">
        <w:rPr>
          <w:rFonts w:eastAsia="Yu Mincho"/>
          <w:snapToGrid w:val="0"/>
          <w:kern w:val="22"/>
          <w:szCs w:val="22"/>
          <w:lang w:eastAsia="ja-JP"/>
        </w:rPr>
        <w:t>s</w:t>
      </w:r>
      <w:r w:rsidR="00F50B48" w:rsidRPr="00584A8D">
        <w:rPr>
          <w:rFonts w:eastAsia="Yu Mincho"/>
          <w:snapToGrid w:val="0"/>
          <w:kern w:val="22"/>
          <w:szCs w:val="22"/>
          <w:lang w:eastAsia="ja-JP"/>
        </w:rPr>
        <w:t>tandard</w:t>
      </w:r>
      <w:r w:rsidR="00292F7C" w:rsidRPr="00584A8D">
        <w:rPr>
          <w:rFonts w:eastAsia="Yu Mincho"/>
          <w:snapToGrid w:val="0"/>
          <w:kern w:val="22"/>
          <w:szCs w:val="22"/>
          <w:lang w:eastAsia="ja-JP"/>
        </w:rPr>
        <w:t>-</w:t>
      </w:r>
      <w:r w:rsidR="00F50B48" w:rsidRPr="00584A8D">
        <w:rPr>
          <w:rFonts w:eastAsia="Yu Mincho"/>
          <w:snapToGrid w:val="0"/>
          <w:kern w:val="22"/>
          <w:szCs w:val="22"/>
          <w:lang w:eastAsia="ja-JP"/>
        </w:rPr>
        <w:t xml:space="preserve">setting organizations recognized by the </w:t>
      </w:r>
      <w:r w:rsidRPr="00584A8D">
        <w:rPr>
          <w:rFonts w:eastAsia="Yu Mincho"/>
          <w:snapToGrid w:val="0"/>
          <w:kern w:val="22"/>
          <w:szCs w:val="22"/>
          <w:lang w:eastAsia="ja-JP"/>
        </w:rPr>
        <w:t xml:space="preserve">World Trade Organization, issues related to unintentional introductions through the pathways related to trade in live species and their transport have not been </w:t>
      </w:r>
      <w:r w:rsidR="00F50B48" w:rsidRPr="00584A8D">
        <w:rPr>
          <w:rFonts w:eastAsia="Yu Mincho"/>
          <w:snapToGrid w:val="0"/>
          <w:kern w:val="22"/>
          <w:szCs w:val="22"/>
          <w:lang w:eastAsia="ja-JP"/>
        </w:rPr>
        <w:t xml:space="preserve">fully </w:t>
      </w:r>
      <w:r w:rsidRPr="00584A8D">
        <w:rPr>
          <w:rFonts w:eastAsia="Yu Mincho"/>
          <w:snapToGrid w:val="0"/>
          <w:kern w:val="22"/>
          <w:szCs w:val="22"/>
          <w:lang w:eastAsia="ja-JP"/>
        </w:rPr>
        <w:t xml:space="preserve">addressed. As </w:t>
      </w:r>
      <w:r w:rsidR="00F50B48" w:rsidRPr="00584A8D">
        <w:rPr>
          <w:rFonts w:eastAsia="Yu Mincho"/>
          <w:snapToGrid w:val="0"/>
          <w:kern w:val="22"/>
          <w:szCs w:val="22"/>
          <w:lang w:eastAsia="ja-JP"/>
        </w:rPr>
        <w:t xml:space="preserve">these </w:t>
      </w:r>
      <w:r w:rsidRPr="00584A8D">
        <w:rPr>
          <w:rFonts w:eastAsia="Yu Mincho"/>
          <w:snapToGrid w:val="0"/>
          <w:kern w:val="22"/>
          <w:szCs w:val="22"/>
          <w:lang w:eastAsia="ja-JP"/>
        </w:rPr>
        <w:t xml:space="preserve">pose threats to biodiversity, developing the supplemental guidance is a priority for </w:t>
      </w:r>
      <w:r w:rsidR="00AD4E77" w:rsidRPr="00584A8D">
        <w:rPr>
          <w:rFonts w:eastAsia="Yu Mincho"/>
          <w:snapToGrid w:val="0"/>
          <w:kern w:val="22"/>
          <w:szCs w:val="22"/>
          <w:lang w:eastAsia="ja-JP"/>
        </w:rPr>
        <w:t xml:space="preserve">biodiversity conservation and would </w:t>
      </w:r>
      <w:r w:rsidRPr="00584A8D">
        <w:rPr>
          <w:rFonts w:eastAsia="Yu Mincho"/>
          <w:snapToGrid w:val="0"/>
          <w:kern w:val="22"/>
          <w:szCs w:val="22"/>
          <w:lang w:eastAsia="ja-JP"/>
        </w:rPr>
        <w:t>contribute to reduc</w:t>
      </w:r>
      <w:r w:rsidR="00980216" w:rsidRPr="00584A8D">
        <w:rPr>
          <w:rFonts w:eastAsia="Yu Mincho"/>
          <w:snapToGrid w:val="0"/>
          <w:kern w:val="22"/>
          <w:szCs w:val="22"/>
          <w:lang w:eastAsia="ja-JP"/>
        </w:rPr>
        <w:t>ing</w:t>
      </w:r>
      <w:r w:rsidRPr="00584A8D">
        <w:rPr>
          <w:rFonts w:eastAsia="Yu Mincho"/>
          <w:snapToGrid w:val="0"/>
          <w:kern w:val="22"/>
          <w:szCs w:val="22"/>
          <w:lang w:eastAsia="ja-JP"/>
        </w:rPr>
        <w:t xml:space="preserve"> the risk of organisms with sanitary and phytosanitary concerns</w:t>
      </w:r>
      <w:r w:rsidR="00040A26" w:rsidRPr="00584A8D">
        <w:rPr>
          <w:rFonts w:eastAsia="Yu Mincho"/>
          <w:snapToGrid w:val="0"/>
          <w:kern w:val="22"/>
          <w:szCs w:val="22"/>
          <w:lang w:eastAsia="ja-JP"/>
        </w:rPr>
        <w:t>.</w:t>
      </w:r>
    </w:p>
    <w:p w14:paraId="1B134F78" w14:textId="3ACF7012" w:rsidR="00AD4E77" w:rsidRPr="00584A8D" w:rsidRDefault="00070B54"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t xml:space="preserve">The supplemental guidance should focus on </w:t>
      </w:r>
      <w:r w:rsidR="00350BDD" w:rsidRPr="00584A8D">
        <w:rPr>
          <w:rFonts w:eastAsia="Yu Mincho"/>
          <w:snapToGrid w:val="0"/>
          <w:kern w:val="22"/>
          <w:szCs w:val="22"/>
          <w:lang w:eastAsia="ja-JP"/>
        </w:rPr>
        <w:t xml:space="preserve">the </w:t>
      </w:r>
      <w:r w:rsidRPr="00584A8D">
        <w:rPr>
          <w:rFonts w:eastAsia="Yu Mincho"/>
          <w:snapToGrid w:val="0"/>
          <w:kern w:val="22"/>
          <w:szCs w:val="22"/>
          <w:lang w:eastAsia="ja-JP"/>
        </w:rPr>
        <w:t>unintentional introductions of invasive alien species, through “hitchhikers” or contaminants, and materials associated with the trade in live alien species, such as packing material, substrate or food</w:t>
      </w:r>
      <w:r w:rsidR="00AD4E77" w:rsidRPr="00584A8D">
        <w:rPr>
          <w:rFonts w:eastAsia="Yu Mincho"/>
          <w:snapToGrid w:val="0"/>
          <w:kern w:val="22"/>
          <w:szCs w:val="22"/>
          <w:lang w:eastAsia="ja-JP"/>
        </w:rPr>
        <w:t xml:space="preserve">. These correspond with the </w:t>
      </w:r>
      <w:r w:rsidR="003858E6" w:rsidRPr="00584A8D">
        <w:rPr>
          <w:rFonts w:eastAsia="Yu Mincho"/>
          <w:snapToGrid w:val="0"/>
          <w:kern w:val="22"/>
          <w:szCs w:val="22"/>
          <w:lang w:eastAsia="ja-JP"/>
        </w:rPr>
        <w:t>t</w:t>
      </w:r>
      <w:r w:rsidR="00AD4E77" w:rsidRPr="00584A8D">
        <w:rPr>
          <w:rFonts w:eastAsia="Yu Mincho"/>
          <w:snapToGrid w:val="0"/>
          <w:kern w:val="22"/>
          <w:szCs w:val="22"/>
          <w:lang w:eastAsia="ja-JP"/>
        </w:rPr>
        <w:t xml:space="preserve">ransport–contaminant and </w:t>
      </w:r>
      <w:r w:rsidR="003858E6" w:rsidRPr="00584A8D">
        <w:rPr>
          <w:rFonts w:eastAsia="Yu Mincho"/>
          <w:snapToGrid w:val="0"/>
          <w:kern w:val="22"/>
          <w:szCs w:val="22"/>
          <w:lang w:eastAsia="ja-JP"/>
        </w:rPr>
        <w:t>t</w:t>
      </w:r>
      <w:r w:rsidR="00AD4E77" w:rsidRPr="00584A8D">
        <w:rPr>
          <w:rFonts w:eastAsia="Yu Mincho"/>
          <w:snapToGrid w:val="0"/>
          <w:kern w:val="22"/>
          <w:szCs w:val="22"/>
          <w:lang w:eastAsia="ja-JP"/>
        </w:rPr>
        <w:t>ransport-stowaway pathways</w:t>
      </w:r>
      <w:r w:rsidR="0095088D" w:rsidRPr="00584A8D">
        <w:rPr>
          <w:rFonts w:eastAsia="Yu Mincho"/>
          <w:snapToGrid w:val="0"/>
          <w:kern w:val="22"/>
          <w:szCs w:val="22"/>
          <w:lang w:eastAsia="ja-JP"/>
        </w:rPr>
        <w:t>.</w:t>
      </w:r>
      <w:r w:rsidR="00AD4E77" w:rsidRPr="00584A8D">
        <w:rPr>
          <w:rFonts w:eastAsia="Yu Mincho"/>
          <w:snapToGrid w:val="0"/>
          <w:kern w:val="22"/>
          <w:szCs w:val="22"/>
          <w:vertAlign w:val="superscript"/>
          <w:lang w:eastAsia="ja-JP"/>
        </w:rPr>
        <w:footnoteReference w:id="8"/>
      </w:r>
      <w:r w:rsidR="00AD4E77" w:rsidRPr="00584A8D">
        <w:rPr>
          <w:rFonts w:eastAsia="Yu Mincho"/>
          <w:snapToGrid w:val="0"/>
          <w:kern w:val="22"/>
          <w:szCs w:val="22"/>
          <w:vertAlign w:val="superscript"/>
          <w:lang w:eastAsia="ja-JP"/>
        </w:rPr>
        <w:t>,</w:t>
      </w:r>
      <w:r w:rsidR="00AD4E77" w:rsidRPr="00584A8D">
        <w:rPr>
          <w:rFonts w:eastAsia="Yu Mincho"/>
          <w:snapToGrid w:val="0"/>
          <w:kern w:val="22"/>
          <w:szCs w:val="22"/>
          <w:vertAlign w:val="superscript"/>
          <w:lang w:eastAsia="ja-JP"/>
        </w:rPr>
        <w:footnoteReference w:id="9"/>
      </w:r>
      <w:r w:rsidR="00AD4E77" w:rsidRPr="00584A8D">
        <w:rPr>
          <w:rFonts w:eastAsia="Yu Mincho"/>
          <w:snapToGrid w:val="0"/>
          <w:kern w:val="22"/>
          <w:szCs w:val="22"/>
          <w:lang w:eastAsia="ja-JP"/>
        </w:rPr>
        <w:t xml:space="preserve"> However, </w:t>
      </w:r>
      <w:r w:rsidR="00CE7EA2" w:rsidRPr="00584A8D">
        <w:rPr>
          <w:rFonts w:eastAsia="Yu Mincho"/>
          <w:snapToGrid w:val="0"/>
          <w:kern w:val="22"/>
          <w:szCs w:val="22"/>
          <w:lang w:eastAsia="ja-JP"/>
        </w:rPr>
        <w:t xml:space="preserve">the guidance </w:t>
      </w:r>
      <w:r w:rsidR="00AD4E77" w:rsidRPr="00584A8D">
        <w:rPr>
          <w:rFonts w:eastAsia="Yu Mincho"/>
          <w:snapToGrid w:val="0"/>
          <w:kern w:val="22"/>
          <w:szCs w:val="22"/>
          <w:lang w:eastAsia="ja-JP"/>
        </w:rPr>
        <w:t xml:space="preserve">excludes </w:t>
      </w:r>
      <w:r w:rsidR="003858E6" w:rsidRPr="00584A8D">
        <w:rPr>
          <w:rFonts w:eastAsia="Yu Mincho"/>
          <w:snapToGrid w:val="0"/>
          <w:kern w:val="22"/>
          <w:szCs w:val="22"/>
          <w:lang w:eastAsia="ja-JP"/>
        </w:rPr>
        <w:t xml:space="preserve">such </w:t>
      </w:r>
      <w:r w:rsidR="00AD4E77" w:rsidRPr="00584A8D">
        <w:rPr>
          <w:rFonts w:eastAsia="Yu Mincho"/>
          <w:snapToGrid w:val="0"/>
          <w:kern w:val="22"/>
          <w:szCs w:val="22"/>
          <w:lang w:eastAsia="ja-JP"/>
        </w:rPr>
        <w:t xml:space="preserve">pathways as ballast waters and bio-fouling </w:t>
      </w:r>
      <w:r w:rsidR="00CE7EA2" w:rsidRPr="00584A8D">
        <w:rPr>
          <w:rFonts w:eastAsia="Yu Mincho"/>
          <w:snapToGrid w:val="0"/>
          <w:kern w:val="22"/>
          <w:szCs w:val="22"/>
          <w:lang w:eastAsia="ja-JP"/>
        </w:rPr>
        <w:t>which</w:t>
      </w:r>
      <w:r w:rsidR="00AD4E77" w:rsidRPr="00584A8D">
        <w:rPr>
          <w:rFonts w:eastAsia="Yu Mincho"/>
          <w:snapToGrid w:val="0"/>
          <w:kern w:val="22"/>
          <w:szCs w:val="22"/>
          <w:lang w:eastAsia="ja-JP"/>
        </w:rPr>
        <w:t xml:space="preserve"> do not interact </w:t>
      </w:r>
      <w:r w:rsidR="00CE7EA2" w:rsidRPr="00584A8D">
        <w:rPr>
          <w:rFonts w:eastAsia="Yu Mincho"/>
          <w:snapToGrid w:val="0"/>
          <w:kern w:val="22"/>
          <w:szCs w:val="22"/>
          <w:lang w:eastAsia="ja-JP"/>
        </w:rPr>
        <w:t xml:space="preserve">directly </w:t>
      </w:r>
      <w:r w:rsidR="00AD4E77" w:rsidRPr="00584A8D">
        <w:rPr>
          <w:rFonts w:eastAsia="Yu Mincho"/>
          <w:snapToGrid w:val="0"/>
          <w:kern w:val="22"/>
          <w:szCs w:val="22"/>
          <w:lang w:eastAsia="ja-JP"/>
        </w:rPr>
        <w:t xml:space="preserve">with live species and opportunistically attach </w:t>
      </w:r>
      <w:r w:rsidR="00BC68D7" w:rsidRPr="00584A8D">
        <w:rPr>
          <w:rFonts w:eastAsia="Yu Mincho"/>
          <w:snapToGrid w:val="0"/>
          <w:kern w:val="22"/>
          <w:szCs w:val="22"/>
          <w:lang w:eastAsia="ja-JP"/>
        </w:rPr>
        <w:t xml:space="preserve">themselves </w:t>
      </w:r>
      <w:r w:rsidR="00350BDD" w:rsidRPr="00584A8D">
        <w:rPr>
          <w:rFonts w:eastAsia="Yu Mincho"/>
          <w:snapToGrid w:val="0"/>
          <w:kern w:val="22"/>
          <w:szCs w:val="22"/>
          <w:lang w:eastAsia="ja-JP"/>
        </w:rPr>
        <w:t xml:space="preserve">to </w:t>
      </w:r>
      <w:r w:rsidR="00AD4E77" w:rsidRPr="00584A8D">
        <w:rPr>
          <w:rFonts w:eastAsia="Yu Mincho"/>
          <w:snapToGrid w:val="0"/>
          <w:kern w:val="22"/>
          <w:szCs w:val="22"/>
          <w:lang w:eastAsia="ja-JP"/>
        </w:rPr>
        <w:t>consignments of live species</w:t>
      </w:r>
      <w:r w:rsidR="00040A26" w:rsidRPr="00584A8D">
        <w:rPr>
          <w:rFonts w:eastAsia="Yu Mincho"/>
          <w:snapToGrid w:val="0"/>
          <w:kern w:val="22"/>
          <w:szCs w:val="22"/>
          <w:lang w:eastAsia="ja-JP"/>
        </w:rPr>
        <w:t>.</w:t>
      </w:r>
    </w:p>
    <w:p w14:paraId="78E1903E" w14:textId="5C6D7F7F" w:rsidR="000D6D02" w:rsidRPr="00584A8D" w:rsidRDefault="000D6D02"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t>The supplemental guidance should provide practical measures to enhance the effectiveness of existing standards, if applicable, through the</w:t>
      </w:r>
      <w:r w:rsidR="00171927" w:rsidRPr="00584A8D">
        <w:rPr>
          <w:rFonts w:eastAsia="Yu Mincho"/>
          <w:snapToGrid w:val="0"/>
          <w:kern w:val="22"/>
          <w:szCs w:val="22"/>
          <w:lang w:eastAsia="ja-JP"/>
        </w:rPr>
        <w:t>ir</w:t>
      </w:r>
      <w:r w:rsidRPr="00584A8D">
        <w:rPr>
          <w:rFonts w:eastAsia="Yu Mincho"/>
          <w:snapToGrid w:val="0"/>
          <w:kern w:val="22"/>
          <w:szCs w:val="22"/>
          <w:lang w:eastAsia="ja-JP"/>
        </w:rPr>
        <w:t xml:space="preserve"> implementation by all relevant ministries and agencies of </w:t>
      </w:r>
      <w:r w:rsidR="00766386" w:rsidRPr="00584A8D">
        <w:rPr>
          <w:rFonts w:eastAsia="Yu Mincho"/>
          <w:snapToGrid w:val="0"/>
          <w:kern w:val="22"/>
          <w:szCs w:val="22"/>
          <w:lang w:eastAsia="ja-JP"/>
        </w:rPr>
        <w:t xml:space="preserve">the </w:t>
      </w:r>
      <w:r w:rsidRPr="00584A8D">
        <w:rPr>
          <w:rFonts w:eastAsia="Yu Mincho"/>
          <w:snapToGrid w:val="0"/>
          <w:kern w:val="22"/>
          <w:szCs w:val="22"/>
          <w:lang w:eastAsia="ja-JP"/>
        </w:rPr>
        <w:t xml:space="preserve">Governments, and stakeholders involved in the value chain of </w:t>
      </w:r>
      <w:r w:rsidR="006305EA" w:rsidRPr="00584A8D">
        <w:rPr>
          <w:rFonts w:eastAsia="Yu Mincho"/>
          <w:snapToGrid w:val="0"/>
          <w:kern w:val="22"/>
          <w:szCs w:val="22"/>
          <w:lang w:eastAsia="ja-JP"/>
        </w:rPr>
        <w:t xml:space="preserve">the </w:t>
      </w:r>
      <w:r w:rsidRPr="00584A8D">
        <w:rPr>
          <w:rFonts w:eastAsia="Yu Mincho"/>
          <w:snapToGrid w:val="0"/>
          <w:kern w:val="22"/>
          <w:szCs w:val="22"/>
          <w:lang w:eastAsia="ja-JP"/>
        </w:rPr>
        <w:t>trade in live species. The relevant governmental secto</w:t>
      </w:r>
      <w:r w:rsidR="00766386" w:rsidRPr="00584A8D">
        <w:rPr>
          <w:rFonts w:eastAsia="Yu Mincho"/>
          <w:snapToGrid w:val="0"/>
          <w:kern w:val="22"/>
          <w:szCs w:val="22"/>
          <w:lang w:eastAsia="ja-JP"/>
        </w:rPr>
        <w:t>rs and stakeholders may include</w:t>
      </w:r>
      <w:r w:rsidRPr="00584A8D">
        <w:rPr>
          <w:rFonts w:eastAsia="Yu Mincho"/>
          <w:snapToGrid w:val="0"/>
          <w:kern w:val="22"/>
          <w:szCs w:val="22"/>
          <w:lang w:eastAsia="ja-JP"/>
        </w:rPr>
        <w:t xml:space="preserve"> national authorities for</w:t>
      </w:r>
      <w:r w:rsidR="00766386" w:rsidRPr="00584A8D">
        <w:rPr>
          <w:rFonts w:eastAsia="Yu Mincho"/>
          <w:snapToGrid w:val="0"/>
          <w:kern w:val="22"/>
          <w:szCs w:val="22"/>
          <w:lang w:eastAsia="ja-JP"/>
        </w:rPr>
        <w:t>:</w:t>
      </w:r>
      <w:r w:rsidRPr="00584A8D">
        <w:rPr>
          <w:rFonts w:eastAsia="Yu Mincho"/>
          <w:snapToGrid w:val="0"/>
          <w:kern w:val="22"/>
          <w:szCs w:val="22"/>
          <w:lang w:eastAsia="ja-JP"/>
        </w:rPr>
        <w:t xml:space="preserve"> border controls; sanitary and phytosanitary measures; trade and transport; and relevant industry and persons who send or receiv</w:t>
      </w:r>
      <w:r w:rsidR="00081040" w:rsidRPr="00584A8D">
        <w:rPr>
          <w:rFonts w:eastAsia="Yu Mincho"/>
          <w:snapToGrid w:val="0"/>
          <w:kern w:val="22"/>
          <w:szCs w:val="22"/>
          <w:lang w:eastAsia="ja-JP"/>
        </w:rPr>
        <w:t>e</w:t>
      </w:r>
      <w:r w:rsidRPr="00584A8D">
        <w:rPr>
          <w:rFonts w:eastAsia="Yu Mincho"/>
          <w:snapToGrid w:val="0"/>
          <w:kern w:val="22"/>
          <w:szCs w:val="22"/>
          <w:lang w:eastAsia="ja-JP"/>
        </w:rPr>
        <w:t xml:space="preserve"> live species</w:t>
      </w:r>
      <w:r w:rsidR="00040A26" w:rsidRPr="00584A8D">
        <w:rPr>
          <w:rFonts w:eastAsia="Yu Mincho"/>
          <w:snapToGrid w:val="0"/>
          <w:kern w:val="22"/>
          <w:szCs w:val="22"/>
          <w:lang w:eastAsia="ja-JP"/>
        </w:rPr>
        <w:t>.</w:t>
      </w:r>
    </w:p>
    <w:p w14:paraId="6B0EA9D7" w14:textId="5A2D383F" w:rsidR="009A075D" w:rsidRPr="00584A8D" w:rsidRDefault="00997CCE"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t>The d</w:t>
      </w:r>
      <w:r w:rsidR="000D6D02" w:rsidRPr="00584A8D">
        <w:rPr>
          <w:rFonts w:eastAsia="Yu Mincho"/>
          <w:snapToGrid w:val="0"/>
          <w:kern w:val="22"/>
          <w:szCs w:val="22"/>
          <w:lang w:eastAsia="ja-JP"/>
        </w:rPr>
        <w:t xml:space="preserve">evelopment of specific regulations </w:t>
      </w:r>
      <w:r w:rsidR="00F50B48" w:rsidRPr="00584A8D">
        <w:rPr>
          <w:rFonts w:eastAsia="Yu Mincho"/>
          <w:snapToGrid w:val="0"/>
          <w:kern w:val="22"/>
          <w:szCs w:val="22"/>
          <w:lang w:eastAsia="ja-JP"/>
        </w:rPr>
        <w:t xml:space="preserve">(harmonized measures) </w:t>
      </w:r>
      <w:r w:rsidR="000D6D02" w:rsidRPr="00584A8D">
        <w:rPr>
          <w:rFonts w:eastAsia="Yu Mincho"/>
          <w:snapToGrid w:val="0"/>
          <w:kern w:val="22"/>
          <w:szCs w:val="22"/>
          <w:lang w:eastAsia="ja-JP"/>
        </w:rPr>
        <w:t>on invasive alien species is a resource</w:t>
      </w:r>
      <w:r w:rsidRPr="00584A8D">
        <w:rPr>
          <w:rFonts w:eastAsia="Yu Mincho"/>
          <w:snapToGrid w:val="0"/>
          <w:kern w:val="22"/>
          <w:szCs w:val="22"/>
          <w:lang w:eastAsia="ja-JP"/>
        </w:rPr>
        <w:t>-</w:t>
      </w:r>
      <w:r w:rsidR="000D6D02" w:rsidRPr="00584A8D">
        <w:rPr>
          <w:rFonts w:eastAsia="Yu Mincho"/>
          <w:snapToGrid w:val="0"/>
          <w:kern w:val="22"/>
          <w:szCs w:val="22"/>
          <w:lang w:eastAsia="ja-JP"/>
        </w:rPr>
        <w:t>intensive process</w:t>
      </w:r>
      <w:r w:rsidR="00AB4C36" w:rsidRPr="00584A8D">
        <w:rPr>
          <w:rFonts w:eastAsia="Yu Mincho"/>
          <w:snapToGrid w:val="0"/>
          <w:kern w:val="22"/>
          <w:szCs w:val="22"/>
          <w:lang w:eastAsia="ja-JP"/>
        </w:rPr>
        <w:t xml:space="preserve"> which</w:t>
      </w:r>
      <w:r w:rsidR="00524B75" w:rsidRPr="00584A8D">
        <w:rPr>
          <w:rFonts w:eastAsia="Yu Mincho"/>
          <w:snapToGrid w:val="0"/>
          <w:kern w:val="22"/>
          <w:szCs w:val="22"/>
          <w:lang w:eastAsia="ja-JP"/>
        </w:rPr>
        <w:t>,</w:t>
      </w:r>
      <w:r w:rsidR="000D6D02" w:rsidRPr="00584A8D">
        <w:rPr>
          <w:rFonts w:eastAsia="Yu Mincho"/>
          <w:snapToGrid w:val="0"/>
          <w:kern w:val="22"/>
          <w:szCs w:val="22"/>
          <w:lang w:eastAsia="ja-JP"/>
        </w:rPr>
        <w:t xml:space="preserve"> for many countries</w:t>
      </w:r>
      <w:r w:rsidR="00524B75" w:rsidRPr="00584A8D">
        <w:rPr>
          <w:rFonts w:eastAsia="Yu Mincho"/>
          <w:snapToGrid w:val="0"/>
          <w:kern w:val="22"/>
          <w:szCs w:val="22"/>
          <w:lang w:eastAsia="ja-JP"/>
        </w:rPr>
        <w:t>,</w:t>
      </w:r>
      <w:r w:rsidR="000D6D02" w:rsidRPr="00584A8D">
        <w:rPr>
          <w:rFonts w:eastAsia="Yu Mincho"/>
          <w:snapToGrid w:val="0"/>
          <w:kern w:val="22"/>
          <w:szCs w:val="22"/>
          <w:lang w:eastAsia="ja-JP"/>
        </w:rPr>
        <w:t xml:space="preserve"> would require capacity</w:t>
      </w:r>
      <w:r w:rsidR="00524B75" w:rsidRPr="00584A8D">
        <w:rPr>
          <w:rFonts w:eastAsia="Yu Mincho"/>
          <w:snapToGrid w:val="0"/>
          <w:kern w:val="22"/>
          <w:szCs w:val="22"/>
          <w:lang w:eastAsia="ja-JP"/>
        </w:rPr>
        <w:t>-</w:t>
      </w:r>
      <w:r w:rsidR="000D6D02" w:rsidRPr="00584A8D">
        <w:rPr>
          <w:rFonts w:eastAsia="Yu Mincho"/>
          <w:snapToGrid w:val="0"/>
          <w:kern w:val="22"/>
          <w:szCs w:val="22"/>
          <w:lang w:eastAsia="ja-JP"/>
        </w:rPr>
        <w:t xml:space="preserve">building and technology transfer. Noting that national regulations </w:t>
      </w:r>
      <w:r w:rsidR="00F50B48" w:rsidRPr="00584A8D">
        <w:rPr>
          <w:rFonts w:eastAsia="Yu Mincho"/>
          <w:snapToGrid w:val="0"/>
          <w:kern w:val="22"/>
          <w:szCs w:val="22"/>
          <w:lang w:eastAsia="ja-JP"/>
        </w:rPr>
        <w:t xml:space="preserve">are </w:t>
      </w:r>
      <w:r w:rsidR="000D6D02" w:rsidRPr="00584A8D">
        <w:rPr>
          <w:rFonts w:eastAsia="Yu Mincho"/>
          <w:snapToGrid w:val="0"/>
          <w:kern w:val="22"/>
          <w:szCs w:val="22"/>
          <w:lang w:eastAsia="ja-JP"/>
        </w:rPr>
        <w:t xml:space="preserve">often built around existing regulations </w:t>
      </w:r>
      <w:r w:rsidR="00802013" w:rsidRPr="00584A8D">
        <w:rPr>
          <w:rFonts w:eastAsia="Yu Mincho"/>
          <w:snapToGrid w:val="0"/>
          <w:kern w:val="22"/>
          <w:szCs w:val="22"/>
          <w:lang w:eastAsia="ja-JP"/>
        </w:rPr>
        <w:t>on</w:t>
      </w:r>
      <w:r w:rsidR="000D6D02" w:rsidRPr="00584A8D">
        <w:rPr>
          <w:rFonts w:eastAsia="Yu Mincho"/>
          <w:snapToGrid w:val="0"/>
          <w:kern w:val="22"/>
          <w:szCs w:val="22"/>
          <w:lang w:eastAsia="ja-JP"/>
        </w:rPr>
        <w:t xml:space="preserve"> animal health and plant protection in conformity with the World Trade Organization Agreement on the Application of Sanitary and Phytosanitary Measures</w:t>
      </w:r>
      <w:r w:rsidR="009B7F47" w:rsidRPr="00584A8D">
        <w:rPr>
          <w:rFonts w:eastAsia="Yu Mincho"/>
          <w:snapToGrid w:val="0"/>
          <w:kern w:val="22"/>
          <w:szCs w:val="22"/>
          <w:lang w:eastAsia="ja-JP"/>
        </w:rPr>
        <w:t>.</w:t>
      </w:r>
      <w:r w:rsidR="00323A9F" w:rsidRPr="00584A8D">
        <w:rPr>
          <w:rStyle w:val="FootnoteReference"/>
          <w:rFonts w:eastAsia="Yu Mincho"/>
          <w:snapToGrid w:val="0"/>
          <w:kern w:val="22"/>
          <w:sz w:val="22"/>
          <w:szCs w:val="22"/>
          <w:u w:val="none"/>
          <w:vertAlign w:val="superscript"/>
          <w:lang w:eastAsia="ja-JP"/>
        </w:rPr>
        <w:footnoteReference w:id="10"/>
      </w:r>
      <w:r w:rsidR="00766386" w:rsidRPr="00584A8D">
        <w:rPr>
          <w:rFonts w:eastAsia="Yu Mincho"/>
          <w:snapToGrid w:val="0"/>
          <w:kern w:val="22"/>
          <w:szCs w:val="22"/>
          <w:lang w:eastAsia="ja-JP"/>
        </w:rPr>
        <w:t xml:space="preserve"> Other v</w:t>
      </w:r>
      <w:r w:rsidR="000D6D02" w:rsidRPr="00584A8D">
        <w:rPr>
          <w:rFonts w:eastAsia="Yu Mincho"/>
          <w:snapToGrid w:val="0"/>
          <w:kern w:val="22"/>
          <w:szCs w:val="22"/>
          <w:lang w:eastAsia="ja-JP"/>
        </w:rPr>
        <w:t>oluntary measures, such as guidance, codes of conduct, best practices and protocols/procedure are valuable to supplement and enhance the effectiveness of the standards recognized by the World Trade Organization.</w:t>
      </w:r>
    </w:p>
    <w:p w14:paraId="2C968422" w14:textId="581BC975" w:rsidR="005B4523" w:rsidRPr="00584A8D" w:rsidRDefault="00766060"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t>Unintentional introduction is also mentioned in the</w:t>
      </w:r>
      <w:r w:rsidR="008E4886" w:rsidRPr="00584A8D">
        <w:rPr>
          <w:rFonts w:eastAsia="Yu Mincho"/>
          <w:snapToGrid w:val="0"/>
          <w:kern w:val="22"/>
          <w:szCs w:val="22"/>
          <w:lang w:eastAsia="ja-JP"/>
        </w:rPr>
        <w:t xml:space="preserve"> </w:t>
      </w:r>
      <w:r w:rsidR="000D6D02" w:rsidRPr="00584A8D">
        <w:rPr>
          <w:rFonts w:eastAsia="Yu Mincho"/>
          <w:snapToGrid w:val="0"/>
          <w:kern w:val="22"/>
          <w:szCs w:val="22"/>
          <w:lang w:eastAsia="ja-JP"/>
        </w:rPr>
        <w:t>Guiding Principles</w:t>
      </w:r>
      <w:r w:rsidRPr="00584A8D">
        <w:rPr>
          <w:rFonts w:eastAsia="Yu Mincho"/>
          <w:snapToGrid w:val="0"/>
          <w:kern w:val="22"/>
          <w:szCs w:val="22"/>
          <w:lang w:eastAsia="ja-JP"/>
        </w:rPr>
        <w:t xml:space="preserve"> annexed to decision VI/23</w:t>
      </w:r>
      <w:r w:rsidR="00802013" w:rsidRPr="00584A8D">
        <w:rPr>
          <w:rStyle w:val="FootnoteReference"/>
          <w:rFonts w:eastAsia="Yu Mincho"/>
          <w:snapToGrid w:val="0"/>
          <w:kern w:val="22"/>
          <w:sz w:val="22"/>
          <w:szCs w:val="22"/>
          <w:u w:val="none"/>
          <w:vertAlign w:val="superscript"/>
          <w:lang w:eastAsia="ja-JP"/>
        </w:rPr>
        <w:footnoteReference w:id="11"/>
      </w:r>
      <w:r w:rsidR="000D6D02" w:rsidRPr="00584A8D">
        <w:rPr>
          <w:rFonts w:eastAsia="Yu Mincho"/>
          <w:snapToGrid w:val="0"/>
          <w:kern w:val="22"/>
          <w:szCs w:val="22"/>
          <w:lang w:eastAsia="ja-JP"/>
        </w:rPr>
        <w:t xml:space="preserve"> in </w:t>
      </w:r>
      <w:r w:rsidR="004B3D73" w:rsidRPr="00584A8D">
        <w:rPr>
          <w:rFonts w:eastAsia="Yu Mincho"/>
          <w:snapToGrid w:val="0"/>
          <w:kern w:val="22"/>
          <w:szCs w:val="22"/>
          <w:lang w:eastAsia="ja-JP"/>
        </w:rPr>
        <w:t>Principles</w:t>
      </w:r>
      <w:r w:rsidR="000D6D02" w:rsidRPr="00584A8D">
        <w:rPr>
          <w:rFonts w:eastAsia="Yu Mincho"/>
          <w:snapToGrid w:val="0"/>
          <w:kern w:val="22"/>
          <w:szCs w:val="22"/>
          <w:lang w:eastAsia="ja-JP"/>
        </w:rPr>
        <w:t xml:space="preserve"> 1, 7 and 11, </w:t>
      </w:r>
      <w:r w:rsidR="006305EA" w:rsidRPr="00584A8D">
        <w:rPr>
          <w:rFonts w:eastAsia="Yu Mincho"/>
          <w:snapToGrid w:val="0"/>
          <w:kern w:val="22"/>
          <w:szCs w:val="22"/>
          <w:lang w:eastAsia="ja-JP"/>
        </w:rPr>
        <w:t xml:space="preserve">which refer </w:t>
      </w:r>
      <w:r w:rsidR="000D6D02" w:rsidRPr="00584A8D">
        <w:rPr>
          <w:rFonts w:eastAsia="Yu Mincho"/>
          <w:snapToGrid w:val="0"/>
          <w:kern w:val="22"/>
          <w:szCs w:val="22"/>
          <w:lang w:eastAsia="ja-JP"/>
        </w:rPr>
        <w:t xml:space="preserve">to </w:t>
      </w:r>
      <w:r w:rsidR="006305EA" w:rsidRPr="00584A8D">
        <w:rPr>
          <w:rFonts w:eastAsia="Yu Mincho"/>
          <w:snapToGrid w:val="0"/>
          <w:kern w:val="22"/>
          <w:szCs w:val="22"/>
          <w:lang w:eastAsia="ja-JP"/>
        </w:rPr>
        <w:t xml:space="preserve">the </w:t>
      </w:r>
      <w:r w:rsidR="000D6D02" w:rsidRPr="00584A8D">
        <w:rPr>
          <w:rFonts w:eastAsia="Yu Mincho"/>
          <w:snapToGrid w:val="0"/>
          <w:kern w:val="22"/>
          <w:szCs w:val="22"/>
          <w:lang w:eastAsia="ja-JP"/>
        </w:rPr>
        <w:t>precautionary approach, border control and pathway risk analysis</w:t>
      </w:r>
      <w:r w:rsidR="004B3D73" w:rsidRPr="00584A8D">
        <w:rPr>
          <w:rFonts w:eastAsia="Yu Mincho"/>
          <w:snapToGrid w:val="0"/>
          <w:kern w:val="22"/>
          <w:szCs w:val="22"/>
          <w:lang w:eastAsia="ja-JP"/>
        </w:rPr>
        <w:t>, respectively</w:t>
      </w:r>
      <w:r w:rsidR="000D6D02" w:rsidRPr="00584A8D">
        <w:rPr>
          <w:rFonts w:eastAsia="Yu Mincho"/>
          <w:snapToGrid w:val="0"/>
          <w:kern w:val="22"/>
          <w:szCs w:val="22"/>
          <w:lang w:eastAsia="ja-JP"/>
        </w:rPr>
        <w:t xml:space="preserve">. Considering that border controls and pathway risk analysis can be undertaken </w:t>
      </w:r>
      <w:r w:rsidR="00080473" w:rsidRPr="00584A8D">
        <w:rPr>
          <w:rFonts w:eastAsia="Yu Mincho"/>
          <w:snapToGrid w:val="0"/>
          <w:kern w:val="22"/>
          <w:szCs w:val="22"/>
          <w:lang w:eastAsia="ja-JP"/>
        </w:rPr>
        <w:t xml:space="preserve">not only by conservation or environmental authorities, but also </w:t>
      </w:r>
      <w:r w:rsidR="000D6D02" w:rsidRPr="00584A8D">
        <w:rPr>
          <w:rFonts w:eastAsia="Yu Mincho"/>
          <w:snapToGrid w:val="0"/>
          <w:kern w:val="22"/>
          <w:szCs w:val="22"/>
          <w:lang w:eastAsia="ja-JP"/>
        </w:rPr>
        <w:t>by</w:t>
      </w:r>
      <w:r w:rsidR="004B3D73" w:rsidRPr="00584A8D">
        <w:rPr>
          <w:rFonts w:eastAsia="Yu Mincho"/>
          <w:snapToGrid w:val="0"/>
          <w:kern w:val="22"/>
          <w:szCs w:val="22"/>
          <w:lang w:eastAsia="ja-JP"/>
        </w:rPr>
        <w:t xml:space="preserve"> the</w:t>
      </w:r>
      <w:r w:rsidR="009C3DC3" w:rsidRPr="00584A8D">
        <w:rPr>
          <w:rFonts w:eastAsia="Yu Mincho"/>
          <w:snapToGrid w:val="0"/>
          <w:kern w:val="22"/>
          <w:szCs w:val="22"/>
          <w:lang w:eastAsia="ja-JP"/>
        </w:rPr>
        <w:t xml:space="preserve"> authorities responsible for</w:t>
      </w:r>
      <w:r w:rsidR="000D6D02" w:rsidRPr="00584A8D">
        <w:rPr>
          <w:rFonts w:eastAsia="Yu Mincho"/>
          <w:snapToGrid w:val="0"/>
          <w:kern w:val="22"/>
          <w:szCs w:val="22"/>
          <w:lang w:eastAsia="ja-JP"/>
        </w:rPr>
        <w:t xml:space="preserve"> </w:t>
      </w:r>
      <w:r w:rsidRPr="00584A8D">
        <w:rPr>
          <w:rFonts w:eastAsia="Yu Mincho"/>
          <w:snapToGrid w:val="0"/>
          <w:kern w:val="22"/>
          <w:szCs w:val="22"/>
          <w:lang w:eastAsia="ja-JP"/>
        </w:rPr>
        <w:t>border control</w:t>
      </w:r>
      <w:r w:rsidR="004B3D73" w:rsidRPr="00584A8D">
        <w:rPr>
          <w:rFonts w:eastAsia="Yu Mincho"/>
          <w:snapToGrid w:val="0"/>
          <w:kern w:val="22"/>
          <w:szCs w:val="22"/>
          <w:lang w:eastAsia="ja-JP"/>
        </w:rPr>
        <w:t xml:space="preserve">s and risk regulations </w:t>
      </w:r>
      <w:r w:rsidR="00BE13DD" w:rsidRPr="00584A8D">
        <w:rPr>
          <w:rFonts w:eastAsia="Yu Mincho"/>
          <w:snapToGrid w:val="0"/>
          <w:kern w:val="22"/>
          <w:szCs w:val="22"/>
          <w:lang w:eastAsia="ja-JP"/>
        </w:rPr>
        <w:t>as well as their</w:t>
      </w:r>
      <w:r w:rsidR="004B3D73" w:rsidRPr="00584A8D">
        <w:rPr>
          <w:rFonts w:eastAsia="Yu Mincho"/>
          <w:snapToGrid w:val="0"/>
          <w:kern w:val="22"/>
          <w:szCs w:val="22"/>
          <w:lang w:eastAsia="ja-JP"/>
        </w:rPr>
        <w:t xml:space="preserve"> </w:t>
      </w:r>
      <w:r w:rsidR="005565E0" w:rsidRPr="00584A8D">
        <w:rPr>
          <w:rFonts w:eastAsia="Yu Mincho"/>
          <w:snapToGrid w:val="0"/>
          <w:kern w:val="22"/>
          <w:szCs w:val="22"/>
          <w:lang w:eastAsia="ja-JP"/>
        </w:rPr>
        <w:t xml:space="preserve">enforcement </w:t>
      </w:r>
      <w:r w:rsidR="004B3D73" w:rsidRPr="00584A8D">
        <w:rPr>
          <w:rFonts w:eastAsia="Yu Mincho"/>
          <w:snapToGrid w:val="0"/>
          <w:kern w:val="22"/>
          <w:szCs w:val="22"/>
          <w:lang w:eastAsia="ja-JP"/>
        </w:rPr>
        <w:t>bodies</w:t>
      </w:r>
      <w:r w:rsidR="000D6D02" w:rsidRPr="00584A8D">
        <w:rPr>
          <w:rFonts w:eastAsia="Yu Mincho"/>
          <w:snapToGrid w:val="0"/>
          <w:kern w:val="22"/>
          <w:szCs w:val="22"/>
          <w:lang w:eastAsia="ja-JP"/>
        </w:rPr>
        <w:t>, the supplemental guidance</w:t>
      </w:r>
      <w:r w:rsidR="00080473" w:rsidRPr="00584A8D">
        <w:rPr>
          <w:rFonts w:eastAsia="Yu Mincho"/>
          <w:snapToGrid w:val="0"/>
          <w:kern w:val="22"/>
          <w:szCs w:val="22"/>
          <w:lang w:eastAsia="ja-JP"/>
        </w:rPr>
        <w:t xml:space="preserve"> should</w:t>
      </w:r>
      <w:r w:rsidR="000D6D02" w:rsidRPr="00584A8D">
        <w:rPr>
          <w:rFonts w:eastAsia="Yu Mincho"/>
          <w:snapToGrid w:val="0"/>
          <w:kern w:val="22"/>
          <w:szCs w:val="22"/>
          <w:lang w:eastAsia="ja-JP"/>
        </w:rPr>
        <w:t xml:space="preserve"> be implemented in an integrated manner by the relevant national authorities</w:t>
      </w:r>
      <w:r w:rsidR="000D6D02" w:rsidRPr="00584A8D">
        <w:rPr>
          <w:rFonts w:eastAsia="Yu Mincho"/>
          <w:snapToGrid w:val="0"/>
          <w:kern w:val="22"/>
          <w:szCs w:val="22"/>
          <w:vertAlign w:val="superscript"/>
          <w:lang w:eastAsia="ja-JP"/>
        </w:rPr>
        <w:footnoteReference w:id="12"/>
      </w:r>
      <w:r w:rsidR="000D6D02" w:rsidRPr="00584A8D">
        <w:rPr>
          <w:rFonts w:eastAsia="Yu Mincho"/>
          <w:snapToGrid w:val="0"/>
          <w:kern w:val="22"/>
          <w:szCs w:val="22"/>
          <w:lang w:eastAsia="ja-JP"/>
        </w:rPr>
        <w:t xml:space="preserve"> in conformity with existing international standards and national legislation.</w:t>
      </w:r>
    </w:p>
    <w:p w14:paraId="2A27296A" w14:textId="20D401E9" w:rsidR="003F097C" w:rsidRPr="00584A8D" w:rsidRDefault="001322B3" w:rsidP="00584A8D">
      <w:pPr>
        <w:keepNext/>
        <w:suppressLineNumbers/>
        <w:suppressAutoHyphens/>
        <w:kinsoku w:val="0"/>
        <w:overflowPunct w:val="0"/>
        <w:autoSpaceDE w:val="0"/>
        <w:autoSpaceDN w:val="0"/>
        <w:adjustRightInd w:val="0"/>
        <w:snapToGrid w:val="0"/>
        <w:spacing w:before="120" w:after="120"/>
        <w:jc w:val="center"/>
        <w:rPr>
          <w:rFonts w:eastAsia="Yu Mincho"/>
          <w:snapToGrid w:val="0"/>
          <w:kern w:val="22"/>
          <w:szCs w:val="22"/>
          <w:lang w:eastAsia="ja-JP"/>
        </w:rPr>
      </w:pPr>
      <w:r w:rsidRPr="00584A8D">
        <w:rPr>
          <w:rFonts w:eastAsia="Yu Mincho"/>
          <w:b/>
          <w:snapToGrid w:val="0"/>
          <w:kern w:val="22"/>
          <w:szCs w:val="22"/>
          <w:lang w:eastAsia="ja-JP"/>
        </w:rPr>
        <w:t>Risk communication</w:t>
      </w:r>
    </w:p>
    <w:p w14:paraId="3B6CA1F2" w14:textId="5D60BB28" w:rsidR="005B4523" w:rsidRPr="00584A8D" w:rsidRDefault="005C1D38"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t>The existing CBD guidance</w:t>
      </w:r>
      <w:r w:rsidR="00171927" w:rsidRPr="00584A8D">
        <w:rPr>
          <w:rFonts w:eastAsia="Yu Mincho"/>
          <w:snapToGrid w:val="0"/>
          <w:kern w:val="22"/>
          <w:szCs w:val="22"/>
          <w:lang w:eastAsia="ja-JP"/>
        </w:rPr>
        <w:t xml:space="preserve"> on devising and implementing measures to address the risks associated with the introduction of alien species as pets, aquarium and terrarium species, and as live bait and live food, </w:t>
      </w:r>
      <w:r w:rsidRPr="00584A8D">
        <w:rPr>
          <w:rFonts w:eastAsia="Yu Mincho"/>
          <w:snapToGrid w:val="0"/>
          <w:kern w:val="22"/>
          <w:szCs w:val="22"/>
          <w:lang w:eastAsia="ja-JP"/>
        </w:rPr>
        <w:t>annexed to decision XII/16</w:t>
      </w:r>
      <w:r w:rsidR="00171927" w:rsidRPr="00584A8D">
        <w:rPr>
          <w:rFonts w:eastAsia="Yu Mincho"/>
          <w:snapToGrid w:val="0"/>
          <w:kern w:val="22"/>
          <w:szCs w:val="22"/>
          <w:lang w:eastAsia="ja-JP"/>
        </w:rPr>
        <w:t>,</w:t>
      </w:r>
      <w:r w:rsidRPr="00584A8D">
        <w:rPr>
          <w:rFonts w:eastAsia="Yu Mincho"/>
          <w:snapToGrid w:val="0"/>
          <w:kern w:val="22"/>
          <w:szCs w:val="22"/>
          <w:lang w:eastAsia="ja-JP"/>
        </w:rPr>
        <w:t xml:space="preserve"> </w:t>
      </w:r>
      <w:r w:rsidR="005B4523" w:rsidRPr="00584A8D">
        <w:rPr>
          <w:rFonts w:eastAsia="Yu Mincho"/>
          <w:snapToGrid w:val="0"/>
          <w:kern w:val="22"/>
          <w:szCs w:val="22"/>
          <w:lang w:eastAsia="ja-JP"/>
        </w:rPr>
        <w:t>provides that</w:t>
      </w:r>
      <w:r w:rsidRPr="00584A8D">
        <w:rPr>
          <w:rFonts w:eastAsia="Yu Mincho"/>
          <w:snapToGrid w:val="0"/>
          <w:kern w:val="22"/>
          <w:szCs w:val="22"/>
          <w:lang w:eastAsia="ja-JP"/>
        </w:rPr>
        <w:t xml:space="preserve"> </w:t>
      </w:r>
      <w:r w:rsidR="005B4523" w:rsidRPr="00584A8D">
        <w:rPr>
          <w:rFonts w:eastAsia="Yu Mincho"/>
          <w:snapToGrid w:val="0"/>
          <w:kern w:val="22"/>
          <w:szCs w:val="22"/>
          <w:lang w:eastAsia="ja-JP"/>
        </w:rPr>
        <w:t>“</w:t>
      </w:r>
      <w:r w:rsidR="00885C7A" w:rsidRPr="00584A8D">
        <w:rPr>
          <w:rFonts w:eastAsia="Yu Mincho"/>
          <w:snapToGrid w:val="0"/>
          <w:kern w:val="22"/>
          <w:szCs w:val="22"/>
          <w:lang w:eastAsia="ja-JP"/>
        </w:rPr>
        <w:t>c</w:t>
      </w:r>
      <w:r w:rsidRPr="00584A8D">
        <w:rPr>
          <w:rFonts w:eastAsia="Yu Mincho"/>
          <w:snapToGrid w:val="0"/>
          <w:kern w:val="22"/>
          <w:szCs w:val="22"/>
          <w:lang w:eastAsia="ja-JP"/>
        </w:rPr>
        <w:t>onsignment</w:t>
      </w:r>
      <w:r w:rsidR="005B4523" w:rsidRPr="00584A8D">
        <w:rPr>
          <w:rFonts w:eastAsia="Yu Mincho"/>
          <w:snapToGrid w:val="0"/>
          <w:kern w:val="22"/>
          <w:szCs w:val="22"/>
          <w:lang w:eastAsia="ja-JP"/>
        </w:rPr>
        <w:t xml:space="preserve">s may be labelled as a </w:t>
      </w:r>
      <w:r w:rsidR="00A022AF" w:rsidRPr="00584A8D">
        <w:rPr>
          <w:rFonts w:eastAsia="Yu Mincho"/>
          <w:snapToGrid w:val="0"/>
          <w:kern w:val="22"/>
          <w:szCs w:val="22"/>
          <w:lang w:eastAsia="ja-JP"/>
        </w:rPr>
        <w:t>potential hazard to biodiversity</w:t>
      </w:r>
      <w:r w:rsidR="005B4523" w:rsidRPr="00584A8D">
        <w:rPr>
          <w:rFonts w:eastAsia="Yu Mincho"/>
          <w:snapToGrid w:val="0"/>
          <w:kern w:val="22"/>
          <w:szCs w:val="22"/>
          <w:lang w:eastAsia="ja-JP"/>
        </w:rPr>
        <w:t xml:space="preserve"> unless </w:t>
      </w:r>
      <w:r w:rsidR="00D31AFA" w:rsidRPr="00584A8D">
        <w:rPr>
          <w:rFonts w:eastAsia="Yu Mincho"/>
          <w:snapToGrid w:val="0"/>
          <w:kern w:val="22"/>
          <w:szCs w:val="22"/>
          <w:lang w:eastAsia="ja-JP"/>
        </w:rPr>
        <w:t>the species has been shown to be safe for import to the particular country or biogeographical region within the country in question</w:t>
      </w:r>
      <w:r w:rsidR="005B4523" w:rsidRPr="00584A8D">
        <w:rPr>
          <w:rFonts w:eastAsia="Yu Mincho"/>
          <w:snapToGrid w:val="0"/>
          <w:kern w:val="22"/>
          <w:szCs w:val="22"/>
          <w:lang w:eastAsia="ja-JP"/>
        </w:rPr>
        <w:t>”</w:t>
      </w:r>
      <w:r w:rsidR="00A022AF" w:rsidRPr="00584A8D">
        <w:rPr>
          <w:rFonts w:eastAsia="Yu Mincho"/>
          <w:snapToGrid w:val="0"/>
          <w:kern w:val="22"/>
          <w:szCs w:val="22"/>
          <w:lang w:eastAsia="ja-JP"/>
        </w:rPr>
        <w:t xml:space="preserve"> (para</w:t>
      </w:r>
      <w:r w:rsidR="008F34E9" w:rsidRPr="00584A8D">
        <w:rPr>
          <w:rFonts w:eastAsia="Yu Mincho"/>
          <w:snapToGrid w:val="0"/>
          <w:kern w:val="22"/>
          <w:szCs w:val="22"/>
          <w:lang w:eastAsia="ja-JP"/>
        </w:rPr>
        <w:t>.</w:t>
      </w:r>
      <w:r w:rsidR="00A022AF" w:rsidRPr="00584A8D">
        <w:rPr>
          <w:rFonts w:eastAsia="Yu Mincho"/>
          <w:snapToGrid w:val="0"/>
          <w:kern w:val="22"/>
          <w:szCs w:val="22"/>
          <w:lang w:eastAsia="ja-JP"/>
        </w:rPr>
        <w:t xml:space="preserve"> </w:t>
      </w:r>
      <w:r w:rsidR="005B4523" w:rsidRPr="00584A8D">
        <w:rPr>
          <w:rFonts w:eastAsia="Yu Mincho"/>
          <w:snapToGrid w:val="0"/>
          <w:kern w:val="22"/>
          <w:szCs w:val="22"/>
          <w:lang w:eastAsia="ja-JP"/>
        </w:rPr>
        <w:t xml:space="preserve">20 </w:t>
      </w:r>
      <w:r w:rsidRPr="00584A8D">
        <w:rPr>
          <w:rFonts w:eastAsia="Yu Mincho"/>
          <w:snapToGrid w:val="0"/>
          <w:kern w:val="22"/>
          <w:szCs w:val="22"/>
          <w:lang w:eastAsia="ja-JP"/>
        </w:rPr>
        <w:t>of the guidance</w:t>
      </w:r>
      <w:r w:rsidR="00A022AF" w:rsidRPr="00584A8D">
        <w:rPr>
          <w:rFonts w:eastAsia="Yu Mincho"/>
          <w:snapToGrid w:val="0"/>
          <w:kern w:val="22"/>
          <w:szCs w:val="22"/>
          <w:lang w:eastAsia="ja-JP"/>
        </w:rPr>
        <w:t>)</w:t>
      </w:r>
      <w:r w:rsidR="005B4523" w:rsidRPr="00584A8D">
        <w:rPr>
          <w:rFonts w:eastAsia="Yu Mincho"/>
          <w:snapToGrid w:val="0"/>
          <w:kern w:val="22"/>
          <w:szCs w:val="22"/>
          <w:lang w:eastAsia="ja-JP"/>
        </w:rPr>
        <w:t xml:space="preserve">. However, </w:t>
      </w:r>
      <w:r w:rsidR="00D31AFA" w:rsidRPr="00584A8D">
        <w:rPr>
          <w:rFonts w:eastAsia="Yu Mincho"/>
          <w:snapToGrid w:val="0"/>
          <w:kern w:val="22"/>
          <w:szCs w:val="22"/>
          <w:lang w:eastAsia="ja-JP"/>
        </w:rPr>
        <w:t>a globally harmonized language</w:t>
      </w:r>
      <w:r w:rsidR="004616B1" w:rsidRPr="00584A8D">
        <w:rPr>
          <w:rFonts w:eastAsia="Yu Mincho"/>
          <w:snapToGrid w:val="0"/>
          <w:kern w:val="22"/>
          <w:szCs w:val="22"/>
          <w:lang w:eastAsia="ja-JP"/>
        </w:rPr>
        <w:t xml:space="preserve"> would</w:t>
      </w:r>
      <w:r w:rsidR="00D31AFA" w:rsidRPr="00584A8D">
        <w:rPr>
          <w:rFonts w:eastAsia="Yu Mincho"/>
          <w:snapToGrid w:val="0"/>
          <w:kern w:val="22"/>
          <w:szCs w:val="22"/>
          <w:lang w:eastAsia="ja-JP"/>
        </w:rPr>
        <w:t xml:space="preserve"> facilitate </w:t>
      </w:r>
      <w:r w:rsidR="008B638F" w:rsidRPr="00584A8D">
        <w:rPr>
          <w:rFonts w:eastAsia="Yu Mincho"/>
          <w:snapToGrid w:val="0"/>
          <w:kern w:val="22"/>
          <w:szCs w:val="22"/>
          <w:lang w:eastAsia="ja-JP"/>
        </w:rPr>
        <w:t xml:space="preserve">more </w:t>
      </w:r>
      <w:r w:rsidR="00D31AFA" w:rsidRPr="00584A8D">
        <w:rPr>
          <w:rFonts w:eastAsia="Yu Mincho"/>
          <w:snapToGrid w:val="0"/>
          <w:kern w:val="22"/>
          <w:szCs w:val="22"/>
          <w:lang w:eastAsia="ja-JP"/>
        </w:rPr>
        <w:t>effective</w:t>
      </w:r>
      <w:r w:rsidR="005B4523" w:rsidRPr="00584A8D">
        <w:rPr>
          <w:rFonts w:eastAsia="Yu Mincho"/>
          <w:snapToGrid w:val="0"/>
          <w:kern w:val="22"/>
          <w:szCs w:val="22"/>
          <w:lang w:eastAsia="ja-JP"/>
        </w:rPr>
        <w:t xml:space="preserve"> </w:t>
      </w:r>
      <w:r w:rsidR="00D31AFA" w:rsidRPr="00584A8D">
        <w:rPr>
          <w:rFonts w:eastAsia="Yu Mincho"/>
          <w:snapToGrid w:val="0"/>
          <w:kern w:val="22"/>
          <w:szCs w:val="22"/>
          <w:lang w:eastAsia="ja-JP"/>
        </w:rPr>
        <w:t>implementation</w:t>
      </w:r>
      <w:r w:rsidR="005B4523" w:rsidRPr="00584A8D">
        <w:rPr>
          <w:rFonts w:eastAsia="Yu Mincho"/>
          <w:snapToGrid w:val="0"/>
          <w:kern w:val="22"/>
          <w:szCs w:val="22"/>
          <w:lang w:eastAsia="ja-JP"/>
        </w:rPr>
        <w:t xml:space="preserve"> by border </w:t>
      </w:r>
      <w:r w:rsidR="00D31AFA" w:rsidRPr="00584A8D">
        <w:rPr>
          <w:rFonts w:eastAsia="Yu Mincho"/>
          <w:snapToGrid w:val="0"/>
          <w:kern w:val="22"/>
          <w:szCs w:val="22"/>
          <w:lang w:eastAsia="ja-JP"/>
        </w:rPr>
        <w:t xml:space="preserve">control </w:t>
      </w:r>
      <w:r w:rsidR="005B4523" w:rsidRPr="00584A8D">
        <w:rPr>
          <w:rFonts w:eastAsia="Yu Mincho"/>
          <w:snapToGrid w:val="0"/>
          <w:kern w:val="22"/>
          <w:szCs w:val="22"/>
          <w:lang w:eastAsia="ja-JP"/>
        </w:rPr>
        <w:t>officials and other actors involved in the value chain of live spec</w:t>
      </w:r>
      <w:bookmarkStart w:id="1" w:name="_GoBack"/>
      <w:bookmarkEnd w:id="1"/>
      <w:r w:rsidR="005B4523" w:rsidRPr="00584A8D">
        <w:rPr>
          <w:rFonts w:eastAsia="Yu Mincho"/>
          <w:snapToGrid w:val="0"/>
          <w:kern w:val="22"/>
          <w:szCs w:val="22"/>
          <w:lang w:eastAsia="ja-JP"/>
        </w:rPr>
        <w:t>ies.</w:t>
      </w:r>
      <w:r w:rsidR="006305EA" w:rsidRPr="00584A8D">
        <w:rPr>
          <w:rFonts w:eastAsia="Yu Mincho"/>
          <w:snapToGrid w:val="0"/>
          <w:kern w:val="22"/>
          <w:szCs w:val="22"/>
          <w:lang w:eastAsia="ja-JP"/>
        </w:rPr>
        <w:t xml:space="preserve"> Currently, globally harmonized hazard labelling approaches </w:t>
      </w:r>
      <w:r w:rsidR="008B638F" w:rsidRPr="00584A8D">
        <w:rPr>
          <w:rFonts w:eastAsia="Yu Mincho"/>
          <w:snapToGrid w:val="0"/>
          <w:kern w:val="22"/>
          <w:szCs w:val="22"/>
          <w:lang w:eastAsia="ja-JP"/>
        </w:rPr>
        <w:t xml:space="preserve">have been undertaken by international organizations </w:t>
      </w:r>
      <w:r w:rsidR="00BE13DD" w:rsidRPr="00584A8D">
        <w:rPr>
          <w:rFonts w:eastAsia="Yu Mincho"/>
          <w:snapToGrid w:val="0"/>
          <w:kern w:val="22"/>
          <w:szCs w:val="22"/>
          <w:lang w:eastAsia="ja-JP"/>
        </w:rPr>
        <w:t xml:space="preserve">for </w:t>
      </w:r>
      <w:r w:rsidR="008B638F" w:rsidRPr="00584A8D">
        <w:rPr>
          <w:rFonts w:eastAsia="Yu Mincho"/>
          <w:snapToGrid w:val="0"/>
          <w:kern w:val="22"/>
          <w:szCs w:val="22"/>
          <w:lang w:eastAsia="ja-JP"/>
        </w:rPr>
        <w:t xml:space="preserve">risk communication </w:t>
      </w:r>
      <w:r w:rsidR="002C6E82" w:rsidRPr="00584A8D">
        <w:rPr>
          <w:rFonts w:eastAsia="Yu Mincho"/>
          <w:snapToGrid w:val="0"/>
          <w:kern w:val="22"/>
          <w:szCs w:val="22"/>
          <w:lang w:eastAsia="ja-JP"/>
        </w:rPr>
        <w:t xml:space="preserve">on </w:t>
      </w:r>
      <w:r w:rsidR="008B638F" w:rsidRPr="00584A8D">
        <w:rPr>
          <w:rFonts w:eastAsia="Yu Mincho"/>
          <w:snapToGrid w:val="0"/>
          <w:kern w:val="22"/>
          <w:szCs w:val="22"/>
          <w:lang w:eastAsia="ja-JP"/>
        </w:rPr>
        <w:t xml:space="preserve">cross-border </w:t>
      </w:r>
      <w:r w:rsidR="002C6E82" w:rsidRPr="00584A8D">
        <w:rPr>
          <w:rFonts w:eastAsia="Yu Mincho"/>
          <w:snapToGrid w:val="0"/>
          <w:kern w:val="22"/>
          <w:szCs w:val="22"/>
          <w:lang w:eastAsia="ja-JP"/>
        </w:rPr>
        <w:t>goods containing</w:t>
      </w:r>
      <w:r w:rsidR="006305EA" w:rsidRPr="00584A8D">
        <w:rPr>
          <w:rFonts w:eastAsia="Yu Mincho"/>
          <w:snapToGrid w:val="0"/>
          <w:kern w:val="22"/>
          <w:szCs w:val="22"/>
          <w:lang w:eastAsia="ja-JP"/>
        </w:rPr>
        <w:t xml:space="preserve"> different </w:t>
      </w:r>
      <w:r w:rsidR="002C6E82" w:rsidRPr="00584A8D">
        <w:rPr>
          <w:rFonts w:eastAsia="Yu Mincho"/>
          <w:snapToGrid w:val="0"/>
          <w:kern w:val="22"/>
          <w:szCs w:val="22"/>
          <w:lang w:eastAsia="ja-JP"/>
        </w:rPr>
        <w:t xml:space="preserve">hazardous </w:t>
      </w:r>
      <w:r w:rsidR="006305EA" w:rsidRPr="00584A8D">
        <w:rPr>
          <w:rFonts w:eastAsia="Yu Mincho"/>
          <w:snapToGrid w:val="0"/>
          <w:kern w:val="22"/>
          <w:szCs w:val="22"/>
          <w:lang w:eastAsia="ja-JP"/>
        </w:rPr>
        <w:t>substances. These include</w:t>
      </w:r>
      <w:r w:rsidR="002C6E82" w:rsidRPr="00584A8D">
        <w:rPr>
          <w:rFonts w:eastAsia="Yu Mincho"/>
          <w:snapToGrid w:val="0"/>
          <w:kern w:val="22"/>
          <w:szCs w:val="22"/>
          <w:lang w:eastAsia="ja-JP"/>
        </w:rPr>
        <w:t xml:space="preserve"> the following examples</w:t>
      </w:r>
      <w:r w:rsidR="006305EA" w:rsidRPr="00584A8D">
        <w:rPr>
          <w:rFonts w:eastAsia="Yu Mincho"/>
          <w:snapToGrid w:val="0"/>
          <w:kern w:val="22"/>
          <w:szCs w:val="22"/>
          <w:lang w:eastAsia="ja-JP"/>
        </w:rPr>
        <w:t>:</w:t>
      </w:r>
    </w:p>
    <w:p w14:paraId="41D83FE1" w14:textId="76DC383B" w:rsidR="00BE13DD" w:rsidRPr="00584A8D" w:rsidRDefault="006566D4" w:rsidP="00584A8D">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rFonts w:eastAsia="Yu Mincho"/>
          <w:snapToGrid w:val="0"/>
          <w:kern w:val="22"/>
          <w:szCs w:val="22"/>
          <w:lang w:eastAsia="ja-JP"/>
        </w:rPr>
      </w:pPr>
      <w:r w:rsidRPr="00584A8D">
        <w:rPr>
          <w:rFonts w:eastAsia="Yu Mincho"/>
          <w:snapToGrid w:val="0"/>
          <w:kern w:val="22"/>
          <w:szCs w:val="22"/>
          <w:lang w:eastAsia="ja-JP"/>
        </w:rPr>
        <w:t xml:space="preserve">Under </w:t>
      </w:r>
      <w:r w:rsidR="00EE3902" w:rsidRPr="00584A8D">
        <w:rPr>
          <w:rFonts w:eastAsia="Yu Mincho"/>
          <w:snapToGrid w:val="0"/>
          <w:kern w:val="22"/>
          <w:szCs w:val="22"/>
          <w:lang w:eastAsia="ja-JP"/>
        </w:rPr>
        <w:t xml:space="preserve">the </w:t>
      </w:r>
      <w:hyperlink r:id="rId12" w:history="1">
        <w:r w:rsidR="00EE3902" w:rsidRPr="00584A8D">
          <w:rPr>
            <w:rStyle w:val="Hyperlink"/>
            <w:snapToGrid w:val="0"/>
            <w:kern w:val="22"/>
            <w:szCs w:val="22"/>
          </w:rPr>
          <w:t>World Organisation for Animal Health</w:t>
        </w:r>
      </w:hyperlink>
      <w:r w:rsidR="00EE3902" w:rsidRPr="00584A8D">
        <w:rPr>
          <w:snapToGrid w:val="0"/>
          <w:kern w:val="22"/>
          <w:szCs w:val="22"/>
        </w:rPr>
        <w:t xml:space="preserve"> (</w:t>
      </w:r>
      <w:r w:rsidR="007A2BBC" w:rsidRPr="00584A8D">
        <w:rPr>
          <w:rFonts w:eastAsia="Yu Mincho"/>
          <w:snapToGrid w:val="0"/>
          <w:kern w:val="22"/>
          <w:szCs w:val="22"/>
          <w:lang w:eastAsia="ja-JP"/>
        </w:rPr>
        <w:t>OIE</w:t>
      </w:r>
      <w:r w:rsidR="00EE3902" w:rsidRPr="00584A8D">
        <w:rPr>
          <w:rFonts w:eastAsia="Yu Mincho"/>
          <w:snapToGrid w:val="0"/>
          <w:kern w:val="22"/>
          <w:szCs w:val="22"/>
          <w:lang w:eastAsia="ja-JP"/>
        </w:rPr>
        <w:t>)</w:t>
      </w:r>
      <w:r w:rsidR="007A2BBC" w:rsidRPr="00584A8D">
        <w:rPr>
          <w:rFonts w:eastAsia="Yu Mincho"/>
          <w:snapToGrid w:val="0"/>
          <w:kern w:val="22"/>
          <w:szCs w:val="22"/>
          <w:lang w:eastAsia="ja-JP"/>
        </w:rPr>
        <w:t xml:space="preserve">: </w:t>
      </w:r>
      <w:r w:rsidR="003545CE" w:rsidRPr="00584A8D">
        <w:rPr>
          <w:rFonts w:eastAsia="Yu Mincho"/>
          <w:snapToGrid w:val="0"/>
          <w:kern w:val="22"/>
          <w:szCs w:val="22"/>
          <w:lang w:eastAsia="ja-JP"/>
        </w:rPr>
        <w:t>i</w:t>
      </w:r>
      <w:r w:rsidR="00D31AFA" w:rsidRPr="00584A8D">
        <w:rPr>
          <w:rFonts w:eastAsia="Yu Mincho"/>
          <w:snapToGrid w:val="0"/>
          <w:kern w:val="22"/>
          <w:szCs w:val="22"/>
          <w:lang w:eastAsia="ja-JP"/>
        </w:rPr>
        <w:t xml:space="preserve">dentification of </w:t>
      </w:r>
      <w:r w:rsidR="00BE13DD" w:rsidRPr="00584A8D">
        <w:rPr>
          <w:rFonts w:eastAsia="Yu Mincho"/>
          <w:snapToGrid w:val="0"/>
          <w:kern w:val="22"/>
          <w:szCs w:val="22"/>
          <w:lang w:eastAsia="ja-JP"/>
        </w:rPr>
        <w:t xml:space="preserve">the </w:t>
      </w:r>
      <w:r w:rsidR="00D31AFA" w:rsidRPr="00584A8D">
        <w:rPr>
          <w:rFonts w:eastAsia="Yu Mincho"/>
          <w:snapToGrid w:val="0"/>
          <w:kern w:val="22"/>
          <w:szCs w:val="22"/>
          <w:lang w:eastAsia="ja-JP"/>
        </w:rPr>
        <w:t xml:space="preserve">potential health risk </w:t>
      </w:r>
      <w:r w:rsidR="002C6E82" w:rsidRPr="00584A8D">
        <w:rPr>
          <w:rFonts w:eastAsia="Yu Mincho"/>
          <w:snapToGrid w:val="0"/>
          <w:kern w:val="22"/>
          <w:szCs w:val="22"/>
          <w:lang w:eastAsia="ja-JP"/>
        </w:rPr>
        <w:t xml:space="preserve">in </w:t>
      </w:r>
      <w:r w:rsidR="00D31AFA" w:rsidRPr="00584A8D">
        <w:rPr>
          <w:rFonts w:eastAsia="Yu Mincho"/>
          <w:snapToGrid w:val="0"/>
          <w:kern w:val="22"/>
          <w:szCs w:val="22"/>
          <w:lang w:eastAsia="ja-JP"/>
        </w:rPr>
        <w:t xml:space="preserve">animals </w:t>
      </w:r>
      <w:r w:rsidR="002C6E82" w:rsidRPr="00584A8D">
        <w:rPr>
          <w:rFonts w:eastAsia="Yu Mincho"/>
          <w:snapToGrid w:val="0"/>
          <w:kern w:val="22"/>
          <w:szCs w:val="22"/>
          <w:lang w:eastAsia="ja-JP"/>
        </w:rPr>
        <w:t xml:space="preserve">is determined as </w:t>
      </w:r>
      <w:r w:rsidR="00245038" w:rsidRPr="00584A8D">
        <w:rPr>
          <w:rFonts w:eastAsia="Yu Mincho"/>
          <w:snapToGrid w:val="0"/>
          <w:kern w:val="22"/>
          <w:szCs w:val="22"/>
          <w:lang w:eastAsia="ja-JP"/>
        </w:rPr>
        <w:t>“</w:t>
      </w:r>
      <w:r w:rsidR="00D31AFA" w:rsidRPr="00584A8D">
        <w:rPr>
          <w:rFonts w:eastAsia="Yu Mincho"/>
          <w:snapToGrid w:val="0"/>
          <w:kern w:val="22"/>
          <w:szCs w:val="22"/>
          <w:lang w:eastAsia="ja-JP"/>
        </w:rPr>
        <w:t>hazard</w:t>
      </w:r>
      <w:r w:rsidR="00245038" w:rsidRPr="00584A8D">
        <w:rPr>
          <w:rFonts w:eastAsia="Yu Mincho"/>
          <w:snapToGrid w:val="0"/>
          <w:kern w:val="22"/>
          <w:szCs w:val="22"/>
          <w:lang w:eastAsia="ja-JP"/>
        </w:rPr>
        <w:t>”</w:t>
      </w:r>
      <w:r w:rsidR="00D31AFA" w:rsidRPr="00584A8D">
        <w:rPr>
          <w:rFonts w:eastAsia="Yu Mincho"/>
          <w:snapToGrid w:val="0"/>
          <w:kern w:val="22"/>
          <w:szCs w:val="22"/>
          <w:lang w:eastAsia="ja-JP"/>
        </w:rPr>
        <w:t xml:space="preserve"> by veterinary authorities under the existing international standards</w:t>
      </w:r>
      <w:r w:rsidR="008F34E9" w:rsidRPr="00584A8D">
        <w:rPr>
          <w:rFonts w:eastAsia="Yu Mincho"/>
          <w:snapToGrid w:val="0"/>
          <w:kern w:val="22"/>
          <w:szCs w:val="22"/>
          <w:lang w:eastAsia="ja-JP"/>
        </w:rPr>
        <w:t>;</w:t>
      </w:r>
      <w:r w:rsidR="00D31AFA" w:rsidRPr="00584A8D">
        <w:rPr>
          <w:rFonts w:eastAsia="Yu Mincho"/>
          <w:snapToGrid w:val="0"/>
          <w:kern w:val="22"/>
          <w:szCs w:val="22"/>
          <w:vertAlign w:val="superscript"/>
        </w:rPr>
        <w:footnoteReference w:id="13"/>
      </w:r>
      <w:r w:rsidR="00D31AFA" w:rsidRPr="00584A8D">
        <w:rPr>
          <w:rFonts w:eastAsia="Yu Mincho"/>
          <w:snapToGrid w:val="0"/>
          <w:kern w:val="22"/>
          <w:szCs w:val="22"/>
          <w:vertAlign w:val="superscript"/>
          <w:lang w:eastAsia="ja-JP"/>
        </w:rPr>
        <w:t>,</w:t>
      </w:r>
      <w:r w:rsidR="00D31AFA" w:rsidRPr="00584A8D">
        <w:rPr>
          <w:rFonts w:eastAsia="Yu Mincho"/>
          <w:snapToGrid w:val="0"/>
          <w:kern w:val="22"/>
          <w:szCs w:val="22"/>
          <w:vertAlign w:val="superscript"/>
        </w:rPr>
        <w:footnoteReference w:id="14"/>
      </w:r>
    </w:p>
    <w:p w14:paraId="3D95924F" w14:textId="212CD0E8" w:rsidR="00BE13DD" w:rsidRPr="00584A8D" w:rsidRDefault="00EE3902" w:rsidP="00584A8D">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rFonts w:eastAsia="Yu Mincho"/>
          <w:snapToGrid w:val="0"/>
          <w:kern w:val="22"/>
          <w:szCs w:val="22"/>
          <w:lang w:eastAsia="ja-JP"/>
        </w:rPr>
      </w:pPr>
      <w:r w:rsidRPr="00584A8D">
        <w:rPr>
          <w:rFonts w:eastAsia="Yu Mincho"/>
          <w:snapToGrid w:val="0"/>
          <w:kern w:val="22"/>
          <w:szCs w:val="22"/>
          <w:lang w:eastAsia="ja-JP"/>
        </w:rPr>
        <w:t>Under the</w:t>
      </w:r>
      <w:r w:rsidR="00B62B9C" w:rsidRPr="00584A8D">
        <w:rPr>
          <w:rFonts w:eastAsia="Yu Mincho"/>
          <w:snapToGrid w:val="0"/>
          <w:kern w:val="22"/>
          <w:szCs w:val="22"/>
          <w:lang w:eastAsia="ja-JP"/>
        </w:rPr>
        <w:t xml:space="preserve"> </w:t>
      </w:r>
      <w:hyperlink r:id="rId13" w:history="1">
        <w:r w:rsidR="00B62B9C" w:rsidRPr="00584A8D">
          <w:rPr>
            <w:rStyle w:val="Hyperlink"/>
            <w:rFonts w:eastAsia="Yu Mincho"/>
            <w:snapToGrid w:val="0"/>
            <w:kern w:val="22"/>
            <w:szCs w:val="22"/>
          </w:rPr>
          <w:t>World Customs Organization</w:t>
        </w:r>
      </w:hyperlink>
      <w:r w:rsidRPr="00584A8D">
        <w:rPr>
          <w:rFonts w:eastAsia="Yu Mincho"/>
          <w:snapToGrid w:val="0"/>
          <w:kern w:val="22"/>
          <w:szCs w:val="22"/>
          <w:lang w:eastAsia="ja-JP"/>
        </w:rPr>
        <w:t xml:space="preserve"> (</w:t>
      </w:r>
      <w:r w:rsidR="002C6E82" w:rsidRPr="00584A8D">
        <w:rPr>
          <w:rFonts w:eastAsia="Yu Mincho"/>
          <w:snapToGrid w:val="0"/>
          <w:kern w:val="22"/>
          <w:szCs w:val="22"/>
          <w:lang w:eastAsia="ja-JP"/>
        </w:rPr>
        <w:t>WCO</w:t>
      </w:r>
      <w:r w:rsidRPr="00584A8D">
        <w:rPr>
          <w:rFonts w:eastAsia="Yu Mincho"/>
          <w:snapToGrid w:val="0"/>
          <w:kern w:val="22"/>
          <w:szCs w:val="22"/>
          <w:lang w:eastAsia="ja-JP"/>
        </w:rPr>
        <w:t>)</w:t>
      </w:r>
      <w:r w:rsidR="002C6E82" w:rsidRPr="00584A8D">
        <w:rPr>
          <w:rFonts w:eastAsia="Yu Mincho"/>
          <w:snapToGrid w:val="0"/>
          <w:kern w:val="22"/>
          <w:szCs w:val="22"/>
          <w:lang w:eastAsia="ja-JP"/>
        </w:rPr>
        <w:t xml:space="preserve">: </w:t>
      </w:r>
      <w:r w:rsidR="003545CE" w:rsidRPr="00584A8D">
        <w:rPr>
          <w:rFonts w:eastAsia="Yu Mincho"/>
          <w:snapToGrid w:val="0"/>
          <w:kern w:val="22"/>
          <w:szCs w:val="22"/>
          <w:lang w:eastAsia="ja-JP"/>
        </w:rPr>
        <w:t>i</w:t>
      </w:r>
      <w:r w:rsidR="00D31AFA" w:rsidRPr="00584A8D">
        <w:rPr>
          <w:rFonts w:eastAsia="Yu Mincho"/>
          <w:snapToGrid w:val="0"/>
          <w:kern w:val="22"/>
          <w:szCs w:val="22"/>
          <w:lang w:eastAsia="ja-JP"/>
        </w:rPr>
        <w:t xml:space="preserve">dentification of potential border risk by national custom authorities </w:t>
      </w:r>
      <w:r w:rsidR="002C6E82" w:rsidRPr="00584A8D">
        <w:rPr>
          <w:rFonts w:eastAsia="Yu Mincho"/>
          <w:snapToGrid w:val="0"/>
          <w:kern w:val="22"/>
          <w:szCs w:val="22"/>
          <w:lang w:eastAsia="ja-JP"/>
        </w:rPr>
        <w:t xml:space="preserve">is </w:t>
      </w:r>
      <w:r w:rsidR="00D31AFA" w:rsidRPr="00584A8D">
        <w:rPr>
          <w:rFonts w:eastAsia="Yu Mincho"/>
          <w:snapToGrid w:val="0"/>
          <w:kern w:val="22"/>
          <w:szCs w:val="22"/>
          <w:lang w:eastAsia="ja-JP"/>
        </w:rPr>
        <w:t xml:space="preserve">using labels or documents attached to a consignment with a </w:t>
      </w:r>
      <w:r w:rsidR="00245038" w:rsidRPr="00584A8D">
        <w:rPr>
          <w:rFonts w:eastAsia="Yu Mincho"/>
          <w:snapToGrid w:val="0"/>
          <w:kern w:val="22"/>
          <w:szCs w:val="22"/>
          <w:lang w:eastAsia="ja-JP"/>
        </w:rPr>
        <w:t>“</w:t>
      </w:r>
      <w:r w:rsidR="00D31AFA" w:rsidRPr="00584A8D">
        <w:rPr>
          <w:rFonts w:eastAsia="Yu Mincho"/>
          <w:snapToGrid w:val="0"/>
          <w:kern w:val="22"/>
          <w:szCs w:val="22"/>
          <w:lang w:eastAsia="ja-JP"/>
        </w:rPr>
        <w:t>hazard statement</w:t>
      </w:r>
      <w:r w:rsidR="00245038" w:rsidRPr="00584A8D">
        <w:rPr>
          <w:rFonts w:eastAsia="Yu Mincho"/>
          <w:snapToGrid w:val="0"/>
          <w:kern w:val="22"/>
          <w:szCs w:val="22"/>
          <w:lang w:eastAsia="ja-JP"/>
        </w:rPr>
        <w:t>”</w:t>
      </w:r>
      <w:r w:rsidR="008F34E9" w:rsidRPr="00584A8D">
        <w:rPr>
          <w:rFonts w:eastAsia="Yu Mincho"/>
          <w:snapToGrid w:val="0"/>
          <w:kern w:val="22"/>
          <w:szCs w:val="22"/>
          <w:lang w:eastAsia="ja-JP"/>
        </w:rPr>
        <w:t>;</w:t>
      </w:r>
      <w:r w:rsidR="00D31AFA" w:rsidRPr="00584A8D">
        <w:rPr>
          <w:rStyle w:val="FootnoteReference"/>
          <w:rFonts w:eastAsia="Yu Mincho"/>
          <w:snapToGrid w:val="0"/>
          <w:kern w:val="22"/>
          <w:sz w:val="22"/>
          <w:szCs w:val="22"/>
          <w:u w:val="none"/>
          <w:vertAlign w:val="superscript"/>
          <w:lang w:eastAsia="ja-JP"/>
        </w:rPr>
        <w:footnoteReference w:id="15"/>
      </w:r>
      <w:r w:rsidR="00D31AFA" w:rsidRPr="00584A8D">
        <w:rPr>
          <w:rFonts w:eastAsia="Yu Mincho"/>
          <w:snapToGrid w:val="0"/>
          <w:kern w:val="22"/>
          <w:szCs w:val="22"/>
          <w:vertAlign w:val="superscript"/>
          <w:lang w:eastAsia="ja-JP"/>
        </w:rPr>
        <w:t>,</w:t>
      </w:r>
      <w:r w:rsidR="00D31AFA" w:rsidRPr="00584A8D">
        <w:rPr>
          <w:rStyle w:val="FootnoteReference"/>
          <w:rFonts w:eastAsia="Yu Mincho"/>
          <w:snapToGrid w:val="0"/>
          <w:kern w:val="22"/>
          <w:sz w:val="22"/>
          <w:szCs w:val="22"/>
          <w:u w:val="none"/>
          <w:vertAlign w:val="superscript"/>
          <w:lang w:eastAsia="ja-JP"/>
        </w:rPr>
        <w:footnoteReference w:id="16"/>
      </w:r>
    </w:p>
    <w:p w14:paraId="05A14818" w14:textId="41BCF63D" w:rsidR="003F097C" w:rsidRPr="00584A8D" w:rsidRDefault="00EE3902" w:rsidP="00584A8D">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584A8D">
        <w:rPr>
          <w:snapToGrid w:val="0"/>
          <w:kern w:val="22"/>
          <w:szCs w:val="22"/>
        </w:rPr>
        <w:t>Under t</w:t>
      </w:r>
      <w:r w:rsidR="00CD2A82" w:rsidRPr="00584A8D">
        <w:rPr>
          <w:snapToGrid w:val="0"/>
          <w:kern w:val="22"/>
          <w:szCs w:val="22"/>
        </w:rPr>
        <w:t xml:space="preserve">he </w:t>
      </w:r>
      <w:hyperlink r:id="rId14" w:history="1">
        <w:r w:rsidRPr="00584A8D">
          <w:rPr>
            <w:rStyle w:val="Hyperlink"/>
            <w:rFonts w:eastAsia="Yu Mincho"/>
            <w:snapToGrid w:val="0"/>
            <w:kern w:val="22"/>
            <w:szCs w:val="22"/>
          </w:rPr>
          <w:t>World Health Organization</w:t>
        </w:r>
      </w:hyperlink>
      <w:r w:rsidRPr="00584A8D">
        <w:rPr>
          <w:rFonts w:eastAsia="Yu Mincho"/>
          <w:snapToGrid w:val="0"/>
          <w:kern w:val="22"/>
          <w:szCs w:val="22"/>
          <w:lang w:eastAsia="ja-JP"/>
        </w:rPr>
        <w:t xml:space="preserve"> (</w:t>
      </w:r>
      <w:r w:rsidR="002C6E82" w:rsidRPr="00584A8D">
        <w:rPr>
          <w:snapToGrid w:val="0"/>
          <w:kern w:val="22"/>
          <w:szCs w:val="22"/>
        </w:rPr>
        <w:t>WHO</w:t>
      </w:r>
      <w:r w:rsidRPr="00584A8D">
        <w:rPr>
          <w:snapToGrid w:val="0"/>
          <w:kern w:val="22"/>
          <w:szCs w:val="22"/>
        </w:rPr>
        <w:t>)</w:t>
      </w:r>
      <w:r w:rsidR="002C6E82" w:rsidRPr="00584A8D">
        <w:rPr>
          <w:snapToGrid w:val="0"/>
          <w:kern w:val="22"/>
          <w:szCs w:val="22"/>
        </w:rPr>
        <w:t xml:space="preserve">: </w:t>
      </w:r>
      <w:r w:rsidR="003545CE" w:rsidRPr="00584A8D">
        <w:rPr>
          <w:snapToGrid w:val="0"/>
          <w:kern w:val="22"/>
          <w:szCs w:val="22"/>
        </w:rPr>
        <w:t>t</w:t>
      </w:r>
      <w:r w:rsidR="00D31AFA" w:rsidRPr="00584A8D">
        <w:rPr>
          <w:snapToGrid w:val="0"/>
          <w:kern w:val="22"/>
          <w:szCs w:val="22"/>
        </w:rPr>
        <w:t>he Guidance on Regulations for the Transport of Infectious Substances 2015–2016</w:t>
      </w:r>
      <w:r w:rsidR="00D31AFA" w:rsidRPr="00584A8D">
        <w:rPr>
          <w:rStyle w:val="FootnoteReference"/>
          <w:snapToGrid w:val="0"/>
          <w:kern w:val="22"/>
          <w:sz w:val="22"/>
          <w:szCs w:val="22"/>
          <w:u w:val="none"/>
          <w:vertAlign w:val="superscript"/>
        </w:rPr>
        <w:footnoteReference w:id="17"/>
      </w:r>
      <w:r w:rsidR="00BE13DD" w:rsidRPr="00584A8D">
        <w:rPr>
          <w:snapToGrid w:val="0"/>
          <w:kern w:val="22"/>
          <w:szCs w:val="22"/>
        </w:rPr>
        <w:t xml:space="preserve"> </w:t>
      </w:r>
      <w:r w:rsidR="00F94CB8" w:rsidRPr="00584A8D">
        <w:rPr>
          <w:snapToGrid w:val="0"/>
          <w:kern w:val="22"/>
          <w:szCs w:val="22"/>
        </w:rPr>
        <w:t xml:space="preserve">specifies </w:t>
      </w:r>
      <w:r w:rsidR="00D31AFA" w:rsidRPr="00584A8D">
        <w:rPr>
          <w:snapToGrid w:val="0"/>
          <w:kern w:val="22"/>
          <w:szCs w:val="22"/>
        </w:rPr>
        <w:t>requirements for packaging, labelling and documentation for infectious substances (including cultures, patient specimens, manufactured biological products, genetically modified microorganisms and genetically modified organisms</w:t>
      </w:r>
      <w:r w:rsidR="00F94CB8" w:rsidRPr="00584A8D">
        <w:rPr>
          <w:snapToGrid w:val="0"/>
          <w:kern w:val="22"/>
          <w:szCs w:val="22"/>
        </w:rPr>
        <w:t>,</w:t>
      </w:r>
      <w:r w:rsidR="00D31AFA" w:rsidRPr="00584A8D">
        <w:rPr>
          <w:snapToGrid w:val="0"/>
          <w:kern w:val="22"/>
          <w:szCs w:val="22"/>
        </w:rPr>
        <w:t xml:space="preserve"> and </w:t>
      </w:r>
      <w:r w:rsidRPr="00584A8D">
        <w:rPr>
          <w:snapToGrid w:val="0"/>
          <w:kern w:val="22"/>
          <w:szCs w:val="22"/>
        </w:rPr>
        <w:t>m</w:t>
      </w:r>
      <w:r w:rsidR="00D31AFA" w:rsidRPr="00584A8D">
        <w:rPr>
          <w:snapToGrid w:val="0"/>
          <w:kern w:val="22"/>
          <w:szCs w:val="22"/>
        </w:rPr>
        <w:t>edical and clinical wastes);</w:t>
      </w:r>
    </w:p>
    <w:p w14:paraId="7ECBBB63" w14:textId="1ED48E24" w:rsidR="00CD2A82" w:rsidRPr="00584A8D" w:rsidRDefault="00EE3902" w:rsidP="00584A8D">
      <w:pPr>
        <w:pStyle w:val="ListParagraph"/>
        <w:numPr>
          <w:ilvl w:val="1"/>
          <w:numId w:val="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584A8D">
        <w:rPr>
          <w:rFonts w:eastAsia="Yu Mincho"/>
          <w:snapToGrid w:val="0"/>
          <w:kern w:val="22"/>
          <w:szCs w:val="22"/>
          <w:lang w:eastAsia="ja-JP"/>
        </w:rPr>
        <w:t>Under t</w:t>
      </w:r>
      <w:r w:rsidR="00CD2A82" w:rsidRPr="00584A8D">
        <w:rPr>
          <w:rFonts w:eastAsia="Yu Mincho"/>
          <w:snapToGrid w:val="0"/>
          <w:kern w:val="22"/>
          <w:szCs w:val="22"/>
          <w:lang w:eastAsia="ja-JP"/>
        </w:rPr>
        <w:t xml:space="preserve">he </w:t>
      </w:r>
      <w:hyperlink r:id="rId15" w:history="1">
        <w:r w:rsidR="002C6E82" w:rsidRPr="00584A8D">
          <w:rPr>
            <w:rStyle w:val="Hyperlink"/>
            <w:rFonts w:eastAsia="Yu Mincho"/>
            <w:snapToGrid w:val="0"/>
            <w:kern w:val="22"/>
            <w:szCs w:val="22"/>
          </w:rPr>
          <w:t>United Nations</w:t>
        </w:r>
      </w:hyperlink>
      <w:r w:rsidR="002C6E82" w:rsidRPr="00584A8D">
        <w:rPr>
          <w:rFonts w:eastAsia="Yu Mincho"/>
          <w:snapToGrid w:val="0"/>
          <w:kern w:val="22"/>
          <w:szCs w:val="22"/>
          <w:lang w:eastAsia="ja-JP"/>
        </w:rPr>
        <w:t xml:space="preserve">: </w:t>
      </w:r>
      <w:r w:rsidR="003545CE" w:rsidRPr="00584A8D">
        <w:rPr>
          <w:rFonts w:eastAsia="Yu Mincho"/>
          <w:snapToGrid w:val="0"/>
          <w:kern w:val="22"/>
          <w:szCs w:val="22"/>
          <w:lang w:eastAsia="ja-JP"/>
        </w:rPr>
        <w:t>t</w:t>
      </w:r>
      <w:r w:rsidR="00D31AFA" w:rsidRPr="00584A8D">
        <w:rPr>
          <w:rFonts w:eastAsia="Yu Mincho"/>
          <w:snapToGrid w:val="0"/>
          <w:kern w:val="22"/>
          <w:szCs w:val="22"/>
          <w:lang w:eastAsia="ja-JP"/>
        </w:rPr>
        <w:t xml:space="preserve">he </w:t>
      </w:r>
      <w:r w:rsidR="005610FE" w:rsidRPr="00584A8D">
        <w:rPr>
          <w:rFonts w:eastAsia="Yu Mincho"/>
          <w:snapToGrid w:val="0"/>
          <w:kern w:val="22"/>
          <w:szCs w:val="22"/>
          <w:lang w:eastAsia="ja-JP"/>
        </w:rPr>
        <w:t>fourth edition</w:t>
      </w:r>
      <w:r w:rsidR="00E330B5" w:rsidRPr="00584A8D">
        <w:rPr>
          <w:rFonts w:eastAsia="Yu Mincho"/>
          <w:snapToGrid w:val="0"/>
          <w:kern w:val="22"/>
          <w:szCs w:val="22"/>
          <w:lang w:eastAsia="ja-JP"/>
        </w:rPr>
        <w:t xml:space="preserve"> of the</w:t>
      </w:r>
      <w:r w:rsidR="005610FE" w:rsidRPr="00584A8D">
        <w:rPr>
          <w:rFonts w:eastAsia="Yu Mincho"/>
          <w:i/>
          <w:snapToGrid w:val="0"/>
          <w:kern w:val="22"/>
          <w:szCs w:val="22"/>
          <w:lang w:eastAsia="ja-JP"/>
        </w:rPr>
        <w:t xml:space="preserve"> </w:t>
      </w:r>
      <w:r w:rsidR="00D31AFA" w:rsidRPr="00584A8D">
        <w:rPr>
          <w:rFonts w:eastAsia="Yu Mincho"/>
          <w:i/>
          <w:snapToGrid w:val="0"/>
          <w:kern w:val="22"/>
          <w:szCs w:val="22"/>
          <w:lang w:eastAsia="ja-JP"/>
        </w:rPr>
        <w:t>Globally Harmonized System of Classification and Labelling of Chemicals</w:t>
      </w:r>
      <w:r w:rsidR="00D31AFA" w:rsidRPr="00584A8D">
        <w:rPr>
          <w:rStyle w:val="FootnoteReference"/>
          <w:rFonts w:eastAsia="Yu Mincho"/>
          <w:snapToGrid w:val="0"/>
          <w:kern w:val="22"/>
          <w:sz w:val="22"/>
          <w:szCs w:val="22"/>
          <w:u w:val="none"/>
          <w:vertAlign w:val="superscript"/>
          <w:lang w:eastAsia="ja-JP"/>
        </w:rPr>
        <w:footnoteReference w:id="18"/>
      </w:r>
      <w:r w:rsidR="00D31AFA" w:rsidRPr="00584A8D">
        <w:rPr>
          <w:rFonts w:eastAsia="Yu Mincho"/>
          <w:snapToGrid w:val="0"/>
          <w:kern w:val="22"/>
          <w:szCs w:val="22"/>
          <w:lang w:eastAsia="ja-JP"/>
        </w:rPr>
        <w:t xml:space="preserve"> provides guidance on harmonized </w:t>
      </w:r>
      <w:r w:rsidR="00245038" w:rsidRPr="00584A8D">
        <w:rPr>
          <w:rFonts w:eastAsia="Yu Mincho"/>
          <w:snapToGrid w:val="0"/>
          <w:kern w:val="22"/>
          <w:szCs w:val="22"/>
          <w:lang w:eastAsia="ja-JP"/>
        </w:rPr>
        <w:t>“</w:t>
      </w:r>
      <w:r w:rsidR="00D31AFA" w:rsidRPr="00584A8D">
        <w:rPr>
          <w:rFonts w:eastAsia="Yu Mincho"/>
          <w:snapToGrid w:val="0"/>
          <w:kern w:val="22"/>
          <w:szCs w:val="22"/>
          <w:lang w:eastAsia="ja-JP"/>
        </w:rPr>
        <w:t>hazard</w:t>
      </w:r>
      <w:r w:rsidR="00245038" w:rsidRPr="00584A8D">
        <w:rPr>
          <w:rFonts w:eastAsia="Yu Mincho"/>
          <w:snapToGrid w:val="0"/>
          <w:kern w:val="22"/>
          <w:szCs w:val="22"/>
          <w:lang w:eastAsia="ja-JP"/>
        </w:rPr>
        <w:t>”</w:t>
      </w:r>
      <w:r w:rsidR="00D31AFA" w:rsidRPr="00584A8D">
        <w:rPr>
          <w:rFonts w:eastAsia="Yu Mincho"/>
          <w:snapToGrid w:val="0"/>
          <w:kern w:val="22"/>
          <w:szCs w:val="22"/>
          <w:lang w:eastAsia="ja-JP"/>
        </w:rPr>
        <w:t xml:space="preserve"> communication elements, chemical hazards with the potential of long-term environmental impacts, including requirements for labelling and safety datasheets on </w:t>
      </w:r>
      <w:r w:rsidR="00245038" w:rsidRPr="00584A8D">
        <w:rPr>
          <w:rFonts w:eastAsia="Yu Mincho"/>
          <w:snapToGrid w:val="0"/>
          <w:kern w:val="22"/>
          <w:szCs w:val="22"/>
          <w:lang w:eastAsia="ja-JP"/>
        </w:rPr>
        <w:t>“</w:t>
      </w:r>
      <w:r w:rsidR="00D31AFA" w:rsidRPr="00584A8D">
        <w:rPr>
          <w:rFonts w:eastAsia="Yu Mincho"/>
          <w:snapToGrid w:val="0"/>
          <w:kern w:val="22"/>
          <w:szCs w:val="22"/>
          <w:lang w:eastAsia="ja-JP"/>
        </w:rPr>
        <w:t>chemical hazards</w:t>
      </w:r>
      <w:r w:rsidR="00245038" w:rsidRPr="00584A8D">
        <w:rPr>
          <w:rFonts w:eastAsia="Yu Mincho"/>
          <w:snapToGrid w:val="0"/>
          <w:kern w:val="22"/>
          <w:szCs w:val="22"/>
          <w:lang w:eastAsia="ja-JP"/>
        </w:rPr>
        <w:t>”</w:t>
      </w:r>
      <w:r w:rsidR="00D31AFA" w:rsidRPr="00584A8D">
        <w:rPr>
          <w:rFonts w:eastAsia="Yu Mincho"/>
          <w:snapToGrid w:val="0"/>
          <w:kern w:val="22"/>
          <w:szCs w:val="22"/>
          <w:lang w:eastAsia="ja-JP"/>
        </w:rPr>
        <w:t>.</w:t>
      </w:r>
      <w:r w:rsidR="003F097C" w:rsidRPr="00584A8D">
        <w:rPr>
          <w:snapToGrid w:val="0"/>
          <w:kern w:val="22"/>
          <w:szCs w:val="22"/>
        </w:rPr>
        <w:t xml:space="preserve"> </w:t>
      </w:r>
      <w:r w:rsidR="00973E3E" w:rsidRPr="00584A8D">
        <w:rPr>
          <w:snapToGrid w:val="0"/>
          <w:kern w:val="22"/>
          <w:szCs w:val="22"/>
        </w:rPr>
        <w:t>T</w:t>
      </w:r>
      <w:r w:rsidR="00DF7A17" w:rsidRPr="00584A8D">
        <w:rPr>
          <w:snapToGrid w:val="0"/>
          <w:kern w:val="22"/>
          <w:szCs w:val="22"/>
        </w:rPr>
        <w:t>he Globally Harmonized System</w:t>
      </w:r>
      <w:r w:rsidR="00DF7A17" w:rsidRPr="00584A8D" w:rsidDel="00DF7A17">
        <w:rPr>
          <w:snapToGrid w:val="0"/>
          <w:kern w:val="22"/>
          <w:szCs w:val="22"/>
        </w:rPr>
        <w:t xml:space="preserve"> </w:t>
      </w:r>
      <w:r w:rsidR="00DF7A17" w:rsidRPr="00584A8D">
        <w:rPr>
          <w:snapToGrid w:val="0"/>
          <w:kern w:val="22"/>
          <w:szCs w:val="22"/>
        </w:rPr>
        <w:t xml:space="preserve">was developed by a committee of experts under the aegis </w:t>
      </w:r>
      <w:r w:rsidR="003F097C" w:rsidRPr="00584A8D">
        <w:rPr>
          <w:rFonts w:eastAsia="Yu Mincho"/>
          <w:snapToGrid w:val="0"/>
          <w:kern w:val="22"/>
          <w:szCs w:val="22"/>
          <w:lang w:eastAsia="ja-JP"/>
        </w:rPr>
        <w:t>of the United Nations Economic and Social Council</w:t>
      </w:r>
      <w:r w:rsidR="008F34E9" w:rsidRPr="00584A8D">
        <w:rPr>
          <w:snapToGrid w:val="0"/>
          <w:kern w:val="22"/>
          <w:szCs w:val="22"/>
        </w:rPr>
        <w:t>.</w:t>
      </w:r>
      <w:r w:rsidR="003F097C" w:rsidRPr="00584A8D">
        <w:rPr>
          <w:rStyle w:val="FootnoteReference"/>
          <w:rFonts w:eastAsia="Yu Mincho"/>
          <w:snapToGrid w:val="0"/>
          <w:kern w:val="22"/>
          <w:sz w:val="22"/>
          <w:szCs w:val="22"/>
          <w:u w:val="none"/>
          <w:vertAlign w:val="superscript"/>
          <w:lang w:eastAsia="ja-JP"/>
        </w:rPr>
        <w:footnoteReference w:id="19"/>
      </w:r>
      <w:r w:rsidR="003F097C" w:rsidRPr="00584A8D">
        <w:rPr>
          <w:snapToGrid w:val="0"/>
          <w:kern w:val="22"/>
          <w:szCs w:val="22"/>
        </w:rPr>
        <w:t xml:space="preserve"> </w:t>
      </w:r>
    </w:p>
    <w:p w14:paraId="68E0BAC0" w14:textId="74B99E1A" w:rsidR="00CD2A82" w:rsidRPr="00584A8D" w:rsidRDefault="00CD2A82" w:rsidP="00584A8D">
      <w:pPr>
        <w:numPr>
          <w:ilvl w:val="0"/>
          <w:numId w:val="8"/>
        </w:numPr>
        <w:suppressLineNumbers/>
        <w:suppressAutoHyphens/>
        <w:kinsoku w:val="0"/>
        <w:overflowPunct w:val="0"/>
        <w:autoSpaceDE w:val="0"/>
        <w:autoSpaceDN w:val="0"/>
        <w:adjustRightInd w:val="0"/>
        <w:snapToGrid w:val="0"/>
        <w:spacing w:before="120" w:after="120"/>
        <w:ind w:left="0" w:hanging="11"/>
        <w:rPr>
          <w:snapToGrid w:val="0"/>
          <w:kern w:val="22"/>
          <w:szCs w:val="22"/>
        </w:rPr>
      </w:pPr>
      <w:r w:rsidRPr="00584A8D">
        <w:rPr>
          <w:snapToGrid w:val="0"/>
          <w:kern w:val="22"/>
          <w:szCs w:val="22"/>
        </w:rPr>
        <w:t xml:space="preserve">Globally harmonized risk communication methods </w:t>
      </w:r>
      <w:r w:rsidR="00BE13DD" w:rsidRPr="00584A8D">
        <w:rPr>
          <w:snapToGrid w:val="0"/>
          <w:kern w:val="22"/>
          <w:szCs w:val="22"/>
        </w:rPr>
        <w:t xml:space="preserve">on hazards to biodiversity </w:t>
      </w:r>
      <w:r w:rsidR="004616B1" w:rsidRPr="00584A8D">
        <w:rPr>
          <w:snapToGrid w:val="0"/>
          <w:kern w:val="22"/>
          <w:szCs w:val="22"/>
        </w:rPr>
        <w:t xml:space="preserve">would </w:t>
      </w:r>
      <w:r w:rsidRPr="00584A8D">
        <w:rPr>
          <w:snapToGrid w:val="0"/>
          <w:kern w:val="22"/>
          <w:szCs w:val="22"/>
        </w:rPr>
        <w:t xml:space="preserve">help </w:t>
      </w:r>
      <w:r w:rsidR="004616B1" w:rsidRPr="00584A8D">
        <w:rPr>
          <w:snapToGrid w:val="0"/>
          <w:kern w:val="22"/>
          <w:szCs w:val="22"/>
        </w:rPr>
        <w:t xml:space="preserve">to </w:t>
      </w:r>
      <w:r w:rsidRPr="00584A8D">
        <w:rPr>
          <w:snapToGrid w:val="0"/>
          <w:kern w:val="22"/>
          <w:szCs w:val="22"/>
        </w:rPr>
        <w:t xml:space="preserve">communicate ways to prevent the introduction of invasive alien species </w:t>
      </w:r>
      <w:r w:rsidR="00A4123B" w:rsidRPr="00584A8D">
        <w:rPr>
          <w:snapToGrid w:val="0"/>
          <w:kern w:val="22"/>
          <w:szCs w:val="22"/>
        </w:rPr>
        <w:t xml:space="preserve">to </w:t>
      </w:r>
      <w:r w:rsidRPr="00584A8D">
        <w:rPr>
          <w:snapToGrid w:val="0"/>
          <w:kern w:val="22"/>
          <w:szCs w:val="22"/>
        </w:rPr>
        <w:t>the broad range of stakeholders involved in the trade in live species.</w:t>
      </w:r>
      <w:r w:rsidR="00DF4EAE" w:rsidRPr="00584A8D">
        <w:rPr>
          <w:snapToGrid w:val="0"/>
          <w:kern w:val="22"/>
          <w:szCs w:val="22"/>
        </w:rPr>
        <w:t xml:space="preserve"> </w:t>
      </w:r>
      <w:r w:rsidR="004616B1" w:rsidRPr="00584A8D">
        <w:rPr>
          <w:rFonts w:eastAsia="Yu Mincho"/>
          <w:snapToGrid w:val="0"/>
          <w:kern w:val="22"/>
          <w:szCs w:val="22"/>
          <w:lang w:eastAsia="ja-JP"/>
        </w:rPr>
        <w:t xml:space="preserve">The Subsidiary Body on Scientific, Technical and Technological Advice may wish to consider the </w:t>
      </w:r>
      <w:r w:rsidR="004616B1" w:rsidRPr="00584A8D">
        <w:rPr>
          <w:snapToGrid w:val="0"/>
          <w:kern w:val="22"/>
          <w:szCs w:val="22"/>
        </w:rPr>
        <w:t>possibility of developing globally harmonized labelling for cross-border consignments containing live species that may have potentially hazardous impacts on biodiversity and ecosystem services.</w:t>
      </w:r>
    </w:p>
    <w:p w14:paraId="24F1BDD2" w14:textId="71A067E4" w:rsidR="005B4523" w:rsidRPr="00584A8D" w:rsidRDefault="00CF7438" w:rsidP="00584A8D">
      <w:pPr>
        <w:pStyle w:val="Heading1multiline"/>
        <w:keepLines/>
        <w:numPr>
          <w:ilvl w:val="0"/>
          <w:numId w:val="50"/>
        </w:numPr>
        <w:suppressLineNumbers/>
        <w:tabs>
          <w:tab w:val="clear" w:pos="720"/>
        </w:tabs>
        <w:suppressAutoHyphens/>
        <w:kinsoku w:val="0"/>
        <w:overflowPunct w:val="0"/>
        <w:autoSpaceDE w:val="0"/>
        <w:autoSpaceDN w:val="0"/>
        <w:adjustRightInd w:val="0"/>
        <w:snapToGrid w:val="0"/>
        <w:spacing w:before="120"/>
        <w:ind w:left="1296" w:right="1008" w:hanging="576"/>
        <w:rPr>
          <w:rFonts w:eastAsia="Yu Mincho"/>
          <w:snapToGrid w:val="0"/>
          <w:kern w:val="22"/>
          <w:szCs w:val="22"/>
          <w:lang w:eastAsia="ja-JP"/>
        </w:rPr>
      </w:pPr>
      <w:r w:rsidRPr="00584A8D">
        <w:rPr>
          <w:rFonts w:eastAsia="Yu Mincho"/>
          <w:caps w:val="0"/>
          <w:snapToGrid w:val="0"/>
          <w:kern w:val="22"/>
          <w:szCs w:val="22"/>
          <w:lang w:eastAsia="ja-JP"/>
        </w:rPr>
        <w:t>PROGRESS IN DEVELOPING GUIDANCE FOR PARTIES THAT MAY ASSIST NATIONAL CUSTOMS AUTHORITIES IN FACILITATING THE NECESSARY CONTROL OF LIVE ALIEN SPECIES SOLD VIA</w:t>
      </w:r>
      <w:r w:rsidR="001D2937" w:rsidRPr="00584A8D">
        <w:rPr>
          <w:rFonts w:eastAsia="Yu Mincho"/>
          <w:caps w:val="0"/>
          <w:snapToGrid w:val="0"/>
          <w:kern w:val="22"/>
          <w:szCs w:val="22"/>
          <w:lang w:eastAsia="ja-JP"/>
        </w:rPr>
        <w:t> </w:t>
      </w:r>
      <w:r w:rsidRPr="00584A8D">
        <w:rPr>
          <w:rFonts w:eastAsia="Yu Mincho"/>
          <w:caps w:val="0"/>
          <w:snapToGrid w:val="0"/>
          <w:kern w:val="22"/>
          <w:szCs w:val="22"/>
          <w:lang w:eastAsia="ja-JP"/>
        </w:rPr>
        <w:t>E</w:t>
      </w:r>
      <w:r w:rsidR="001D2937" w:rsidRPr="00584A8D">
        <w:rPr>
          <w:rFonts w:eastAsia="Yu Mincho"/>
          <w:caps w:val="0"/>
          <w:snapToGrid w:val="0"/>
          <w:kern w:val="22"/>
          <w:szCs w:val="22"/>
          <w:lang w:eastAsia="ja-JP"/>
        </w:rPr>
        <w:noBreakHyphen/>
      </w:r>
      <w:r w:rsidRPr="00584A8D">
        <w:rPr>
          <w:rFonts w:eastAsia="Yu Mincho"/>
          <w:caps w:val="0"/>
          <w:snapToGrid w:val="0"/>
          <w:kern w:val="22"/>
          <w:szCs w:val="22"/>
          <w:lang w:eastAsia="ja-JP"/>
        </w:rPr>
        <w:t>COMMERCE</w:t>
      </w:r>
    </w:p>
    <w:p w14:paraId="690BE3F9" w14:textId="7D0FE4AD" w:rsidR="00D854BD" w:rsidRPr="00584A8D" w:rsidRDefault="003F097C" w:rsidP="00584A8D">
      <w:pPr>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584A8D">
        <w:rPr>
          <w:snapToGrid w:val="0"/>
          <w:kern w:val="22"/>
          <w:szCs w:val="22"/>
        </w:rPr>
        <w:t xml:space="preserve">As noted above, in </w:t>
      </w:r>
      <w:r w:rsidR="00EE3902" w:rsidRPr="00584A8D">
        <w:rPr>
          <w:rFonts w:eastAsia="Yu Mincho"/>
          <w:snapToGrid w:val="0"/>
          <w:kern w:val="22"/>
          <w:szCs w:val="22"/>
          <w:lang w:eastAsia="ja-JP"/>
        </w:rPr>
        <w:t>d</w:t>
      </w:r>
      <w:r w:rsidRPr="00584A8D">
        <w:rPr>
          <w:rFonts w:eastAsia="Yu Mincho"/>
          <w:snapToGrid w:val="0"/>
          <w:kern w:val="22"/>
          <w:szCs w:val="22"/>
          <w:lang w:eastAsia="ja-JP"/>
        </w:rPr>
        <w:t xml:space="preserve">ecision XIII/13, </w:t>
      </w:r>
      <w:r w:rsidRPr="00584A8D">
        <w:rPr>
          <w:snapToGrid w:val="0"/>
          <w:kern w:val="22"/>
          <w:szCs w:val="22"/>
        </w:rPr>
        <w:t xml:space="preserve">the Executive Secretary was requested to explore, in collaboration with various international organizations, the need for tools or guidance for Parties that </w:t>
      </w:r>
      <w:r w:rsidR="00D609E1" w:rsidRPr="00584A8D">
        <w:rPr>
          <w:snapToGrid w:val="0"/>
          <w:kern w:val="22"/>
          <w:szCs w:val="22"/>
        </w:rPr>
        <w:t>might</w:t>
      </w:r>
      <w:r w:rsidRPr="00584A8D">
        <w:rPr>
          <w:snapToGrid w:val="0"/>
          <w:kern w:val="22"/>
          <w:szCs w:val="22"/>
        </w:rPr>
        <w:t xml:space="preserve"> assist national customs authorities in facilitating the necessary control of live alien species via e</w:t>
      </w:r>
      <w:r w:rsidR="00826914" w:rsidRPr="00584A8D">
        <w:rPr>
          <w:snapToGrid w:val="0"/>
          <w:kern w:val="22"/>
          <w:szCs w:val="22"/>
        </w:rPr>
        <w:noBreakHyphen/>
      </w:r>
      <w:r w:rsidRPr="00584A8D">
        <w:rPr>
          <w:snapToGrid w:val="0"/>
          <w:kern w:val="22"/>
          <w:szCs w:val="22"/>
        </w:rPr>
        <w:t>commerce</w:t>
      </w:r>
      <w:r w:rsidR="005940D5" w:rsidRPr="00584A8D">
        <w:rPr>
          <w:snapToGrid w:val="0"/>
          <w:kern w:val="22"/>
          <w:szCs w:val="22"/>
        </w:rPr>
        <w:t>.</w:t>
      </w:r>
      <w:r w:rsidR="00EB28BF" w:rsidRPr="00584A8D">
        <w:rPr>
          <w:rStyle w:val="FootnoteReference"/>
          <w:snapToGrid w:val="0"/>
          <w:kern w:val="22"/>
          <w:sz w:val="22"/>
          <w:szCs w:val="22"/>
          <w:u w:val="none"/>
          <w:vertAlign w:val="superscript"/>
        </w:rPr>
        <w:footnoteReference w:id="20"/>
      </w:r>
      <w:r w:rsidRPr="00584A8D">
        <w:rPr>
          <w:snapToGrid w:val="0"/>
          <w:kern w:val="22"/>
          <w:szCs w:val="22"/>
        </w:rPr>
        <w:t xml:space="preserve"> </w:t>
      </w:r>
      <w:r w:rsidR="00D854BD" w:rsidRPr="00584A8D">
        <w:rPr>
          <w:rFonts w:eastAsia="MS Mincho"/>
          <w:snapToGrid w:val="0"/>
          <w:kern w:val="22"/>
          <w:szCs w:val="22"/>
          <w:lang w:eastAsia="ja-JP"/>
        </w:rPr>
        <w:t xml:space="preserve">The issue of e-commerce as it relates to the trade in live species </w:t>
      </w:r>
      <w:r w:rsidR="00D609E1" w:rsidRPr="00584A8D">
        <w:rPr>
          <w:rFonts w:eastAsia="MS Mincho"/>
          <w:snapToGrid w:val="0"/>
          <w:kern w:val="22"/>
          <w:szCs w:val="22"/>
          <w:lang w:eastAsia="ja-JP"/>
        </w:rPr>
        <w:t xml:space="preserve">has </w:t>
      </w:r>
      <w:r w:rsidR="00D854BD" w:rsidRPr="00584A8D">
        <w:rPr>
          <w:rFonts w:eastAsia="MS Mincho"/>
          <w:snapToGrid w:val="0"/>
          <w:kern w:val="22"/>
          <w:szCs w:val="22"/>
          <w:lang w:eastAsia="ja-JP"/>
        </w:rPr>
        <w:t xml:space="preserve">been addressed </w:t>
      </w:r>
      <w:r w:rsidR="00A65A02" w:rsidRPr="00584A8D">
        <w:rPr>
          <w:rFonts w:eastAsia="MS Mincho"/>
          <w:snapToGrid w:val="0"/>
          <w:kern w:val="22"/>
          <w:szCs w:val="22"/>
          <w:lang w:eastAsia="ja-JP"/>
        </w:rPr>
        <w:t xml:space="preserve">at </w:t>
      </w:r>
      <w:r w:rsidR="00D854BD" w:rsidRPr="00584A8D">
        <w:rPr>
          <w:rFonts w:eastAsia="MS Mincho"/>
          <w:snapToGrid w:val="0"/>
          <w:kern w:val="22"/>
          <w:szCs w:val="22"/>
          <w:lang w:eastAsia="ja-JP"/>
        </w:rPr>
        <w:t xml:space="preserve">various international </w:t>
      </w:r>
      <w:r w:rsidR="00B619B2" w:rsidRPr="00584A8D">
        <w:rPr>
          <w:rFonts w:eastAsia="MS Mincho"/>
          <w:snapToGrid w:val="0"/>
          <w:kern w:val="22"/>
          <w:szCs w:val="22"/>
          <w:lang w:eastAsia="ja-JP"/>
        </w:rPr>
        <w:t>forums</w:t>
      </w:r>
      <w:r w:rsidR="00D854BD" w:rsidRPr="00584A8D">
        <w:rPr>
          <w:snapToGrid w:val="0"/>
          <w:kern w:val="22"/>
          <w:szCs w:val="22"/>
        </w:rPr>
        <w:t>:</w:t>
      </w:r>
    </w:p>
    <w:p w14:paraId="4CB11C97" w14:textId="3AA27B16" w:rsidR="00D854BD" w:rsidRPr="00584A8D" w:rsidRDefault="00D854BD" w:rsidP="00584A8D">
      <w:pPr>
        <w:pStyle w:val="ListParagraph"/>
        <w:numPr>
          <w:ilvl w:val="0"/>
          <w:numId w:val="46"/>
        </w:numPr>
        <w:suppressLineNumbers/>
        <w:suppressAutoHyphens/>
        <w:kinsoku w:val="0"/>
        <w:overflowPunct w:val="0"/>
        <w:autoSpaceDE w:val="0"/>
        <w:autoSpaceDN w:val="0"/>
        <w:adjustRightInd w:val="0"/>
        <w:snapToGrid w:val="0"/>
        <w:spacing w:before="120" w:after="120"/>
        <w:ind w:left="0" w:firstLine="720"/>
        <w:contextualSpacing w:val="0"/>
        <w:rPr>
          <w:rFonts w:eastAsia="MS Mincho"/>
          <w:snapToGrid w:val="0"/>
          <w:kern w:val="22"/>
          <w:szCs w:val="22"/>
          <w:lang w:eastAsia="ja-JP"/>
        </w:rPr>
      </w:pPr>
      <w:r w:rsidRPr="00584A8D">
        <w:rPr>
          <w:rFonts w:eastAsia="MS Mincho"/>
          <w:snapToGrid w:val="0"/>
          <w:kern w:val="22"/>
          <w:szCs w:val="22"/>
          <w:lang w:eastAsia="ja-JP"/>
        </w:rPr>
        <w:t xml:space="preserve">The Conference of the Parties </w:t>
      </w:r>
      <w:r w:rsidR="00826914" w:rsidRPr="00584A8D">
        <w:rPr>
          <w:rFonts w:eastAsia="MS Mincho"/>
          <w:snapToGrid w:val="0"/>
          <w:kern w:val="22"/>
          <w:szCs w:val="22"/>
          <w:lang w:eastAsia="ja-JP"/>
        </w:rPr>
        <w:t xml:space="preserve">to </w:t>
      </w:r>
      <w:r w:rsidRPr="00584A8D">
        <w:rPr>
          <w:rFonts w:eastAsia="MS Mincho"/>
          <w:snapToGrid w:val="0"/>
          <w:kern w:val="22"/>
          <w:szCs w:val="22"/>
          <w:lang w:eastAsia="ja-JP"/>
        </w:rPr>
        <w:t xml:space="preserve">the </w:t>
      </w:r>
      <w:hyperlink r:id="rId16" w:history="1">
        <w:r w:rsidRPr="00584A8D">
          <w:rPr>
            <w:rStyle w:val="Hyperlink"/>
            <w:rFonts w:eastAsia="MS Mincho"/>
            <w:snapToGrid w:val="0"/>
            <w:kern w:val="22"/>
            <w:szCs w:val="22"/>
          </w:rPr>
          <w:t>Convention on International Trade in Endangered Species of Wild Fauna and Flora</w:t>
        </w:r>
      </w:hyperlink>
      <w:r w:rsidRPr="00584A8D">
        <w:rPr>
          <w:rFonts w:eastAsia="MS Mincho"/>
          <w:snapToGrid w:val="0"/>
          <w:kern w:val="22"/>
          <w:szCs w:val="22"/>
          <w:lang w:eastAsia="ja-JP"/>
        </w:rPr>
        <w:t xml:space="preserve"> (CITES) amended a resolution pertaining to e-commerce </w:t>
      </w:r>
      <w:r w:rsidR="00137D7C" w:rsidRPr="00584A8D">
        <w:rPr>
          <w:rFonts w:eastAsia="MS Mincho"/>
          <w:snapToGrid w:val="0"/>
          <w:kern w:val="22"/>
          <w:szCs w:val="22"/>
          <w:lang w:eastAsia="ja-JP"/>
        </w:rPr>
        <w:t xml:space="preserve">in </w:t>
      </w:r>
      <w:r w:rsidRPr="00584A8D">
        <w:rPr>
          <w:rFonts w:eastAsia="MS Mincho"/>
          <w:snapToGrid w:val="0"/>
          <w:kern w:val="22"/>
          <w:szCs w:val="22"/>
          <w:lang w:eastAsia="ja-JP"/>
        </w:rPr>
        <w:t>specimens</w:t>
      </w:r>
      <w:r w:rsidR="00137D7C" w:rsidRPr="00584A8D">
        <w:rPr>
          <w:rFonts w:eastAsia="MS Mincho"/>
          <w:snapToGrid w:val="0"/>
          <w:kern w:val="22"/>
          <w:szCs w:val="22"/>
          <w:lang w:eastAsia="ja-JP"/>
        </w:rPr>
        <w:t xml:space="preserve"> of CITES-listed species</w:t>
      </w:r>
      <w:r w:rsidRPr="00584A8D">
        <w:rPr>
          <w:rFonts w:eastAsia="MS Mincho"/>
          <w:snapToGrid w:val="0"/>
          <w:kern w:val="22"/>
          <w:szCs w:val="22"/>
          <w:vertAlign w:val="superscript"/>
          <w:lang w:eastAsia="ja-JP"/>
        </w:rPr>
        <w:footnoteReference w:id="21"/>
      </w:r>
      <w:r w:rsidRPr="00584A8D">
        <w:rPr>
          <w:rFonts w:eastAsia="MS Mincho"/>
          <w:snapToGrid w:val="0"/>
          <w:kern w:val="22"/>
          <w:szCs w:val="22"/>
          <w:lang w:eastAsia="ja-JP"/>
        </w:rPr>
        <w:t xml:space="preserve"> and </w:t>
      </w:r>
      <w:r w:rsidR="00A51BE9" w:rsidRPr="00584A8D">
        <w:rPr>
          <w:rFonts w:eastAsia="MS Mincho"/>
          <w:snapToGrid w:val="0"/>
          <w:kern w:val="22"/>
          <w:szCs w:val="22"/>
          <w:lang w:eastAsia="ja-JP"/>
        </w:rPr>
        <w:t>made r</w:t>
      </w:r>
      <w:r w:rsidRPr="00584A8D">
        <w:rPr>
          <w:rFonts w:eastAsia="MS Mincho"/>
          <w:snapToGrid w:val="0"/>
          <w:kern w:val="22"/>
          <w:szCs w:val="22"/>
          <w:lang w:eastAsia="ja-JP"/>
        </w:rPr>
        <w:t>ecommend</w:t>
      </w:r>
      <w:r w:rsidR="00A51BE9" w:rsidRPr="00584A8D">
        <w:rPr>
          <w:rFonts w:eastAsia="MS Mincho"/>
          <w:snapToGrid w:val="0"/>
          <w:kern w:val="22"/>
          <w:szCs w:val="22"/>
          <w:lang w:eastAsia="ja-JP"/>
        </w:rPr>
        <w:t xml:space="preserve">ations to </w:t>
      </w:r>
      <w:r w:rsidR="00826914" w:rsidRPr="00584A8D">
        <w:rPr>
          <w:rFonts w:eastAsia="MS Mincho"/>
          <w:snapToGrid w:val="0"/>
          <w:kern w:val="22"/>
          <w:szCs w:val="22"/>
          <w:lang w:eastAsia="ja-JP"/>
        </w:rPr>
        <w:t xml:space="preserve">Parties to </w:t>
      </w:r>
      <w:r w:rsidR="00A51BE9" w:rsidRPr="00584A8D">
        <w:rPr>
          <w:rFonts w:eastAsia="MS Mincho"/>
          <w:snapToGrid w:val="0"/>
          <w:kern w:val="22"/>
          <w:szCs w:val="22"/>
          <w:lang w:eastAsia="ja-JP"/>
        </w:rPr>
        <w:t>CITES</w:t>
      </w:r>
      <w:r w:rsidRPr="00584A8D">
        <w:rPr>
          <w:rFonts w:eastAsia="MS Mincho"/>
          <w:snapToGrid w:val="0"/>
          <w:kern w:val="22"/>
          <w:szCs w:val="22"/>
          <w:lang w:eastAsia="ja-JP"/>
        </w:rPr>
        <w:t xml:space="preserve"> </w:t>
      </w:r>
      <w:r w:rsidR="00826914" w:rsidRPr="00584A8D">
        <w:rPr>
          <w:rFonts w:eastAsia="MS Mincho"/>
          <w:snapToGrid w:val="0"/>
          <w:kern w:val="22"/>
          <w:szCs w:val="22"/>
          <w:lang w:eastAsia="ja-JP"/>
        </w:rPr>
        <w:t>concerning</w:t>
      </w:r>
      <w:r w:rsidRPr="00584A8D">
        <w:rPr>
          <w:rFonts w:eastAsia="MS Mincho"/>
          <w:snapToGrid w:val="0"/>
          <w:kern w:val="22"/>
          <w:szCs w:val="22"/>
          <w:lang w:eastAsia="ja-JP"/>
        </w:rPr>
        <w:t xml:space="preserve"> e-commerce </w:t>
      </w:r>
      <w:r w:rsidR="00B60762" w:rsidRPr="00584A8D">
        <w:rPr>
          <w:rFonts w:eastAsia="MS Mincho"/>
          <w:snapToGrid w:val="0"/>
          <w:kern w:val="22"/>
          <w:szCs w:val="22"/>
          <w:lang w:eastAsia="ja-JP"/>
        </w:rPr>
        <w:t xml:space="preserve">in </w:t>
      </w:r>
      <w:r w:rsidRPr="00584A8D">
        <w:rPr>
          <w:rFonts w:eastAsia="MS Mincho"/>
          <w:snapToGrid w:val="0"/>
          <w:kern w:val="22"/>
          <w:szCs w:val="22"/>
          <w:lang w:eastAsia="ja-JP"/>
        </w:rPr>
        <w:t xml:space="preserve">specimens with </w:t>
      </w:r>
      <w:r w:rsidR="00A51BE9" w:rsidRPr="00584A8D">
        <w:rPr>
          <w:rFonts w:eastAsia="MS Mincho"/>
          <w:snapToGrid w:val="0"/>
          <w:kern w:val="22"/>
          <w:szCs w:val="22"/>
          <w:lang w:eastAsia="ja-JP"/>
        </w:rPr>
        <w:t xml:space="preserve">regard </w:t>
      </w:r>
      <w:r w:rsidRPr="00584A8D">
        <w:rPr>
          <w:rFonts w:eastAsia="MS Mincho"/>
          <w:snapToGrid w:val="0"/>
          <w:kern w:val="22"/>
          <w:szCs w:val="22"/>
          <w:lang w:eastAsia="ja-JP"/>
        </w:rPr>
        <w:t xml:space="preserve">to investigating and controlling illegal wildlife trade. However, this is not directly relevant to the control of invasive alien species (except for species listed in the CITES appendices </w:t>
      </w:r>
      <w:r w:rsidR="00A51BE9" w:rsidRPr="00584A8D">
        <w:rPr>
          <w:rFonts w:eastAsia="MS Mincho"/>
          <w:snapToGrid w:val="0"/>
          <w:kern w:val="22"/>
          <w:szCs w:val="22"/>
          <w:lang w:eastAsia="ja-JP"/>
        </w:rPr>
        <w:t>that may be</w:t>
      </w:r>
      <w:r w:rsidRPr="00584A8D">
        <w:rPr>
          <w:rFonts w:eastAsia="MS Mincho"/>
          <w:snapToGrid w:val="0"/>
          <w:kern w:val="22"/>
          <w:szCs w:val="22"/>
          <w:lang w:eastAsia="ja-JP"/>
        </w:rPr>
        <w:t xml:space="preserve"> invasive)</w:t>
      </w:r>
      <w:r w:rsidR="008F34E9" w:rsidRPr="00584A8D">
        <w:rPr>
          <w:rFonts w:eastAsia="MS Mincho"/>
          <w:snapToGrid w:val="0"/>
          <w:kern w:val="22"/>
          <w:szCs w:val="22"/>
          <w:lang w:eastAsia="ja-JP"/>
        </w:rPr>
        <w:t>;</w:t>
      </w:r>
    </w:p>
    <w:p w14:paraId="41A2A69F" w14:textId="39BF987D" w:rsidR="00D854BD" w:rsidRPr="00584A8D" w:rsidRDefault="00D854BD" w:rsidP="00584A8D">
      <w:pPr>
        <w:numPr>
          <w:ilvl w:val="0"/>
          <w:numId w:val="46"/>
        </w:numPr>
        <w:suppressLineNumbers/>
        <w:suppressAutoHyphens/>
        <w:kinsoku w:val="0"/>
        <w:overflowPunct w:val="0"/>
        <w:autoSpaceDE w:val="0"/>
        <w:autoSpaceDN w:val="0"/>
        <w:adjustRightInd w:val="0"/>
        <w:snapToGrid w:val="0"/>
        <w:spacing w:before="120" w:after="120"/>
        <w:ind w:left="0" w:firstLine="720"/>
        <w:rPr>
          <w:rFonts w:eastAsia="Yu Mincho"/>
          <w:snapToGrid w:val="0"/>
          <w:kern w:val="22"/>
          <w:szCs w:val="22"/>
          <w:lang w:eastAsia="ja-JP"/>
        </w:rPr>
      </w:pPr>
      <w:r w:rsidRPr="00584A8D">
        <w:rPr>
          <w:rFonts w:eastAsia="Yu Mincho"/>
          <w:snapToGrid w:val="0"/>
          <w:kern w:val="22"/>
          <w:szCs w:val="22"/>
          <w:lang w:eastAsia="ja-JP"/>
        </w:rPr>
        <w:t xml:space="preserve">The </w:t>
      </w:r>
      <w:hyperlink r:id="rId17" w:history="1">
        <w:r w:rsidRPr="00584A8D">
          <w:rPr>
            <w:rStyle w:val="Hyperlink"/>
            <w:rFonts w:eastAsia="Yu Mincho"/>
            <w:snapToGrid w:val="0"/>
            <w:kern w:val="22"/>
            <w:szCs w:val="22"/>
          </w:rPr>
          <w:t>International Plant Protection Convention</w:t>
        </w:r>
      </w:hyperlink>
      <w:r w:rsidRPr="00584A8D">
        <w:rPr>
          <w:rFonts w:eastAsia="Yu Mincho"/>
          <w:snapToGrid w:val="0"/>
          <w:kern w:val="22"/>
          <w:szCs w:val="22"/>
          <w:lang w:eastAsia="ja-JP"/>
        </w:rPr>
        <w:t xml:space="preserve"> (IPPC) has worked on the topic of e</w:t>
      </w:r>
      <w:r w:rsidR="003545CE" w:rsidRPr="00584A8D">
        <w:rPr>
          <w:rFonts w:eastAsia="Yu Mincho"/>
          <w:snapToGrid w:val="0"/>
          <w:kern w:val="22"/>
          <w:szCs w:val="22"/>
          <w:lang w:eastAsia="ja-JP"/>
        </w:rPr>
        <w:noBreakHyphen/>
      </w:r>
      <w:r w:rsidRPr="00584A8D">
        <w:rPr>
          <w:rFonts w:eastAsia="Yu Mincho"/>
          <w:snapToGrid w:val="0"/>
          <w:kern w:val="22"/>
          <w:szCs w:val="22"/>
          <w:lang w:eastAsia="ja-JP"/>
        </w:rPr>
        <w:t xml:space="preserve">commerce </w:t>
      </w:r>
      <w:r w:rsidR="005D74C0" w:rsidRPr="00584A8D">
        <w:rPr>
          <w:rFonts w:eastAsia="Yu Mincho"/>
          <w:snapToGrid w:val="0"/>
          <w:kern w:val="22"/>
          <w:szCs w:val="22"/>
          <w:lang w:eastAsia="ja-JP"/>
        </w:rPr>
        <w:t xml:space="preserve">in </w:t>
      </w:r>
      <w:r w:rsidRPr="00584A8D">
        <w:rPr>
          <w:rFonts w:eastAsia="Yu Mincho"/>
          <w:snapToGrid w:val="0"/>
          <w:kern w:val="22"/>
          <w:szCs w:val="22"/>
          <w:lang w:eastAsia="ja-JP"/>
        </w:rPr>
        <w:t>plants since 2010</w:t>
      </w:r>
      <w:r w:rsidR="00826914" w:rsidRPr="00584A8D">
        <w:rPr>
          <w:rFonts w:eastAsia="Yu Mincho"/>
          <w:snapToGrid w:val="0"/>
          <w:kern w:val="22"/>
          <w:szCs w:val="22"/>
          <w:lang w:eastAsia="ja-JP"/>
        </w:rPr>
        <w:t>.</w:t>
      </w:r>
      <w:r w:rsidRPr="00584A8D">
        <w:rPr>
          <w:rFonts w:eastAsia="Calibri"/>
          <w:snapToGrid w:val="0"/>
          <w:kern w:val="22"/>
          <w:szCs w:val="22"/>
          <w:shd w:val="clear" w:color="auto" w:fill="FFFFFF"/>
          <w:vertAlign w:val="superscript"/>
          <w:lang w:eastAsia="ja-JP"/>
        </w:rPr>
        <w:footnoteReference w:id="22"/>
      </w:r>
      <w:r w:rsidRPr="00584A8D">
        <w:rPr>
          <w:rFonts w:eastAsia="Yu Mincho"/>
          <w:snapToGrid w:val="0"/>
          <w:kern w:val="22"/>
          <w:szCs w:val="22"/>
          <w:vertAlign w:val="superscript"/>
          <w:lang w:eastAsia="ja-JP"/>
        </w:rPr>
        <w:t>,</w:t>
      </w:r>
      <w:r w:rsidRPr="00584A8D">
        <w:rPr>
          <w:rFonts w:eastAsia="Calibri"/>
          <w:snapToGrid w:val="0"/>
          <w:kern w:val="22"/>
          <w:szCs w:val="22"/>
          <w:shd w:val="clear" w:color="auto" w:fill="FFFFFF"/>
          <w:vertAlign w:val="superscript"/>
          <w:lang w:eastAsia="ja-JP"/>
        </w:rPr>
        <w:footnoteReference w:id="23"/>
      </w:r>
      <w:r w:rsidRPr="00584A8D">
        <w:rPr>
          <w:rFonts w:eastAsia="Yu Mincho"/>
          <w:snapToGrid w:val="0"/>
          <w:kern w:val="22"/>
          <w:szCs w:val="22"/>
          <w:vertAlign w:val="superscript"/>
          <w:lang w:eastAsia="ja-JP"/>
        </w:rPr>
        <w:t>,</w:t>
      </w:r>
      <w:r w:rsidRPr="00584A8D">
        <w:rPr>
          <w:rFonts w:eastAsia="Yu Mincho"/>
          <w:snapToGrid w:val="0"/>
          <w:kern w:val="22"/>
          <w:szCs w:val="22"/>
          <w:vertAlign w:val="superscript"/>
          <w:lang w:eastAsia="ja-JP"/>
        </w:rPr>
        <w:footnoteReference w:id="24"/>
      </w:r>
      <w:r w:rsidRPr="00584A8D">
        <w:rPr>
          <w:rFonts w:eastAsia="Yu Mincho"/>
          <w:snapToGrid w:val="0"/>
          <w:kern w:val="22"/>
          <w:szCs w:val="22"/>
          <w:lang w:eastAsia="ja-JP"/>
        </w:rPr>
        <w:t xml:space="preserve"> The Bureau of the </w:t>
      </w:r>
      <w:hyperlink r:id="rId18" w:history="1">
        <w:r w:rsidRPr="00584A8D">
          <w:rPr>
            <w:rStyle w:val="Hyperlink"/>
            <w:rFonts w:eastAsia="Yu Mincho"/>
            <w:snapToGrid w:val="0"/>
            <w:kern w:val="22"/>
            <w:szCs w:val="22"/>
          </w:rPr>
          <w:t>Commission on Phytosanitary Measures</w:t>
        </w:r>
      </w:hyperlink>
      <w:r w:rsidRPr="00584A8D">
        <w:rPr>
          <w:rFonts w:eastAsia="Yu Mincho"/>
          <w:snapToGrid w:val="0"/>
          <w:kern w:val="22"/>
          <w:szCs w:val="22"/>
          <w:lang w:eastAsia="ja-JP"/>
        </w:rPr>
        <w:t xml:space="preserve"> recommended that e-commerce issues be </w:t>
      </w:r>
      <w:r w:rsidR="00DB1D29" w:rsidRPr="00584A8D">
        <w:rPr>
          <w:rFonts w:eastAsia="Yu Mincho"/>
          <w:snapToGrid w:val="0"/>
          <w:kern w:val="22"/>
          <w:szCs w:val="22"/>
          <w:lang w:eastAsia="ja-JP"/>
        </w:rPr>
        <w:t>addressed</w:t>
      </w:r>
      <w:r w:rsidRPr="00584A8D">
        <w:rPr>
          <w:rFonts w:eastAsia="Yu Mincho"/>
          <w:snapToGrid w:val="0"/>
          <w:kern w:val="22"/>
          <w:szCs w:val="22"/>
          <w:lang w:eastAsia="ja-JP"/>
        </w:rPr>
        <w:t xml:space="preserve"> through the </w:t>
      </w:r>
      <w:hyperlink r:id="rId19" w:history="1">
        <w:r w:rsidRPr="00584A8D">
          <w:rPr>
            <w:rStyle w:val="Hyperlink"/>
            <w:rFonts w:eastAsia="Yu Mincho"/>
            <w:snapToGrid w:val="0"/>
            <w:kern w:val="22"/>
            <w:szCs w:val="22"/>
          </w:rPr>
          <w:t>Trade Facilitation Agreement</w:t>
        </w:r>
      </w:hyperlink>
      <w:r w:rsidRPr="00584A8D">
        <w:rPr>
          <w:rFonts w:eastAsia="Yu Mincho"/>
          <w:snapToGrid w:val="0"/>
          <w:kern w:val="22"/>
          <w:szCs w:val="22"/>
          <w:lang w:eastAsia="ja-JP"/>
        </w:rPr>
        <w:t xml:space="preserve"> under the World Trade Organization</w:t>
      </w:r>
      <w:r w:rsidR="00B059F4" w:rsidRPr="00584A8D">
        <w:rPr>
          <w:rFonts w:eastAsia="Yu Mincho"/>
          <w:snapToGrid w:val="0"/>
          <w:kern w:val="22"/>
          <w:szCs w:val="22"/>
          <w:lang w:eastAsia="ja-JP"/>
        </w:rPr>
        <w:t>,</w:t>
      </w:r>
      <w:r w:rsidRPr="00584A8D">
        <w:rPr>
          <w:rFonts w:eastAsia="Yu Mincho"/>
          <w:snapToGrid w:val="0"/>
          <w:kern w:val="22"/>
          <w:szCs w:val="22"/>
          <w:lang w:eastAsia="ja-JP"/>
        </w:rPr>
        <w:t xml:space="preserve"> and sugge</w:t>
      </w:r>
      <w:r w:rsidR="00B059F4" w:rsidRPr="00584A8D">
        <w:rPr>
          <w:rFonts w:eastAsia="Yu Mincho"/>
          <w:snapToGrid w:val="0"/>
          <w:kern w:val="22"/>
          <w:szCs w:val="22"/>
          <w:lang w:eastAsia="ja-JP"/>
        </w:rPr>
        <w:t xml:space="preserve">sted several actions, </w:t>
      </w:r>
      <w:r w:rsidR="0043336A" w:rsidRPr="00584A8D">
        <w:rPr>
          <w:rFonts w:eastAsia="Yu Mincho"/>
          <w:snapToGrid w:val="0"/>
          <w:kern w:val="22"/>
          <w:szCs w:val="22"/>
          <w:lang w:eastAsia="ja-JP"/>
        </w:rPr>
        <w:t>including</w:t>
      </w:r>
      <w:r w:rsidR="00B059F4" w:rsidRPr="00584A8D">
        <w:rPr>
          <w:rFonts w:eastAsia="Yu Mincho"/>
          <w:snapToGrid w:val="0"/>
          <w:kern w:val="22"/>
          <w:szCs w:val="22"/>
          <w:lang w:eastAsia="ja-JP"/>
        </w:rPr>
        <w:t>:</w:t>
      </w:r>
      <w:r w:rsidRPr="00584A8D">
        <w:rPr>
          <w:rFonts w:eastAsia="Yu Mincho"/>
          <w:snapToGrid w:val="0"/>
          <w:kern w:val="22"/>
          <w:szCs w:val="22"/>
          <w:lang w:eastAsia="ja-JP"/>
        </w:rPr>
        <w:t xml:space="preserve"> </w:t>
      </w:r>
      <w:r w:rsidR="0043336A" w:rsidRPr="00584A8D">
        <w:rPr>
          <w:rFonts w:eastAsia="Yu Mincho"/>
          <w:snapToGrid w:val="0"/>
          <w:kern w:val="22"/>
          <w:szCs w:val="22"/>
          <w:lang w:eastAsia="ja-JP"/>
        </w:rPr>
        <w:t>(</w:t>
      </w:r>
      <w:proofErr w:type="spellStart"/>
      <w:r w:rsidR="0043336A" w:rsidRPr="00584A8D">
        <w:rPr>
          <w:rFonts w:eastAsia="Yu Mincho"/>
          <w:snapToGrid w:val="0"/>
          <w:kern w:val="22"/>
          <w:szCs w:val="22"/>
          <w:lang w:eastAsia="ja-JP"/>
        </w:rPr>
        <w:t>i</w:t>
      </w:r>
      <w:proofErr w:type="spellEnd"/>
      <w:r w:rsidR="0043336A" w:rsidRPr="00584A8D">
        <w:rPr>
          <w:rFonts w:eastAsia="Yu Mincho"/>
          <w:snapToGrid w:val="0"/>
          <w:kern w:val="22"/>
          <w:szCs w:val="22"/>
          <w:lang w:eastAsia="ja-JP"/>
        </w:rPr>
        <w:t xml:space="preserve">) the </w:t>
      </w:r>
      <w:r w:rsidRPr="00584A8D">
        <w:rPr>
          <w:rFonts w:eastAsia="Yu Mincho"/>
          <w:snapToGrid w:val="0"/>
          <w:kern w:val="22"/>
          <w:szCs w:val="22"/>
          <w:lang w:eastAsia="ja-JP"/>
        </w:rPr>
        <w:t>preparation of fact</w:t>
      </w:r>
      <w:r w:rsidR="0043336A" w:rsidRPr="00584A8D">
        <w:rPr>
          <w:rFonts w:eastAsia="Yu Mincho"/>
          <w:snapToGrid w:val="0"/>
          <w:kern w:val="22"/>
          <w:szCs w:val="22"/>
          <w:lang w:eastAsia="ja-JP"/>
        </w:rPr>
        <w:t xml:space="preserve"> </w:t>
      </w:r>
      <w:r w:rsidRPr="00584A8D">
        <w:rPr>
          <w:rFonts w:eastAsia="Yu Mincho"/>
          <w:snapToGrid w:val="0"/>
          <w:kern w:val="22"/>
          <w:szCs w:val="22"/>
          <w:lang w:eastAsia="ja-JP"/>
        </w:rPr>
        <w:t xml:space="preserve">sheets for </w:t>
      </w:r>
      <w:r w:rsidR="009A2735" w:rsidRPr="00584A8D">
        <w:rPr>
          <w:rFonts w:eastAsia="Yu Mincho"/>
          <w:snapToGrid w:val="0"/>
          <w:kern w:val="22"/>
          <w:szCs w:val="22"/>
          <w:lang w:eastAsia="ja-JP"/>
        </w:rPr>
        <w:t>n</w:t>
      </w:r>
      <w:r w:rsidRPr="00584A8D">
        <w:rPr>
          <w:rFonts w:eastAsia="Yu Mincho"/>
          <w:snapToGrid w:val="0"/>
          <w:kern w:val="22"/>
          <w:szCs w:val="22"/>
          <w:lang w:eastAsia="ja-JP"/>
        </w:rPr>
        <w:t xml:space="preserve">ational </w:t>
      </w:r>
      <w:r w:rsidR="009A2735" w:rsidRPr="00584A8D">
        <w:rPr>
          <w:rFonts w:eastAsia="Yu Mincho"/>
          <w:snapToGrid w:val="0"/>
          <w:kern w:val="22"/>
          <w:szCs w:val="22"/>
          <w:lang w:eastAsia="ja-JP"/>
        </w:rPr>
        <w:t>p</w:t>
      </w:r>
      <w:r w:rsidRPr="00584A8D">
        <w:rPr>
          <w:rFonts w:eastAsia="Yu Mincho"/>
          <w:snapToGrid w:val="0"/>
          <w:kern w:val="22"/>
          <w:szCs w:val="22"/>
          <w:lang w:eastAsia="ja-JP"/>
        </w:rPr>
        <w:t xml:space="preserve">lant </w:t>
      </w:r>
      <w:r w:rsidR="009A2735" w:rsidRPr="00584A8D">
        <w:rPr>
          <w:rFonts w:eastAsia="Yu Mincho"/>
          <w:snapToGrid w:val="0"/>
          <w:kern w:val="22"/>
          <w:szCs w:val="22"/>
          <w:lang w:eastAsia="ja-JP"/>
        </w:rPr>
        <w:t>p</w:t>
      </w:r>
      <w:r w:rsidRPr="00584A8D">
        <w:rPr>
          <w:rFonts w:eastAsia="Yu Mincho"/>
          <w:snapToGrid w:val="0"/>
          <w:kern w:val="22"/>
          <w:szCs w:val="22"/>
          <w:lang w:eastAsia="ja-JP"/>
        </w:rPr>
        <w:t xml:space="preserve">rotection </w:t>
      </w:r>
      <w:r w:rsidR="009A2735" w:rsidRPr="00584A8D">
        <w:rPr>
          <w:rFonts w:eastAsia="Yu Mincho"/>
          <w:snapToGrid w:val="0"/>
          <w:kern w:val="22"/>
          <w:szCs w:val="22"/>
          <w:lang w:eastAsia="ja-JP"/>
        </w:rPr>
        <w:t>o</w:t>
      </w:r>
      <w:r w:rsidRPr="00584A8D">
        <w:rPr>
          <w:rFonts w:eastAsia="Yu Mincho"/>
          <w:snapToGrid w:val="0"/>
          <w:kern w:val="22"/>
          <w:szCs w:val="22"/>
          <w:lang w:eastAsia="ja-JP"/>
        </w:rPr>
        <w:t>rganizations</w:t>
      </w:r>
      <w:r w:rsidR="00B059F4" w:rsidRPr="00584A8D">
        <w:rPr>
          <w:rFonts w:eastAsia="Yu Mincho"/>
          <w:snapToGrid w:val="0"/>
          <w:kern w:val="22"/>
          <w:szCs w:val="22"/>
          <w:lang w:eastAsia="ja-JP"/>
        </w:rPr>
        <w:t>;</w:t>
      </w:r>
      <w:r w:rsidRPr="00584A8D">
        <w:rPr>
          <w:rFonts w:eastAsia="Yu Mincho"/>
          <w:snapToGrid w:val="0"/>
          <w:kern w:val="22"/>
          <w:szCs w:val="22"/>
          <w:lang w:eastAsia="ja-JP"/>
        </w:rPr>
        <w:t xml:space="preserve"> </w:t>
      </w:r>
      <w:r w:rsidR="0043336A" w:rsidRPr="00584A8D">
        <w:rPr>
          <w:rFonts w:eastAsia="Yu Mincho"/>
          <w:snapToGrid w:val="0"/>
          <w:kern w:val="22"/>
          <w:szCs w:val="22"/>
          <w:lang w:eastAsia="ja-JP"/>
        </w:rPr>
        <w:t xml:space="preserve">(ii) the </w:t>
      </w:r>
      <w:r w:rsidRPr="00584A8D">
        <w:rPr>
          <w:rFonts w:eastAsia="Yu Mincho"/>
          <w:snapToGrid w:val="0"/>
          <w:kern w:val="22"/>
          <w:szCs w:val="22"/>
          <w:lang w:eastAsia="ja-JP"/>
        </w:rPr>
        <w:t xml:space="preserve">engagement of e-commerce players and delivery services, including the </w:t>
      </w:r>
      <w:hyperlink r:id="rId20" w:history="1">
        <w:r w:rsidRPr="00584A8D">
          <w:rPr>
            <w:rStyle w:val="Hyperlink"/>
            <w:rFonts w:eastAsia="Yu Mincho"/>
            <w:snapToGrid w:val="0"/>
            <w:kern w:val="22"/>
            <w:szCs w:val="22"/>
          </w:rPr>
          <w:t>Universal Postal Union</w:t>
        </w:r>
      </w:hyperlink>
      <w:r w:rsidR="00B059F4" w:rsidRPr="00584A8D">
        <w:rPr>
          <w:rFonts w:eastAsia="Yu Mincho"/>
          <w:snapToGrid w:val="0"/>
          <w:kern w:val="22"/>
          <w:szCs w:val="22"/>
          <w:lang w:eastAsia="ja-JP"/>
        </w:rPr>
        <w:t>;</w:t>
      </w:r>
      <w:r w:rsidRPr="00584A8D">
        <w:rPr>
          <w:rFonts w:eastAsia="Yu Mincho"/>
          <w:snapToGrid w:val="0"/>
          <w:kern w:val="22"/>
          <w:szCs w:val="22"/>
          <w:lang w:eastAsia="ja-JP"/>
        </w:rPr>
        <w:t xml:space="preserve"> and </w:t>
      </w:r>
      <w:r w:rsidR="0043336A" w:rsidRPr="00584A8D">
        <w:rPr>
          <w:rFonts w:eastAsia="Yu Mincho"/>
          <w:snapToGrid w:val="0"/>
          <w:kern w:val="22"/>
          <w:szCs w:val="22"/>
          <w:lang w:eastAsia="ja-JP"/>
        </w:rPr>
        <w:t xml:space="preserve">(iii) the </w:t>
      </w:r>
      <w:r w:rsidRPr="00584A8D">
        <w:rPr>
          <w:rFonts w:eastAsia="Yu Mincho"/>
          <w:snapToGrid w:val="0"/>
          <w:kern w:val="22"/>
          <w:szCs w:val="22"/>
          <w:lang w:eastAsia="ja-JP"/>
        </w:rPr>
        <w:t>drafting of standardized information for those stakeholders. IPPC also cooperates with the World Customs Organization’s Working Group</w:t>
      </w:r>
      <w:r w:rsidR="00A105A5" w:rsidRPr="00584A8D">
        <w:rPr>
          <w:rFonts w:eastAsia="Yu Mincho"/>
          <w:snapToGrid w:val="0"/>
          <w:kern w:val="22"/>
          <w:szCs w:val="22"/>
          <w:lang w:eastAsia="ja-JP"/>
        </w:rPr>
        <w:t xml:space="preserve"> on E-Commerce</w:t>
      </w:r>
      <w:r w:rsidRPr="00584A8D">
        <w:rPr>
          <w:rFonts w:eastAsia="Yu Mincho"/>
          <w:snapToGrid w:val="0"/>
          <w:kern w:val="22"/>
          <w:szCs w:val="22"/>
          <w:lang w:eastAsia="ja-JP"/>
        </w:rPr>
        <w:t xml:space="preserve"> and </w:t>
      </w:r>
      <w:r w:rsidR="005D74C0" w:rsidRPr="00584A8D">
        <w:rPr>
          <w:rFonts w:eastAsia="Yu Mincho"/>
          <w:snapToGrid w:val="0"/>
          <w:kern w:val="22"/>
          <w:szCs w:val="22"/>
          <w:lang w:eastAsia="ja-JP"/>
        </w:rPr>
        <w:t xml:space="preserve">with </w:t>
      </w:r>
      <w:r w:rsidRPr="00584A8D">
        <w:rPr>
          <w:rFonts w:eastAsia="Yu Mincho"/>
          <w:snapToGrid w:val="0"/>
          <w:kern w:val="22"/>
          <w:szCs w:val="22"/>
          <w:lang w:eastAsia="ja-JP"/>
        </w:rPr>
        <w:t xml:space="preserve">WTO </w:t>
      </w:r>
      <w:r w:rsidR="005D74C0" w:rsidRPr="00584A8D">
        <w:rPr>
          <w:rFonts w:eastAsia="Yu Mincho"/>
          <w:snapToGrid w:val="0"/>
          <w:kern w:val="22"/>
          <w:szCs w:val="22"/>
          <w:lang w:eastAsia="ja-JP"/>
        </w:rPr>
        <w:t xml:space="preserve">in connection with the </w:t>
      </w:r>
      <w:r w:rsidRPr="00584A8D">
        <w:rPr>
          <w:rFonts w:eastAsia="Yu Mincho"/>
          <w:snapToGrid w:val="0"/>
          <w:kern w:val="22"/>
          <w:szCs w:val="22"/>
          <w:lang w:eastAsia="ja-JP"/>
        </w:rPr>
        <w:t>Trade Facilitation Agreement</w:t>
      </w:r>
      <w:r w:rsidR="008F34E9" w:rsidRPr="00584A8D">
        <w:rPr>
          <w:rFonts w:eastAsia="Yu Mincho"/>
          <w:snapToGrid w:val="0"/>
          <w:kern w:val="22"/>
          <w:szCs w:val="22"/>
          <w:lang w:eastAsia="ja-JP"/>
        </w:rPr>
        <w:t>;</w:t>
      </w:r>
    </w:p>
    <w:p w14:paraId="5E226EBD" w14:textId="5E70255E" w:rsidR="00810036" w:rsidRPr="00584A8D" w:rsidRDefault="00D854BD" w:rsidP="00584A8D">
      <w:pPr>
        <w:pStyle w:val="ListParagraph"/>
        <w:numPr>
          <w:ilvl w:val="0"/>
          <w:numId w:val="46"/>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 xml:space="preserve">The </w:t>
      </w:r>
      <w:hyperlink r:id="rId21" w:history="1">
        <w:r w:rsidRPr="00584A8D">
          <w:rPr>
            <w:rStyle w:val="Hyperlink"/>
            <w:rFonts w:eastAsia="Yu Mincho"/>
            <w:snapToGrid w:val="0"/>
            <w:kern w:val="22"/>
            <w:szCs w:val="22"/>
          </w:rPr>
          <w:t>World Customs Organization</w:t>
        </w:r>
      </w:hyperlink>
      <w:r w:rsidRPr="00584A8D">
        <w:rPr>
          <w:rFonts w:eastAsia="Yu Mincho"/>
          <w:snapToGrid w:val="0"/>
          <w:kern w:val="22"/>
          <w:szCs w:val="22"/>
          <w:lang w:eastAsia="ja-JP"/>
        </w:rPr>
        <w:t xml:space="preserve"> (WCO) established a Working Group on E-Commerce in 2016. Following the first meeting of the Working Group, WCO carried out a survey among its member States and published a Study Report on Cross-border E-Commerce</w:t>
      </w:r>
      <w:r w:rsidRPr="00584A8D">
        <w:rPr>
          <w:rFonts w:eastAsia="Yu Mincho"/>
          <w:snapToGrid w:val="0"/>
          <w:kern w:val="22"/>
          <w:szCs w:val="22"/>
          <w:vertAlign w:val="superscript"/>
          <w:lang w:eastAsia="ja-JP"/>
        </w:rPr>
        <w:footnoteReference w:id="25"/>
      </w:r>
      <w:r w:rsidRPr="00584A8D">
        <w:rPr>
          <w:rFonts w:eastAsia="Yu Mincho"/>
          <w:snapToGrid w:val="0"/>
          <w:kern w:val="22"/>
          <w:szCs w:val="22"/>
          <w:lang w:eastAsia="ja-JP"/>
        </w:rPr>
        <w:t xml:space="preserve"> in March 2017. The Secretariat </w:t>
      </w:r>
      <w:r w:rsidR="00B059F4" w:rsidRPr="00584A8D">
        <w:rPr>
          <w:rFonts w:eastAsia="Yu Mincho"/>
          <w:snapToGrid w:val="0"/>
          <w:kern w:val="22"/>
          <w:szCs w:val="22"/>
          <w:lang w:eastAsia="ja-JP"/>
        </w:rPr>
        <w:t xml:space="preserve">of the </w:t>
      </w:r>
      <w:r w:rsidR="00B62B9C" w:rsidRPr="00584A8D">
        <w:rPr>
          <w:rFonts w:eastAsia="Yu Mincho"/>
          <w:snapToGrid w:val="0"/>
          <w:kern w:val="22"/>
          <w:szCs w:val="22"/>
          <w:lang w:eastAsia="ja-JP"/>
        </w:rPr>
        <w:t xml:space="preserve">Convention on Biological Diversity </w:t>
      </w:r>
      <w:r w:rsidRPr="00584A8D">
        <w:rPr>
          <w:rFonts w:eastAsia="Yu Mincho"/>
          <w:snapToGrid w:val="0"/>
          <w:kern w:val="22"/>
          <w:szCs w:val="22"/>
          <w:lang w:eastAsia="ja-JP"/>
        </w:rPr>
        <w:t>has collaborated with WCO through the eighth meeting of the Inter-agency Liaison Group on Invasive Alien Species,</w:t>
      </w:r>
      <w:r w:rsidR="009B7F47" w:rsidRPr="00584A8D">
        <w:rPr>
          <w:rStyle w:val="FootnoteReference"/>
          <w:rFonts w:eastAsia="Yu Mincho"/>
          <w:snapToGrid w:val="0"/>
          <w:kern w:val="22"/>
          <w:sz w:val="22"/>
          <w:szCs w:val="22"/>
          <w:u w:val="none"/>
          <w:vertAlign w:val="superscript"/>
          <w:lang w:eastAsia="ja-JP"/>
        </w:rPr>
        <w:footnoteReference w:id="26"/>
      </w:r>
      <w:r w:rsidRPr="00584A8D">
        <w:rPr>
          <w:rFonts w:eastAsia="Yu Mincho"/>
          <w:snapToGrid w:val="0"/>
          <w:kern w:val="22"/>
          <w:szCs w:val="22"/>
          <w:lang w:eastAsia="ja-JP"/>
        </w:rPr>
        <w:t xml:space="preserve"> a meeting of the Sub-groups of the Working Group on E-Commerce,</w:t>
      </w:r>
      <w:r w:rsidR="009B7F47" w:rsidRPr="00584A8D">
        <w:rPr>
          <w:rStyle w:val="FootnoteReference"/>
          <w:rFonts w:eastAsia="Yu Mincho"/>
          <w:snapToGrid w:val="0"/>
          <w:kern w:val="22"/>
          <w:sz w:val="22"/>
          <w:szCs w:val="22"/>
          <w:u w:val="none"/>
          <w:vertAlign w:val="superscript"/>
          <w:lang w:eastAsia="ja-JP"/>
        </w:rPr>
        <w:footnoteReference w:id="27"/>
      </w:r>
      <w:r w:rsidRPr="00584A8D">
        <w:rPr>
          <w:rFonts w:eastAsia="Yu Mincho"/>
          <w:snapToGrid w:val="0"/>
          <w:kern w:val="22"/>
          <w:szCs w:val="22"/>
          <w:lang w:eastAsia="ja-JP"/>
        </w:rPr>
        <w:t xml:space="preserve"> and the first Global Cross-border E-Commerce Conference.</w:t>
      </w:r>
      <w:r w:rsidR="009B7F47" w:rsidRPr="00584A8D">
        <w:rPr>
          <w:rStyle w:val="FootnoteReference"/>
          <w:rFonts w:eastAsia="Yu Mincho"/>
          <w:snapToGrid w:val="0"/>
          <w:kern w:val="22"/>
          <w:sz w:val="22"/>
          <w:szCs w:val="22"/>
          <w:u w:val="none"/>
          <w:vertAlign w:val="superscript"/>
          <w:lang w:eastAsia="ja-JP"/>
        </w:rPr>
        <w:footnoteReference w:id="28"/>
      </w:r>
      <w:r w:rsidRPr="00584A8D">
        <w:rPr>
          <w:rFonts w:eastAsia="Yu Mincho"/>
          <w:snapToGrid w:val="0"/>
          <w:kern w:val="22"/>
          <w:szCs w:val="22"/>
          <w:lang w:eastAsia="ja-JP"/>
        </w:rPr>
        <w:t xml:space="preserve"> Through th</w:t>
      </w:r>
      <w:r w:rsidR="00B059F4" w:rsidRPr="00584A8D">
        <w:rPr>
          <w:rFonts w:eastAsia="Yu Mincho"/>
          <w:snapToGrid w:val="0"/>
          <w:kern w:val="22"/>
          <w:szCs w:val="22"/>
          <w:lang w:eastAsia="ja-JP"/>
        </w:rPr>
        <w:t>ese</w:t>
      </w:r>
      <w:r w:rsidRPr="00584A8D">
        <w:rPr>
          <w:rFonts w:eastAsia="Yu Mincho"/>
          <w:snapToGrid w:val="0"/>
          <w:kern w:val="22"/>
          <w:szCs w:val="22"/>
          <w:lang w:eastAsia="ja-JP"/>
        </w:rPr>
        <w:t xml:space="preserve"> </w:t>
      </w:r>
      <w:r w:rsidR="00B059F4" w:rsidRPr="00584A8D">
        <w:rPr>
          <w:rFonts w:eastAsia="Yu Mincho"/>
          <w:snapToGrid w:val="0"/>
          <w:kern w:val="22"/>
          <w:szCs w:val="22"/>
          <w:lang w:eastAsia="ja-JP"/>
        </w:rPr>
        <w:t>meetings</w:t>
      </w:r>
      <w:r w:rsidRPr="00584A8D">
        <w:rPr>
          <w:rFonts w:eastAsia="Yu Mincho"/>
          <w:snapToGrid w:val="0"/>
          <w:kern w:val="22"/>
          <w:szCs w:val="22"/>
          <w:lang w:eastAsia="ja-JP"/>
        </w:rPr>
        <w:t xml:space="preserve">, the Secretariat </w:t>
      </w:r>
      <w:r w:rsidR="00B059F4" w:rsidRPr="00584A8D">
        <w:rPr>
          <w:rFonts w:eastAsia="Yu Mincho"/>
          <w:snapToGrid w:val="0"/>
          <w:kern w:val="22"/>
          <w:szCs w:val="22"/>
          <w:lang w:eastAsia="ja-JP"/>
        </w:rPr>
        <w:t xml:space="preserve">of </w:t>
      </w:r>
      <w:r w:rsidR="00B62B9C" w:rsidRPr="00584A8D">
        <w:rPr>
          <w:rFonts w:eastAsia="Yu Mincho"/>
          <w:snapToGrid w:val="0"/>
          <w:kern w:val="22"/>
          <w:szCs w:val="22"/>
          <w:lang w:eastAsia="ja-JP"/>
        </w:rPr>
        <w:t xml:space="preserve">the Convention </w:t>
      </w:r>
      <w:r w:rsidRPr="00584A8D">
        <w:rPr>
          <w:rFonts w:eastAsia="Yu Mincho"/>
          <w:snapToGrid w:val="0"/>
          <w:kern w:val="22"/>
          <w:szCs w:val="22"/>
          <w:lang w:eastAsia="ja-JP"/>
        </w:rPr>
        <w:t>has contributed to the draft WCO Cross-Border E-Commerce Framework, which acknowledges</w:t>
      </w:r>
      <w:r w:rsidR="00387688" w:rsidRPr="00584A8D">
        <w:rPr>
          <w:rFonts w:eastAsia="Yu Mincho"/>
          <w:snapToGrid w:val="0"/>
          <w:kern w:val="22"/>
          <w:szCs w:val="22"/>
          <w:lang w:eastAsia="ja-JP"/>
        </w:rPr>
        <w:t>,</w:t>
      </w:r>
      <w:r w:rsidRPr="00584A8D">
        <w:rPr>
          <w:rFonts w:eastAsia="Yu Mincho"/>
          <w:snapToGrid w:val="0"/>
          <w:kern w:val="22"/>
          <w:szCs w:val="22"/>
          <w:lang w:eastAsia="ja-JP"/>
        </w:rPr>
        <w:t xml:space="preserve"> </w:t>
      </w:r>
      <w:r w:rsidR="00387688" w:rsidRPr="00584A8D">
        <w:rPr>
          <w:rFonts w:eastAsia="Yu Mincho"/>
          <w:snapToGrid w:val="0"/>
          <w:kern w:val="22"/>
          <w:szCs w:val="22"/>
          <w:lang w:eastAsia="ja-JP"/>
        </w:rPr>
        <w:t>in a</w:t>
      </w:r>
      <w:r w:rsidR="008F2852" w:rsidRPr="00584A8D">
        <w:rPr>
          <w:rFonts w:eastAsia="Yu Mincho"/>
          <w:snapToGrid w:val="0"/>
          <w:kern w:val="22"/>
          <w:szCs w:val="22"/>
          <w:lang w:eastAsia="ja-JP"/>
        </w:rPr>
        <w:t xml:space="preserve"> newly added</w:t>
      </w:r>
      <w:r w:rsidR="00387688" w:rsidRPr="00584A8D">
        <w:rPr>
          <w:rFonts w:eastAsia="Yu Mincho"/>
          <w:snapToGrid w:val="0"/>
          <w:kern w:val="22"/>
          <w:szCs w:val="22"/>
          <w:lang w:eastAsia="ja-JP"/>
        </w:rPr>
        <w:t xml:space="preserve"> chapter on safety and security, </w:t>
      </w:r>
      <w:r w:rsidRPr="00584A8D">
        <w:rPr>
          <w:rFonts w:eastAsia="Yu Mincho"/>
          <w:snapToGrid w:val="0"/>
          <w:kern w:val="22"/>
          <w:szCs w:val="22"/>
          <w:lang w:eastAsia="ja-JP"/>
        </w:rPr>
        <w:t xml:space="preserve">that living organisms, invasive alien species, pests, pathogens and products derived from animals, plants and fungi that may carry the risk of biological invasions in importing countries. The Cross-Border E-Commerce Framework </w:t>
      </w:r>
      <w:r w:rsidR="00D921CC" w:rsidRPr="00584A8D">
        <w:rPr>
          <w:rFonts w:eastAsia="Yu Mincho"/>
          <w:snapToGrid w:val="0"/>
          <w:kern w:val="22"/>
          <w:szCs w:val="22"/>
          <w:lang w:eastAsia="ja-JP"/>
        </w:rPr>
        <w:t xml:space="preserve">was finalized by </w:t>
      </w:r>
      <w:r w:rsidRPr="00584A8D">
        <w:rPr>
          <w:rFonts w:eastAsia="Yu Mincho"/>
          <w:snapToGrid w:val="0"/>
          <w:kern w:val="22"/>
          <w:szCs w:val="22"/>
          <w:lang w:eastAsia="ja-JP"/>
        </w:rPr>
        <w:t>the Working Group</w:t>
      </w:r>
      <w:r w:rsidR="00D921CC" w:rsidRPr="00584A8D">
        <w:rPr>
          <w:rFonts w:eastAsia="Yu Mincho"/>
          <w:snapToGrid w:val="0"/>
          <w:kern w:val="22"/>
          <w:szCs w:val="22"/>
          <w:lang w:eastAsia="ja-JP"/>
        </w:rPr>
        <w:t xml:space="preserve"> in April 2018</w:t>
      </w:r>
      <w:r w:rsidRPr="00584A8D">
        <w:rPr>
          <w:rFonts w:eastAsia="Yu Mincho"/>
          <w:snapToGrid w:val="0"/>
          <w:kern w:val="22"/>
          <w:szCs w:val="22"/>
          <w:lang w:eastAsia="ja-JP"/>
        </w:rPr>
        <w:t xml:space="preserve">, and </w:t>
      </w:r>
      <w:r w:rsidR="00D921CC" w:rsidRPr="00584A8D">
        <w:rPr>
          <w:rFonts w:eastAsia="Yu Mincho"/>
          <w:snapToGrid w:val="0"/>
          <w:kern w:val="22"/>
          <w:szCs w:val="22"/>
          <w:lang w:eastAsia="ja-JP"/>
        </w:rPr>
        <w:t>will next be considered</w:t>
      </w:r>
      <w:r w:rsidRPr="00584A8D">
        <w:rPr>
          <w:rFonts w:eastAsia="Yu Mincho"/>
          <w:snapToGrid w:val="0"/>
          <w:kern w:val="22"/>
          <w:szCs w:val="22"/>
          <w:lang w:eastAsia="ja-JP"/>
        </w:rPr>
        <w:t xml:space="preserve"> by the </w:t>
      </w:r>
      <w:r w:rsidR="00D921CC" w:rsidRPr="00584A8D">
        <w:rPr>
          <w:rFonts w:eastAsia="Yu Mincho"/>
          <w:snapToGrid w:val="0"/>
          <w:kern w:val="22"/>
          <w:szCs w:val="22"/>
          <w:lang w:eastAsia="ja-JP"/>
        </w:rPr>
        <w:t xml:space="preserve">WCO </w:t>
      </w:r>
      <w:r w:rsidRPr="00584A8D">
        <w:rPr>
          <w:rFonts w:eastAsia="Yu Mincho"/>
          <w:snapToGrid w:val="0"/>
          <w:kern w:val="22"/>
          <w:szCs w:val="22"/>
          <w:lang w:eastAsia="ja-JP"/>
        </w:rPr>
        <w:t xml:space="preserve">Policy Commission in June 2018. The final version will be made available to </w:t>
      </w:r>
      <w:r w:rsidR="00902A3A" w:rsidRPr="00584A8D">
        <w:rPr>
          <w:rFonts w:eastAsia="Yu Mincho"/>
          <w:snapToGrid w:val="0"/>
          <w:kern w:val="22"/>
          <w:szCs w:val="22"/>
          <w:lang w:eastAsia="ja-JP"/>
        </w:rPr>
        <w:t>the Subsidiary Body</w:t>
      </w:r>
      <w:r w:rsidRPr="00584A8D">
        <w:rPr>
          <w:rFonts w:eastAsia="Yu Mincho"/>
          <w:snapToGrid w:val="0"/>
          <w:kern w:val="22"/>
          <w:szCs w:val="22"/>
          <w:lang w:eastAsia="ja-JP"/>
        </w:rPr>
        <w:t xml:space="preserve"> as </w:t>
      </w:r>
      <w:r w:rsidR="00B62B9C" w:rsidRPr="00584A8D">
        <w:rPr>
          <w:rFonts w:eastAsia="Yu Mincho"/>
          <w:snapToGrid w:val="0"/>
          <w:kern w:val="22"/>
          <w:szCs w:val="22"/>
          <w:lang w:eastAsia="ja-JP"/>
        </w:rPr>
        <w:t xml:space="preserve">an </w:t>
      </w:r>
      <w:r w:rsidRPr="00584A8D">
        <w:rPr>
          <w:rFonts w:eastAsia="Yu Mincho"/>
          <w:snapToGrid w:val="0"/>
          <w:kern w:val="22"/>
          <w:szCs w:val="22"/>
          <w:lang w:eastAsia="ja-JP"/>
        </w:rPr>
        <w:t xml:space="preserve">information document. The Secretariat </w:t>
      </w:r>
      <w:r w:rsidR="009C0E6E" w:rsidRPr="00584A8D">
        <w:rPr>
          <w:rFonts w:eastAsia="Yu Mincho"/>
          <w:snapToGrid w:val="0"/>
          <w:kern w:val="22"/>
          <w:szCs w:val="22"/>
          <w:lang w:eastAsia="ja-JP"/>
        </w:rPr>
        <w:t>has been</w:t>
      </w:r>
      <w:r w:rsidRPr="00584A8D">
        <w:rPr>
          <w:rFonts w:eastAsia="Yu Mincho"/>
          <w:snapToGrid w:val="0"/>
          <w:kern w:val="22"/>
          <w:szCs w:val="22"/>
          <w:lang w:eastAsia="ja-JP"/>
        </w:rPr>
        <w:t xml:space="preserve"> invited by WCO to continue collaboration </w:t>
      </w:r>
      <w:r w:rsidR="00902A3A" w:rsidRPr="00584A8D">
        <w:rPr>
          <w:rFonts w:eastAsia="Yu Mincho"/>
          <w:snapToGrid w:val="0"/>
          <w:kern w:val="22"/>
          <w:szCs w:val="22"/>
          <w:lang w:eastAsia="ja-JP"/>
        </w:rPr>
        <w:t xml:space="preserve">with a view </w:t>
      </w:r>
      <w:r w:rsidRPr="00584A8D">
        <w:rPr>
          <w:rFonts w:eastAsia="Yu Mincho"/>
          <w:snapToGrid w:val="0"/>
          <w:kern w:val="22"/>
          <w:szCs w:val="22"/>
          <w:lang w:eastAsia="ja-JP"/>
        </w:rPr>
        <w:t>to ensur</w:t>
      </w:r>
      <w:r w:rsidR="00902A3A" w:rsidRPr="00584A8D">
        <w:rPr>
          <w:rFonts w:eastAsia="Yu Mincho"/>
          <w:snapToGrid w:val="0"/>
          <w:kern w:val="22"/>
          <w:szCs w:val="22"/>
          <w:lang w:eastAsia="ja-JP"/>
        </w:rPr>
        <w:t>ing</w:t>
      </w:r>
      <w:r w:rsidRPr="00584A8D">
        <w:rPr>
          <w:rFonts w:eastAsia="Yu Mincho"/>
          <w:snapToGrid w:val="0"/>
          <w:kern w:val="22"/>
          <w:szCs w:val="22"/>
          <w:lang w:eastAsia="ja-JP"/>
        </w:rPr>
        <w:t xml:space="preserve"> that WCO instruments and tools </w:t>
      </w:r>
      <w:r w:rsidR="00902A3A" w:rsidRPr="00584A8D">
        <w:rPr>
          <w:rFonts w:eastAsia="Yu Mincho"/>
          <w:snapToGrid w:val="0"/>
          <w:kern w:val="22"/>
          <w:szCs w:val="22"/>
          <w:lang w:eastAsia="ja-JP"/>
        </w:rPr>
        <w:t xml:space="preserve">can </w:t>
      </w:r>
      <w:r w:rsidRPr="00584A8D">
        <w:rPr>
          <w:rFonts w:eastAsia="Yu Mincho"/>
          <w:snapToGrid w:val="0"/>
          <w:kern w:val="22"/>
          <w:szCs w:val="22"/>
          <w:lang w:eastAsia="ja-JP"/>
        </w:rPr>
        <w:t xml:space="preserve">sufficiently cover the management of </w:t>
      </w:r>
      <w:r w:rsidR="00B059F4" w:rsidRPr="00584A8D">
        <w:rPr>
          <w:rFonts w:eastAsia="Yu Mincho"/>
          <w:snapToGrid w:val="0"/>
          <w:kern w:val="22"/>
          <w:szCs w:val="22"/>
          <w:lang w:eastAsia="ja-JP"/>
        </w:rPr>
        <w:t xml:space="preserve">border </w:t>
      </w:r>
      <w:r w:rsidRPr="00584A8D">
        <w:rPr>
          <w:rFonts w:eastAsia="Yu Mincho"/>
          <w:snapToGrid w:val="0"/>
          <w:kern w:val="22"/>
          <w:szCs w:val="22"/>
          <w:lang w:eastAsia="ja-JP"/>
        </w:rPr>
        <w:t xml:space="preserve">risks </w:t>
      </w:r>
      <w:r w:rsidR="00B059F4" w:rsidRPr="00584A8D">
        <w:rPr>
          <w:rFonts w:eastAsia="Yu Mincho"/>
          <w:snapToGrid w:val="0"/>
          <w:kern w:val="22"/>
          <w:szCs w:val="22"/>
          <w:lang w:eastAsia="ja-JP"/>
        </w:rPr>
        <w:t xml:space="preserve">and </w:t>
      </w:r>
      <w:r w:rsidRPr="00584A8D">
        <w:rPr>
          <w:rFonts w:eastAsia="Yu Mincho"/>
          <w:snapToGrid w:val="0"/>
          <w:kern w:val="22"/>
          <w:szCs w:val="22"/>
          <w:lang w:eastAsia="ja-JP"/>
        </w:rPr>
        <w:t>help minimize the spread of invasive alien species.</w:t>
      </w:r>
    </w:p>
    <w:p w14:paraId="69FF3CDF" w14:textId="6756ADF1" w:rsidR="00810036" w:rsidRPr="00584A8D" w:rsidRDefault="00CF7438" w:rsidP="00584A8D">
      <w:pPr>
        <w:pStyle w:val="Heading1"/>
        <w:numPr>
          <w:ilvl w:val="0"/>
          <w:numId w:val="50"/>
        </w:numPr>
        <w:suppressLineNumbers/>
        <w:tabs>
          <w:tab w:val="clear" w:pos="720"/>
        </w:tabs>
        <w:suppressAutoHyphens/>
        <w:kinsoku w:val="0"/>
        <w:overflowPunct w:val="0"/>
        <w:autoSpaceDE w:val="0"/>
        <w:autoSpaceDN w:val="0"/>
        <w:adjustRightInd w:val="0"/>
        <w:snapToGrid w:val="0"/>
        <w:spacing w:before="120"/>
        <w:ind w:left="1152" w:hanging="576"/>
        <w:jc w:val="left"/>
        <w:rPr>
          <w:rFonts w:eastAsia="Yu Mincho"/>
          <w:bCs/>
          <w:snapToGrid w:val="0"/>
          <w:kern w:val="22"/>
          <w:szCs w:val="22"/>
          <w:lang w:eastAsia="ja-JP"/>
        </w:rPr>
      </w:pPr>
      <w:r w:rsidRPr="00584A8D">
        <w:rPr>
          <w:rFonts w:eastAsia="Yu Mincho"/>
          <w:bCs/>
          <w:caps w:val="0"/>
          <w:snapToGrid w:val="0"/>
          <w:kern w:val="22"/>
          <w:szCs w:val="22"/>
          <w:lang w:eastAsia="ja-JP"/>
        </w:rPr>
        <w:t>PROGRESS ON DEVELOPMENT OF TOOLS, OTHER GUIDANCE AND INFORMATION SYSTEMS</w:t>
      </w:r>
    </w:p>
    <w:p w14:paraId="49F0BCE3" w14:textId="0F5682DC" w:rsidR="00102F35" w:rsidRPr="00584A8D" w:rsidRDefault="00102F35"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rFonts w:eastAsia="Yu Mincho"/>
          <w:snapToGrid w:val="0"/>
          <w:kern w:val="22"/>
          <w:szCs w:val="22"/>
          <w:lang w:eastAsia="ja-JP"/>
        </w:rPr>
        <w:t>Progress has been made on the development of various tools, guidance and information systems related to invasive alien species. For example:</w:t>
      </w:r>
    </w:p>
    <w:p w14:paraId="7DABFAF4" w14:textId="35A7184C" w:rsidR="00102F35" w:rsidRPr="00584A8D" w:rsidRDefault="00810036" w:rsidP="00584A8D">
      <w:pPr>
        <w:pStyle w:val="Para2"/>
        <w:suppressLineNumbers/>
        <w:suppressAutoHyphens/>
        <w:kinsoku w:val="0"/>
        <w:overflowPunct w:val="0"/>
        <w:adjustRightInd w:val="0"/>
        <w:snapToGrid w:val="0"/>
        <w:rPr>
          <w:rFonts w:eastAsia="Yu Mincho"/>
          <w:kern w:val="22"/>
          <w:szCs w:val="22"/>
          <w:lang w:eastAsia="ja-JP"/>
        </w:rPr>
      </w:pPr>
      <w:r w:rsidRPr="00584A8D">
        <w:rPr>
          <w:rFonts w:eastAsia="Yu Mincho"/>
          <w:kern w:val="22"/>
          <w:szCs w:val="22"/>
          <w:lang w:eastAsia="ja-JP"/>
        </w:rPr>
        <w:t xml:space="preserve">The </w:t>
      </w:r>
      <w:hyperlink r:id="rId22" w:history="1">
        <w:r w:rsidRPr="00584A8D">
          <w:rPr>
            <w:rStyle w:val="Hyperlink"/>
            <w:rFonts w:eastAsia="Yu Mincho"/>
            <w:kern w:val="22"/>
            <w:szCs w:val="22"/>
          </w:rPr>
          <w:t>Global Register of Introduced and Invasive Species</w:t>
        </w:r>
      </w:hyperlink>
      <w:r w:rsidRPr="00584A8D">
        <w:rPr>
          <w:rFonts w:eastAsia="Yu Mincho"/>
          <w:kern w:val="22"/>
          <w:szCs w:val="22"/>
          <w:lang w:eastAsia="ja-JP"/>
        </w:rPr>
        <w:t xml:space="preserve"> made validated invasive species occurrence information (checklists) </w:t>
      </w:r>
      <w:r w:rsidR="00102F35" w:rsidRPr="00584A8D">
        <w:rPr>
          <w:rFonts w:eastAsia="Yu Mincho"/>
          <w:kern w:val="22"/>
          <w:szCs w:val="22"/>
          <w:lang w:eastAsia="ja-JP"/>
        </w:rPr>
        <w:t xml:space="preserve">from </w:t>
      </w:r>
      <w:r w:rsidRPr="00584A8D">
        <w:rPr>
          <w:rFonts w:eastAsia="Yu Mincho"/>
          <w:kern w:val="22"/>
          <w:szCs w:val="22"/>
          <w:lang w:eastAsia="ja-JP"/>
        </w:rPr>
        <w:t>2</w:t>
      </w:r>
      <w:r w:rsidR="00826761" w:rsidRPr="00584A8D">
        <w:rPr>
          <w:rFonts w:eastAsia="Yu Mincho"/>
          <w:kern w:val="22"/>
          <w:szCs w:val="22"/>
          <w:lang w:eastAsia="ja-JP"/>
        </w:rPr>
        <w:t>8</w:t>
      </w:r>
      <w:r w:rsidRPr="00584A8D">
        <w:rPr>
          <w:rFonts w:eastAsia="Yu Mincho"/>
          <w:kern w:val="22"/>
          <w:szCs w:val="22"/>
          <w:lang w:eastAsia="ja-JP"/>
        </w:rPr>
        <w:t xml:space="preserve"> Parties and three subnational islands freely accessible on the Internet</w:t>
      </w:r>
      <w:r w:rsidRPr="00584A8D">
        <w:rPr>
          <w:rFonts w:eastAsia="Yu Mincho"/>
          <w:kern w:val="22"/>
          <w:szCs w:val="22"/>
          <w:vertAlign w:val="superscript"/>
          <w:lang w:eastAsia="ja-JP"/>
        </w:rPr>
        <w:t xml:space="preserve"> </w:t>
      </w:r>
      <w:r w:rsidRPr="00584A8D">
        <w:rPr>
          <w:rFonts w:eastAsia="Yu Mincho"/>
          <w:kern w:val="22"/>
          <w:szCs w:val="22"/>
          <w:lang w:eastAsia="ja-JP"/>
        </w:rPr>
        <w:t xml:space="preserve">through the collaboration of country editors participating </w:t>
      </w:r>
      <w:r w:rsidR="0069300A" w:rsidRPr="00584A8D">
        <w:rPr>
          <w:rFonts w:eastAsia="Yu Mincho"/>
          <w:kern w:val="22"/>
          <w:szCs w:val="22"/>
          <w:lang w:eastAsia="ja-JP"/>
        </w:rPr>
        <w:t xml:space="preserve">in </w:t>
      </w:r>
      <w:r w:rsidRPr="00584A8D">
        <w:rPr>
          <w:rFonts w:eastAsia="Yu Mincho"/>
          <w:kern w:val="22"/>
          <w:szCs w:val="22"/>
          <w:lang w:eastAsia="ja-JP"/>
        </w:rPr>
        <w:t xml:space="preserve">the Global Invasive Alien Species Information Partnership, </w:t>
      </w:r>
      <w:r w:rsidR="002352CD" w:rsidRPr="00584A8D">
        <w:rPr>
          <w:rFonts w:eastAsia="Yu Mincho"/>
          <w:kern w:val="22"/>
          <w:szCs w:val="22"/>
          <w:lang w:eastAsia="ja-JP"/>
        </w:rPr>
        <w:t xml:space="preserve">the </w:t>
      </w:r>
      <w:r w:rsidRPr="00584A8D">
        <w:rPr>
          <w:rFonts w:eastAsia="Yu Mincho"/>
          <w:kern w:val="22"/>
          <w:szCs w:val="22"/>
          <w:lang w:eastAsia="ja-JP"/>
        </w:rPr>
        <w:t>IUCN Invasive Species Specialist Group (ISSG) and the Global Biodiversity Information Facility (GBIF).</w:t>
      </w:r>
      <w:r w:rsidR="00DF3F96" w:rsidRPr="00584A8D">
        <w:rPr>
          <w:rFonts w:eastAsia="Yu Mincho"/>
          <w:kern w:val="22"/>
          <w:szCs w:val="22"/>
          <w:vertAlign w:val="superscript"/>
          <w:lang w:eastAsia="ja-JP"/>
        </w:rPr>
        <w:footnoteReference w:id="29"/>
      </w:r>
      <w:r w:rsidR="00DF3F96" w:rsidRPr="00584A8D">
        <w:rPr>
          <w:rFonts w:eastAsia="Yu Mincho"/>
          <w:kern w:val="22"/>
          <w:szCs w:val="22"/>
          <w:vertAlign w:val="superscript"/>
          <w:lang w:eastAsia="ja-JP"/>
        </w:rPr>
        <w:t>,</w:t>
      </w:r>
      <w:r w:rsidR="00DF3F96" w:rsidRPr="00584A8D">
        <w:rPr>
          <w:rFonts w:eastAsia="Yu Mincho"/>
          <w:kern w:val="22"/>
          <w:szCs w:val="22"/>
          <w:vertAlign w:val="superscript"/>
          <w:lang w:eastAsia="ja-JP"/>
        </w:rPr>
        <w:footnoteReference w:id="30"/>
      </w:r>
      <w:r w:rsidRPr="00584A8D">
        <w:rPr>
          <w:rFonts w:eastAsia="Yu Mincho"/>
          <w:kern w:val="22"/>
          <w:szCs w:val="22"/>
          <w:lang w:eastAsia="ja-JP"/>
        </w:rPr>
        <w:t xml:space="preserve"> </w:t>
      </w:r>
      <w:r w:rsidR="00102F35" w:rsidRPr="00584A8D">
        <w:rPr>
          <w:rFonts w:eastAsia="Yu Mincho"/>
          <w:kern w:val="22"/>
          <w:szCs w:val="22"/>
          <w:lang w:eastAsia="ja-JP"/>
        </w:rPr>
        <w:t xml:space="preserve">Similarly, through the work of </w:t>
      </w:r>
      <w:r w:rsidRPr="00584A8D">
        <w:rPr>
          <w:rFonts w:eastAsia="Yu Mincho"/>
          <w:kern w:val="22"/>
          <w:szCs w:val="22"/>
          <w:lang w:eastAsia="ja-JP"/>
        </w:rPr>
        <w:t>GBIF and IUCN-ISSG, invasive alien species checklists for 198 countries, including overseas territories of the European Union</w:t>
      </w:r>
      <w:r w:rsidR="00102F35" w:rsidRPr="00584A8D">
        <w:rPr>
          <w:rFonts w:eastAsia="Yu Mincho"/>
          <w:kern w:val="22"/>
          <w:szCs w:val="22"/>
          <w:lang w:eastAsia="ja-JP"/>
        </w:rPr>
        <w:t>,</w:t>
      </w:r>
      <w:r w:rsidRPr="00584A8D">
        <w:rPr>
          <w:rFonts w:eastAsia="Yu Mincho"/>
          <w:kern w:val="22"/>
          <w:szCs w:val="22"/>
          <w:lang w:eastAsia="ja-JP"/>
        </w:rPr>
        <w:t xml:space="preserve"> are expected to be available by the end of 2018 </w:t>
      </w:r>
      <w:r w:rsidR="00102F35" w:rsidRPr="00584A8D">
        <w:rPr>
          <w:rFonts w:eastAsia="Yu Mincho"/>
          <w:kern w:val="22"/>
          <w:szCs w:val="22"/>
          <w:lang w:eastAsia="ja-JP"/>
        </w:rPr>
        <w:t>through a</w:t>
      </w:r>
      <w:r w:rsidRPr="00584A8D">
        <w:rPr>
          <w:rFonts w:eastAsia="Yu Mincho"/>
          <w:kern w:val="22"/>
          <w:szCs w:val="22"/>
          <w:lang w:eastAsia="ja-JP"/>
        </w:rPr>
        <w:t xml:space="preserve"> dedicated website</w:t>
      </w:r>
      <w:r w:rsidR="008F34E9" w:rsidRPr="00584A8D">
        <w:rPr>
          <w:rFonts w:eastAsia="Yu Mincho"/>
          <w:kern w:val="22"/>
          <w:szCs w:val="22"/>
          <w:lang w:eastAsia="ja-JP"/>
        </w:rPr>
        <w:t>.</w:t>
      </w:r>
      <w:r w:rsidRPr="00584A8D">
        <w:rPr>
          <w:rFonts w:eastAsia="Yu Mincho"/>
          <w:kern w:val="22"/>
          <w:szCs w:val="22"/>
          <w:vertAlign w:val="superscript"/>
          <w:lang w:eastAsia="ja-JP"/>
        </w:rPr>
        <w:t>25</w:t>
      </w:r>
      <w:r w:rsidRPr="00584A8D">
        <w:rPr>
          <w:rFonts w:eastAsia="Yu Mincho"/>
          <w:kern w:val="22"/>
          <w:szCs w:val="22"/>
          <w:lang w:eastAsia="ja-JP"/>
        </w:rPr>
        <w:t xml:space="preserve"> This information will be accessible from the CBD </w:t>
      </w:r>
      <w:r w:rsidR="0069300A" w:rsidRPr="00584A8D">
        <w:rPr>
          <w:rFonts w:eastAsia="Yu Mincho"/>
          <w:kern w:val="22"/>
          <w:szCs w:val="22"/>
          <w:lang w:eastAsia="ja-JP"/>
        </w:rPr>
        <w:t>c</w:t>
      </w:r>
      <w:r w:rsidRPr="00584A8D">
        <w:rPr>
          <w:rFonts w:eastAsia="Yu Mincho"/>
          <w:kern w:val="22"/>
          <w:szCs w:val="22"/>
          <w:lang w:eastAsia="ja-JP"/>
        </w:rPr>
        <w:t xml:space="preserve">learing-house </w:t>
      </w:r>
      <w:r w:rsidR="0069300A" w:rsidRPr="00584A8D">
        <w:rPr>
          <w:rFonts w:eastAsia="Yu Mincho"/>
          <w:kern w:val="22"/>
          <w:szCs w:val="22"/>
          <w:lang w:eastAsia="ja-JP"/>
        </w:rPr>
        <w:t>m</w:t>
      </w:r>
      <w:r w:rsidRPr="00584A8D">
        <w:rPr>
          <w:rFonts w:eastAsia="Yu Mincho"/>
          <w:kern w:val="22"/>
          <w:szCs w:val="22"/>
          <w:lang w:eastAsia="ja-JP"/>
        </w:rPr>
        <w:t>echanism in due course</w:t>
      </w:r>
      <w:r w:rsidR="005E7B43" w:rsidRPr="00584A8D">
        <w:rPr>
          <w:rFonts w:eastAsia="Yu Mincho"/>
          <w:kern w:val="22"/>
          <w:szCs w:val="22"/>
          <w:lang w:eastAsia="ja-JP"/>
        </w:rPr>
        <w:t>;</w:t>
      </w:r>
    </w:p>
    <w:p w14:paraId="43B4FE14" w14:textId="0D2737AE" w:rsidR="00102F35" w:rsidRPr="00584A8D" w:rsidRDefault="002268E0" w:rsidP="00584A8D">
      <w:pPr>
        <w:pStyle w:val="Para2"/>
        <w:suppressLineNumbers/>
        <w:suppressAutoHyphens/>
        <w:kinsoku w:val="0"/>
        <w:overflowPunct w:val="0"/>
        <w:adjustRightInd w:val="0"/>
        <w:snapToGrid w:val="0"/>
        <w:rPr>
          <w:rFonts w:eastAsia="Yu Mincho"/>
          <w:kern w:val="22"/>
          <w:szCs w:val="22"/>
          <w:lang w:eastAsia="ja-JP"/>
        </w:rPr>
      </w:pPr>
      <w:r w:rsidRPr="00584A8D">
        <w:rPr>
          <w:rFonts w:eastAsia="Yu Mincho"/>
          <w:kern w:val="22"/>
          <w:szCs w:val="22"/>
          <w:lang w:eastAsia="ja-JP"/>
        </w:rPr>
        <w:t xml:space="preserve">In May 2017, </w:t>
      </w:r>
      <w:r w:rsidR="00810036" w:rsidRPr="00584A8D">
        <w:rPr>
          <w:rFonts w:eastAsia="Yu Mincho"/>
          <w:kern w:val="22"/>
          <w:szCs w:val="22"/>
          <w:lang w:eastAsia="ja-JP"/>
        </w:rPr>
        <w:t xml:space="preserve">IUCN published a consultation document on </w:t>
      </w:r>
      <w:r w:rsidR="00102F35" w:rsidRPr="00584A8D">
        <w:rPr>
          <w:rFonts w:eastAsia="Yu Mincho"/>
          <w:kern w:val="22"/>
          <w:szCs w:val="22"/>
          <w:lang w:eastAsia="ja-JP"/>
        </w:rPr>
        <w:t xml:space="preserve">the </w:t>
      </w:r>
      <w:r w:rsidR="00810036" w:rsidRPr="00584A8D">
        <w:rPr>
          <w:rFonts w:eastAsia="Yu Mincho"/>
          <w:kern w:val="22"/>
          <w:szCs w:val="22"/>
          <w:lang w:eastAsia="ja-JP"/>
        </w:rPr>
        <w:t>IUCN standard classification of the impact of invasive alien taxa</w:t>
      </w:r>
      <w:r w:rsidRPr="00584A8D">
        <w:rPr>
          <w:rFonts w:eastAsia="Yu Mincho"/>
          <w:kern w:val="22"/>
          <w:szCs w:val="22"/>
          <w:lang w:eastAsia="ja-JP"/>
        </w:rPr>
        <w:t>.</w:t>
      </w:r>
      <w:r w:rsidR="00810036" w:rsidRPr="00584A8D">
        <w:rPr>
          <w:rFonts w:eastAsia="Yu Mincho"/>
          <w:kern w:val="22"/>
          <w:szCs w:val="22"/>
          <w:vertAlign w:val="superscript"/>
          <w:lang w:eastAsia="ja-JP"/>
        </w:rPr>
        <w:footnoteReference w:id="31"/>
      </w:r>
      <w:r w:rsidR="00810036" w:rsidRPr="00584A8D">
        <w:rPr>
          <w:rFonts w:eastAsia="Yu Mincho"/>
          <w:kern w:val="22"/>
          <w:szCs w:val="22"/>
          <w:lang w:eastAsia="ja-JP"/>
        </w:rPr>
        <w:t xml:space="preserve"> The document describes the Environmental Impact Classification for Alien Taxa (EICAT) to be applied in a consistent and comparable manner across different assessments. The EICAT data is expected to be used for evidence</w:t>
      </w:r>
      <w:r w:rsidR="000322C6" w:rsidRPr="00584A8D">
        <w:rPr>
          <w:rFonts w:eastAsia="Yu Mincho"/>
          <w:kern w:val="22"/>
          <w:szCs w:val="22"/>
          <w:lang w:eastAsia="ja-JP"/>
        </w:rPr>
        <w:t>-</w:t>
      </w:r>
      <w:r w:rsidR="00810036" w:rsidRPr="00584A8D">
        <w:rPr>
          <w:rFonts w:eastAsia="Yu Mincho"/>
          <w:kern w:val="22"/>
          <w:szCs w:val="22"/>
          <w:lang w:eastAsia="ja-JP"/>
        </w:rPr>
        <w:t xml:space="preserve">based policy decisions on which alien taxa are considered to be invasive. In addition, IUCN plans to develop a database on social and economic impacts </w:t>
      </w:r>
      <w:r w:rsidR="00355AEC" w:rsidRPr="00584A8D">
        <w:rPr>
          <w:rFonts w:eastAsia="Yu Mincho"/>
          <w:kern w:val="22"/>
          <w:szCs w:val="22"/>
          <w:lang w:eastAsia="ja-JP"/>
        </w:rPr>
        <w:t>of</w:t>
      </w:r>
      <w:r w:rsidR="00810036" w:rsidRPr="00584A8D">
        <w:rPr>
          <w:rFonts w:eastAsia="Yu Mincho"/>
          <w:kern w:val="22"/>
          <w:szCs w:val="22"/>
          <w:lang w:eastAsia="ja-JP"/>
        </w:rPr>
        <w:t xml:space="preserve"> invasive alien species (SEICAT) with </w:t>
      </w:r>
      <w:r w:rsidR="000863A6" w:rsidRPr="00584A8D">
        <w:rPr>
          <w:rFonts w:eastAsia="Yu Mincho"/>
          <w:kern w:val="22"/>
          <w:szCs w:val="22"/>
          <w:lang w:eastAsia="ja-JP"/>
        </w:rPr>
        <w:t xml:space="preserve">an </w:t>
      </w:r>
      <w:r w:rsidR="00810036" w:rsidRPr="00584A8D">
        <w:rPr>
          <w:rFonts w:eastAsia="Yu Mincho"/>
          <w:kern w:val="22"/>
          <w:szCs w:val="22"/>
          <w:lang w:eastAsia="ja-JP"/>
        </w:rPr>
        <w:t xml:space="preserve">approach </w:t>
      </w:r>
      <w:r w:rsidR="000863A6" w:rsidRPr="00584A8D">
        <w:rPr>
          <w:rFonts w:eastAsia="Yu Mincho"/>
          <w:kern w:val="22"/>
          <w:szCs w:val="22"/>
          <w:lang w:eastAsia="ja-JP"/>
        </w:rPr>
        <w:t xml:space="preserve">similar </w:t>
      </w:r>
      <w:r w:rsidR="00810036" w:rsidRPr="00584A8D">
        <w:rPr>
          <w:rFonts w:eastAsia="Yu Mincho"/>
          <w:kern w:val="22"/>
          <w:szCs w:val="22"/>
          <w:lang w:eastAsia="ja-JP"/>
        </w:rPr>
        <w:t>to the EICAT</w:t>
      </w:r>
      <w:r w:rsidR="005E7B43" w:rsidRPr="00584A8D">
        <w:rPr>
          <w:rFonts w:eastAsia="Yu Mincho"/>
          <w:kern w:val="22"/>
          <w:szCs w:val="22"/>
          <w:lang w:eastAsia="ja-JP"/>
        </w:rPr>
        <w:t>;</w:t>
      </w:r>
    </w:p>
    <w:p w14:paraId="14DFAB93" w14:textId="063C1FD2" w:rsidR="00102F35" w:rsidRPr="00584A8D" w:rsidRDefault="00810036" w:rsidP="00584A8D">
      <w:pPr>
        <w:pStyle w:val="Para2"/>
        <w:suppressLineNumbers/>
        <w:suppressAutoHyphens/>
        <w:kinsoku w:val="0"/>
        <w:overflowPunct w:val="0"/>
        <w:adjustRightInd w:val="0"/>
        <w:snapToGrid w:val="0"/>
        <w:rPr>
          <w:rFonts w:eastAsia="Yu Mincho"/>
          <w:kern w:val="22"/>
          <w:szCs w:val="22"/>
          <w:lang w:eastAsia="ja-JP"/>
        </w:rPr>
      </w:pPr>
      <w:r w:rsidRPr="00584A8D">
        <w:rPr>
          <w:rFonts w:eastAsia="Yu Mincho"/>
          <w:kern w:val="22"/>
          <w:szCs w:val="22"/>
          <w:lang w:eastAsia="ja-JP"/>
        </w:rPr>
        <w:t>The CBD pathway categorization was further clarified by experts</w:t>
      </w:r>
      <w:r w:rsidR="00DB1D29" w:rsidRPr="00584A8D">
        <w:rPr>
          <w:rFonts w:eastAsia="Yu Mincho"/>
          <w:kern w:val="22"/>
          <w:szCs w:val="22"/>
          <w:lang w:eastAsia="ja-JP"/>
        </w:rPr>
        <w:t xml:space="preserve"> of </w:t>
      </w:r>
      <w:r w:rsidR="0069300A" w:rsidRPr="00584A8D">
        <w:rPr>
          <w:rFonts w:eastAsia="Yu Mincho"/>
          <w:kern w:val="22"/>
          <w:szCs w:val="22"/>
          <w:lang w:eastAsia="ja-JP"/>
        </w:rPr>
        <w:t xml:space="preserve">the </w:t>
      </w:r>
      <w:r w:rsidR="00DB1D29" w:rsidRPr="00584A8D">
        <w:rPr>
          <w:rFonts w:eastAsia="Yu Mincho"/>
          <w:kern w:val="22"/>
          <w:szCs w:val="22"/>
          <w:lang w:eastAsia="ja-JP"/>
        </w:rPr>
        <w:t>IUCN-Invasive Species Specialist Group</w:t>
      </w:r>
      <w:r w:rsidRPr="00584A8D">
        <w:rPr>
          <w:rFonts w:eastAsia="Yu Mincho"/>
          <w:kern w:val="22"/>
          <w:szCs w:val="22"/>
          <w:vertAlign w:val="superscript"/>
          <w:lang w:eastAsia="ja-JP"/>
        </w:rPr>
        <w:t>7</w:t>
      </w:r>
      <w:r w:rsidRPr="00584A8D">
        <w:rPr>
          <w:rFonts w:eastAsia="Yu Mincho"/>
          <w:kern w:val="22"/>
          <w:szCs w:val="22"/>
          <w:lang w:eastAsia="ja-JP"/>
        </w:rPr>
        <w:t xml:space="preserve"> to provide guidance on how to interpret the definitions of the CBD pathway categori</w:t>
      </w:r>
      <w:r w:rsidR="0069300A" w:rsidRPr="00584A8D">
        <w:rPr>
          <w:rFonts w:eastAsia="Yu Mincho"/>
          <w:kern w:val="22"/>
          <w:szCs w:val="22"/>
          <w:lang w:eastAsia="ja-JP"/>
        </w:rPr>
        <w:t>z</w:t>
      </w:r>
      <w:r w:rsidRPr="00584A8D">
        <w:rPr>
          <w:rFonts w:eastAsia="Yu Mincho"/>
          <w:kern w:val="22"/>
          <w:szCs w:val="22"/>
          <w:lang w:eastAsia="ja-JP"/>
        </w:rPr>
        <w:t>ation system</w:t>
      </w:r>
      <w:r w:rsidR="00102F35" w:rsidRPr="00584A8D">
        <w:rPr>
          <w:rFonts w:eastAsia="Yu Mincho"/>
          <w:kern w:val="22"/>
          <w:szCs w:val="22"/>
          <w:lang w:eastAsia="ja-JP"/>
        </w:rPr>
        <w:t>.</w:t>
      </w:r>
      <w:r w:rsidRPr="00584A8D">
        <w:rPr>
          <w:rFonts w:eastAsia="Yu Mincho"/>
          <w:kern w:val="22"/>
          <w:szCs w:val="22"/>
          <w:lang w:eastAsia="ja-JP"/>
        </w:rPr>
        <w:t xml:space="preserve"> </w:t>
      </w:r>
      <w:r w:rsidR="004A499F" w:rsidRPr="00584A8D">
        <w:rPr>
          <w:rFonts w:eastAsia="Yu Mincho"/>
          <w:kern w:val="22"/>
          <w:szCs w:val="22"/>
          <w:lang w:eastAsia="ja-JP"/>
        </w:rPr>
        <w:t>In addition,</w:t>
      </w:r>
      <w:r w:rsidR="00102F35" w:rsidRPr="00584A8D">
        <w:rPr>
          <w:rFonts w:eastAsia="Yu Mincho"/>
          <w:kern w:val="22"/>
          <w:szCs w:val="22"/>
          <w:lang w:eastAsia="ja-JP"/>
        </w:rPr>
        <w:t xml:space="preserve"> </w:t>
      </w:r>
      <w:r w:rsidRPr="00584A8D">
        <w:rPr>
          <w:rFonts w:eastAsia="Yu Mincho"/>
          <w:kern w:val="22"/>
          <w:szCs w:val="22"/>
          <w:lang w:eastAsia="ja-JP"/>
        </w:rPr>
        <w:t>some regional and global data</w:t>
      </w:r>
      <w:r w:rsidR="004A499F" w:rsidRPr="00584A8D">
        <w:rPr>
          <w:rFonts w:eastAsia="Yu Mincho"/>
          <w:kern w:val="22"/>
          <w:szCs w:val="22"/>
          <w:lang w:eastAsia="ja-JP"/>
        </w:rPr>
        <w:t xml:space="preserve"> </w:t>
      </w:r>
      <w:r w:rsidRPr="00584A8D">
        <w:rPr>
          <w:rFonts w:eastAsia="Yu Mincho"/>
          <w:kern w:val="22"/>
          <w:szCs w:val="22"/>
          <w:lang w:eastAsia="ja-JP"/>
        </w:rPr>
        <w:t xml:space="preserve">sets were adapted to the CBD pathway categorization system, </w:t>
      </w:r>
      <w:r w:rsidR="00102F35" w:rsidRPr="00584A8D">
        <w:rPr>
          <w:rFonts w:eastAsia="Yu Mincho"/>
          <w:kern w:val="22"/>
          <w:szCs w:val="22"/>
          <w:lang w:eastAsia="ja-JP"/>
        </w:rPr>
        <w:t xml:space="preserve">for example for the </w:t>
      </w:r>
      <w:r w:rsidRPr="00584A8D">
        <w:rPr>
          <w:rFonts w:eastAsia="Yu Mincho"/>
          <w:kern w:val="22"/>
          <w:szCs w:val="22"/>
          <w:lang w:eastAsia="ja-JP"/>
        </w:rPr>
        <w:t xml:space="preserve">European Union and </w:t>
      </w:r>
      <w:r w:rsidR="0069300A" w:rsidRPr="00584A8D">
        <w:rPr>
          <w:rFonts w:eastAsia="Yu Mincho"/>
          <w:kern w:val="22"/>
          <w:szCs w:val="22"/>
          <w:lang w:eastAsia="ja-JP"/>
        </w:rPr>
        <w:t xml:space="preserve">the </w:t>
      </w:r>
      <w:r w:rsidRPr="00584A8D">
        <w:rPr>
          <w:rFonts w:eastAsia="Yu Mincho"/>
          <w:kern w:val="22"/>
          <w:szCs w:val="22"/>
          <w:lang w:eastAsia="ja-JP"/>
        </w:rPr>
        <w:t xml:space="preserve">Global Invasive Species Database. </w:t>
      </w:r>
      <w:r w:rsidR="00DB1D29" w:rsidRPr="00584A8D">
        <w:rPr>
          <w:rFonts w:eastAsia="Yu Mincho"/>
          <w:kern w:val="22"/>
          <w:szCs w:val="22"/>
          <w:lang w:eastAsia="ja-JP"/>
        </w:rPr>
        <w:t xml:space="preserve">A </w:t>
      </w:r>
      <w:r w:rsidR="00826761" w:rsidRPr="00584A8D">
        <w:rPr>
          <w:rFonts w:eastAsia="Yu Mincho"/>
          <w:kern w:val="22"/>
          <w:szCs w:val="22"/>
          <w:lang w:eastAsia="ja-JP"/>
        </w:rPr>
        <w:t>search interface using</w:t>
      </w:r>
      <w:r w:rsidRPr="00584A8D">
        <w:rPr>
          <w:rFonts w:eastAsia="Yu Mincho"/>
          <w:kern w:val="22"/>
          <w:szCs w:val="22"/>
          <w:lang w:eastAsia="ja-JP"/>
        </w:rPr>
        <w:t xml:space="preserve"> the CBD pathway categorization system </w:t>
      </w:r>
      <w:r w:rsidR="00102F35" w:rsidRPr="00584A8D">
        <w:rPr>
          <w:rFonts w:eastAsia="Yu Mincho"/>
          <w:kern w:val="22"/>
          <w:szCs w:val="22"/>
          <w:lang w:eastAsia="ja-JP"/>
        </w:rPr>
        <w:t xml:space="preserve">was </w:t>
      </w:r>
      <w:r w:rsidRPr="00584A8D">
        <w:rPr>
          <w:rFonts w:eastAsia="Yu Mincho"/>
          <w:kern w:val="22"/>
          <w:szCs w:val="22"/>
          <w:lang w:eastAsia="ja-JP"/>
        </w:rPr>
        <w:t xml:space="preserve">adopted on the Global Invasive Species Database for Parties to review </w:t>
      </w:r>
      <w:r w:rsidR="00DB1D29" w:rsidRPr="00584A8D">
        <w:rPr>
          <w:rFonts w:eastAsia="Yu Mincho"/>
          <w:kern w:val="22"/>
          <w:szCs w:val="22"/>
          <w:lang w:eastAsia="ja-JP"/>
        </w:rPr>
        <w:t xml:space="preserve">the recorded biological invasions </w:t>
      </w:r>
      <w:r w:rsidRPr="00584A8D">
        <w:rPr>
          <w:rFonts w:eastAsia="Yu Mincho"/>
          <w:kern w:val="22"/>
          <w:szCs w:val="22"/>
          <w:lang w:eastAsia="ja-JP"/>
        </w:rPr>
        <w:t xml:space="preserve">by accessing </w:t>
      </w:r>
      <w:r w:rsidR="00DB1D29" w:rsidRPr="00584A8D">
        <w:rPr>
          <w:rFonts w:eastAsia="Yu Mincho"/>
          <w:kern w:val="22"/>
          <w:szCs w:val="22"/>
          <w:lang w:eastAsia="ja-JP"/>
        </w:rPr>
        <w:t xml:space="preserve">and selecting pathways </w:t>
      </w:r>
      <w:r w:rsidRPr="00584A8D">
        <w:rPr>
          <w:rFonts w:eastAsia="Yu Mincho"/>
          <w:kern w:val="22"/>
          <w:szCs w:val="22"/>
          <w:lang w:eastAsia="ja-JP"/>
        </w:rPr>
        <w:t xml:space="preserve">at </w:t>
      </w:r>
      <w:hyperlink r:id="rId23" w:history="1">
        <w:r w:rsidRPr="00584A8D">
          <w:rPr>
            <w:rFonts w:eastAsia="Yu Mincho"/>
            <w:kern w:val="22"/>
            <w:szCs w:val="22"/>
            <w:lang w:eastAsia="ja-JP"/>
          </w:rPr>
          <w:t>http://www.iucngisd.org/gisd/</w:t>
        </w:r>
      </w:hyperlink>
      <w:r w:rsidR="005E7B43" w:rsidRPr="00584A8D">
        <w:rPr>
          <w:rFonts w:eastAsia="Yu Mincho"/>
          <w:kern w:val="22"/>
          <w:szCs w:val="22"/>
          <w:lang w:eastAsia="ja-JP"/>
        </w:rPr>
        <w:t>;</w:t>
      </w:r>
    </w:p>
    <w:p w14:paraId="3A7AA4EF" w14:textId="0D4536EA" w:rsidR="00810036" w:rsidRPr="00584A8D" w:rsidRDefault="00810036" w:rsidP="00584A8D">
      <w:pPr>
        <w:pStyle w:val="Para2"/>
        <w:suppressLineNumbers/>
        <w:suppressAutoHyphens/>
        <w:kinsoku w:val="0"/>
        <w:overflowPunct w:val="0"/>
        <w:adjustRightInd w:val="0"/>
        <w:snapToGrid w:val="0"/>
        <w:rPr>
          <w:rFonts w:eastAsia="Yu Mincho"/>
          <w:kern w:val="22"/>
          <w:szCs w:val="22"/>
          <w:lang w:eastAsia="ja-JP"/>
        </w:rPr>
      </w:pPr>
      <w:r w:rsidRPr="00584A8D">
        <w:rPr>
          <w:rFonts w:eastAsia="Yu Mincho"/>
          <w:kern w:val="22"/>
          <w:szCs w:val="22"/>
          <w:lang w:eastAsia="ja-JP"/>
        </w:rPr>
        <w:t xml:space="preserve">Regarding the evidence of the introduction of invasive alien organisms through unintentional introduction pathways, the IUCN-Invasive Species Specialist Group has collected information on their impacts from countries </w:t>
      </w:r>
      <w:r w:rsidR="001F54A5" w:rsidRPr="00584A8D">
        <w:rPr>
          <w:rFonts w:eastAsia="Yu Mincho"/>
          <w:kern w:val="22"/>
          <w:szCs w:val="22"/>
          <w:lang w:eastAsia="ja-JP"/>
        </w:rPr>
        <w:t xml:space="preserve">where invasive species were established </w:t>
      </w:r>
      <w:r w:rsidRPr="00584A8D">
        <w:rPr>
          <w:rFonts w:eastAsia="Yu Mincho"/>
          <w:kern w:val="22"/>
          <w:szCs w:val="22"/>
          <w:lang w:eastAsia="ja-JP"/>
        </w:rPr>
        <w:t>and shared and analysed the impacts and major pathways</w:t>
      </w:r>
      <w:r w:rsidR="00D662D5" w:rsidRPr="00584A8D">
        <w:rPr>
          <w:rFonts w:eastAsia="Yu Mincho"/>
          <w:kern w:val="22"/>
          <w:szCs w:val="22"/>
          <w:lang w:eastAsia="ja-JP"/>
        </w:rPr>
        <w:t xml:space="preserve"> responsible</w:t>
      </w:r>
      <w:r w:rsidR="006C521A" w:rsidRPr="00584A8D">
        <w:rPr>
          <w:rFonts w:eastAsia="Yu Mincho"/>
          <w:kern w:val="22"/>
          <w:szCs w:val="22"/>
          <w:lang w:eastAsia="ja-JP"/>
        </w:rPr>
        <w:t>.</w:t>
      </w:r>
      <w:r w:rsidRPr="00584A8D">
        <w:rPr>
          <w:rFonts w:eastAsia="Yu Mincho"/>
          <w:kern w:val="22"/>
          <w:szCs w:val="22"/>
          <w:lang w:eastAsia="ja-JP"/>
        </w:rPr>
        <w:t xml:space="preserve"> The pathway specific risks have also been assessed by Nordic countries and the European Union</w:t>
      </w:r>
      <w:r w:rsidR="006C521A" w:rsidRPr="00584A8D">
        <w:rPr>
          <w:rFonts w:eastAsia="Yu Mincho"/>
          <w:kern w:val="22"/>
          <w:szCs w:val="22"/>
          <w:lang w:eastAsia="ja-JP"/>
        </w:rPr>
        <w:t>.</w:t>
      </w:r>
    </w:p>
    <w:p w14:paraId="0E1637FF" w14:textId="588EB4B3" w:rsidR="00810036" w:rsidRPr="00584A8D" w:rsidRDefault="00B535AE" w:rsidP="00584A8D">
      <w:pPr>
        <w:pStyle w:val="ListParagraph"/>
        <w:keepNext/>
        <w:numPr>
          <w:ilvl w:val="0"/>
          <w:numId w:val="48"/>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i/>
          <w:caps/>
          <w:snapToGrid w:val="0"/>
          <w:kern w:val="22"/>
          <w:szCs w:val="22"/>
        </w:rPr>
      </w:pPr>
      <w:r w:rsidRPr="00584A8D">
        <w:rPr>
          <w:b/>
          <w:snapToGrid w:val="0"/>
          <w:kern w:val="22"/>
          <w:szCs w:val="22"/>
        </w:rPr>
        <w:t>OTHER MATTERS</w:t>
      </w:r>
    </w:p>
    <w:p w14:paraId="056EFCF2" w14:textId="302AC46E" w:rsidR="00810036" w:rsidRPr="00584A8D" w:rsidRDefault="00EB28BF"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snapToGrid w:val="0"/>
          <w:kern w:val="22"/>
          <w:szCs w:val="22"/>
        </w:rPr>
        <w:t>F</w:t>
      </w:r>
      <w:r w:rsidR="00810036" w:rsidRPr="00584A8D">
        <w:rPr>
          <w:snapToGrid w:val="0"/>
          <w:kern w:val="22"/>
          <w:szCs w:val="22"/>
        </w:rPr>
        <w:t xml:space="preserve">urther work by experts is needed to collect information on and analyse the implications of climate change </w:t>
      </w:r>
      <w:r w:rsidR="00933DD0" w:rsidRPr="00584A8D">
        <w:rPr>
          <w:snapToGrid w:val="0"/>
          <w:kern w:val="22"/>
          <w:szCs w:val="22"/>
        </w:rPr>
        <w:t xml:space="preserve">for </w:t>
      </w:r>
      <w:r w:rsidR="00810036" w:rsidRPr="00584A8D">
        <w:rPr>
          <w:snapToGrid w:val="0"/>
          <w:kern w:val="22"/>
          <w:szCs w:val="22"/>
        </w:rPr>
        <w:t xml:space="preserve">the management of invasive alien species; </w:t>
      </w:r>
      <w:r w:rsidR="00810036" w:rsidRPr="00584A8D">
        <w:rPr>
          <w:rFonts w:eastAsia="Yu Mincho"/>
          <w:snapToGrid w:val="0"/>
          <w:kern w:val="22"/>
          <w:szCs w:val="22"/>
          <w:lang w:eastAsia="ja-JP"/>
        </w:rPr>
        <w:t xml:space="preserve">methods used to determine the cost-benefit and cost-effectiveness of which measures </w:t>
      </w:r>
      <w:r w:rsidR="00810036" w:rsidRPr="00584A8D">
        <w:rPr>
          <w:snapToGrid w:val="0"/>
          <w:kern w:val="22"/>
          <w:szCs w:val="22"/>
        </w:rPr>
        <w:t xml:space="preserve">best apply </w:t>
      </w:r>
      <w:r w:rsidR="00E9620E" w:rsidRPr="00584A8D">
        <w:rPr>
          <w:snapToGrid w:val="0"/>
          <w:kern w:val="22"/>
          <w:szCs w:val="22"/>
        </w:rPr>
        <w:t xml:space="preserve">to </w:t>
      </w:r>
      <w:r w:rsidR="00810036" w:rsidRPr="00584A8D">
        <w:rPr>
          <w:snapToGrid w:val="0"/>
          <w:kern w:val="22"/>
          <w:szCs w:val="22"/>
        </w:rPr>
        <w:t xml:space="preserve">the management of invasive alien species; risk analysis of invasive alien species, taking into account the potential consequence of introduction and the impact on social, economic and cultural values; and </w:t>
      </w:r>
      <w:r w:rsidR="0032575F" w:rsidRPr="00584A8D">
        <w:rPr>
          <w:snapToGrid w:val="0"/>
          <w:kern w:val="22"/>
          <w:szCs w:val="22"/>
        </w:rPr>
        <w:t xml:space="preserve">to </w:t>
      </w:r>
      <w:r w:rsidR="00810036" w:rsidRPr="00584A8D">
        <w:rPr>
          <w:snapToGrid w:val="0"/>
          <w:kern w:val="22"/>
          <w:szCs w:val="22"/>
        </w:rPr>
        <w:t xml:space="preserve">determine the impact of e-commerce (trade of alien species) on biodiversity. The above-mentioned activities may help develop tools and technical guidance to </w:t>
      </w:r>
      <w:r w:rsidR="00933DD0" w:rsidRPr="00584A8D">
        <w:rPr>
          <w:snapToGrid w:val="0"/>
          <w:kern w:val="22"/>
          <w:szCs w:val="22"/>
        </w:rPr>
        <w:t xml:space="preserve">respond to </w:t>
      </w:r>
      <w:r w:rsidR="00810036" w:rsidRPr="00584A8D">
        <w:rPr>
          <w:snapToGrid w:val="0"/>
          <w:kern w:val="22"/>
          <w:szCs w:val="22"/>
        </w:rPr>
        <w:t xml:space="preserve">the requests </w:t>
      </w:r>
      <w:r w:rsidR="00933DD0" w:rsidRPr="00584A8D">
        <w:rPr>
          <w:snapToGrid w:val="0"/>
          <w:kern w:val="22"/>
          <w:szCs w:val="22"/>
        </w:rPr>
        <w:t xml:space="preserve">of </w:t>
      </w:r>
      <w:r w:rsidR="00810036" w:rsidRPr="00584A8D">
        <w:rPr>
          <w:snapToGrid w:val="0"/>
          <w:kern w:val="22"/>
          <w:szCs w:val="22"/>
        </w:rPr>
        <w:t>the Conference of the Parties in decision XIII/13.</w:t>
      </w:r>
    </w:p>
    <w:p w14:paraId="762762DF" w14:textId="2B3CD2D6" w:rsidR="00070B54" w:rsidRPr="00584A8D" w:rsidRDefault="001D6FF9" w:rsidP="00584A8D">
      <w:pPr>
        <w:numPr>
          <w:ilvl w:val="0"/>
          <w:numId w:val="8"/>
        </w:numPr>
        <w:suppressLineNumbers/>
        <w:suppressAutoHyphens/>
        <w:kinsoku w:val="0"/>
        <w:overflowPunct w:val="0"/>
        <w:autoSpaceDE w:val="0"/>
        <w:autoSpaceDN w:val="0"/>
        <w:adjustRightInd w:val="0"/>
        <w:snapToGrid w:val="0"/>
        <w:spacing w:before="120" w:after="120"/>
        <w:ind w:left="0" w:firstLine="0"/>
        <w:rPr>
          <w:rFonts w:eastAsia="Yu Mincho"/>
          <w:snapToGrid w:val="0"/>
          <w:kern w:val="22"/>
          <w:szCs w:val="22"/>
          <w:lang w:eastAsia="ja-JP"/>
        </w:rPr>
      </w:pPr>
      <w:r w:rsidRPr="00584A8D">
        <w:rPr>
          <w:snapToGrid w:val="0"/>
          <w:kern w:val="22"/>
          <w:szCs w:val="22"/>
        </w:rPr>
        <w:t>In response to decision IX/4 A,</w:t>
      </w:r>
      <w:r w:rsidRPr="00584A8D" w:rsidDel="00EB28BF">
        <w:rPr>
          <w:snapToGrid w:val="0"/>
          <w:kern w:val="22"/>
          <w:szCs w:val="22"/>
        </w:rPr>
        <w:t xml:space="preserve"> </w:t>
      </w:r>
      <w:r w:rsidRPr="00584A8D">
        <w:rPr>
          <w:snapToGrid w:val="0"/>
          <w:kern w:val="22"/>
          <w:szCs w:val="22"/>
        </w:rPr>
        <w:t>t</w:t>
      </w:r>
      <w:r w:rsidR="00810036" w:rsidRPr="00584A8D">
        <w:rPr>
          <w:snapToGrid w:val="0"/>
          <w:kern w:val="22"/>
          <w:szCs w:val="22"/>
        </w:rPr>
        <w:t>he ninth meeting of the Liaison Group</w:t>
      </w:r>
      <w:r w:rsidR="005E7B43" w:rsidRPr="00584A8D">
        <w:rPr>
          <w:snapToGrid w:val="0"/>
          <w:kern w:val="22"/>
          <w:szCs w:val="22"/>
        </w:rPr>
        <w:t xml:space="preserve"> on Invasive Alien Species</w:t>
      </w:r>
      <w:r w:rsidR="00EB28BF" w:rsidRPr="00584A8D">
        <w:rPr>
          <w:snapToGrid w:val="0"/>
          <w:kern w:val="22"/>
          <w:szCs w:val="22"/>
        </w:rPr>
        <w:t>,</w:t>
      </w:r>
      <w:r w:rsidR="00EB28BF" w:rsidRPr="00584A8D">
        <w:rPr>
          <w:rStyle w:val="FootnoteReference"/>
          <w:snapToGrid w:val="0"/>
          <w:kern w:val="22"/>
          <w:sz w:val="22"/>
          <w:szCs w:val="22"/>
          <w:u w:val="none"/>
          <w:vertAlign w:val="superscript"/>
        </w:rPr>
        <w:footnoteReference w:id="32"/>
      </w:r>
      <w:r w:rsidR="00810036" w:rsidRPr="00584A8D">
        <w:rPr>
          <w:snapToGrid w:val="0"/>
          <w:kern w:val="22"/>
          <w:szCs w:val="22"/>
        </w:rPr>
        <w:t xml:space="preserve"> to be co-hosted by the I</w:t>
      </w:r>
      <w:r w:rsidR="005E7B43" w:rsidRPr="00584A8D">
        <w:rPr>
          <w:snapToGrid w:val="0"/>
          <w:kern w:val="22"/>
          <w:szCs w:val="22"/>
        </w:rPr>
        <w:t xml:space="preserve">nternational </w:t>
      </w:r>
      <w:r w:rsidR="00810036" w:rsidRPr="00584A8D">
        <w:rPr>
          <w:snapToGrid w:val="0"/>
          <w:kern w:val="22"/>
          <w:szCs w:val="22"/>
        </w:rPr>
        <w:t>C</w:t>
      </w:r>
      <w:r w:rsidR="005E7B43" w:rsidRPr="00584A8D">
        <w:rPr>
          <w:snapToGrid w:val="0"/>
          <w:kern w:val="22"/>
          <w:szCs w:val="22"/>
        </w:rPr>
        <w:t xml:space="preserve">ivil </w:t>
      </w:r>
      <w:r w:rsidR="00810036" w:rsidRPr="00584A8D">
        <w:rPr>
          <w:snapToGrid w:val="0"/>
          <w:kern w:val="22"/>
          <w:szCs w:val="22"/>
        </w:rPr>
        <w:t>A</w:t>
      </w:r>
      <w:r w:rsidR="005E7B43" w:rsidRPr="00584A8D">
        <w:rPr>
          <w:snapToGrid w:val="0"/>
          <w:kern w:val="22"/>
          <w:szCs w:val="22"/>
        </w:rPr>
        <w:t xml:space="preserve">viation </w:t>
      </w:r>
      <w:r w:rsidR="00810036" w:rsidRPr="00584A8D">
        <w:rPr>
          <w:snapToGrid w:val="0"/>
          <w:kern w:val="22"/>
          <w:szCs w:val="22"/>
        </w:rPr>
        <w:t>O</w:t>
      </w:r>
      <w:r w:rsidR="005E7B43" w:rsidRPr="00584A8D">
        <w:rPr>
          <w:snapToGrid w:val="0"/>
          <w:kern w:val="22"/>
          <w:szCs w:val="22"/>
        </w:rPr>
        <w:t>rganization (ICAO)</w:t>
      </w:r>
      <w:r w:rsidR="00810036" w:rsidRPr="00584A8D">
        <w:rPr>
          <w:snapToGrid w:val="0"/>
          <w:kern w:val="22"/>
          <w:szCs w:val="22"/>
        </w:rPr>
        <w:t xml:space="preserve"> and the </w:t>
      </w:r>
      <w:r w:rsidR="005E7B43" w:rsidRPr="00584A8D">
        <w:rPr>
          <w:snapToGrid w:val="0"/>
          <w:kern w:val="22"/>
          <w:szCs w:val="22"/>
        </w:rPr>
        <w:t>Convention on Biological Diversity</w:t>
      </w:r>
      <w:r w:rsidRPr="00584A8D">
        <w:rPr>
          <w:snapToGrid w:val="0"/>
          <w:kern w:val="22"/>
          <w:szCs w:val="22"/>
        </w:rPr>
        <w:t>,</w:t>
      </w:r>
      <w:r w:rsidR="0067680B" w:rsidRPr="00584A8D">
        <w:rPr>
          <w:rStyle w:val="FootnoteReference"/>
          <w:snapToGrid w:val="0"/>
          <w:kern w:val="22"/>
          <w:sz w:val="22"/>
          <w:szCs w:val="22"/>
          <w:u w:val="none"/>
          <w:vertAlign w:val="superscript"/>
        </w:rPr>
        <w:footnoteReference w:id="33"/>
      </w:r>
      <w:r w:rsidR="00810036" w:rsidRPr="00584A8D">
        <w:rPr>
          <w:snapToGrid w:val="0"/>
          <w:kern w:val="22"/>
          <w:szCs w:val="22"/>
          <w:vertAlign w:val="superscript"/>
        </w:rPr>
        <w:t xml:space="preserve"> </w:t>
      </w:r>
      <w:r w:rsidR="00810036" w:rsidRPr="00584A8D">
        <w:rPr>
          <w:snapToGrid w:val="0"/>
          <w:kern w:val="22"/>
          <w:szCs w:val="22"/>
        </w:rPr>
        <w:t>will focus on introduction pathways associated with air transport of cargo and passengers to minimize the risk</w:t>
      </w:r>
      <w:r w:rsidR="007065AB" w:rsidRPr="00584A8D">
        <w:rPr>
          <w:snapToGrid w:val="0"/>
          <w:kern w:val="22"/>
          <w:szCs w:val="22"/>
        </w:rPr>
        <w:t xml:space="preserve"> </w:t>
      </w:r>
      <w:r w:rsidR="00810036" w:rsidRPr="00584A8D">
        <w:rPr>
          <w:snapToGrid w:val="0"/>
          <w:kern w:val="22"/>
          <w:szCs w:val="22"/>
        </w:rPr>
        <w:t>of biological invasion</w:t>
      </w:r>
      <w:r w:rsidR="007065AB" w:rsidRPr="00584A8D">
        <w:rPr>
          <w:snapToGrid w:val="0"/>
          <w:kern w:val="22"/>
          <w:szCs w:val="22"/>
        </w:rPr>
        <w:t>s</w:t>
      </w:r>
      <w:r w:rsidR="00810036" w:rsidRPr="00584A8D">
        <w:rPr>
          <w:snapToGrid w:val="0"/>
          <w:kern w:val="22"/>
          <w:szCs w:val="22"/>
        </w:rPr>
        <w:t xml:space="preserve"> associated with </w:t>
      </w:r>
      <w:r w:rsidR="007065AB" w:rsidRPr="00584A8D">
        <w:rPr>
          <w:snapToGrid w:val="0"/>
          <w:kern w:val="22"/>
          <w:szCs w:val="22"/>
        </w:rPr>
        <w:t>them</w:t>
      </w:r>
      <w:r w:rsidR="00810036" w:rsidRPr="00584A8D">
        <w:rPr>
          <w:snapToGrid w:val="0"/>
          <w:kern w:val="22"/>
          <w:szCs w:val="22"/>
        </w:rPr>
        <w:t>.</w:t>
      </w:r>
    </w:p>
    <w:p w14:paraId="6008FDA5" w14:textId="57712BC4" w:rsidR="0087279F" w:rsidRPr="00584A8D" w:rsidRDefault="00B535AE" w:rsidP="00584A8D">
      <w:pPr>
        <w:pStyle w:val="Heading1"/>
        <w:suppressLineNumbers/>
        <w:tabs>
          <w:tab w:val="clear" w:pos="720"/>
          <w:tab w:val="left" w:pos="360"/>
        </w:tabs>
        <w:suppressAutoHyphens/>
        <w:kinsoku w:val="0"/>
        <w:overflowPunct w:val="0"/>
        <w:autoSpaceDE w:val="0"/>
        <w:autoSpaceDN w:val="0"/>
        <w:adjustRightInd w:val="0"/>
        <w:snapToGrid w:val="0"/>
        <w:spacing w:before="120"/>
        <w:rPr>
          <w:bCs/>
          <w:snapToGrid w:val="0"/>
          <w:kern w:val="22"/>
          <w:szCs w:val="22"/>
        </w:rPr>
      </w:pPr>
      <w:r w:rsidRPr="00584A8D">
        <w:rPr>
          <w:bCs/>
          <w:snapToGrid w:val="0"/>
          <w:kern w:val="22"/>
          <w:szCs w:val="22"/>
        </w:rPr>
        <w:t>V.</w:t>
      </w:r>
      <w:r w:rsidRPr="00584A8D">
        <w:rPr>
          <w:bCs/>
          <w:snapToGrid w:val="0"/>
          <w:kern w:val="22"/>
          <w:szCs w:val="22"/>
        </w:rPr>
        <w:tab/>
        <w:t>SUGGESTED RECOMMENDATIONS</w:t>
      </w:r>
    </w:p>
    <w:p w14:paraId="53F78DDD" w14:textId="77777777" w:rsidR="0087279F" w:rsidRPr="00584A8D" w:rsidRDefault="0087279F" w:rsidP="00584A8D">
      <w:pPr>
        <w:numPr>
          <w:ilvl w:val="0"/>
          <w:numId w:val="8"/>
        </w:numPr>
        <w:suppressLineNumbers/>
        <w:suppressAutoHyphens/>
        <w:kinsoku w:val="0"/>
        <w:overflowPunct w:val="0"/>
        <w:autoSpaceDE w:val="0"/>
        <w:autoSpaceDN w:val="0"/>
        <w:adjustRightInd w:val="0"/>
        <w:snapToGrid w:val="0"/>
        <w:spacing w:before="120" w:after="120"/>
        <w:ind w:left="0" w:firstLine="0"/>
        <w:rPr>
          <w:iCs/>
          <w:snapToGrid w:val="0"/>
          <w:kern w:val="22"/>
          <w:szCs w:val="22"/>
        </w:rPr>
      </w:pPr>
      <w:bookmarkStart w:id="2" w:name="_Hlk510729524"/>
      <w:r w:rsidRPr="00584A8D">
        <w:rPr>
          <w:rFonts w:eastAsia="Yu Mincho"/>
          <w:snapToGrid w:val="0"/>
          <w:kern w:val="22"/>
          <w:szCs w:val="22"/>
          <w:lang w:eastAsia="ja-JP"/>
        </w:rPr>
        <w:t>The</w:t>
      </w:r>
      <w:r w:rsidRPr="00584A8D">
        <w:rPr>
          <w:rFonts w:eastAsia="Batang"/>
          <w:iCs/>
          <w:snapToGrid w:val="0"/>
          <w:color w:val="000000"/>
          <w:kern w:val="22"/>
          <w:szCs w:val="22"/>
          <w:lang w:eastAsia="ja-JP" w:bidi="th-TH"/>
        </w:rPr>
        <w:t xml:space="preserve"> Subsidiary </w:t>
      </w:r>
      <w:r w:rsidRPr="00584A8D">
        <w:rPr>
          <w:iCs/>
          <w:snapToGrid w:val="0"/>
          <w:kern w:val="22"/>
          <w:szCs w:val="22"/>
        </w:rPr>
        <w:t>Body</w:t>
      </w:r>
      <w:r w:rsidRPr="00584A8D">
        <w:rPr>
          <w:rFonts w:eastAsia="Batang"/>
          <w:iCs/>
          <w:snapToGrid w:val="0"/>
          <w:color w:val="000000"/>
          <w:kern w:val="22"/>
          <w:szCs w:val="22"/>
          <w:lang w:eastAsia="ja-JP" w:bidi="th-TH"/>
        </w:rPr>
        <w:t xml:space="preserve"> on Scientific, Technical and Technological Advice </w:t>
      </w:r>
      <w:bookmarkEnd w:id="2"/>
      <w:r w:rsidRPr="00584A8D">
        <w:rPr>
          <w:rFonts w:eastAsia="Batang"/>
          <w:iCs/>
          <w:snapToGrid w:val="0"/>
          <w:color w:val="000000"/>
          <w:kern w:val="22"/>
          <w:szCs w:val="22"/>
          <w:lang w:eastAsia="ja-JP" w:bidi="th-TH"/>
        </w:rPr>
        <w:t>may wish to recommend that the Conference of the Parties adopt a decision along the following lines</w:t>
      </w:r>
      <w:r w:rsidRPr="00584A8D">
        <w:rPr>
          <w:iCs/>
          <w:snapToGrid w:val="0"/>
          <w:kern w:val="22"/>
          <w:szCs w:val="22"/>
        </w:rPr>
        <w:t>:</w:t>
      </w:r>
    </w:p>
    <w:p w14:paraId="32337CFA" w14:textId="2BA8D7BE" w:rsidR="0087279F" w:rsidRPr="00584A8D" w:rsidRDefault="0087279F" w:rsidP="00584A8D">
      <w:pPr>
        <w:suppressLineNumbers/>
        <w:suppressAutoHyphens/>
        <w:kinsoku w:val="0"/>
        <w:overflowPunct w:val="0"/>
        <w:autoSpaceDE w:val="0"/>
        <w:autoSpaceDN w:val="0"/>
        <w:adjustRightInd w:val="0"/>
        <w:snapToGrid w:val="0"/>
        <w:spacing w:before="120" w:after="120"/>
        <w:ind w:firstLine="720"/>
        <w:rPr>
          <w:rFonts w:eastAsia="Yu Mincho"/>
          <w:b/>
          <w:i/>
          <w:snapToGrid w:val="0"/>
          <w:kern w:val="22"/>
          <w:szCs w:val="22"/>
          <w:lang w:eastAsia="ja-JP"/>
        </w:rPr>
      </w:pPr>
      <w:r w:rsidRPr="00584A8D">
        <w:rPr>
          <w:rFonts w:eastAsia="Batang"/>
          <w:i/>
          <w:iCs/>
          <w:snapToGrid w:val="0"/>
          <w:color w:val="000000"/>
          <w:kern w:val="22"/>
          <w:szCs w:val="22"/>
          <w:lang w:eastAsia="ja-JP" w:bidi="th-TH"/>
        </w:rPr>
        <w:t>The Conference of the Parties</w:t>
      </w:r>
    </w:p>
    <w:p w14:paraId="7C4E59BC" w14:textId="7301A4F2" w:rsidR="00A8273B" w:rsidRPr="00584A8D" w:rsidRDefault="00DB0FE2" w:rsidP="00584A8D">
      <w:pPr>
        <w:pStyle w:val="ListParagraph"/>
        <w:suppressLineNumbers/>
        <w:suppressAutoHyphens/>
        <w:kinsoku w:val="0"/>
        <w:overflowPunct w:val="0"/>
        <w:autoSpaceDE w:val="0"/>
        <w:autoSpaceDN w:val="0"/>
        <w:adjustRightInd w:val="0"/>
        <w:snapToGrid w:val="0"/>
        <w:spacing w:before="120" w:after="120"/>
        <w:ind w:left="0" w:firstLine="720"/>
        <w:contextualSpacing w:val="0"/>
        <w:rPr>
          <w:rFonts w:eastAsia="Yu Mincho"/>
          <w:i/>
          <w:snapToGrid w:val="0"/>
          <w:kern w:val="22"/>
          <w:szCs w:val="22"/>
          <w:lang w:eastAsia="ja-JP"/>
        </w:rPr>
      </w:pPr>
      <w:r w:rsidRPr="00584A8D">
        <w:rPr>
          <w:rFonts w:eastAsia="Yu Mincho"/>
          <w:snapToGrid w:val="0"/>
          <w:kern w:val="22"/>
          <w:szCs w:val="22"/>
          <w:lang w:eastAsia="ja-JP"/>
        </w:rPr>
        <w:t>1</w:t>
      </w:r>
      <w:r w:rsidRPr="00584A8D">
        <w:rPr>
          <w:rFonts w:eastAsia="Yu Mincho"/>
          <w:i/>
          <w:snapToGrid w:val="0"/>
          <w:kern w:val="22"/>
          <w:szCs w:val="22"/>
          <w:lang w:eastAsia="ja-JP"/>
        </w:rPr>
        <w:t>.</w:t>
      </w:r>
      <w:r w:rsidRPr="00584A8D">
        <w:rPr>
          <w:rFonts w:eastAsia="Yu Mincho"/>
          <w:i/>
          <w:snapToGrid w:val="0"/>
          <w:kern w:val="22"/>
          <w:szCs w:val="22"/>
          <w:lang w:eastAsia="ja-JP"/>
        </w:rPr>
        <w:tab/>
      </w:r>
      <w:r w:rsidR="00A8273B" w:rsidRPr="00584A8D">
        <w:rPr>
          <w:rFonts w:eastAsia="Yu Mincho"/>
          <w:i/>
          <w:snapToGrid w:val="0"/>
          <w:kern w:val="22"/>
          <w:szCs w:val="22"/>
          <w:lang w:eastAsia="ja-JP"/>
        </w:rPr>
        <w:t xml:space="preserve">Adopts </w:t>
      </w:r>
      <w:r w:rsidR="00A8273B" w:rsidRPr="00584A8D">
        <w:rPr>
          <w:rFonts w:eastAsia="Yu Mincho"/>
          <w:snapToGrid w:val="0"/>
          <w:kern w:val="22"/>
          <w:szCs w:val="22"/>
          <w:lang w:eastAsia="ja-JP"/>
        </w:rPr>
        <w:t>the supplemental guidance as annexed to the present decision</w:t>
      </w:r>
      <w:r w:rsidR="006C521A" w:rsidRPr="00584A8D">
        <w:rPr>
          <w:rFonts w:eastAsia="Yu Mincho"/>
          <w:snapToGrid w:val="0"/>
          <w:kern w:val="22"/>
          <w:szCs w:val="22"/>
          <w:lang w:eastAsia="ja-JP"/>
        </w:rPr>
        <w:t>;</w:t>
      </w:r>
    </w:p>
    <w:p w14:paraId="6C20F0E7" w14:textId="25B6979E" w:rsidR="00A8273B" w:rsidRPr="00584A8D" w:rsidRDefault="00DB0FE2" w:rsidP="00584A8D">
      <w:pPr>
        <w:pStyle w:val="ListParagraph"/>
        <w:suppressLineNumbers/>
        <w:suppressAutoHyphens/>
        <w:kinsoku w:val="0"/>
        <w:overflowPunct w:val="0"/>
        <w:autoSpaceDE w:val="0"/>
        <w:autoSpaceDN w:val="0"/>
        <w:adjustRightInd w:val="0"/>
        <w:snapToGrid w:val="0"/>
        <w:spacing w:before="120" w:after="120"/>
        <w:ind w:left="0" w:firstLine="720"/>
        <w:contextualSpacing w:val="0"/>
        <w:rPr>
          <w:rFonts w:eastAsia="Yu Mincho"/>
          <w:i/>
          <w:snapToGrid w:val="0"/>
          <w:kern w:val="22"/>
          <w:szCs w:val="22"/>
          <w:lang w:eastAsia="ja-JP"/>
        </w:rPr>
      </w:pPr>
      <w:r w:rsidRPr="00584A8D">
        <w:rPr>
          <w:rFonts w:eastAsia="Yu Mincho"/>
          <w:snapToGrid w:val="0"/>
          <w:kern w:val="22"/>
          <w:szCs w:val="22"/>
          <w:lang w:eastAsia="ja-JP"/>
        </w:rPr>
        <w:t>2</w:t>
      </w:r>
      <w:r w:rsidRPr="00584A8D">
        <w:rPr>
          <w:rFonts w:eastAsia="Yu Mincho"/>
          <w:i/>
          <w:snapToGrid w:val="0"/>
          <w:kern w:val="22"/>
          <w:szCs w:val="22"/>
          <w:lang w:eastAsia="ja-JP"/>
        </w:rPr>
        <w:t>.</w:t>
      </w:r>
      <w:r w:rsidRPr="00584A8D">
        <w:rPr>
          <w:rFonts w:eastAsia="Yu Mincho"/>
          <w:i/>
          <w:snapToGrid w:val="0"/>
          <w:kern w:val="22"/>
          <w:szCs w:val="22"/>
          <w:lang w:eastAsia="ja-JP"/>
        </w:rPr>
        <w:tab/>
      </w:r>
      <w:r w:rsidR="0032575F" w:rsidRPr="00584A8D">
        <w:rPr>
          <w:rFonts w:eastAsia="Yu Mincho"/>
          <w:i/>
          <w:snapToGrid w:val="0"/>
          <w:kern w:val="22"/>
          <w:szCs w:val="22"/>
          <w:lang w:eastAsia="ja-JP"/>
        </w:rPr>
        <w:t>I</w:t>
      </w:r>
      <w:r w:rsidR="00A8273B" w:rsidRPr="00584A8D">
        <w:rPr>
          <w:rFonts w:eastAsia="Yu Mincho"/>
          <w:i/>
          <w:snapToGrid w:val="0"/>
          <w:kern w:val="22"/>
          <w:szCs w:val="22"/>
          <w:lang w:eastAsia="ja-JP"/>
        </w:rPr>
        <w:t>nvites</w:t>
      </w:r>
      <w:r w:rsidR="00A8273B" w:rsidRPr="00584A8D">
        <w:rPr>
          <w:rFonts w:eastAsia="Yu Mincho"/>
          <w:snapToGrid w:val="0"/>
          <w:kern w:val="22"/>
          <w:szCs w:val="22"/>
          <w:lang w:eastAsia="ja-JP"/>
        </w:rPr>
        <w:t xml:space="preserve"> Parties, other Governments and relevant organi</w:t>
      </w:r>
      <w:r w:rsidR="006C521A" w:rsidRPr="00584A8D">
        <w:rPr>
          <w:rFonts w:eastAsia="Yu Mincho"/>
          <w:snapToGrid w:val="0"/>
          <w:kern w:val="22"/>
          <w:szCs w:val="22"/>
          <w:lang w:eastAsia="ja-JP"/>
        </w:rPr>
        <w:t>z</w:t>
      </w:r>
      <w:r w:rsidR="00A8273B" w:rsidRPr="00584A8D">
        <w:rPr>
          <w:rFonts w:eastAsia="Yu Mincho"/>
          <w:snapToGrid w:val="0"/>
          <w:kern w:val="22"/>
          <w:szCs w:val="22"/>
          <w:lang w:eastAsia="ja-JP"/>
        </w:rPr>
        <w:t xml:space="preserve">ations to apply </w:t>
      </w:r>
      <w:r w:rsidR="00F10360" w:rsidRPr="00584A8D">
        <w:rPr>
          <w:rFonts w:eastAsia="Yu Mincho"/>
          <w:snapToGrid w:val="0"/>
          <w:kern w:val="22"/>
          <w:szCs w:val="22"/>
          <w:lang w:eastAsia="ja-JP"/>
        </w:rPr>
        <w:t>the guidance</w:t>
      </w:r>
      <w:r w:rsidR="006C521A" w:rsidRPr="00584A8D">
        <w:rPr>
          <w:rFonts w:eastAsia="Yu Mincho"/>
          <w:snapToGrid w:val="0"/>
          <w:kern w:val="22"/>
          <w:szCs w:val="22"/>
          <w:lang w:eastAsia="ja-JP"/>
        </w:rPr>
        <w:t>;</w:t>
      </w:r>
    </w:p>
    <w:p w14:paraId="2D340E35" w14:textId="26E255E0" w:rsidR="00A05F4C" w:rsidRPr="00584A8D" w:rsidRDefault="00DB0FE2" w:rsidP="00584A8D">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584A8D">
        <w:rPr>
          <w:rFonts w:eastAsia="Yu Mincho"/>
          <w:snapToGrid w:val="0"/>
          <w:kern w:val="22"/>
          <w:szCs w:val="22"/>
          <w:lang w:eastAsia="ja-JP"/>
        </w:rPr>
        <w:t>3</w:t>
      </w:r>
      <w:r w:rsidRPr="00584A8D">
        <w:rPr>
          <w:rFonts w:eastAsia="Yu Mincho"/>
          <w:i/>
          <w:snapToGrid w:val="0"/>
          <w:kern w:val="22"/>
          <w:szCs w:val="22"/>
          <w:lang w:eastAsia="ja-JP"/>
        </w:rPr>
        <w:t>.</w:t>
      </w:r>
      <w:r w:rsidRPr="00584A8D">
        <w:rPr>
          <w:rFonts w:eastAsia="Yu Mincho"/>
          <w:i/>
          <w:snapToGrid w:val="0"/>
          <w:kern w:val="22"/>
          <w:szCs w:val="22"/>
          <w:lang w:eastAsia="ja-JP"/>
        </w:rPr>
        <w:tab/>
      </w:r>
      <w:r w:rsidR="00112912" w:rsidRPr="00584A8D">
        <w:rPr>
          <w:rFonts w:eastAsia="Yu Mincho"/>
          <w:i/>
          <w:snapToGrid w:val="0"/>
          <w:kern w:val="22"/>
          <w:szCs w:val="22"/>
          <w:lang w:eastAsia="ja-JP"/>
        </w:rPr>
        <w:t xml:space="preserve">Decides </w:t>
      </w:r>
      <w:r w:rsidR="00112912" w:rsidRPr="00584A8D">
        <w:rPr>
          <w:rFonts w:eastAsia="Yu Mincho"/>
          <w:snapToGrid w:val="0"/>
          <w:kern w:val="22"/>
          <w:szCs w:val="22"/>
          <w:lang w:eastAsia="ja-JP"/>
        </w:rPr>
        <w:t>to e</w:t>
      </w:r>
      <w:r w:rsidR="0087279F" w:rsidRPr="00584A8D">
        <w:rPr>
          <w:rFonts w:eastAsia="Yu Mincho"/>
          <w:snapToGrid w:val="0"/>
          <w:kern w:val="22"/>
          <w:szCs w:val="22"/>
          <w:lang w:eastAsia="ja-JP"/>
        </w:rPr>
        <w:t>stablish</w:t>
      </w:r>
      <w:r w:rsidR="0087279F" w:rsidRPr="00584A8D">
        <w:rPr>
          <w:rFonts w:eastAsia="Yu Mincho"/>
          <w:i/>
          <w:snapToGrid w:val="0"/>
          <w:kern w:val="22"/>
          <w:szCs w:val="22"/>
          <w:lang w:eastAsia="ja-JP"/>
        </w:rPr>
        <w:t xml:space="preserve"> </w:t>
      </w:r>
      <w:r w:rsidR="0087279F" w:rsidRPr="00584A8D">
        <w:rPr>
          <w:rFonts w:eastAsia="Yu Mincho"/>
          <w:snapToGrid w:val="0"/>
          <w:kern w:val="22"/>
          <w:szCs w:val="22"/>
          <w:lang w:eastAsia="ja-JP"/>
        </w:rPr>
        <w:t xml:space="preserve">an </w:t>
      </w:r>
      <w:r w:rsidR="00AD3EB0" w:rsidRPr="00584A8D">
        <w:rPr>
          <w:rFonts w:eastAsia="Yu Mincho"/>
          <w:snapToGrid w:val="0"/>
          <w:kern w:val="22"/>
          <w:szCs w:val="22"/>
          <w:lang w:eastAsia="ja-JP"/>
        </w:rPr>
        <w:t>a</w:t>
      </w:r>
      <w:r w:rsidR="0087279F" w:rsidRPr="00584A8D">
        <w:rPr>
          <w:rFonts w:eastAsia="Yu Mincho"/>
          <w:snapToGrid w:val="0"/>
          <w:kern w:val="22"/>
          <w:szCs w:val="22"/>
          <w:lang w:eastAsia="ja-JP"/>
        </w:rPr>
        <w:t xml:space="preserve">d </w:t>
      </w:r>
      <w:r w:rsidR="00AD3EB0" w:rsidRPr="00584A8D">
        <w:rPr>
          <w:rFonts w:eastAsia="Yu Mincho"/>
          <w:snapToGrid w:val="0"/>
          <w:kern w:val="22"/>
          <w:szCs w:val="22"/>
          <w:lang w:eastAsia="ja-JP"/>
        </w:rPr>
        <w:t>h</w:t>
      </w:r>
      <w:r w:rsidR="0087279F" w:rsidRPr="00584A8D">
        <w:rPr>
          <w:rFonts w:eastAsia="Yu Mincho"/>
          <w:snapToGrid w:val="0"/>
          <w:kern w:val="22"/>
          <w:szCs w:val="22"/>
          <w:lang w:eastAsia="ja-JP"/>
        </w:rPr>
        <w:t xml:space="preserve">oc </w:t>
      </w:r>
      <w:r w:rsidR="00AD3EB0" w:rsidRPr="00584A8D">
        <w:rPr>
          <w:rFonts w:eastAsia="Yu Mincho"/>
          <w:snapToGrid w:val="0"/>
          <w:kern w:val="22"/>
          <w:szCs w:val="22"/>
          <w:lang w:eastAsia="ja-JP"/>
        </w:rPr>
        <w:t>t</w:t>
      </w:r>
      <w:r w:rsidR="0087279F" w:rsidRPr="00584A8D">
        <w:rPr>
          <w:rFonts w:eastAsia="Yu Mincho"/>
          <w:snapToGrid w:val="0"/>
          <w:kern w:val="22"/>
          <w:szCs w:val="22"/>
          <w:lang w:eastAsia="ja-JP"/>
        </w:rPr>
        <w:t xml:space="preserve">echnical </w:t>
      </w:r>
      <w:r w:rsidR="00AD3EB0" w:rsidRPr="00584A8D">
        <w:rPr>
          <w:rFonts w:eastAsia="Yu Mincho"/>
          <w:snapToGrid w:val="0"/>
          <w:kern w:val="22"/>
          <w:szCs w:val="22"/>
          <w:lang w:eastAsia="ja-JP"/>
        </w:rPr>
        <w:t>e</w:t>
      </w:r>
      <w:r w:rsidR="0087279F" w:rsidRPr="00584A8D">
        <w:rPr>
          <w:rFonts w:eastAsia="Yu Mincho"/>
          <w:snapToGrid w:val="0"/>
          <w:kern w:val="22"/>
          <w:szCs w:val="22"/>
          <w:lang w:eastAsia="ja-JP"/>
        </w:rPr>
        <w:t xml:space="preserve">xpert </w:t>
      </w:r>
      <w:r w:rsidR="00AD3EB0" w:rsidRPr="00584A8D">
        <w:rPr>
          <w:rFonts w:eastAsia="Yu Mincho"/>
          <w:snapToGrid w:val="0"/>
          <w:kern w:val="22"/>
          <w:szCs w:val="22"/>
          <w:lang w:eastAsia="ja-JP"/>
        </w:rPr>
        <w:t>g</w:t>
      </w:r>
      <w:r w:rsidR="0087279F" w:rsidRPr="00584A8D">
        <w:rPr>
          <w:rFonts w:eastAsia="Yu Mincho"/>
          <w:snapToGrid w:val="0"/>
          <w:kern w:val="22"/>
          <w:szCs w:val="22"/>
          <w:lang w:eastAsia="ja-JP"/>
        </w:rPr>
        <w:t xml:space="preserve">roup </w:t>
      </w:r>
      <w:r w:rsidR="00493939" w:rsidRPr="00584A8D">
        <w:rPr>
          <w:rFonts w:eastAsia="Yu Mincho"/>
          <w:snapToGrid w:val="0"/>
          <w:kern w:val="22"/>
          <w:szCs w:val="22"/>
          <w:lang w:eastAsia="ja-JP"/>
        </w:rPr>
        <w:t xml:space="preserve">on </w:t>
      </w:r>
      <w:r w:rsidR="00F25483" w:rsidRPr="00584A8D">
        <w:rPr>
          <w:rFonts w:eastAsia="Yu Mincho"/>
          <w:snapToGrid w:val="0"/>
          <w:kern w:val="22"/>
          <w:szCs w:val="22"/>
          <w:lang w:eastAsia="ja-JP"/>
        </w:rPr>
        <w:t>i</w:t>
      </w:r>
      <w:r w:rsidR="00493939" w:rsidRPr="00584A8D">
        <w:rPr>
          <w:rFonts w:eastAsia="Yu Mincho"/>
          <w:snapToGrid w:val="0"/>
          <w:kern w:val="22"/>
          <w:szCs w:val="22"/>
          <w:lang w:eastAsia="ja-JP"/>
        </w:rPr>
        <w:t>nvasive alien species</w:t>
      </w:r>
      <w:r w:rsidR="0062057C" w:rsidRPr="00584A8D">
        <w:rPr>
          <w:rFonts w:eastAsia="Yu Mincho"/>
          <w:snapToGrid w:val="0"/>
          <w:kern w:val="22"/>
          <w:szCs w:val="22"/>
          <w:lang w:eastAsia="ja-JP"/>
        </w:rPr>
        <w:t xml:space="preserve">, </w:t>
      </w:r>
      <w:r w:rsidR="0062057C" w:rsidRPr="00584A8D">
        <w:rPr>
          <w:snapToGrid w:val="0"/>
          <w:kern w:val="22"/>
          <w:szCs w:val="22"/>
        </w:rPr>
        <w:t>subject to the availability of financial resources, to convene a meeting of this group in accordance with the terms of r</w:t>
      </w:r>
      <w:r w:rsidR="0045022F" w:rsidRPr="00584A8D">
        <w:rPr>
          <w:snapToGrid w:val="0"/>
          <w:kern w:val="22"/>
          <w:szCs w:val="22"/>
        </w:rPr>
        <w:t>eference contained in the annex;</w:t>
      </w:r>
    </w:p>
    <w:p w14:paraId="47ABA902" w14:textId="6544C576" w:rsidR="00A05F4C" w:rsidRPr="00584A8D" w:rsidRDefault="00A05F4C" w:rsidP="00584A8D">
      <w:pPr>
        <w:pStyle w:val="ListParagraph"/>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4</w:t>
      </w:r>
      <w:r w:rsidRPr="00584A8D">
        <w:rPr>
          <w:rFonts w:eastAsia="Yu Mincho"/>
          <w:i/>
          <w:snapToGrid w:val="0"/>
          <w:kern w:val="22"/>
          <w:szCs w:val="22"/>
          <w:lang w:eastAsia="ja-JP"/>
        </w:rPr>
        <w:t>.</w:t>
      </w:r>
      <w:r w:rsidRPr="00584A8D">
        <w:rPr>
          <w:rFonts w:eastAsia="Yu Mincho"/>
          <w:i/>
          <w:snapToGrid w:val="0"/>
          <w:kern w:val="22"/>
          <w:szCs w:val="22"/>
          <w:lang w:eastAsia="ja-JP"/>
        </w:rPr>
        <w:tab/>
        <w:t xml:space="preserve">Encourages </w:t>
      </w:r>
      <w:r w:rsidRPr="00584A8D">
        <w:rPr>
          <w:rFonts w:eastAsia="Yu Mincho"/>
          <w:snapToGrid w:val="0"/>
          <w:kern w:val="22"/>
          <w:szCs w:val="22"/>
          <w:lang w:eastAsia="ja-JP"/>
        </w:rPr>
        <w:t xml:space="preserve">Parties and </w:t>
      </w:r>
      <w:r w:rsidRPr="00584A8D">
        <w:rPr>
          <w:rFonts w:eastAsia="Yu Mincho"/>
          <w:i/>
          <w:snapToGrid w:val="0"/>
          <w:kern w:val="22"/>
          <w:szCs w:val="22"/>
          <w:lang w:eastAsia="ja-JP"/>
        </w:rPr>
        <w:t>invites</w:t>
      </w:r>
      <w:r w:rsidRPr="00584A8D">
        <w:rPr>
          <w:rFonts w:eastAsia="Yu Mincho"/>
          <w:snapToGrid w:val="0"/>
          <w:kern w:val="22"/>
          <w:szCs w:val="22"/>
          <w:lang w:eastAsia="ja-JP"/>
        </w:rPr>
        <w:t xml:space="preserve"> other Governments to share information on national import regulations relevant to invasive alien species through the clearing-house mechanism or other equivalent means</w:t>
      </w:r>
      <w:r w:rsidR="00F810A2" w:rsidRPr="00584A8D">
        <w:rPr>
          <w:rFonts w:eastAsia="Yu Mincho"/>
          <w:snapToGrid w:val="0"/>
          <w:kern w:val="22"/>
          <w:szCs w:val="22"/>
          <w:lang w:eastAsia="ja-JP"/>
        </w:rPr>
        <w:t>;</w:t>
      </w:r>
    </w:p>
    <w:p w14:paraId="1F7F9E26" w14:textId="1A5819EF" w:rsidR="00A05F4C" w:rsidRPr="00584A8D" w:rsidRDefault="00A05F4C" w:rsidP="00584A8D">
      <w:pPr>
        <w:suppressLineNumbers/>
        <w:suppressAutoHyphens/>
        <w:kinsoku w:val="0"/>
        <w:overflowPunct w:val="0"/>
        <w:autoSpaceDE w:val="0"/>
        <w:autoSpaceDN w:val="0"/>
        <w:adjustRightInd w:val="0"/>
        <w:snapToGrid w:val="0"/>
        <w:spacing w:before="120" w:after="120"/>
        <w:ind w:firstLine="720"/>
        <w:rPr>
          <w:rFonts w:eastAsia="Yu Mincho"/>
          <w:bCs/>
          <w:snapToGrid w:val="0"/>
          <w:kern w:val="22"/>
          <w:szCs w:val="22"/>
          <w:lang w:eastAsia="ja-JP"/>
        </w:rPr>
      </w:pPr>
      <w:r w:rsidRPr="00584A8D">
        <w:rPr>
          <w:rFonts w:eastAsia="Yu Mincho"/>
          <w:snapToGrid w:val="0"/>
          <w:kern w:val="22"/>
          <w:szCs w:val="22"/>
          <w:lang w:eastAsia="ja-JP"/>
        </w:rPr>
        <w:t>5.</w:t>
      </w:r>
      <w:r w:rsidRPr="00584A8D">
        <w:rPr>
          <w:rFonts w:eastAsia="Yu Mincho"/>
          <w:i/>
          <w:snapToGrid w:val="0"/>
          <w:kern w:val="22"/>
          <w:szCs w:val="22"/>
          <w:lang w:eastAsia="ja-JP"/>
        </w:rPr>
        <w:tab/>
        <w:t xml:space="preserve">Requests </w:t>
      </w:r>
      <w:r w:rsidRPr="00584A8D">
        <w:rPr>
          <w:rFonts w:eastAsia="Yu Mincho"/>
          <w:snapToGrid w:val="0"/>
          <w:kern w:val="22"/>
          <w:szCs w:val="22"/>
          <w:lang w:eastAsia="ja-JP"/>
        </w:rPr>
        <w:t>the Executive Secretary to explore with the Secretariat of the United Nations Economic and Social Council, as well as the Inter-agency Liaison Group on Invasive Alien Species </w:t>
      </w:r>
      <w:r w:rsidR="003E158F" w:rsidRPr="00584A8D">
        <w:rPr>
          <w:rFonts w:eastAsia="Yu Mincho"/>
          <w:snapToGrid w:val="0"/>
          <w:kern w:val="22"/>
          <w:szCs w:val="22"/>
          <w:lang w:eastAsia="ja-JP"/>
        </w:rPr>
        <w:t>the possibility of</w:t>
      </w:r>
      <w:r w:rsidRPr="00584A8D">
        <w:rPr>
          <w:rFonts w:eastAsia="Yu Mincho"/>
          <w:snapToGrid w:val="0"/>
          <w:kern w:val="22"/>
          <w:szCs w:val="22"/>
          <w:lang w:eastAsia="ja-JP"/>
        </w:rPr>
        <w:t xml:space="preserve"> develop</w:t>
      </w:r>
      <w:r w:rsidR="003E158F" w:rsidRPr="00584A8D">
        <w:rPr>
          <w:rFonts w:eastAsia="Yu Mincho"/>
          <w:snapToGrid w:val="0"/>
          <w:kern w:val="22"/>
          <w:szCs w:val="22"/>
          <w:lang w:eastAsia="ja-JP"/>
        </w:rPr>
        <w:t>ing</w:t>
      </w:r>
      <w:r w:rsidRPr="00584A8D">
        <w:rPr>
          <w:rFonts w:eastAsia="Yu Mincho"/>
          <w:snapToGrid w:val="0"/>
          <w:kern w:val="22"/>
          <w:szCs w:val="22"/>
          <w:lang w:eastAsia="ja-JP"/>
        </w:rPr>
        <w:t xml:space="preserve"> a</w:t>
      </w:r>
      <w:r w:rsidRPr="00584A8D">
        <w:rPr>
          <w:i/>
          <w:snapToGrid w:val="0"/>
          <w:color w:val="660000"/>
          <w:kern w:val="22"/>
          <w:szCs w:val="22"/>
          <w:lang w:eastAsia="ja-JP"/>
        </w:rPr>
        <w:t xml:space="preserve"> </w:t>
      </w:r>
      <w:r w:rsidRPr="00584A8D">
        <w:rPr>
          <w:rFonts w:eastAsia="Yu Mincho"/>
          <w:bCs/>
          <w:snapToGrid w:val="0"/>
          <w:kern w:val="22"/>
          <w:szCs w:val="22"/>
          <w:lang w:eastAsia="ja-JP"/>
        </w:rPr>
        <w:t>globally harmonized system of classification and labelling for biodiversity hazard</w:t>
      </w:r>
      <w:r w:rsidR="003E158F" w:rsidRPr="00584A8D">
        <w:rPr>
          <w:rFonts w:eastAsia="Yu Mincho"/>
          <w:bCs/>
          <w:snapToGrid w:val="0"/>
          <w:kern w:val="22"/>
          <w:szCs w:val="22"/>
          <w:lang w:eastAsia="ja-JP"/>
        </w:rPr>
        <w:t>s</w:t>
      </w:r>
      <w:r w:rsidRPr="00584A8D">
        <w:rPr>
          <w:rFonts w:eastAsia="Yu Mincho"/>
          <w:bCs/>
          <w:snapToGrid w:val="0"/>
          <w:kern w:val="22"/>
          <w:szCs w:val="22"/>
          <w:lang w:eastAsia="ja-JP"/>
        </w:rPr>
        <w:t xml:space="preserve">, and report on its progress to </w:t>
      </w:r>
      <w:r w:rsidRPr="00584A8D">
        <w:rPr>
          <w:rFonts w:eastAsia="Yu Mincho"/>
          <w:snapToGrid w:val="0"/>
          <w:kern w:val="22"/>
          <w:szCs w:val="22"/>
          <w:lang w:eastAsia="ja-JP"/>
        </w:rPr>
        <w:t>the</w:t>
      </w:r>
      <w:r w:rsidRPr="00584A8D">
        <w:rPr>
          <w:rFonts w:eastAsia="Batang"/>
          <w:iCs/>
          <w:snapToGrid w:val="0"/>
          <w:color w:val="000000"/>
          <w:kern w:val="22"/>
          <w:szCs w:val="22"/>
          <w:lang w:eastAsia="ja-JP" w:bidi="th-TH"/>
        </w:rPr>
        <w:t xml:space="preserve"> Subsidiary </w:t>
      </w:r>
      <w:r w:rsidRPr="00584A8D">
        <w:rPr>
          <w:iCs/>
          <w:snapToGrid w:val="0"/>
          <w:kern w:val="22"/>
          <w:szCs w:val="22"/>
        </w:rPr>
        <w:t>Body</w:t>
      </w:r>
      <w:r w:rsidRPr="00584A8D">
        <w:rPr>
          <w:rFonts w:eastAsia="Batang"/>
          <w:iCs/>
          <w:snapToGrid w:val="0"/>
          <w:color w:val="000000"/>
          <w:kern w:val="22"/>
          <w:szCs w:val="22"/>
          <w:lang w:eastAsia="ja-JP" w:bidi="th-TH"/>
        </w:rPr>
        <w:t xml:space="preserve"> on Scientific, Technical and Technological Advice </w:t>
      </w:r>
      <w:r w:rsidR="003D7CDD" w:rsidRPr="00584A8D">
        <w:rPr>
          <w:rFonts w:eastAsia="Batang"/>
          <w:iCs/>
          <w:snapToGrid w:val="0"/>
          <w:color w:val="000000"/>
          <w:kern w:val="22"/>
          <w:szCs w:val="22"/>
          <w:lang w:eastAsia="ja-JP" w:bidi="th-TH"/>
        </w:rPr>
        <w:t xml:space="preserve">at a meeting to be held </w:t>
      </w:r>
      <w:r w:rsidRPr="00584A8D">
        <w:rPr>
          <w:rFonts w:eastAsia="Batang"/>
          <w:iCs/>
          <w:snapToGrid w:val="0"/>
          <w:color w:val="000000"/>
          <w:kern w:val="22"/>
          <w:szCs w:val="22"/>
          <w:lang w:eastAsia="ja-JP" w:bidi="th-TH"/>
        </w:rPr>
        <w:t>prior to the fifteenth meeting of the Conference of the Parties.</w:t>
      </w:r>
    </w:p>
    <w:p w14:paraId="50FB8E52" w14:textId="319BA493" w:rsidR="00262AAB" w:rsidRPr="00584A8D" w:rsidRDefault="00262AAB" w:rsidP="00584A8D">
      <w:pPr>
        <w:suppressLineNumbers/>
        <w:suppressAutoHyphens/>
        <w:kinsoku w:val="0"/>
        <w:overflowPunct w:val="0"/>
        <w:autoSpaceDE w:val="0"/>
        <w:autoSpaceDN w:val="0"/>
        <w:adjustRightInd w:val="0"/>
        <w:snapToGrid w:val="0"/>
        <w:rPr>
          <w:rFonts w:eastAsia="Yu Mincho"/>
          <w:snapToGrid w:val="0"/>
          <w:kern w:val="22"/>
          <w:szCs w:val="22"/>
          <w:lang w:eastAsia="ja-JP"/>
        </w:rPr>
      </w:pPr>
    </w:p>
    <w:p w14:paraId="50CA042A" w14:textId="6CA300B8" w:rsidR="00D220E9" w:rsidRPr="00584A8D" w:rsidRDefault="00D220E9" w:rsidP="00584A8D">
      <w:pPr>
        <w:suppressLineNumbers/>
        <w:suppressAutoHyphens/>
        <w:kinsoku w:val="0"/>
        <w:overflowPunct w:val="0"/>
        <w:autoSpaceDE w:val="0"/>
        <w:autoSpaceDN w:val="0"/>
        <w:adjustRightInd w:val="0"/>
        <w:snapToGrid w:val="0"/>
        <w:spacing w:after="120"/>
        <w:jc w:val="center"/>
        <w:rPr>
          <w:rFonts w:eastAsia="MS Mincho"/>
          <w:snapToGrid w:val="0"/>
          <w:kern w:val="22"/>
          <w:szCs w:val="22"/>
          <w:lang w:eastAsia="ja-JP"/>
        </w:rPr>
      </w:pPr>
      <w:r w:rsidRPr="00584A8D">
        <w:rPr>
          <w:rFonts w:eastAsia="MS Mincho"/>
          <w:i/>
          <w:snapToGrid w:val="0"/>
          <w:kern w:val="22"/>
          <w:szCs w:val="22"/>
          <w:lang w:eastAsia="ja-JP"/>
        </w:rPr>
        <w:t>Annex</w:t>
      </w:r>
      <w:r w:rsidR="00501B3F" w:rsidRPr="00584A8D">
        <w:rPr>
          <w:rFonts w:eastAsia="MS Mincho"/>
          <w:i/>
          <w:snapToGrid w:val="0"/>
          <w:kern w:val="22"/>
          <w:szCs w:val="22"/>
          <w:lang w:eastAsia="ja-JP"/>
        </w:rPr>
        <w:t xml:space="preserve"> I</w:t>
      </w:r>
    </w:p>
    <w:p w14:paraId="56E65355" w14:textId="1FC19A51" w:rsidR="00D220E9" w:rsidRPr="00584A8D" w:rsidRDefault="00501B3F" w:rsidP="00584A8D">
      <w:pPr>
        <w:pStyle w:val="HEADING"/>
        <w:suppressLineNumbers/>
        <w:suppressAutoHyphens/>
        <w:kinsoku w:val="0"/>
        <w:overflowPunct w:val="0"/>
        <w:autoSpaceDE w:val="0"/>
        <w:autoSpaceDN w:val="0"/>
        <w:adjustRightInd w:val="0"/>
        <w:snapToGrid w:val="0"/>
        <w:spacing w:before="120"/>
        <w:rPr>
          <w:rFonts w:eastAsia="MS Mincho"/>
          <w:snapToGrid w:val="0"/>
          <w:kern w:val="22"/>
          <w:szCs w:val="22"/>
          <w:lang w:eastAsia="ja-JP"/>
        </w:rPr>
      </w:pPr>
      <w:r w:rsidRPr="00584A8D">
        <w:rPr>
          <w:rFonts w:eastAsia="MS Mincho"/>
          <w:caps w:val="0"/>
          <w:snapToGrid w:val="0"/>
          <w:kern w:val="22"/>
          <w:szCs w:val="22"/>
          <w:lang w:eastAsia="ja-JP"/>
        </w:rPr>
        <w:t>Draft supplementary guidance for avoiding unintentional introductions of invasive alien species associated with trade in live alien species</w:t>
      </w:r>
    </w:p>
    <w:p w14:paraId="5D17C80E" w14:textId="6B338378"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Th</w:t>
      </w:r>
      <w:r w:rsidR="005E7B43" w:rsidRPr="00584A8D">
        <w:rPr>
          <w:rFonts w:eastAsia="MS Mincho"/>
          <w:snapToGrid w:val="0"/>
          <w:kern w:val="22"/>
          <w:szCs w:val="22"/>
          <w:lang w:eastAsia="ja-JP"/>
        </w:rPr>
        <w:t>e present</w:t>
      </w:r>
      <w:r w:rsidRPr="00584A8D">
        <w:rPr>
          <w:rFonts w:eastAsia="MS Mincho"/>
          <w:snapToGrid w:val="0"/>
          <w:kern w:val="22"/>
          <w:szCs w:val="22"/>
          <w:lang w:eastAsia="ja-JP"/>
        </w:rPr>
        <w:t xml:space="preserve"> guidance supplement</w:t>
      </w:r>
      <w:r w:rsidR="004F38BD" w:rsidRPr="00584A8D">
        <w:rPr>
          <w:rFonts w:eastAsia="MS Mincho"/>
          <w:snapToGrid w:val="0"/>
          <w:kern w:val="22"/>
          <w:szCs w:val="22"/>
          <w:lang w:eastAsia="ja-JP"/>
        </w:rPr>
        <w:t>s</w:t>
      </w:r>
      <w:r w:rsidRPr="00584A8D">
        <w:rPr>
          <w:rFonts w:eastAsia="MS Mincho"/>
          <w:snapToGrid w:val="0"/>
          <w:kern w:val="22"/>
          <w:szCs w:val="22"/>
          <w:lang w:eastAsia="ja-JP"/>
        </w:rPr>
        <w:t xml:space="preserve"> the Guidance on Devising and Implementing Measures to Address the Risks Associated with the Introduction of Alien Species as Pets, Aquarium and Terrarium Species, and as Live Bait and Live Food annexed to decision </w:t>
      </w:r>
      <w:hyperlink r:id="rId24" w:history="1">
        <w:r w:rsidRPr="00584A8D">
          <w:rPr>
            <w:rStyle w:val="Hyperlink"/>
            <w:rFonts w:eastAsia="MS Mincho"/>
            <w:szCs w:val="22"/>
          </w:rPr>
          <w:t>XII/16</w:t>
        </w:r>
      </w:hyperlink>
      <w:r w:rsidRPr="00584A8D">
        <w:rPr>
          <w:rFonts w:eastAsia="MS Mincho"/>
          <w:snapToGrid w:val="0"/>
          <w:kern w:val="22"/>
          <w:szCs w:val="22"/>
          <w:lang w:eastAsia="ja-JP"/>
        </w:rPr>
        <w:t>.</w:t>
      </w:r>
    </w:p>
    <w:p w14:paraId="7462BBAA" w14:textId="64F94DFE"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The purpose of this guidance is to prevent the risk of biological invasion of alien organisms crossing the borders of national jurisdiction and distinct biogeographic areas through the unintentional introduction pathways described in the CBD pathway categori</w:t>
      </w:r>
      <w:r w:rsidR="005E7B43" w:rsidRPr="00584A8D">
        <w:rPr>
          <w:rFonts w:eastAsia="MS Mincho"/>
          <w:snapToGrid w:val="0"/>
          <w:kern w:val="22"/>
          <w:szCs w:val="22"/>
          <w:lang w:eastAsia="ja-JP"/>
        </w:rPr>
        <w:t>z</w:t>
      </w:r>
      <w:r w:rsidRPr="00584A8D">
        <w:rPr>
          <w:rFonts w:eastAsia="MS Mincho"/>
          <w:snapToGrid w:val="0"/>
          <w:kern w:val="22"/>
          <w:szCs w:val="22"/>
          <w:lang w:eastAsia="ja-JP"/>
        </w:rPr>
        <w:t>ation in association with trade in live species</w:t>
      </w:r>
      <w:r w:rsidR="0013426B" w:rsidRPr="00584A8D">
        <w:rPr>
          <w:rFonts w:eastAsia="MS Mincho"/>
          <w:snapToGrid w:val="0"/>
          <w:kern w:val="22"/>
          <w:szCs w:val="22"/>
          <w:lang w:eastAsia="ja-JP"/>
        </w:rPr>
        <w:t>.</w:t>
      </w:r>
      <w:r w:rsidRPr="00584A8D">
        <w:rPr>
          <w:rFonts w:eastAsia="MS Mincho"/>
          <w:snapToGrid w:val="0"/>
          <w:kern w:val="22"/>
          <w:szCs w:val="22"/>
          <w:vertAlign w:val="superscript"/>
          <w:lang w:eastAsia="ja-JP"/>
        </w:rPr>
        <w:t>6,7</w:t>
      </w:r>
    </w:p>
    <w:p w14:paraId="0AC66F42" w14:textId="77777777"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This guidance is relevant to States, relevant organizations, industry and consumers, including all actors involved in the entire value chain of trade in live species (e.g. exporters, importers, breeders, including amateur collectors, participants of exhibitions, and wholesalers, retailers and customers). For the case of live food trade, the persons involved in the value chain include individuals in the business of restaurants and food markets.</w:t>
      </w:r>
    </w:p>
    <w:p w14:paraId="79A6EC3F" w14:textId="44249F07" w:rsidR="00D220E9" w:rsidRPr="00584A8D" w:rsidRDefault="00D220E9" w:rsidP="00584A8D">
      <w:pPr>
        <w:pStyle w:val="Heading1"/>
        <w:numPr>
          <w:ilvl w:val="0"/>
          <w:numId w:val="51"/>
        </w:numPr>
        <w:suppressLineNumbers/>
        <w:tabs>
          <w:tab w:val="clear" w:pos="720"/>
          <w:tab w:val="left" w:pos="360"/>
        </w:tabs>
        <w:suppressAutoHyphens/>
        <w:kinsoku w:val="0"/>
        <w:overflowPunct w:val="0"/>
        <w:autoSpaceDE w:val="0"/>
        <w:autoSpaceDN w:val="0"/>
        <w:adjustRightInd w:val="0"/>
        <w:snapToGrid w:val="0"/>
        <w:spacing w:before="120"/>
        <w:ind w:left="0" w:firstLine="0"/>
        <w:rPr>
          <w:rFonts w:eastAsia="MS Mincho"/>
          <w:snapToGrid w:val="0"/>
          <w:kern w:val="22"/>
          <w:szCs w:val="22"/>
          <w:lang w:eastAsia="ja-JP"/>
        </w:rPr>
      </w:pPr>
      <w:r w:rsidRPr="00584A8D">
        <w:rPr>
          <w:rFonts w:eastAsia="MS Mincho"/>
          <w:snapToGrid w:val="0"/>
          <w:kern w:val="22"/>
          <w:szCs w:val="22"/>
          <w:lang w:eastAsia="ja-JP"/>
        </w:rPr>
        <w:t>Scope</w:t>
      </w:r>
    </w:p>
    <w:p w14:paraId="13C232B6" w14:textId="2F9E790F"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This guidance is voluntary and intended to be used in conjunction with, and be mutually supportive to, other relevant guidance, for example: the Guiding Principles for the Prevention, Introduction and Mitigation of Impacts of Alien Species that Threaten Ecosystems, Habitats and Species</w:t>
      </w:r>
      <w:r w:rsidR="00B51F95" w:rsidRPr="00584A8D">
        <w:rPr>
          <w:rFonts w:eastAsia="MS Mincho"/>
          <w:snapToGrid w:val="0"/>
          <w:kern w:val="22"/>
          <w:szCs w:val="22"/>
          <w:lang w:eastAsia="ja-JP"/>
        </w:rPr>
        <w:t xml:space="preserve"> (decision VI/23)</w:t>
      </w:r>
      <w:r w:rsidRPr="00584A8D">
        <w:rPr>
          <w:rFonts w:eastAsia="MS Mincho"/>
          <w:snapToGrid w:val="0"/>
          <w:kern w:val="22"/>
          <w:szCs w:val="22"/>
          <w:lang w:eastAsia="ja-JP"/>
        </w:rPr>
        <w:t>;</w:t>
      </w:r>
      <w:r w:rsidR="00B51F95" w:rsidRPr="00584A8D">
        <w:rPr>
          <w:rStyle w:val="FootnoteReference"/>
          <w:rFonts w:eastAsia="MS Mincho"/>
          <w:snapToGrid w:val="0"/>
          <w:kern w:val="22"/>
          <w:sz w:val="22"/>
          <w:szCs w:val="22"/>
          <w:u w:val="none"/>
          <w:vertAlign w:val="superscript"/>
          <w:lang w:eastAsia="ja-JP"/>
        </w:rPr>
        <w:footnoteReference w:id="34"/>
      </w:r>
      <w:r w:rsidRPr="00584A8D">
        <w:rPr>
          <w:rFonts w:eastAsia="MS Mincho"/>
          <w:snapToGrid w:val="0"/>
          <w:kern w:val="22"/>
          <w:szCs w:val="22"/>
          <w:lang w:eastAsia="ja-JP"/>
        </w:rPr>
        <w:t xml:space="preserve"> the International Standards for Phytosanitary Measures (ISPMs); the Terrestrial Animal Health Code and the Manual of Diagnostic Test and Vaccines for Terrestrial Animals</w:t>
      </w:r>
      <w:r w:rsidR="008B5682" w:rsidRPr="00584A8D">
        <w:rPr>
          <w:rFonts w:eastAsia="MS Mincho"/>
          <w:snapToGrid w:val="0"/>
          <w:kern w:val="22"/>
          <w:szCs w:val="22"/>
          <w:lang w:eastAsia="ja-JP"/>
        </w:rPr>
        <w:t xml:space="preserve"> of the World Organi</w:t>
      </w:r>
      <w:r w:rsidR="00C312B3" w:rsidRPr="00584A8D">
        <w:rPr>
          <w:rFonts w:eastAsia="MS Mincho"/>
          <w:snapToGrid w:val="0"/>
          <w:kern w:val="22"/>
          <w:szCs w:val="22"/>
          <w:lang w:eastAsia="ja-JP"/>
        </w:rPr>
        <w:t>s</w:t>
      </w:r>
      <w:r w:rsidR="008B5682" w:rsidRPr="00584A8D">
        <w:rPr>
          <w:rFonts w:eastAsia="MS Mincho"/>
          <w:snapToGrid w:val="0"/>
          <w:kern w:val="22"/>
          <w:szCs w:val="22"/>
          <w:lang w:eastAsia="ja-JP"/>
        </w:rPr>
        <w:t>ation for Animal Health (OIE)</w:t>
      </w:r>
      <w:r w:rsidRPr="00584A8D">
        <w:rPr>
          <w:rFonts w:eastAsia="MS Mincho"/>
          <w:snapToGrid w:val="0"/>
          <w:kern w:val="22"/>
          <w:szCs w:val="22"/>
          <w:lang w:eastAsia="ja-JP"/>
        </w:rPr>
        <w:t>; the OIE Aquatic Animal Health Code and the Manual of Diagnostic Tests for Aquatic Animals and other standards and guidance developed by relevant international organizations.</w:t>
      </w:r>
    </w:p>
    <w:p w14:paraId="1C20337B" w14:textId="6D97140E"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This guidance also describes integrated processes for its implementation together with the guidance annexed to decision </w:t>
      </w:r>
      <w:hyperlink r:id="rId25" w:history="1">
        <w:r w:rsidRPr="00584A8D">
          <w:rPr>
            <w:rStyle w:val="Hyperlink"/>
            <w:rFonts w:eastAsia="MS Mincho"/>
            <w:szCs w:val="22"/>
          </w:rPr>
          <w:t>XII/16</w:t>
        </w:r>
      </w:hyperlink>
      <w:r w:rsidRPr="00584A8D">
        <w:rPr>
          <w:rFonts w:eastAsia="MS Mincho"/>
          <w:snapToGrid w:val="0"/>
          <w:kern w:val="22"/>
          <w:szCs w:val="22"/>
          <w:lang w:eastAsia="ja-JP"/>
        </w:rPr>
        <w:t xml:space="preserve"> and existing international standards set for </w:t>
      </w:r>
      <w:r w:rsidR="00E91A0C" w:rsidRPr="00584A8D">
        <w:rPr>
          <w:rFonts w:eastAsia="MS Mincho"/>
          <w:snapToGrid w:val="0"/>
          <w:kern w:val="22"/>
          <w:szCs w:val="22"/>
          <w:lang w:eastAsia="ja-JP"/>
        </w:rPr>
        <w:t xml:space="preserve">the </w:t>
      </w:r>
      <w:r w:rsidRPr="00584A8D">
        <w:rPr>
          <w:rFonts w:eastAsia="MS Mincho"/>
          <w:snapToGrid w:val="0"/>
          <w:kern w:val="22"/>
          <w:szCs w:val="22"/>
          <w:lang w:eastAsia="ja-JP"/>
        </w:rPr>
        <w:t xml:space="preserve">protection of </w:t>
      </w:r>
      <w:r w:rsidR="00E91A0C" w:rsidRPr="00584A8D">
        <w:rPr>
          <w:rFonts w:eastAsia="MS Mincho"/>
          <w:snapToGrid w:val="0"/>
          <w:kern w:val="22"/>
          <w:szCs w:val="22"/>
          <w:lang w:eastAsia="ja-JP"/>
        </w:rPr>
        <w:t xml:space="preserve">the </w:t>
      </w:r>
      <w:r w:rsidRPr="00584A8D">
        <w:rPr>
          <w:rFonts w:eastAsia="MS Mincho"/>
          <w:snapToGrid w:val="0"/>
          <w:kern w:val="22"/>
          <w:szCs w:val="22"/>
          <w:lang w:eastAsia="ja-JP"/>
        </w:rPr>
        <w:t>health of animals, plants and humans.</w:t>
      </w:r>
    </w:p>
    <w:p w14:paraId="1A63B47A" w14:textId="57E95498"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This guidance can be implemented by Parties and other Governments with cross-sectoral collaboration among conservation authorit</w:t>
      </w:r>
      <w:r w:rsidR="001D6AF9" w:rsidRPr="00584A8D">
        <w:rPr>
          <w:rFonts w:eastAsia="MS Mincho"/>
          <w:snapToGrid w:val="0"/>
          <w:kern w:val="22"/>
          <w:szCs w:val="22"/>
          <w:lang w:eastAsia="ja-JP"/>
        </w:rPr>
        <w:t>ies</w:t>
      </w:r>
      <w:r w:rsidRPr="00584A8D">
        <w:rPr>
          <w:rFonts w:eastAsia="MS Mincho"/>
          <w:snapToGrid w:val="0"/>
          <w:kern w:val="22"/>
          <w:szCs w:val="22"/>
          <w:lang w:eastAsia="ja-JP"/>
        </w:rPr>
        <w:t xml:space="preserve">, border control authorities, </w:t>
      </w:r>
      <w:r w:rsidR="001D6AF9" w:rsidRPr="00584A8D">
        <w:rPr>
          <w:rFonts w:eastAsia="MS Mincho"/>
          <w:snapToGrid w:val="0"/>
          <w:kern w:val="22"/>
          <w:szCs w:val="22"/>
          <w:lang w:eastAsia="ja-JP"/>
        </w:rPr>
        <w:t xml:space="preserve">and </w:t>
      </w:r>
      <w:r w:rsidRPr="00584A8D">
        <w:rPr>
          <w:rFonts w:eastAsia="MS Mincho"/>
          <w:snapToGrid w:val="0"/>
          <w:kern w:val="22"/>
          <w:szCs w:val="22"/>
          <w:lang w:eastAsia="ja-JP"/>
        </w:rPr>
        <w:t>risk regulatory bodies relevant to international trade as well as relevant industries and consumers who are involved in the value chain of trade in live species.</w:t>
      </w:r>
    </w:p>
    <w:p w14:paraId="7E0F6809" w14:textId="2D5F40A2" w:rsidR="00D220E9" w:rsidRPr="00584A8D" w:rsidRDefault="00020682" w:rsidP="00584A8D">
      <w:pPr>
        <w:pStyle w:val="Heading1"/>
        <w:numPr>
          <w:ilvl w:val="0"/>
          <w:numId w:val="51"/>
        </w:numPr>
        <w:suppressLineNumbers/>
        <w:tabs>
          <w:tab w:val="clear" w:pos="720"/>
        </w:tabs>
        <w:suppressAutoHyphens/>
        <w:kinsoku w:val="0"/>
        <w:overflowPunct w:val="0"/>
        <w:autoSpaceDE w:val="0"/>
        <w:autoSpaceDN w:val="0"/>
        <w:adjustRightInd w:val="0"/>
        <w:snapToGrid w:val="0"/>
        <w:spacing w:before="120"/>
        <w:ind w:left="1440"/>
        <w:jc w:val="left"/>
        <w:rPr>
          <w:rFonts w:eastAsia="MS Mincho"/>
          <w:bCs/>
          <w:snapToGrid w:val="0"/>
          <w:kern w:val="22"/>
          <w:szCs w:val="22"/>
          <w:lang w:eastAsia="ja-JP"/>
        </w:rPr>
      </w:pPr>
      <w:r w:rsidRPr="00584A8D">
        <w:rPr>
          <w:rFonts w:eastAsia="MS Mincho"/>
          <w:bCs/>
          <w:snapToGrid w:val="0"/>
          <w:kern w:val="22"/>
          <w:szCs w:val="22"/>
          <w:lang w:eastAsia="ja-JP"/>
        </w:rPr>
        <w:t>Measures to reduce the risk of biological invasions posed by</w:t>
      </w:r>
      <w:r w:rsidR="006F7F12" w:rsidRPr="00584A8D">
        <w:rPr>
          <w:rFonts w:eastAsia="MS Mincho"/>
          <w:bCs/>
          <w:snapToGrid w:val="0"/>
          <w:kern w:val="22"/>
          <w:szCs w:val="22"/>
          <w:lang w:eastAsia="ja-JP"/>
        </w:rPr>
        <w:t> </w:t>
      </w:r>
      <w:r w:rsidRPr="00584A8D">
        <w:rPr>
          <w:rFonts w:eastAsia="MS Mincho"/>
          <w:bCs/>
          <w:snapToGrid w:val="0"/>
          <w:kern w:val="22"/>
          <w:szCs w:val="22"/>
          <w:lang w:eastAsia="ja-JP"/>
        </w:rPr>
        <w:t>alien organisms moving unintentionally in pathways associated with trade in live species</w:t>
      </w:r>
    </w:p>
    <w:p w14:paraId="3017188F" w14:textId="230BA44D" w:rsidR="00D220E9" w:rsidRPr="00584A8D" w:rsidRDefault="00D220E9" w:rsidP="00584A8D">
      <w:pPr>
        <w:pStyle w:val="Heading2longmultiline"/>
        <w:numPr>
          <w:ilvl w:val="0"/>
          <w:numId w:val="53"/>
        </w:numPr>
        <w:suppressLineNumbers/>
        <w:tabs>
          <w:tab w:val="clear" w:pos="720"/>
        </w:tabs>
        <w:suppressAutoHyphens/>
        <w:kinsoku w:val="0"/>
        <w:overflowPunct w:val="0"/>
        <w:autoSpaceDE w:val="0"/>
        <w:autoSpaceDN w:val="0"/>
        <w:adjustRightInd w:val="0"/>
        <w:snapToGrid w:val="0"/>
        <w:ind w:left="1440" w:right="0" w:hanging="720"/>
        <w:rPr>
          <w:rFonts w:eastAsia="MS Mincho"/>
          <w:snapToGrid w:val="0"/>
          <w:kern w:val="22"/>
          <w:szCs w:val="22"/>
          <w:lang w:eastAsia="ja-JP"/>
        </w:rPr>
      </w:pPr>
      <w:r w:rsidRPr="00584A8D">
        <w:rPr>
          <w:rFonts w:eastAsia="MS Mincho"/>
          <w:snapToGrid w:val="0"/>
          <w:kern w:val="22"/>
          <w:szCs w:val="22"/>
          <w:lang w:eastAsia="ja-JP"/>
        </w:rPr>
        <w:t>Conformity with existing international standards and other guidance relevant to invasive alien species</w:t>
      </w:r>
    </w:p>
    <w:p w14:paraId="0115E006" w14:textId="3A3F5288"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For all animals or animal products contained in a consignment of live species, the appropriate sanitary standards developed through the standard-setting processes of the World Organisation for Animal Health should be used to harmonize national measures, in both exporting and importing countries.</w:t>
      </w:r>
    </w:p>
    <w:p w14:paraId="3F3FF0E4" w14:textId="0B0CF784"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For all plants or plant products contained in a consignment of live species, the appropriate phytosanitary standards developed through the standard-setting processes of the Secretariat </w:t>
      </w:r>
      <w:r w:rsidR="000450B1" w:rsidRPr="00584A8D">
        <w:rPr>
          <w:rFonts w:eastAsia="MS Mincho"/>
          <w:snapToGrid w:val="0"/>
          <w:kern w:val="22"/>
          <w:szCs w:val="22"/>
          <w:lang w:eastAsia="ja-JP"/>
        </w:rPr>
        <w:t xml:space="preserve">of </w:t>
      </w:r>
      <w:r w:rsidRPr="00584A8D">
        <w:rPr>
          <w:rFonts w:eastAsia="MS Mincho"/>
          <w:snapToGrid w:val="0"/>
          <w:kern w:val="22"/>
          <w:szCs w:val="22"/>
          <w:lang w:eastAsia="ja-JP"/>
        </w:rPr>
        <w:t>the International Plant Protection Convention should be used to harmonize national measures in both exporting and importing countries.</w:t>
      </w:r>
    </w:p>
    <w:p w14:paraId="130922D7" w14:textId="33990A26"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A sender/exporter of live species should demonstrate </w:t>
      </w:r>
      <w:r w:rsidR="00F2731B" w:rsidRPr="00584A8D">
        <w:rPr>
          <w:rFonts w:eastAsia="MS Mincho"/>
          <w:snapToGrid w:val="0"/>
          <w:kern w:val="22"/>
          <w:szCs w:val="22"/>
          <w:lang w:eastAsia="ja-JP"/>
        </w:rPr>
        <w:t xml:space="preserve">that </w:t>
      </w:r>
      <w:r w:rsidRPr="00584A8D">
        <w:rPr>
          <w:rFonts w:eastAsia="MS Mincho"/>
          <w:snapToGrid w:val="0"/>
          <w:kern w:val="22"/>
          <w:szCs w:val="22"/>
          <w:lang w:eastAsia="ja-JP"/>
        </w:rPr>
        <w:t xml:space="preserve">the commodity being exported (live species) poses no risk </w:t>
      </w:r>
      <w:r w:rsidR="007B2D4C" w:rsidRPr="00584A8D">
        <w:rPr>
          <w:rFonts w:eastAsia="MS Mincho"/>
          <w:snapToGrid w:val="0"/>
          <w:kern w:val="22"/>
          <w:szCs w:val="22"/>
          <w:lang w:eastAsia="ja-JP"/>
        </w:rPr>
        <w:t xml:space="preserve">to </w:t>
      </w:r>
      <w:r w:rsidRPr="00584A8D">
        <w:rPr>
          <w:rFonts w:eastAsia="MS Mincho"/>
          <w:snapToGrid w:val="0"/>
          <w:kern w:val="22"/>
          <w:szCs w:val="22"/>
          <w:lang w:eastAsia="ja-JP"/>
        </w:rPr>
        <w:t>the importer</w:t>
      </w:r>
      <w:r w:rsidR="00F2731B" w:rsidRPr="00584A8D">
        <w:rPr>
          <w:rFonts w:eastAsia="MS Mincho"/>
          <w:snapToGrid w:val="0"/>
          <w:kern w:val="22"/>
          <w:szCs w:val="22"/>
          <w:lang w:eastAsia="ja-JP"/>
        </w:rPr>
        <w:t>.</w:t>
      </w:r>
      <w:r w:rsidRPr="00584A8D">
        <w:rPr>
          <w:rFonts w:eastAsia="MS Mincho"/>
          <w:snapToGrid w:val="0"/>
          <w:kern w:val="22"/>
          <w:szCs w:val="22"/>
          <w:lang w:eastAsia="ja-JP"/>
        </w:rPr>
        <w:t xml:space="preserve"> </w:t>
      </w:r>
      <w:r w:rsidR="00F2731B" w:rsidRPr="00584A8D">
        <w:rPr>
          <w:rFonts w:eastAsia="MS Mincho"/>
          <w:snapToGrid w:val="0"/>
          <w:kern w:val="22"/>
          <w:szCs w:val="22"/>
          <w:lang w:eastAsia="ja-JP"/>
        </w:rPr>
        <w:t>T</w:t>
      </w:r>
      <w:r w:rsidRPr="00584A8D">
        <w:rPr>
          <w:rFonts w:eastAsia="MS Mincho"/>
          <w:snapToGrid w:val="0"/>
          <w:kern w:val="22"/>
          <w:szCs w:val="22"/>
          <w:lang w:eastAsia="ja-JP"/>
        </w:rPr>
        <w:t xml:space="preserve">his may be communicated to the national border authority of importing country by presenting a certificate issued by the exporting </w:t>
      </w:r>
      <w:r w:rsidR="00C77E2B" w:rsidRPr="00584A8D">
        <w:rPr>
          <w:rFonts w:eastAsia="MS Mincho"/>
          <w:snapToGrid w:val="0"/>
          <w:kern w:val="22"/>
          <w:szCs w:val="22"/>
          <w:lang w:eastAsia="ja-JP"/>
        </w:rPr>
        <w:t>v</w:t>
      </w:r>
      <w:r w:rsidRPr="00584A8D">
        <w:rPr>
          <w:rFonts w:eastAsia="MS Mincho"/>
          <w:snapToGrid w:val="0"/>
          <w:kern w:val="22"/>
          <w:szCs w:val="22"/>
          <w:lang w:eastAsia="ja-JP"/>
        </w:rPr>
        <w:t xml:space="preserve">eterinary </w:t>
      </w:r>
      <w:r w:rsidR="00C77E2B" w:rsidRPr="00584A8D">
        <w:rPr>
          <w:rFonts w:eastAsia="MS Mincho"/>
          <w:snapToGrid w:val="0"/>
          <w:kern w:val="22"/>
          <w:szCs w:val="22"/>
          <w:lang w:eastAsia="ja-JP"/>
        </w:rPr>
        <w:t>a</w:t>
      </w:r>
      <w:r w:rsidRPr="00584A8D">
        <w:rPr>
          <w:rFonts w:eastAsia="MS Mincho"/>
          <w:snapToGrid w:val="0"/>
          <w:kern w:val="22"/>
          <w:szCs w:val="22"/>
          <w:lang w:eastAsia="ja-JP"/>
        </w:rPr>
        <w:t>uthority/</w:t>
      </w:r>
      <w:r w:rsidR="00C77E2B" w:rsidRPr="00584A8D">
        <w:rPr>
          <w:rFonts w:eastAsia="MS Mincho"/>
          <w:snapToGrid w:val="0"/>
          <w:kern w:val="22"/>
          <w:szCs w:val="22"/>
          <w:lang w:eastAsia="ja-JP"/>
        </w:rPr>
        <w:t>c</w:t>
      </w:r>
      <w:r w:rsidRPr="00584A8D">
        <w:rPr>
          <w:rFonts w:eastAsia="MS Mincho"/>
          <w:snapToGrid w:val="0"/>
          <w:kern w:val="22"/>
          <w:szCs w:val="22"/>
          <w:lang w:eastAsia="ja-JP"/>
        </w:rPr>
        <w:t xml:space="preserve">ompetent </w:t>
      </w:r>
      <w:r w:rsidR="00C77E2B" w:rsidRPr="00584A8D">
        <w:rPr>
          <w:rFonts w:eastAsia="MS Mincho"/>
          <w:snapToGrid w:val="0"/>
          <w:kern w:val="22"/>
          <w:szCs w:val="22"/>
          <w:lang w:eastAsia="ja-JP"/>
        </w:rPr>
        <w:t>a</w:t>
      </w:r>
      <w:r w:rsidRPr="00584A8D">
        <w:rPr>
          <w:rFonts w:eastAsia="MS Mincho"/>
          <w:snapToGrid w:val="0"/>
          <w:kern w:val="22"/>
          <w:szCs w:val="22"/>
          <w:lang w:eastAsia="ja-JP"/>
        </w:rPr>
        <w:t xml:space="preserve">uthority for animals, or by presenting a phytosanitary certificate issued by the exporting </w:t>
      </w:r>
      <w:r w:rsidR="00D512EA" w:rsidRPr="00584A8D">
        <w:rPr>
          <w:rFonts w:eastAsia="MS Mincho"/>
          <w:snapToGrid w:val="0"/>
          <w:kern w:val="22"/>
          <w:szCs w:val="22"/>
          <w:lang w:eastAsia="ja-JP"/>
        </w:rPr>
        <w:t>n</w:t>
      </w:r>
      <w:r w:rsidRPr="00584A8D">
        <w:rPr>
          <w:rFonts w:eastAsia="MS Mincho"/>
          <w:snapToGrid w:val="0"/>
          <w:kern w:val="22"/>
          <w:szCs w:val="22"/>
          <w:lang w:eastAsia="ja-JP"/>
        </w:rPr>
        <w:t xml:space="preserve">ational </w:t>
      </w:r>
      <w:r w:rsidR="00D512EA" w:rsidRPr="00584A8D">
        <w:rPr>
          <w:rFonts w:eastAsia="MS Mincho"/>
          <w:snapToGrid w:val="0"/>
          <w:kern w:val="22"/>
          <w:szCs w:val="22"/>
          <w:lang w:eastAsia="ja-JP"/>
        </w:rPr>
        <w:t>p</w:t>
      </w:r>
      <w:r w:rsidRPr="00584A8D">
        <w:rPr>
          <w:rFonts w:eastAsia="MS Mincho"/>
          <w:snapToGrid w:val="0"/>
          <w:kern w:val="22"/>
          <w:szCs w:val="22"/>
          <w:lang w:eastAsia="ja-JP"/>
        </w:rPr>
        <w:t xml:space="preserve">lant </w:t>
      </w:r>
      <w:r w:rsidR="00D512EA" w:rsidRPr="00584A8D">
        <w:rPr>
          <w:rFonts w:eastAsia="MS Mincho"/>
          <w:snapToGrid w:val="0"/>
          <w:kern w:val="22"/>
          <w:szCs w:val="22"/>
          <w:lang w:eastAsia="ja-JP"/>
        </w:rPr>
        <w:t>p</w:t>
      </w:r>
      <w:r w:rsidRPr="00584A8D">
        <w:rPr>
          <w:rFonts w:eastAsia="MS Mincho"/>
          <w:snapToGrid w:val="0"/>
          <w:kern w:val="22"/>
          <w:szCs w:val="22"/>
          <w:lang w:eastAsia="ja-JP"/>
        </w:rPr>
        <w:t xml:space="preserve">rotection </w:t>
      </w:r>
      <w:r w:rsidR="00D512EA" w:rsidRPr="00584A8D">
        <w:rPr>
          <w:rFonts w:eastAsia="MS Mincho"/>
          <w:snapToGrid w:val="0"/>
          <w:kern w:val="22"/>
          <w:szCs w:val="22"/>
          <w:lang w:eastAsia="ja-JP"/>
        </w:rPr>
        <w:t>o</w:t>
      </w:r>
      <w:r w:rsidRPr="00584A8D">
        <w:rPr>
          <w:rFonts w:eastAsia="MS Mincho"/>
          <w:snapToGrid w:val="0"/>
          <w:kern w:val="22"/>
          <w:szCs w:val="22"/>
          <w:lang w:eastAsia="ja-JP"/>
        </w:rPr>
        <w:t>rganization for plants in an exporting country, in accordance with national import regulations, which are based on pest risk analysis.</w:t>
      </w:r>
    </w:p>
    <w:p w14:paraId="608A4009" w14:textId="622EC98B"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Carrier conveyances for consignments of live species should meet existing international guidance established under </w:t>
      </w:r>
      <w:r w:rsidR="00F94E1D" w:rsidRPr="00584A8D">
        <w:rPr>
          <w:rFonts w:eastAsia="MS Mincho"/>
          <w:snapToGrid w:val="0"/>
          <w:kern w:val="22"/>
          <w:szCs w:val="22"/>
          <w:lang w:eastAsia="ja-JP"/>
        </w:rPr>
        <w:t>i</w:t>
      </w:r>
      <w:r w:rsidRPr="00584A8D">
        <w:rPr>
          <w:rFonts w:eastAsia="MS Mincho"/>
          <w:snapToGrid w:val="0"/>
          <w:kern w:val="22"/>
          <w:szCs w:val="22"/>
          <w:lang w:eastAsia="ja-JP"/>
        </w:rPr>
        <w:t xml:space="preserve">nternational organizations, such as </w:t>
      </w:r>
      <w:r w:rsidR="00F94E1D" w:rsidRPr="00584A8D">
        <w:rPr>
          <w:rFonts w:eastAsia="MS Mincho"/>
          <w:snapToGrid w:val="0"/>
          <w:kern w:val="22"/>
          <w:szCs w:val="22"/>
          <w:lang w:eastAsia="ja-JP"/>
        </w:rPr>
        <w:t>the Code of Practice for Packing of Cargo Transport Units (CTU Code) of the International Maritime Organization/International Labo</w:t>
      </w:r>
      <w:r w:rsidR="002516DD" w:rsidRPr="00584A8D">
        <w:rPr>
          <w:rFonts w:eastAsia="MS Mincho"/>
          <w:snapToGrid w:val="0"/>
          <w:kern w:val="22"/>
          <w:szCs w:val="22"/>
          <w:lang w:eastAsia="ja-JP"/>
        </w:rPr>
        <w:t>u</w:t>
      </w:r>
      <w:r w:rsidR="00F94E1D" w:rsidRPr="00584A8D">
        <w:rPr>
          <w:rFonts w:eastAsia="MS Mincho"/>
          <w:snapToGrid w:val="0"/>
          <w:kern w:val="22"/>
          <w:szCs w:val="22"/>
          <w:lang w:eastAsia="ja-JP"/>
        </w:rPr>
        <w:t>r Organization/United Nations Economic Commission for Europe</w:t>
      </w:r>
      <w:r w:rsidR="005F2163" w:rsidRPr="00584A8D">
        <w:rPr>
          <w:rFonts w:eastAsia="MS Mincho"/>
          <w:snapToGrid w:val="0"/>
          <w:kern w:val="22"/>
          <w:szCs w:val="22"/>
          <w:lang w:eastAsia="ja-JP"/>
        </w:rPr>
        <w:t>,</w:t>
      </w:r>
      <w:r w:rsidRPr="00584A8D">
        <w:rPr>
          <w:rFonts w:eastAsia="MS Mincho"/>
          <w:snapToGrid w:val="0"/>
          <w:kern w:val="22"/>
          <w:szCs w:val="22"/>
          <w:vertAlign w:val="superscript"/>
          <w:lang w:eastAsia="ja-JP"/>
        </w:rPr>
        <w:footnoteReference w:id="35"/>
      </w:r>
      <w:r w:rsidRPr="00584A8D">
        <w:rPr>
          <w:rFonts w:eastAsia="MS Mincho"/>
          <w:snapToGrid w:val="0"/>
          <w:kern w:val="22"/>
          <w:szCs w:val="22"/>
          <w:lang w:eastAsia="ja-JP"/>
        </w:rPr>
        <w:t xml:space="preserve"> but </w:t>
      </w:r>
      <w:r w:rsidR="007C7B24" w:rsidRPr="00584A8D">
        <w:rPr>
          <w:rFonts w:eastAsia="MS Mincho"/>
          <w:snapToGrid w:val="0"/>
          <w:kern w:val="22"/>
          <w:szCs w:val="22"/>
          <w:lang w:eastAsia="ja-JP"/>
        </w:rPr>
        <w:t xml:space="preserve">should </w:t>
      </w:r>
      <w:r w:rsidRPr="00584A8D">
        <w:rPr>
          <w:rFonts w:eastAsia="MS Mincho"/>
          <w:snapToGrid w:val="0"/>
          <w:kern w:val="22"/>
          <w:szCs w:val="22"/>
          <w:lang w:eastAsia="ja-JP"/>
        </w:rPr>
        <w:t xml:space="preserve">not </w:t>
      </w:r>
      <w:r w:rsidR="007C7B24" w:rsidRPr="00584A8D">
        <w:rPr>
          <w:rFonts w:eastAsia="MS Mincho"/>
          <w:snapToGrid w:val="0"/>
          <w:kern w:val="22"/>
          <w:szCs w:val="22"/>
          <w:lang w:eastAsia="ja-JP"/>
        </w:rPr>
        <w:t xml:space="preserve">be </w:t>
      </w:r>
      <w:r w:rsidRPr="00584A8D">
        <w:rPr>
          <w:rFonts w:eastAsia="MS Mincho"/>
          <w:snapToGrid w:val="0"/>
          <w:kern w:val="22"/>
          <w:szCs w:val="22"/>
          <w:lang w:eastAsia="ja-JP"/>
        </w:rPr>
        <w:t>limited to this.</w:t>
      </w:r>
    </w:p>
    <w:p w14:paraId="32C7805F" w14:textId="72246A31" w:rsidR="00D220E9" w:rsidRPr="00584A8D" w:rsidRDefault="00D220E9"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584A8D">
        <w:rPr>
          <w:rFonts w:eastAsia="MS Mincho"/>
          <w:snapToGrid w:val="0"/>
          <w:kern w:val="22"/>
          <w:szCs w:val="22"/>
          <w:lang w:eastAsia="ja-JP"/>
        </w:rPr>
        <w:t>Responsible preparation of consignments of live species</w:t>
      </w:r>
    </w:p>
    <w:p w14:paraId="2A9493F4" w14:textId="622C8BBA"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A sender/exporter of live species should be fully aware o</w:t>
      </w:r>
      <w:r w:rsidR="00F94E1D" w:rsidRPr="00584A8D">
        <w:rPr>
          <w:rFonts w:eastAsia="MS Mincho"/>
          <w:snapToGrid w:val="0"/>
          <w:kern w:val="22"/>
          <w:szCs w:val="22"/>
          <w:lang w:eastAsia="ja-JP"/>
        </w:rPr>
        <w:t>f</w:t>
      </w:r>
      <w:r w:rsidRPr="00584A8D">
        <w:rPr>
          <w:rFonts w:eastAsia="MS Mincho"/>
          <w:snapToGrid w:val="0"/>
          <w:kern w:val="22"/>
          <w:szCs w:val="22"/>
          <w:lang w:eastAsia="ja-JP"/>
        </w:rPr>
        <w:t xml:space="preserve"> the potential risks of biological invasions </w:t>
      </w:r>
      <w:r w:rsidR="00783C70" w:rsidRPr="00584A8D">
        <w:rPr>
          <w:rFonts w:eastAsia="MS Mincho"/>
          <w:snapToGrid w:val="0"/>
          <w:kern w:val="22"/>
          <w:szCs w:val="22"/>
          <w:lang w:eastAsia="ja-JP"/>
        </w:rPr>
        <w:t>resulting from the</w:t>
      </w:r>
      <w:r w:rsidRPr="00584A8D">
        <w:rPr>
          <w:rFonts w:eastAsia="MS Mincho"/>
          <w:snapToGrid w:val="0"/>
          <w:kern w:val="22"/>
          <w:szCs w:val="22"/>
          <w:lang w:eastAsia="ja-JP"/>
        </w:rPr>
        <w:t xml:space="preserve"> </w:t>
      </w:r>
      <w:r w:rsidR="00783C70" w:rsidRPr="00584A8D">
        <w:rPr>
          <w:rFonts w:eastAsia="MS Mincho"/>
          <w:snapToGrid w:val="0"/>
          <w:kern w:val="22"/>
          <w:szCs w:val="22"/>
          <w:lang w:eastAsia="ja-JP"/>
        </w:rPr>
        <w:t xml:space="preserve">movement of the </w:t>
      </w:r>
      <w:r w:rsidRPr="00584A8D">
        <w:rPr>
          <w:rFonts w:eastAsia="MS Mincho"/>
          <w:snapToGrid w:val="0"/>
          <w:kern w:val="22"/>
          <w:szCs w:val="22"/>
          <w:lang w:eastAsia="ja-JP"/>
        </w:rPr>
        <w:t xml:space="preserve">alien organisms through unintentional pathways associated with trade in live species and </w:t>
      </w:r>
      <w:r w:rsidR="0097202C" w:rsidRPr="00584A8D">
        <w:rPr>
          <w:rFonts w:eastAsia="MS Mincho"/>
          <w:snapToGrid w:val="0"/>
          <w:kern w:val="22"/>
          <w:szCs w:val="22"/>
          <w:lang w:eastAsia="ja-JP"/>
        </w:rPr>
        <w:t xml:space="preserve">should </w:t>
      </w:r>
      <w:r w:rsidRPr="00584A8D">
        <w:rPr>
          <w:rFonts w:eastAsia="MS Mincho"/>
          <w:snapToGrid w:val="0"/>
          <w:kern w:val="22"/>
          <w:szCs w:val="22"/>
          <w:lang w:eastAsia="ja-JP"/>
        </w:rPr>
        <w:t xml:space="preserve">ensure: </w:t>
      </w:r>
      <w:r w:rsidR="0097202C" w:rsidRPr="00584A8D">
        <w:rPr>
          <w:rFonts w:eastAsia="MS Mincho"/>
          <w:snapToGrid w:val="0"/>
          <w:kern w:val="22"/>
          <w:szCs w:val="22"/>
          <w:lang w:eastAsia="ja-JP"/>
        </w:rPr>
        <w:t>(a) </w:t>
      </w:r>
      <w:r w:rsidRPr="00584A8D">
        <w:rPr>
          <w:rFonts w:eastAsia="MS Mincho"/>
          <w:snapToGrid w:val="0"/>
          <w:kern w:val="22"/>
          <w:szCs w:val="22"/>
          <w:lang w:eastAsia="ja-JP"/>
        </w:rPr>
        <w:t xml:space="preserve">that a consignment meets sanitary and phytosanitary requirements set by an importing country; and </w:t>
      </w:r>
      <w:r w:rsidR="0097202C" w:rsidRPr="00584A8D">
        <w:rPr>
          <w:rFonts w:eastAsia="MS Mincho"/>
          <w:snapToGrid w:val="0"/>
          <w:kern w:val="22"/>
          <w:szCs w:val="22"/>
          <w:lang w:eastAsia="ja-JP"/>
        </w:rPr>
        <w:t>(b) </w:t>
      </w:r>
      <w:r w:rsidRPr="00584A8D">
        <w:rPr>
          <w:rFonts w:eastAsia="MS Mincho"/>
          <w:snapToGrid w:val="0"/>
          <w:kern w:val="22"/>
          <w:szCs w:val="22"/>
          <w:lang w:eastAsia="ja-JP"/>
        </w:rPr>
        <w:t>measures to minimize the risk of unintentional introductions are applied.</w:t>
      </w:r>
    </w:p>
    <w:p w14:paraId="20FCD082" w14:textId="63DA3A92"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A sender/exporter of a consignment of live species shall inform the importer of the potential risks of biological invasion </w:t>
      </w:r>
      <w:r w:rsidR="00FD5DF8" w:rsidRPr="00584A8D">
        <w:rPr>
          <w:rFonts w:eastAsia="MS Mincho"/>
          <w:snapToGrid w:val="0"/>
          <w:kern w:val="22"/>
          <w:szCs w:val="22"/>
          <w:lang w:eastAsia="ja-JP"/>
        </w:rPr>
        <w:t xml:space="preserve">by </w:t>
      </w:r>
      <w:r w:rsidRPr="00584A8D">
        <w:rPr>
          <w:rFonts w:eastAsia="MS Mincho"/>
          <w:snapToGrid w:val="0"/>
          <w:kern w:val="22"/>
          <w:szCs w:val="22"/>
          <w:lang w:eastAsia="ja-JP"/>
        </w:rPr>
        <w:t xml:space="preserve">alien organisms on a label and/or a document attached to the consignment containing live species, addressed to the border control authorities, </w:t>
      </w:r>
      <w:r w:rsidR="00FD5DF8" w:rsidRPr="00584A8D">
        <w:rPr>
          <w:rFonts w:eastAsia="MS Mincho"/>
          <w:snapToGrid w:val="0"/>
          <w:kern w:val="22"/>
          <w:szCs w:val="22"/>
          <w:lang w:eastAsia="ja-JP"/>
        </w:rPr>
        <w:t>national plant protection organizations or veterinary authorities</w:t>
      </w:r>
      <w:r w:rsidRPr="00584A8D">
        <w:rPr>
          <w:rFonts w:eastAsia="MS Mincho"/>
          <w:snapToGrid w:val="0"/>
          <w:kern w:val="22"/>
          <w:szCs w:val="22"/>
          <w:lang w:eastAsia="ja-JP"/>
        </w:rPr>
        <w:t xml:space="preserve">. In some cases, this information should be presented to the competent </w:t>
      </w:r>
      <w:r w:rsidR="008A0F30" w:rsidRPr="00584A8D">
        <w:rPr>
          <w:rFonts w:eastAsia="MS Mincho"/>
          <w:snapToGrid w:val="0"/>
          <w:kern w:val="22"/>
          <w:szCs w:val="22"/>
          <w:lang w:eastAsia="ja-JP"/>
        </w:rPr>
        <w:t>a</w:t>
      </w:r>
      <w:r w:rsidRPr="00584A8D">
        <w:rPr>
          <w:rFonts w:eastAsia="MS Mincho"/>
          <w:snapToGrid w:val="0"/>
          <w:kern w:val="22"/>
          <w:szCs w:val="22"/>
          <w:lang w:eastAsia="ja-JP"/>
        </w:rPr>
        <w:t>uthorities in the country</w:t>
      </w:r>
      <w:r w:rsidR="008A0F30" w:rsidRPr="00584A8D">
        <w:rPr>
          <w:rFonts w:eastAsia="MS Mincho"/>
          <w:snapToGrid w:val="0"/>
          <w:kern w:val="22"/>
          <w:szCs w:val="22"/>
          <w:lang w:eastAsia="ja-JP"/>
        </w:rPr>
        <w:t xml:space="preserve"> or countri</w:t>
      </w:r>
      <w:r w:rsidRPr="00584A8D">
        <w:rPr>
          <w:rFonts w:eastAsia="MS Mincho"/>
          <w:snapToGrid w:val="0"/>
          <w:kern w:val="22"/>
          <w:szCs w:val="22"/>
          <w:lang w:eastAsia="ja-JP"/>
        </w:rPr>
        <w:t xml:space="preserve">es of transit, in order to allow </w:t>
      </w:r>
      <w:r w:rsidR="008A0F30" w:rsidRPr="00584A8D">
        <w:rPr>
          <w:rFonts w:eastAsia="MS Mincho"/>
          <w:snapToGrid w:val="0"/>
          <w:kern w:val="22"/>
          <w:szCs w:val="22"/>
          <w:lang w:eastAsia="ja-JP"/>
        </w:rPr>
        <w:t xml:space="preserve">the </w:t>
      </w:r>
      <w:r w:rsidRPr="00584A8D">
        <w:rPr>
          <w:rFonts w:eastAsia="MS Mincho"/>
          <w:snapToGrid w:val="0"/>
          <w:kern w:val="22"/>
          <w:szCs w:val="22"/>
          <w:lang w:eastAsia="ja-JP"/>
        </w:rPr>
        <w:t>adoption of appropriate risk management measures during transit.</w:t>
      </w:r>
    </w:p>
    <w:p w14:paraId="1DD7CF0A" w14:textId="69942E42"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A sender/exporter of live species should apply all appropriate sanitary and phytosanitary measures to ensure that the live species are shipped free of pests, pathogenic agents and alien organisms which may carry risks of biological invasion</w:t>
      </w:r>
      <w:r w:rsidR="00072EAF" w:rsidRPr="00584A8D">
        <w:rPr>
          <w:rFonts w:eastAsia="MS Mincho"/>
          <w:snapToGrid w:val="0"/>
          <w:kern w:val="22"/>
          <w:szCs w:val="22"/>
          <w:lang w:eastAsia="ja-JP"/>
        </w:rPr>
        <w:t>s</w:t>
      </w:r>
      <w:r w:rsidRPr="00584A8D">
        <w:rPr>
          <w:rFonts w:eastAsia="MS Mincho"/>
          <w:snapToGrid w:val="0"/>
          <w:kern w:val="22"/>
          <w:szCs w:val="22"/>
          <w:lang w:eastAsia="ja-JP"/>
        </w:rPr>
        <w:t xml:space="preserve"> in an importing country or biogeographic areas receiving them.</w:t>
      </w:r>
    </w:p>
    <w:p w14:paraId="7B2E74DE" w14:textId="74291849" w:rsidR="00D220E9" w:rsidRPr="00584A8D" w:rsidRDefault="00D220E9"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584A8D">
        <w:rPr>
          <w:rFonts w:eastAsia="MS Mincho"/>
          <w:snapToGrid w:val="0"/>
          <w:kern w:val="22"/>
          <w:szCs w:val="22"/>
          <w:lang w:eastAsia="ja-JP"/>
        </w:rPr>
        <w:t>Packing containers/consignment</w:t>
      </w:r>
    </w:p>
    <w:p w14:paraId="4046585E" w14:textId="738B7FA0" w:rsidR="00D220E9" w:rsidRPr="00584A8D" w:rsidRDefault="001966B1"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H</w:t>
      </w:r>
      <w:r w:rsidR="00D220E9" w:rsidRPr="00584A8D">
        <w:rPr>
          <w:rFonts w:eastAsia="MS Mincho"/>
          <w:snapToGrid w:val="0"/>
          <w:kern w:val="22"/>
          <w:szCs w:val="22"/>
          <w:lang w:eastAsia="ja-JP"/>
        </w:rPr>
        <w:t>azard label</w:t>
      </w:r>
      <w:r w:rsidR="009B2379" w:rsidRPr="00584A8D">
        <w:rPr>
          <w:rFonts w:eastAsia="MS Mincho"/>
          <w:snapToGrid w:val="0"/>
          <w:kern w:val="22"/>
          <w:szCs w:val="22"/>
          <w:lang w:eastAsia="ja-JP"/>
        </w:rPr>
        <w:t>l</w:t>
      </w:r>
      <w:r w:rsidR="00D220E9" w:rsidRPr="00584A8D">
        <w:rPr>
          <w:rFonts w:eastAsia="MS Mincho"/>
          <w:snapToGrid w:val="0"/>
          <w:kern w:val="22"/>
          <w:szCs w:val="22"/>
          <w:lang w:eastAsia="ja-JP"/>
        </w:rPr>
        <w:t>ing</w:t>
      </w:r>
      <w:r w:rsidRPr="00584A8D">
        <w:rPr>
          <w:rFonts w:eastAsia="MS Mincho"/>
          <w:snapToGrid w:val="0"/>
          <w:kern w:val="22"/>
          <w:szCs w:val="22"/>
          <w:lang w:eastAsia="ja-JP"/>
        </w:rPr>
        <w:t xml:space="preserve"> may be affixed to each consignment</w:t>
      </w:r>
      <w:r w:rsidR="00D220E9" w:rsidRPr="00584A8D">
        <w:rPr>
          <w:rFonts w:eastAsia="MS Mincho"/>
          <w:snapToGrid w:val="0"/>
          <w:kern w:val="22"/>
          <w:szCs w:val="22"/>
          <w:lang w:eastAsia="ja-JP"/>
        </w:rPr>
        <w:t xml:space="preserve">, when applicable and appropriate, by a sender/exporter, considering the potential risk of biological invasions of alien organisms moving through unintentional pathways, especially when the live species were captured or collected from the wild, to inform </w:t>
      </w:r>
      <w:r w:rsidR="008B0ACA" w:rsidRPr="00584A8D">
        <w:rPr>
          <w:rFonts w:eastAsia="MS Mincho"/>
          <w:snapToGrid w:val="0"/>
          <w:kern w:val="22"/>
          <w:szCs w:val="22"/>
          <w:lang w:eastAsia="ja-JP"/>
        </w:rPr>
        <w:t xml:space="preserve">the persons involved in the entire value chain of </w:t>
      </w:r>
      <w:r w:rsidR="00D220E9" w:rsidRPr="00584A8D">
        <w:rPr>
          <w:rFonts w:eastAsia="MS Mincho"/>
          <w:snapToGrid w:val="0"/>
          <w:kern w:val="22"/>
          <w:szCs w:val="22"/>
          <w:lang w:eastAsia="ja-JP"/>
        </w:rPr>
        <w:t>the potential risks to biodiversity.</w:t>
      </w:r>
    </w:p>
    <w:p w14:paraId="65B8E164" w14:textId="68A94B62"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Packing material or containers associate</w:t>
      </w:r>
      <w:r w:rsidR="00067088" w:rsidRPr="00584A8D">
        <w:rPr>
          <w:rFonts w:eastAsia="MS Mincho"/>
          <w:snapToGrid w:val="0"/>
          <w:kern w:val="22"/>
          <w:szCs w:val="22"/>
          <w:lang w:eastAsia="ja-JP"/>
        </w:rPr>
        <w:t>d</w:t>
      </w:r>
      <w:r w:rsidRPr="00584A8D">
        <w:rPr>
          <w:rFonts w:eastAsia="MS Mincho"/>
          <w:snapToGrid w:val="0"/>
          <w:kern w:val="22"/>
          <w:szCs w:val="22"/>
          <w:lang w:eastAsia="ja-JP"/>
        </w:rPr>
        <w:t xml:space="preserve"> with the movement of live species should be free of pests, pathogenic agents and invasive alien organisms which are of concern to the importing country or biogeographic areas receiving them. If the packing material is </w:t>
      </w:r>
      <w:r w:rsidR="00A92C0F" w:rsidRPr="00584A8D">
        <w:rPr>
          <w:rFonts w:eastAsia="MS Mincho"/>
          <w:snapToGrid w:val="0"/>
          <w:kern w:val="22"/>
          <w:szCs w:val="22"/>
          <w:lang w:eastAsia="ja-JP"/>
        </w:rPr>
        <w:t>made from wood,</w:t>
      </w:r>
      <w:r w:rsidRPr="00584A8D">
        <w:rPr>
          <w:rFonts w:eastAsia="MS Mincho"/>
          <w:snapToGrid w:val="0"/>
          <w:kern w:val="22"/>
          <w:szCs w:val="22"/>
          <w:lang w:eastAsia="ja-JP"/>
        </w:rPr>
        <w:t xml:space="preserve"> appropriate treatment described in ISPM 15 (Regulation of wood packaging material in international trade) should be </w:t>
      </w:r>
      <w:r w:rsidR="00043627" w:rsidRPr="00584A8D">
        <w:rPr>
          <w:rFonts w:eastAsia="MS Mincho"/>
          <w:snapToGrid w:val="0"/>
          <w:kern w:val="22"/>
          <w:szCs w:val="22"/>
          <w:lang w:eastAsia="ja-JP"/>
        </w:rPr>
        <w:t xml:space="preserve">applied. </w:t>
      </w:r>
      <w:r w:rsidR="00BC4C65" w:rsidRPr="00584A8D">
        <w:rPr>
          <w:rFonts w:eastAsia="MS Mincho"/>
          <w:snapToGrid w:val="0"/>
          <w:kern w:val="22"/>
          <w:szCs w:val="22"/>
          <w:lang w:eastAsia="ja-JP"/>
        </w:rPr>
        <w:t>E</w:t>
      </w:r>
      <w:r w:rsidRPr="00584A8D">
        <w:rPr>
          <w:rFonts w:eastAsia="MS Mincho"/>
          <w:snapToGrid w:val="0"/>
          <w:kern w:val="22"/>
          <w:szCs w:val="22"/>
          <w:lang w:eastAsia="ja-JP"/>
        </w:rPr>
        <w:t xml:space="preserve">fforts should be made to ensure </w:t>
      </w:r>
      <w:r w:rsidR="00BC4C65" w:rsidRPr="00584A8D">
        <w:rPr>
          <w:rFonts w:eastAsia="MS Mincho"/>
          <w:snapToGrid w:val="0"/>
          <w:kern w:val="22"/>
          <w:szCs w:val="22"/>
          <w:lang w:eastAsia="ja-JP"/>
        </w:rPr>
        <w:t xml:space="preserve">that </w:t>
      </w:r>
      <w:r w:rsidRPr="00584A8D">
        <w:rPr>
          <w:rFonts w:eastAsia="MS Mincho"/>
          <w:snapToGrid w:val="0"/>
          <w:kern w:val="22"/>
          <w:szCs w:val="22"/>
          <w:lang w:eastAsia="ja-JP"/>
        </w:rPr>
        <w:t>the packing material and/or containers are free of invasive alien organisms.</w:t>
      </w:r>
    </w:p>
    <w:p w14:paraId="00ABB1F8" w14:textId="2044D80A"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If a packing container is to be reused, it should be washed and disinfected by a sender/exporter prior to shipping and visually inspected prior to reusing.</w:t>
      </w:r>
    </w:p>
    <w:p w14:paraId="55D71524" w14:textId="13CDCDC7"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Packing containers for aquatic species should be free of pests, pathogenic agents and invasive alien organisms which are </w:t>
      </w:r>
      <w:r w:rsidR="00FC397E" w:rsidRPr="00584A8D">
        <w:rPr>
          <w:rFonts w:eastAsia="MS Mincho"/>
          <w:snapToGrid w:val="0"/>
          <w:kern w:val="22"/>
          <w:szCs w:val="22"/>
          <w:lang w:eastAsia="ja-JP"/>
        </w:rPr>
        <w:t xml:space="preserve">of </w:t>
      </w:r>
      <w:r w:rsidRPr="00584A8D">
        <w:rPr>
          <w:rFonts w:eastAsia="MS Mincho"/>
          <w:snapToGrid w:val="0"/>
          <w:kern w:val="22"/>
          <w:szCs w:val="22"/>
          <w:lang w:eastAsia="ja-JP"/>
        </w:rPr>
        <w:t xml:space="preserve">concern </w:t>
      </w:r>
      <w:r w:rsidR="00FC397E" w:rsidRPr="00584A8D">
        <w:rPr>
          <w:rFonts w:eastAsia="MS Mincho"/>
          <w:snapToGrid w:val="0"/>
          <w:kern w:val="22"/>
          <w:szCs w:val="22"/>
          <w:lang w:eastAsia="ja-JP"/>
        </w:rPr>
        <w:t>to</w:t>
      </w:r>
      <w:r w:rsidRPr="00584A8D">
        <w:rPr>
          <w:rFonts w:eastAsia="MS Mincho"/>
          <w:snapToGrid w:val="0"/>
          <w:kern w:val="22"/>
          <w:szCs w:val="22"/>
          <w:lang w:eastAsia="ja-JP"/>
        </w:rPr>
        <w:t xml:space="preserve"> an importing country or biogeographic areas receiving them, and closed appropriately by a sender/exporter </w:t>
      </w:r>
      <w:r w:rsidR="009143C0" w:rsidRPr="00584A8D">
        <w:rPr>
          <w:rFonts w:eastAsia="MS Mincho"/>
          <w:snapToGrid w:val="0"/>
          <w:kern w:val="22"/>
          <w:szCs w:val="22"/>
          <w:lang w:eastAsia="ja-JP"/>
        </w:rPr>
        <w:t>to prevent leaks of water</w:t>
      </w:r>
      <w:r w:rsidR="00927538" w:rsidRPr="00584A8D">
        <w:rPr>
          <w:rFonts w:eastAsia="MS Mincho"/>
          <w:snapToGrid w:val="0"/>
          <w:kern w:val="22"/>
          <w:szCs w:val="22"/>
          <w:lang w:eastAsia="ja-JP"/>
        </w:rPr>
        <w:t>(s)</w:t>
      </w:r>
      <w:r w:rsidR="009143C0" w:rsidRPr="00584A8D">
        <w:rPr>
          <w:rFonts w:eastAsia="MS Mincho"/>
          <w:snapToGrid w:val="0"/>
          <w:kern w:val="22"/>
          <w:szCs w:val="22"/>
          <w:lang w:eastAsia="ja-JP"/>
        </w:rPr>
        <w:t xml:space="preserve"> </w:t>
      </w:r>
      <w:r w:rsidRPr="00584A8D">
        <w:rPr>
          <w:rFonts w:eastAsia="MS Mincho"/>
          <w:snapToGrid w:val="0"/>
          <w:kern w:val="22"/>
          <w:szCs w:val="22"/>
          <w:lang w:eastAsia="ja-JP"/>
        </w:rPr>
        <w:t>and</w:t>
      </w:r>
      <w:r w:rsidR="009143C0" w:rsidRPr="00584A8D">
        <w:rPr>
          <w:rFonts w:eastAsia="MS Mincho"/>
          <w:snapToGrid w:val="0"/>
          <w:kern w:val="22"/>
          <w:szCs w:val="22"/>
          <w:lang w:eastAsia="ja-JP"/>
        </w:rPr>
        <w:t>/or</w:t>
      </w:r>
      <w:r w:rsidRPr="00584A8D">
        <w:rPr>
          <w:rFonts w:eastAsia="MS Mincho"/>
          <w:snapToGrid w:val="0"/>
          <w:kern w:val="22"/>
          <w:szCs w:val="22"/>
          <w:lang w:eastAsia="ja-JP"/>
        </w:rPr>
        <w:t xml:space="preserve"> contamination into or from the consignment during the transport of the entire value chain by the individuals handling the packing containers.</w:t>
      </w:r>
    </w:p>
    <w:p w14:paraId="3752D9B3" w14:textId="28BF7A29" w:rsidR="00D220E9" w:rsidRPr="00584A8D" w:rsidRDefault="00D220E9"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584A8D">
        <w:rPr>
          <w:rFonts w:eastAsia="MS Mincho"/>
          <w:snapToGrid w:val="0"/>
          <w:kern w:val="22"/>
          <w:szCs w:val="22"/>
          <w:lang w:eastAsia="ja-JP"/>
        </w:rPr>
        <w:t>Materials associated within packing containers</w:t>
      </w:r>
    </w:p>
    <w:p w14:paraId="0076823F" w14:textId="4D915FEC"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A sender/exporter of live species should ensure </w:t>
      </w:r>
      <w:r w:rsidR="005B51AF" w:rsidRPr="00584A8D">
        <w:rPr>
          <w:rFonts w:eastAsia="MS Mincho"/>
          <w:snapToGrid w:val="0"/>
          <w:kern w:val="22"/>
          <w:szCs w:val="22"/>
          <w:lang w:eastAsia="ja-JP"/>
        </w:rPr>
        <w:t xml:space="preserve">that, prior to shipping, </w:t>
      </w:r>
      <w:r w:rsidRPr="00584A8D">
        <w:rPr>
          <w:rFonts w:eastAsia="MS Mincho"/>
          <w:snapToGrid w:val="0"/>
          <w:kern w:val="22"/>
          <w:szCs w:val="22"/>
          <w:lang w:eastAsia="ja-JP"/>
        </w:rPr>
        <w:t xml:space="preserve">animal bedding is treated with appropriate method(s) to ensure that it is free of pests, pathogenic agents and invasive alien organisms which are </w:t>
      </w:r>
      <w:r w:rsidR="005B51AF" w:rsidRPr="00584A8D">
        <w:rPr>
          <w:rFonts w:eastAsia="MS Mincho"/>
          <w:snapToGrid w:val="0"/>
          <w:kern w:val="22"/>
          <w:szCs w:val="22"/>
          <w:lang w:eastAsia="ja-JP"/>
        </w:rPr>
        <w:t xml:space="preserve">of </w:t>
      </w:r>
      <w:r w:rsidRPr="00584A8D">
        <w:rPr>
          <w:rFonts w:eastAsia="MS Mincho"/>
          <w:snapToGrid w:val="0"/>
          <w:kern w:val="22"/>
          <w:szCs w:val="22"/>
          <w:lang w:eastAsia="ja-JP"/>
        </w:rPr>
        <w:t xml:space="preserve">concern </w:t>
      </w:r>
      <w:r w:rsidR="005B51AF" w:rsidRPr="00584A8D">
        <w:rPr>
          <w:rFonts w:eastAsia="MS Mincho"/>
          <w:snapToGrid w:val="0"/>
          <w:kern w:val="22"/>
          <w:szCs w:val="22"/>
          <w:lang w:eastAsia="ja-JP"/>
        </w:rPr>
        <w:t>to</w:t>
      </w:r>
      <w:r w:rsidRPr="00584A8D">
        <w:rPr>
          <w:rFonts w:eastAsia="MS Mincho"/>
          <w:snapToGrid w:val="0"/>
          <w:kern w:val="22"/>
          <w:szCs w:val="22"/>
          <w:lang w:eastAsia="ja-JP"/>
        </w:rPr>
        <w:t xml:space="preserve"> an importing country or biogeographic areas receiving them.</w:t>
      </w:r>
    </w:p>
    <w:p w14:paraId="5D6F52AC" w14:textId="3D513F82"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Water(s) for aquatic live species and any associated media to be used during transport should be free of pests, pathogenic agents and alien organisms which are of concern</w:t>
      </w:r>
      <w:r w:rsidR="00A60160" w:rsidRPr="00584A8D">
        <w:rPr>
          <w:rFonts w:eastAsia="MS Mincho"/>
          <w:snapToGrid w:val="0"/>
          <w:kern w:val="22"/>
          <w:szCs w:val="22"/>
          <w:lang w:eastAsia="ja-JP"/>
        </w:rPr>
        <w:t xml:space="preserve"> </w:t>
      </w:r>
      <w:r w:rsidRPr="00584A8D">
        <w:rPr>
          <w:rFonts w:eastAsia="MS Mincho"/>
          <w:snapToGrid w:val="0"/>
          <w:kern w:val="22"/>
          <w:szCs w:val="22"/>
          <w:lang w:eastAsia="ja-JP"/>
        </w:rPr>
        <w:t>to an importing country or biogeographic areas receiving them and should be treated as required</w:t>
      </w:r>
      <w:r w:rsidR="00043627" w:rsidRPr="00584A8D">
        <w:rPr>
          <w:rFonts w:eastAsia="MS Mincho"/>
          <w:snapToGrid w:val="0"/>
          <w:kern w:val="22"/>
          <w:szCs w:val="22"/>
          <w:lang w:eastAsia="ja-JP"/>
        </w:rPr>
        <w:t>.</w:t>
      </w:r>
    </w:p>
    <w:p w14:paraId="12C37BA3" w14:textId="70FE3690"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Air and air supplying devi</w:t>
      </w:r>
      <w:r w:rsidR="00B51A23" w:rsidRPr="00584A8D">
        <w:rPr>
          <w:rFonts w:eastAsia="MS Mincho"/>
          <w:snapToGrid w:val="0"/>
          <w:kern w:val="22"/>
          <w:szCs w:val="22"/>
          <w:lang w:eastAsia="ja-JP"/>
        </w:rPr>
        <w:t>c</w:t>
      </w:r>
      <w:r w:rsidRPr="00584A8D">
        <w:rPr>
          <w:rFonts w:eastAsia="MS Mincho"/>
          <w:snapToGrid w:val="0"/>
          <w:kern w:val="22"/>
          <w:szCs w:val="22"/>
          <w:lang w:eastAsia="ja-JP"/>
        </w:rPr>
        <w:t>es associated with consignment</w:t>
      </w:r>
      <w:r w:rsidR="00A60160" w:rsidRPr="00584A8D">
        <w:rPr>
          <w:rFonts w:eastAsia="MS Mincho"/>
          <w:snapToGrid w:val="0"/>
          <w:kern w:val="22"/>
          <w:szCs w:val="22"/>
          <w:lang w:eastAsia="ja-JP"/>
        </w:rPr>
        <w:t>s</w:t>
      </w:r>
      <w:r w:rsidRPr="00584A8D">
        <w:rPr>
          <w:rFonts w:eastAsia="MS Mincho"/>
          <w:snapToGrid w:val="0"/>
          <w:kern w:val="22"/>
          <w:szCs w:val="22"/>
          <w:lang w:eastAsia="ja-JP"/>
        </w:rPr>
        <w:t xml:space="preserve"> of aquatic species should be free of pests, pathogenic agents and alien organisms which </w:t>
      </w:r>
      <w:r w:rsidR="00A60160" w:rsidRPr="00584A8D">
        <w:rPr>
          <w:rFonts w:eastAsia="MS Mincho"/>
          <w:snapToGrid w:val="0"/>
          <w:kern w:val="22"/>
          <w:szCs w:val="22"/>
          <w:lang w:eastAsia="ja-JP"/>
        </w:rPr>
        <w:t xml:space="preserve">are of concern to an importing country </w:t>
      </w:r>
      <w:r w:rsidRPr="00584A8D">
        <w:rPr>
          <w:rFonts w:eastAsia="MS Mincho"/>
          <w:snapToGrid w:val="0"/>
          <w:kern w:val="22"/>
          <w:szCs w:val="22"/>
          <w:lang w:eastAsia="ja-JP"/>
        </w:rPr>
        <w:t>or biogeographic areas receiving them.</w:t>
      </w:r>
    </w:p>
    <w:p w14:paraId="706AD169" w14:textId="22E44B08"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Any soil or soil-related materials associated with </w:t>
      </w:r>
      <w:r w:rsidR="00645E4D" w:rsidRPr="00584A8D">
        <w:rPr>
          <w:rFonts w:eastAsia="MS Mincho"/>
          <w:snapToGrid w:val="0"/>
          <w:kern w:val="22"/>
          <w:szCs w:val="22"/>
          <w:lang w:eastAsia="ja-JP"/>
        </w:rPr>
        <w:t xml:space="preserve">the </w:t>
      </w:r>
      <w:r w:rsidRPr="00584A8D">
        <w:rPr>
          <w:rFonts w:eastAsia="MS Mincho"/>
          <w:snapToGrid w:val="0"/>
          <w:kern w:val="22"/>
          <w:szCs w:val="22"/>
          <w:lang w:eastAsia="ja-JP"/>
        </w:rPr>
        <w:t>transport of live species should be eliminated by a sender/exporter prior to shipping. If soil or soil-related materials cannot be eliminated from the packing containers</w:t>
      </w:r>
      <w:r w:rsidR="004C0594" w:rsidRPr="00584A8D">
        <w:rPr>
          <w:rFonts w:eastAsia="MS Mincho"/>
          <w:snapToGrid w:val="0"/>
          <w:kern w:val="22"/>
          <w:szCs w:val="22"/>
          <w:lang w:eastAsia="ja-JP"/>
        </w:rPr>
        <w:t>,</w:t>
      </w:r>
      <w:r w:rsidRPr="00584A8D">
        <w:rPr>
          <w:rFonts w:eastAsia="MS Mincho"/>
          <w:snapToGrid w:val="0"/>
          <w:kern w:val="22"/>
          <w:szCs w:val="22"/>
          <w:lang w:eastAsia="ja-JP"/>
        </w:rPr>
        <w:t xml:space="preserve"> the sender/exporter should consult the import regulations of the </w:t>
      </w:r>
      <w:r w:rsidR="007D6294" w:rsidRPr="00584A8D">
        <w:rPr>
          <w:rFonts w:eastAsia="MS Mincho"/>
          <w:snapToGrid w:val="0"/>
          <w:kern w:val="22"/>
          <w:szCs w:val="22"/>
          <w:lang w:eastAsia="ja-JP"/>
        </w:rPr>
        <w:t>n</w:t>
      </w:r>
      <w:r w:rsidRPr="00584A8D">
        <w:rPr>
          <w:rFonts w:eastAsia="MS Mincho"/>
          <w:snapToGrid w:val="0"/>
          <w:kern w:val="22"/>
          <w:szCs w:val="22"/>
          <w:lang w:eastAsia="ja-JP"/>
        </w:rPr>
        <w:t xml:space="preserve">ational </w:t>
      </w:r>
      <w:r w:rsidR="007D6294" w:rsidRPr="00584A8D">
        <w:rPr>
          <w:rFonts w:eastAsia="MS Mincho"/>
          <w:snapToGrid w:val="0"/>
          <w:kern w:val="22"/>
          <w:szCs w:val="22"/>
          <w:lang w:eastAsia="ja-JP"/>
        </w:rPr>
        <w:t>p</w:t>
      </w:r>
      <w:r w:rsidRPr="00584A8D">
        <w:rPr>
          <w:rFonts w:eastAsia="MS Mincho"/>
          <w:snapToGrid w:val="0"/>
          <w:kern w:val="22"/>
          <w:szCs w:val="22"/>
          <w:lang w:eastAsia="ja-JP"/>
        </w:rPr>
        <w:t xml:space="preserve">lant </w:t>
      </w:r>
      <w:r w:rsidR="007D6294" w:rsidRPr="00584A8D">
        <w:rPr>
          <w:rFonts w:eastAsia="MS Mincho"/>
          <w:snapToGrid w:val="0"/>
          <w:kern w:val="22"/>
          <w:szCs w:val="22"/>
          <w:lang w:eastAsia="ja-JP"/>
        </w:rPr>
        <w:t>p</w:t>
      </w:r>
      <w:r w:rsidRPr="00584A8D">
        <w:rPr>
          <w:rFonts w:eastAsia="MS Mincho"/>
          <w:snapToGrid w:val="0"/>
          <w:kern w:val="22"/>
          <w:szCs w:val="22"/>
          <w:lang w:eastAsia="ja-JP"/>
        </w:rPr>
        <w:t xml:space="preserve">rotection </w:t>
      </w:r>
      <w:r w:rsidR="007D6294" w:rsidRPr="00584A8D">
        <w:rPr>
          <w:rFonts w:eastAsia="MS Mincho"/>
          <w:snapToGrid w:val="0"/>
          <w:kern w:val="22"/>
          <w:szCs w:val="22"/>
          <w:lang w:eastAsia="ja-JP"/>
        </w:rPr>
        <w:t>o</w:t>
      </w:r>
      <w:r w:rsidRPr="00584A8D">
        <w:rPr>
          <w:rFonts w:eastAsia="MS Mincho"/>
          <w:snapToGrid w:val="0"/>
          <w:kern w:val="22"/>
          <w:szCs w:val="22"/>
          <w:lang w:eastAsia="ja-JP"/>
        </w:rPr>
        <w:t>rganization of the importing country and comply with them.</w:t>
      </w:r>
    </w:p>
    <w:p w14:paraId="4CF0A7FF" w14:textId="7B1ABA66" w:rsidR="00D220E9" w:rsidRPr="00584A8D" w:rsidRDefault="00D220E9"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584A8D">
        <w:rPr>
          <w:rFonts w:eastAsia="MS Mincho"/>
          <w:snapToGrid w:val="0"/>
          <w:kern w:val="22"/>
          <w:szCs w:val="22"/>
          <w:lang w:eastAsia="ja-JP"/>
        </w:rPr>
        <w:t>Feed or food for live animals</w:t>
      </w:r>
    </w:p>
    <w:p w14:paraId="4769CF68" w14:textId="0E17803F"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A sender/exporter of live species should ensure that any feed or food contained in a consignment </w:t>
      </w:r>
      <w:r w:rsidR="009A0F08" w:rsidRPr="00584A8D">
        <w:rPr>
          <w:rFonts w:eastAsia="MS Mincho"/>
          <w:snapToGrid w:val="0"/>
          <w:kern w:val="22"/>
          <w:szCs w:val="22"/>
          <w:lang w:eastAsia="ja-JP"/>
        </w:rPr>
        <w:t xml:space="preserve">does </w:t>
      </w:r>
      <w:r w:rsidRPr="00584A8D">
        <w:rPr>
          <w:rFonts w:eastAsia="MS Mincho"/>
          <w:snapToGrid w:val="0"/>
          <w:kern w:val="22"/>
          <w:szCs w:val="22"/>
          <w:lang w:eastAsia="ja-JP"/>
        </w:rPr>
        <w:t xml:space="preserve">not </w:t>
      </w:r>
      <w:r w:rsidR="009A0F08" w:rsidRPr="00584A8D">
        <w:rPr>
          <w:rFonts w:eastAsia="MS Mincho"/>
          <w:snapToGrid w:val="0"/>
          <w:kern w:val="22"/>
          <w:szCs w:val="22"/>
          <w:lang w:eastAsia="ja-JP"/>
        </w:rPr>
        <w:t xml:space="preserve">consist of </w:t>
      </w:r>
      <w:r w:rsidRPr="00584A8D">
        <w:rPr>
          <w:rFonts w:eastAsia="MS Mincho"/>
          <w:snapToGrid w:val="0"/>
          <w:kern w:val="22"/>
          <w:szCs w:val="22"/>
          <w:lang w:eastAsia="ja-JP"/>
        </w:rPr>
        <w:t>viable seeds, parts of plant</w:t>
      </w:r>
      <w:r w:rsidR="002638C5" w:rsidRPr="00584A8D">
        <w:rPr>
          <w:rFonts w:eastAsia="MS Mincho"/>
          <w:snapToGrid w:val="0"/>
          <w:kern w:val="22"/>
          <w:szCs w:val="22"/>
          <w:lang w:eastAsia="ja-JP"/>
        </w:rPr>
        <w:t>s</w:t>
      </w:r>
      <w:r w:rsidRPr="00584A8D">
        <w:rPr>
          <w:rFonts w:eastAsia="MS Mincho"/>
          <w:snapToGrid w:val="0"/>
          <w:kern w:val="22"/>
          <w:szCs w:val="22"/>
          <w:lang w:eastAsia="ja-JP"/>
        </w:rPr>
        <w:t xml:space="preserve"> or animals that maintain the potential of establishment </w:t>
      </w:r>
      <w:r w:rsidR="00FF7127" w:rsidRPr="00584A8D">
        <w:rPr>
          <w:rFonts w:eastAsia="MS Mincho"/>
          <w:snapToGrid w:val="0"/>
          <w:kern w:val="22"/>
          <w:szCs w:val="22"/>
          <w:lang w:eastAsia="ja-JP"/>
        </w:rPr>
        <w:t xml:space="preserve">at </w:t>
      </w:r>
      <w:r w:rsidRPr="00584A8D">
        <w:rPr>
          <w:rFonts w:eastAsia="MS Mincho"/>
          <w:snapToGrid w:val="0"/>
          <w:kern w:val="22"/>
          <w:szCs w:val="22"/>
          <w:lang w:eastAsia="ja-JP"/>
        </w:rPr>
        <w:t xml:space="preserve">the destination. Senders/exporters should ensure that the feed or food is free of pests, pathogenic agents and invasive alien organisms which are </w:t>
      </w:r>
      <w:r w:rsidR="002638C5" w:rsidRPr="00584A8D">
        <w:rPr>
          <w:rFonts w:eastAsia="MS Mincho"/>
          <w:snapToGrid w:val="0"/>
          <w:kern w:val="22"/>
          <w:szCs w:val="22"/>
          <w:lang w:eastAsia="ja-JP"/>
        </w:rPr>
        <w:t xml:space="preserve">of </w:t>
      </w:r>
      <w:r w:rsidRPr="00584A8D">
        <w:rPr>
          <w:rFonts w:eastAsia="MS Mincho"/>
          <w:snapToGrid w:val="0"/>
          <w:kern w:val="22"/>
          <w:szCs w:val="22"/>
          <w:lang w:eastAsia="ja-JP"/>
        </w:rPr>
        <w:t xml:space="preserve">concern </w:t>
      </w:r>
      <w:r w:rsidR="002638C5" w:rsidRPr="00584A8D">
        <w:rPr>
          <w:rFonts w:eastAsia="MS Mincho"/>
          <w:snapToGrid w:val="0"/>
          <w:kern w:val="22"/>
          <w:szCs w:val="22"/>
          <w:lang w:eastAsia="ja-JP"/>
        </w:rPr>
        <w:t>to</w:t>
      </w:r>
      <w:r w:rsidRPr="00584A8D">
        <w:rPr>
          <w:rFonts w:eastAsia="MS Mincho"/>
          <w:snapToGrid w:val="0"/>
          <w:kern w:val="22"/>
          <w:szCs w:val="22"/>
          <w:lang w:eastAsia="ja-JP"/>
        </w:rPr>
        <w:t xml:space="preserve"> an importing country or biogeographic areas receiving them.</w:t>
      </w:r>
    </w:p>
    <w:p w14:paraId="4146A697" w14:textId="777F264E" w:rsidR="00D220E9" w:rsidRPr="00584A8D" w:rsidRDefault="00D220E9"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584A8D">
        <w:rPr>
          <w:rFonts w:eastAsia="MS Mincho"/>
          <w:snapToGrid w:val="0"/>
          <w:kern w:val="22"/>
          <w:szCs w:val="22"/>
          <w:lang w:eastAsia="ja-JP"/>
        </w:rPr>
        <w:t>Treatment of by-products, waste, waters and media</w:t>
      </w:r>
    </w:p>
    <w:p w14:paraId="4E71D894" w14:textId="60913833"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By-products and waste produced during </w:t>
      </w:r>
      <w:r w:rsidR="00A60160" w:rsidRPr="00584A8D">
        <w:rPr>
          <w:rFonts w:eastAsia="MS Mincho"/>
          <w:snapToGrid w:val="0"/>
          <w:kern w:val="22"/>
          <w:szCs w:val="22"/>
          <w:lang w:eastAsia="ja-JP"/>
        </w:rPr>
        <w:t xml:space="preserve">the </w:t>
      </w:r>
      <w:r w:rsidRPr="00584A8D">
        <w:rPr>
          <w:rFonts w:eastAsia="MS Mincho"/>
          <w:snapToGrid w:val="0"/>
          <w:kern w:val="22"/>
          <w:szCs w:val="22"/>
          <w:lang w:eastAsia="ja-JP"/>
        </w:rPr>
        <w:t xml:space="preserve">transport of live species should be removed from the consignment </w:t>
      </w:r>
      <w:r w:rsidR="00A60160" w:rsidRPr="00584A8D">
        <w:rPr>
          <w:rFonts w:eastAsia="MS Mincho"/>
          <w:snapToGrid w:val="0"/>
          <w:kern w:val="22"/>
          <w:szCs w:val="22"/>
          <w:lang w:eastAsia="ja-JP"/>
        </w:rPr>
        <w:t>on arrival</w:t>
      </w:r>
      <w:r w:rsidRPr="00584A8D">
        <w:rPr>
          <w:rFonts w:eastAsia="MS Mincho"/>
          <w:snapToGrid w:val="0"/>
          <w:kern w:val="22"/>
          <w:szCs w:val="22"/>
          <w:lang w:eastAsia="ja-JP"/>
        </w:rPr>
        <w:t xml:space="preserve"> in </w:t>
      </w:r>
      <w:r w:rsidR="00A60160" w:rsidRPr="00584A8D">
        <w:rPr>
          <w:rFonts w:eastAsia="MS Mincho"/>
          <w:snapToGrid w:val="0"/>
          <w:kern w:val="22"/>
          <w:szCs w:val="22"/>
          <w:lang w:eastAsia="ja-JP"/>
        </w:rPr>
        <w:t xml:space="preserve">the receiving </w:t>
      </w:r>
      <w:r w:rsidRPr="00584A8D">
        <w:rPr>
          <w:rFonts w:eastAsia="MS Mincho"/>
          <w:snapToGrid w:val="0"/>
          <w:kern w:val="22"/>
          <w:szCs w:val="22"/>
          <w:lang w:eastAsia="ja-JP"/>
        </w:rPr>
        <w:t xml:space="preserve">country. </w:t>
      </w:r>
      <w:r w:rsidR="005F57A1" w:rsidRPr="00584A8D">
        <w:rPr>
          <w:rFonts w:eastAsia="MS Mincho"/>
          <w:snapToGrid w:val="0"/>
          <w:kern w:val="22"/>
          <w:szCs w:val="22"/>
          <w:lang w:eastAsia="ja-JP"/>
        </w:rPr>
        <w:t>The</w:t>
      </w:r>
      <w:r w:rsidRPr="00584A8D">
        <w:rPr>
          <w:rFonts w:eastAsia="MS Mincho"/>
          <w:snapToGrid w:val="0"/>
          <w:kern w:val="22"/>
          <w:szCs w:val="22"/>
          <w:lang w:eastAsia="ja-JP"/>
        </w:rPr>
        <w:t xml:space="preserve"> recipient of the consignment should apply appropriate treatment, including disinfection</w:t>
      </w:r>
      <w:r w:rsidR="00A47E08" w:rsidRPr="00584A8D">
        <w:rPr>
          <w:rFonts w:eastAsia="MS Mincho"/>
          <w:snapToGrid w:val="0"/>
          <w:kern w:val="22"/>
          <w:szCs w:val="22"/>
          <w:lang w:eastAsia="ja-JP"/>
        </w:rPr>
        <w:t>,</w:t>
      </w:r>
      <w:r w:rsidRPr="00584A8D">
        <w:rPr>
          <w:rFonts w:eastAsia="MS Mincho"/>
          <w:snapToGrid w:val="0"/>
          <w:kern w:val="22"/>
          <w:szCs w:val="22"/>
          <w:vertAlign w:val="superscript"/>
          <w:lang w:eastAsia="ja-JP"/>
        </w:rPr>
        <w:footnoteReference w:id="36"/>
      </w:r>
      <w:r w:rsidRPr="00584A8D">
        <w:rPr>
          <w:rFonts w:eastAsia="MS Mincho"/>
          <w:snapToGrid w:val="0"/>
          <w:kern w:val="22"/>
          <w:szCs w:val="22"/>
          <w:lang w:eastAsia="ja-JP"/>
        </w:rPr>
        <w:t xml:space="preserve"> incineration, rendering, autoclaving, or other measures on packing containers, other associated materials, by-products and waste prior to their disposal to minimize the risks of biological invasions</w:t>
      </w:r>
      <w:r w:rsidR="00A92C0F" w:rsidRPr="00584A8D">
        <w:rPr>
          <w:rFonts w:eastAsia="MS Mincho"/>
          <w:snapToGrid w:val="0"/>
          <w:kern w:val="22"/>
          <w:szCs w:val="22"/>
          <w:lang w:eastAsia="ja-JP"/>
        </w:rPr>
        <w:t xml:space="preserve"> of alien organisms</w:t>
      </w:r>
      <w:r w:rsidRPr="00584A8D">
        <w:rPr>
          <w:rFonts w:eastAsia="MS Mincho"/>
          <w:snapToGrid w:val="0"/>
          <w:kern w:val="22"/>
          <w:szCs w:val="22"/>
          <w:lang w:eastAsia="ja-JP"/>
        </w:rPr>
        <w:t>.</w:t>
      </w:r>
    </w:p>
    <w:p w14:paraId="008E8AEC" w14:textId="283D5FF9" w:rsidR="00D220E9" w:rsidRPr="00584A8D" w:rsidRDefault="00D220E9"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584A8D">
        <w:rPr>
          <w:rFonts w:eastAsia="MS Mincho"/>
          <w:snapToGrid w:val="0"/>
          <w:kern w:val="22"/>
          <w:szCs w:val="22"/>
          <w:lang w:eastAsia="ja-JP"/>
        </w:rPr>
        <w:t>Condition of carrier conveyances</w:t>
      </w:r>
    </w:p>
    <w:p w14:paraId="77743B73" w14:textId="6CF343E3"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If live species or </w:t>
      </w:r>
      <w:r w:rsidR="00F90A84" w:rsidRPr="00584A8D">
        <w:rPr>
          <w:rFonts w:eastAsia="MS Mincho"/>
          <w:snapToGrid w:val="0"/>
          <w:kern w:val="22"/>
          <w:szCs w:val="22"/>
          <w:lang w:eastAsia="ja-JP"/>
        </w:rPr>
        <w:t xml:space="preserve">a </w:t>
      </w:r>
      <w:r w:rsidRPr="00584A8D">
        <w:rPr>
          <w:rFonts w:eastAsia="MS Mincho"/>
          <w:snapToGrid w:val="0"/>
          <w:kern w:val="22"/>
          <w:szCs w:val="22"/>
          <w:lang w:eastAsia="ja-JP"/>
        </w:rPr>
        <w:t xml:space="preserve">consignment of live species </w:t>
      </w:r>
      <w:r w:rsidR="007C6658" w:rsidRPr="00584A8D">
        <w:rPr>
          <w:rFonts w:eastAsia="MS Mincho"/>
          <w:snapToGrid w:val="0"/>
          <w:kern w:val="22"/>
          <w:szCs w:val="22"/>
          <w:lang w:eastAsia="ja-JP"/>
        </w:rPr>
        <w:t xml:space="preserve">is </w:t>
      </w:r>
      <w:r w:rsidRPr="00584A8D">
        <w:rPr>
          <w:rFonts w:eastAsia="MS Mincho"/>
          <w:snapToGrid w:val="0"/>
          <w:kern w:val="22"/>
          <w:szCs w:val="22"/>
          <w:lang w:eastAsia="ja-JP"/>
        </w:rPr>
        <w:t xml:space="preserve">expected to be loaded or </w:t>
      </w:r>
      <w:r w:rsidR="00F90A84" w:rsidRPr="00584A8D">
        <w:rPr>
          <w:rFonts w:eastAsia="MS Mincho"/>
          <w:snapToGrid w:val="0"/>
          <w:kern w:val="22"/>
          <w:szCs w:val="22"/>
          <w:lang w:eastAsia="ja-JP"/>
        </w:rPr>
        <w:t>ha</w:t>
      </w:r>
      <w:r w:rsidR="007C6658" w:rsidRPr="00584A8D">
        <w:rPr>
          <w:rFonts w:eastAsia="MS Mincho"/>
          <w:snapToGrid w:val="0"/>
          <w:kern w:val="22"/>
          <w:szCs w:val="22"/>
          <w:lang w:eastAsia="ja-JP"/>
        </w:rPr>
        <w:t>s</w:t>
      </w:r>
      <w:r w:rsidR="00F90A84" w:rsidRPr="00584A8D">
        <w:rPr>
          <w:rFonts w:eastAsia="MS Mincho"/>
          <w:snapToGrid w:val="0"/>
          <w:kern w:val="22"/>
          <w:szCs w:val="22"/>
          <w:lang w:eastAsia="ja-JP"/>
        </w:rPr>
        <w:t xml:space="preserve"> been </w:t>
      </w:r>
      <w:r w:rsidRPr="00584A8D">
        <w:rPr>
          <w:rFonts w:eastAsia="MS Mincho"/>
          <w:snapToGrid w:val="0"/>
          <w:kern w:val="22"/>
          <w:szCs w:val="22"/>
          <w:lang w:eastAsia="ja-JP"/>
        </w:rPr>
        <w:t xml:space="preserve">previously loaded, the owners and operators of the carrier conveyances should ensure that the conveyances are washed, disinfected or </w:t>
      </w:r>
      <w:r w:rsidR="00F90A84" w:rsidRPr="00584A8D">
        <w:rPr>
          <w:rFonts w:eastAsia="MS Mincho"/>
          <w:snapToGrid w:val="0"/>
          <w:kern w:val="22"/>
          <w:szCs w:val="22"/>
          <w:lang w:eastAsia="ja-JP"/>
        </w:rPr>
        <w:t xml:space="preserve">otherwise </w:t>
      </w:r>
      <w:r w:rsidRPr="00584A8D">
        <w:rPr>
          <w:rFonts w:eastAsia="MS Mincho"/>
          <w:snapToGrid w:val="0"/>
          <w:kern w:val="22"/>
          <w:szCs w:val="22"/>
          <w:lang w:eastAsia="ja-JP"/>
        </w:rPr>
        <w:t xml:space="preserve">appropriately treated. The owners of carrier conveyances </w:t>
      </w:r>
      <w:r w:rsidR="00F05223" w:rsidRPr="00584A8D">
        <w:rPr>
          <w:rFonts w:eastAsia="MS Mincho"/>
          <w:snapToGrid w:val="0"/>
          <w:kern w:val="22"/>
          <w:szCs w:val="22"/>
          <w:lang w:eastAsia="ja-JP"/>
        </w:rPr>
        <w:t xml:space="preserve">should </w:t>
      </w:r>
      <w:r w:rsidRPr="00584A8D">
        <w:rPr>
          <w:rFonts w:eastAsia="MS Mincho"/>
          <w:snapToGrid w:val="0"/>
          <w:kern w:val="22"/>
          <w:szCs w:val="22"/>
          <w:lang w:eastAsia="ja-JP"/>
        </w:rPr>
        <w:t>take responsible measures to apply the treatment</w:t>
      </w:r>
      <w:r w:rsidR="00F05223" w:rsidRPr="00584A8D">
        <w:rPr>
          <w:rFonts w:eastAsia="MS Mincho"/>
          <w:snapToGrid w:val="0"/>
          <w:kern w:val="22"/>
          <w:szCs w:val="22"/>
          <w:lang w:eastAsia="ja-JP"/>
        </w:rPr>
        <w:t xml:space="preserve"> immediately upon</w:t>
      </w:r>
      <w:r w:rsidRPr="00584A8D">
        <w:rPr>
          <w:rFonts w:eastAsia="MS Mincho"/>
          <w:snapToGrid w:val="0"/>
          <w:kern w:val="22"/>
          <w:szCs w:val="22"/>
          <w:lang w:eastAsia="ja-JP"/>
        </w:rPr>
        <w:t xml:space="preserve"> the arrival of </w:t>
      </w:r>
      <w:r w:rsidR="00B776C5" w:rsidRPr="00584A8D">
        <w:rPr>
          <w:rFonts w:eastAsia="MS Mincho"/>
          <w:snapToGrid w:val="0"/>
          <w:kern w:val="22"/>
          <w:szCs w:val="22"/>
          <w:lang w:eastAsia="ja-JP"/>
        </w:rPr>
        <w:t xml:space="preserve">a </w:t>
      </w:r>
      <w:r w:rsidRPr="00584A8D">
        <w:rPr>
          <w:rFonts w:eastAsia="MS Mincho"/>
          <w:snapToGrid w:val="0"/>
          <w:kern w:val="22"/>
          <w:szCs w:val="22"/>
          <w:lang w:eastAsia="ja-JP"/>
        </w:rPr>
        <w:t xml:space="preserve">carrier conveyance </w:t>
      </w:r>
      <w:r w:rsidR="00F05223" w:rsidRPr="00584A8D">
        <w:rPr>
          <w:rFonts w:eastAsia="MS Mincho"/>
          <w:snapToGrid w:val="0"/>
          <w:kern w:val="22"/>
          <w:szCs w:val="22"/>
          <w:lang w:eastAsia="ja-JP"/>
        </w:rPr>
        <w:t xml:space="preserve">at </w:t>
      </w:r>
      <w:r w:rsidRPr="00584A8D">
        <w:rPr>
          <w:rFonts w:eastAsia="MS Mincho"/>
          <w:snapToGrid w:val="0"/>
          <w:kern w:val="22"/>
          <w:szCs w:val="22"/>
          <w:lang w:eastAsia="ja-JP"/>
        </w:rPr>
        <w:t xml:space="preserve">a destination and maintain the treated condition </w:t>
      </w:r>
      <w:r w:rsidR="002C3EF3" w:rsidRPr="00584A8D">
        <w:rPr>
          <w:rFonts w:eastAsia="MS Mincho"/>
          <w:snapToGrid w:val="0"/>
          <w:kern w:val="22"/>
          <w:szCs w:val="22"/>
          <w:lang w:eastAsia="ja-JP"/>
        </w:rPr>
        <w:t>until</w:t>
      </w:r>
      <w:r w:rsidRPr="00584A8D">
        <w:rPr>
          <w:rFonts w:eastAsia="MS Mincho"/>
          <w:snapToGrid w:val="0"/>
          <w:kern w:val="22"/>
          <w:szCs w:val="22"/>
          <w:lang w:eastAsia="ja-JP"/>
        </w:rPr>
        <w:t xml:space="preserve"> the next use.</w:t>
      </w:r>
    </w:p>
    <w:p w14:paraId="4119A211" w14:textId="131EE557"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Prior to an operation, a carrier conveyance should be inspected to determine its sanitary and phytosanitary condition to ensure that unintentional introduction of pests, pathogenic agents and invasive alien organisms is minimized.</w:t>
      </w:r>
    </w:p>
    <w:p w14:paraId="0F6B2BCA" w14:textId="7573AEA6"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In the event of escape of live species, accidental spillage or leaks from a consignment, the owner and operators of the carrier conveyance should take necessary measures to recapture and contain the live species and alien organisms attached to them. The owners and operators of carrier conveyances should wash the carrier conveyance and disinfect or treat </w:t>
      </w:r>
      <w:r w:rsidR="00FB7C38" w:rsidRPr="00584A8D">
        <w:rPr>
          <w:rFonts w:eastAsia="MS Mincho"/>
          <w:snapToGrid w:val="0"/>
          <w:kern w:val="22"/>
          <w:szCs w:val="22"/>
          <w:lang w:eastAsia="ja-JP"/>
        </w:rPr>
        <w:t xml:space="preserve">it </w:t>
      </w:r>
      <w:r w:rsidRPr="00584A8D">
        <w:rPr>
          <w:rFonts w:eastAsia="MS Mincho"/>
          <w:snapToGrid w:val="0"/>
          <w:kern w:val="22"/>
          <w:szCs w:val="22"/>
          <w:lang w:eastAsia="ja-JP"/>
        </w:rPr>
        <w:t xml:space="preserve">appropriately, and inform relevant national authorities in the affected country (county of transit or destination) about the nature of the escape, spillage or leak and the measures taken by the owners or operators of </w:t>
      </w:r>
      <w:r w:rsidR="00FB7C38" w:rsidRPr="00584A8D">
        <w:rPr>
          <w:rFonts w:eastAsia="MS Mincho"/>
          <w:snapToGrid w:val="0"/>
          <w:kern w:val="22"/>
          <w:szCs w:val="22"/>
          <w:lang w:eastAsia="ja-JP"/>
        </w:rPr>
        <w:t xml:space="preserve">the </w:t>
      </w:r>
      <w:r w:rsidRPr="00584A8D">
        <w:rPr>
          <w:rFonts w:eastAsia="MS Mincho"/>
          <w:snapToGrid w:val="0"/>
          <w:kern w:val="22"/>
          <w:szCs w:val="22"/>
          <w:lang w:eastAsia="ja-JP"/>
        </w:rPr>
        <w:t>carrier conveyance.</w:t>
      </w:r>
    </w:p>
    <w:p w14:paraId="1D7B8E0C" w14:textId="72000472" w:rsidR="00D220E9" w:rsidRPr="00584A8D" w:rsidRDefault="00D220E9"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584A8D">
        <w:rPr>
          <w:rFonts w:eastAsia="MS Mincho"/>
          <w:snapToGrid w:val="0"/>
          <w:kern w:val="22"/>
          <w:szCs w:val="22"/>
          <w:lang w:eastAsia="ja-JP"/>
        </w:rPr>
        <w:t xml:space="preserve">Role of States and national authorities </w:t>
      </w:r>
      <w:r w:rsidR="006F7F12" w:rsidRPr="00584A8D">
        <w:rPr>
          <w:rFonts w:eastAsia="MS Mincho"/>
          <w:snapToGrid w:val="0"/>
          <w:kern w:val="22"/>
          <w:szCs w:val="22"/>
          <w:lang w:eastAsia="ja-JP"/>
        </w:rPr>
        <w:t xml:space="preserve">in relation </w:t>
      </w:r>
      <w:r w:rsidRPr="00584A8D">
        <w:rPr>
          <w:rFonts w:eastAsia="MS Mincho"/>
          <w:snapToGrid w:val="0"/>
          <w:kern w:val="22"/>
          <w:szCs w:val="22"/>
          <w:lang w:eastAsia="ja-JP"/>
        </w:rPr>
        <w:t>to invasive alien species</w:t>
      </w:r>
    </w:p>
    <w:p w14:paraId="2805158A" w14:textId="2D90A6CB"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States that receive live species should keep records of all consignments containing live species, with regard to information on exporters, importers, taxa of commodity at </w:t>
      </w:r>
      <w:r w:rsidR="006D6F57" w:rsidRPr="00584A8D">
        <w:rPr>
          <w:rFonts w:eastAsia="MS Mincho"/>
          <w:snapToGrid w:val="0"/>
          <w:kern w:val="22"/>
          <w:szCs w:val="22"/>
          <w:lang w:eastAsia="ja-JP"/>
        </w:rPr>
        <w:t xml:space="preserve">the </w:t>
      </w:r>
      <w:r w:rsidRPr="00584A8D">
        <w:rPr>
          <w:rFonts w:eastAsia="MS Mincho"/>
          <w:snapToGrid w:val="0"/>
          <w:kern w:val="22"/>
          <w:szCs w:val="22"/>
          <w:lang w:eastAsia="ja-JP"/>
        </w:rPr>
        <w:t>species level or possibl</w:t>
      </w:r>
      <w:r w:rsidR="006D6F57" w:rsidRPr="00584A8D">
        <w:rPr>
          <w:rFonts w:eastAsia="MS Mincho"/>
          <w:snapToGrid w:val="0"/>
          <w:kern w:val="22"/>
          <w:szCs w:val="22"/>
          <w:lang w:eastAsia="ja-JP"/>
        </w:rPr>
        <w:t>y</w:t>
      </w:r>
      <w:r w:rsidRPr="00584A8D">
        <w:rPr>
          <w:rFonts w:eastAsia="MS Mincho"/>
          <w:snapToGrid w:val="0"/>
          <w:kern w:val="22"/>
          <w:szCs w:val="22"/>
          <w:lang w:eastAsia="ja-JP"/>
        </w:rPr>
        <w:t xml:space="preserve"> </w:t>
      </w:r>
      <w:r w:rsidR="006D6F57" w:rsidRPr="00584A8D">
        <w:rPr>
          <w:rFonts w:eastAsia="MS Mincho"/>
          <w:snapToGrid w:val="0"/>
          <w:kern w:val="22"/>
          <w:szCs w:val="22"/>
          <w:lang w:eastAsia="ja-JP"/>
        </w:rPr>
        <w:t xml:space="preserve">the </w:t>
      </w:r>
      <w:r w:rsidRPr="00584A8D">
        <w:rPr>
          <w:rFonts w:eastAsia="MS Mincho"/>
          <w:snapToGrid w:val="0"/>
          <w:kern w:val="22"/>
          <w:szCs w:val="22"/>
          <w:lang w:eastAsia="ja-JP"/>
        </w:rPr>
        <w:t xml:space="preserve">lowest known taxonomic rank, and </w:t>
      </w:r>
      <w:r w:rsidR="006D6F57" w:rsidRPr="00584A8D">
        <w:rPr>
          <w:rFonts w:eastAsia="MS Mincho"/>
          <w:snapToGrid w:val="0"/>
          <w:kern w:val="22"/>
          <w:szCs w:val="22"/>
          <w:lang w:eastAsia="ja-JP"/>
        </w:rPr>
        <w:t xml:space="preserve">the </w:t>
      </w:r>
      <w:r w:rsidRPr="00584A8D">
        <w:rPr>
          <w:rFonts w:eastAsia="MS Mincho"/>
          <w:snapToGrid w:val="0"/>
          <w:kern w:val="22"/>
          <w:szCs w:val="22"/>
          <w:lang w:eastAsia="ja-JP"/>
        </w:rPr>
        <w:t xml:space="preserve">health status of the animal and </w:t>
      </w:r>
      <w:r w:rsidR="006D6F57" w:rsidRPr="00584A8D">
        <w:rPr>
          <w:rFonts w:eastAsia="MS Mincho"/>
          <w:snapToGrid w:val="0"/>
          <w:kern w:val="22"/>
          <w:szCs w:val="22"/>
          <w:lang w:eastAsia="ja-JP"/>
        </w:rPr>
        <w:t xml:space="preserve">the </w:t>
      </w:r>
      <w:r w:rsidRPr="00584A8D">
        <w:rPr>
          <w:rFonts w:eastAsia="MS Mincho"/>
          <w:snapToGrid w:val="0"/>
          <w:kern w:val="22"/>
          <w:szCs w:val="22"/>
          <w:lang w:eastAsia="ja-JP"/>
        </w:rPr>
        <w:t>phytosanitary conditions of the plant.</w:t>
      </w:r>
    </w:p>
    <w:p w14:paraId="661804EE" w14:textId="215B971C"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States should apply appropriate national border risk management measures in accordance with existing international guidance to minimize the risk of unintentional introduction of invasive alien organisms.</w:t>
      </w:r>
    </w:p>
    <w:p w14:paraId="42820856" w14:textId="00DF2CAE"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When invasive alien organisms unintentionally enter or become established, relevant offices, including conservation authorities, should be </w:t>
      </w:r>
      <w:r w:rsidR="00043627" w:rsidRPr="00584A8D">
        <w:rPr>
          <w:rFonts w:eastAsia="MS Mincho"/>
          <w:snapToGrid w:val="0"/>
          <w:kern w:val="22"/>
          <w:szCs w:val="22"/>
          <w:lang w:eastAsia="ja-JP"/>
        </w:rPr>
        <w:t>notified</w:t>
      </w:r>
      <w:r w:rsidRPr="00584A8D">
        <w:rPr>
          <w:rFonts w:eastAsia="MS Mincho"/>
          <w:snapToGrid w:val="0"/>
          <w:kern w:val="22"/>
          <w:szCs w:val="22"/>
          <w:lang w:eastAsia="ja-JP"/>
        </w:rPr>
        <w:t xml:space="preserve">, including, as appropriate, the </w:t>
      </w:r>
      <w:r w:rsidR="006D769E" w:rsidRPr="00584A8D">
        <w:rPr>
          <w:rFonts w:eastAsia="MS Mincho"/>
          <w:snapToGrid w:val="0"/>
          <w:kern w:val="22"/>
          <w:szCs w:val="22"/>
          <w:lang w:eastAsia="ja-JP"/>
        </w:rPr>
        <w:t>v</w:t>
      </w:r>
      <w:r w:rsidRPr="00584A8D">
        <w:rPr>
          <w:rFonts w:eastAsia="MS Mincho"/>
          <w:snapToGrid w:val="0"/>
          <w:kern w:val="22"/>
          <w:szCs w:val="22"/>
          <w:lang w:eastAsia="ja-JP"/>
        </w:rPr>
        <w:t xml:space="preserve">eterinary </w:t>
      </w:r>
      <w:r w:rsidR="006D769E" w:rsidRPr="00584A8D">
        <w:rPr>
          <w:rFonts w:eastAsia="MS Mincho"/>
          <w:snapToGrid w:val="0"/>
          <w:kern w:val="22"/>
          <w:szCs w:val="22"/>
          <w:lang w:eastAsia="ja-JP"/>
        </w:rPr>
        <w:t>a</w:t>
      </w:r>
      <w:r w:rsidRPr="00584A8D">
        <w:rPr>
          <w:rFonts w:eastAsia="MS Mincho"/>
          <w:snapToGrid w:val="0"/>
          <w:kern w:val="22"/>
          <w:szCs w:val="22"/>
          <w:lang w:eastAsia="ja-JP"/>
        </w:rPr>
        <w:t>uthority/</w:t>
      </w:r>
      <w:r w:rsidR="006D769E" w:rsidRPr="00584A8D">
        <w:rPr>
          <w:rFonts w:eastAsia="MS Mincho"/>
          <w:snapToGrid w:val="0"/>
          <w:kern w:val="22"/>
          <w:szCs w:val="22"/>
          <w:lang w:eastAsia="ja-JP"/>
        </w:rPr>
        <w:t>c</w:t>
      </w:r>
      <w:r w:rsidRPr="00584A8D">
        <w:rPr>
          <w:rFonts w:eastAsia="MS Mincho"/>
          <w:snapToGrid w:val="0"/>
          <w:kern w:val="22"/>
          <w:szCs w:val="22"/>
          <w:lang w:eastAsia="ja-JP"/>
        </w:rPr>
        <w:t xml:space="preserve">ompetent </w:t>
      </w:r>
      <w:r w:rsidR="006D769E" w:rsidRPr="00584A8D">
        <w:rPr>
          <w:rFonts w:eastAsia="MS Mincho"/>
          <w:snapToGrid w:val="0"/>
          <w:kern w:val="22"/>
          <w:szCs w:val="22"/>
          <w:lang w:eastAsia="ja-JP"/>
        </w:rPr>
        <w:t>a</w:t>
      </w:r>
      <w:r w:rsidRPr="00584A8D">
        <w:rPr>
          <w:rFonts w:eastAsia="MS Mincho"/>
          <w:snapToGrid w:val="0"/>
          <w:kern w:val="22"/>
          <w:szCs w:val="22"/>
          <w:lang w:eastAsia="ja-JP"/>
        </w:rPr>
        <w:t xml:space="preserve">uthority and the </w:t>
      </w:r>
      <w:r w:rsidR="006D769E" w:rsidRPr="00584A8D">
        <w:rPr>
          <w:rFonts w:eastAsia="MS Mincho"/>
          <w:snapToGrid w:val="0"/>
          <w:kern w:val="22"/>
          <w:szCs w:val="22"/>
          <w:lang w:eastAsia="ja-JP"/>
        </w:rPr>
        <w:t>n</w:t>
      </w:r>
      <w:r w:rsidRPr="00584A8D">
        <w:rPr>
          <w:rFonts w:eastAsia="MS Mincho"/>
          <w:snapToGrid w:val="0"/>
          <w:kern w:val="22"/>
          <w:szCs w:val="22"/>
          <w:lang w:eastAsia="ja-JP"/>
        </w:rPr>
        <w:t xml:space="preserve">ational </w:t>
      </w:r>
      <w:r w:rsidR="006D769E" w:rsidRPr="00584A8D">
        <w:rPr>
          <w:rFonts w:eastAsia="MS Mincho"/>
          <w:snapToGrid w:val="0"/>
          <w:kern w:val="22"/>
          <w:szCs w:val="22"/>
          <w:lang w:eastAsia="ja-JP"/>
        </w:rPr>
        <w:t>p</w:t>
      </w:r>
      <w:r w:rsidRPr="00584A8D">
        <w:rPr>
          <w:rFonts w:eastAsia="MS Mincho"/>
          <w:snapToGrid w:val="0"/>
          <w:kern w:val="22"/>
          <w:szCs w:val="22"/>
          <w:lang w:eastAsia="ja-JP"/>
        </w:rPr>
        <w:t xml:space="preserve">lant </w:t>
      </w:r>
      <w:r w:rsidR="006D769E" w:rsidRPr="00584A8D">
        <w:rPr>
          <w:rFonts w:eastAsia="MS Mincho"/>
          <w:snapToGrid w:val="0"/>
          <w:kern w:val="22"/>
          <w:szCs w:val="22"/>
          <w:lang w:eastAsia="ja-JP"/>
        </w:rPr>
        <w:t>p</w:t>
      </w:r>
      <w:r w:rsidRPr="00584A8D">
        <w:rPr>
          <w:rFonts w:eastAsia="MS Mincho"/>
          <w:snapToGrid w:val="0"/>
          <w:kern w:val="22"/>
          <w:szCs w:val="22"/>
          <w:lang w:eastAsia="ja-JP"/>
        </w:rPr>
        <w:t xml:space="preserve">rotection </w:t>
      </w:r>
      <w:r w:rsidR="006D769E" w:rsidRPr="00584A8D">
        <w:rPr>
          <w:rFonts w:eastAsia="MS Mincho"/>
          <w:snapToGrid w:val="0"/>
          <w:kern w:val="22"/>
          <w:szCs w:val="22"/>
          <w:lang w:eastAsia="ja-JP"/>
        </w:rPr>
        <w:t>o</w:t>
      </w:r>
      <w:r w:rsidRPr="00584A8D">
        <w:rPr>
          <w:rFonts w:eastAsia="MS Mincho"/>
          <w:snapToGrid w:val="0"/>
          <w:kern w:val="22"/>
          <w:szCs w:val="22"/>
          <w:lang w:eastAsia="ja-JP"/>
        </w:rPr>
        <w:t xml:space="preserve">rganization, to ensure that </w:t>
      </w:r>
      <w:r w:rsidR="00576E57" w:rsidRPr="00584A8D">
        <w:rPr>
          <w:rFonts w:eastAsia="MS Mincho"/>
          <w:snapToGrid w:val="0"/>
          <w:kern w:val="22"/>
          <w:szCs w:val="22"/>
          <w:lang w:eastAsia="ja-JP"/>
        </w:rPr>
        <w:t xml:space="preserve">the </w:t>
      </w:r>
      <w:r w:rsidRPr="00584A8D">
        <w:rPr>
          <w:rFonts w:eastAsia="MS Mincho"/>
          <w:snapToGrid w:val="0"/>
          <w:kern w:val="22"/>
          <w:szCs w:val="22"/>
          <w:lang w:eastAsia="ja-JP"/>
        </w:rPr>
        <w:t xml:space="preserve">exporting or re-exporting country </w:t>
      </w:r>
      <w:r w:rsidR="00576E57" w:rsidRPr="00584A8D">
        <w:rPr>
          <w:rFonts w:eastAsia="MS Mincho"/>
          <w:snapToGrid w:val="0"/>
          <w:kern w:val="22"/>
          <w:szCs w:val="22"/>
          <w:lang w:eastAsia="ja-JP"/>
        </w:rPr>
        <w:t xml:space="preserve">is </w:t>
      </w:r>
      <w:r w:rsidRPr="00584A8D">
        <w:rPr>
          <w:rFonts w:eastAsia="MS Mincho"/>
          <w:snapToGrid w:val="0"/>
          <w:kern w:val="22"/>
          <w:szCs w:val="22"/>
          <w:lang w:eastAsia="ja-JP"/>
        </w:rPr>
        <w:t xml:space="preserve">informed </w:t>
      </w:r>
      <w:r w:rsidR="00576E57" w:rsidRPr="00584A8D">
        <w:rPr>
          <w:rFonts w:eastAsia="MS Mincho"/>
          <w:snapToGrid w:val="0"/>
          <w:kern w:val="22"/>
          <w:szCs w:val="22"/>
          <w:lang w:eastAsia="ja-JP"/>
        </w:rPr>
        <w:t xml:space="preserve">of </w:t>
      </w:r>
      <w:r w:rsidRPr="00584A8D">
        <w:rPr>
          <w:rFonts w:eastAsia="MS Mincho"/>
          <w:snapToGrid w:val="0"/>
          <w:kern w:val="22"/>
          <w:szCs w:val="22"/>
          <w:lang w:eastAsia="ja-JP"/>
        </w:rPr>
        <w:t xml:space="preserve">the event in order to prevent </w:t>
      </w:r>
      <w:r w:rsidR="00576E57" w:rsidRPr="00584A8D">
        <w:rPr>
          <w:rFonts w:eastAsia="MS Mincho"/>
          <w:snapToGrid w:val="0"/>
          <w:kern w:val="22"/>
          <w:szCs w:val="22"/>
          <w:lang w:eastAsia="ja-JP"/>
        </w:rPr>
        <w:t xml:space="preserve">the </w:t>
      </w:r>
      <w:r w:rsidRPr="00584A8D">
        <w:rPr>
          <w:rFonts w:eastAsia="MS Mincho"/>
          <w:snapToGrid w:val="0"/>
          <w:kern w:val="22"/>
          <w:szCs w:val="22"/>
          <w:lang w:eastAsia="ja-JP"/>
        </w:rPr>
        <w:t>further spread of the invasive alien species.</w:t>
      </w:r>
    </w:p>
    <w:p w14:paraId="118697F9" w14:textId="160BD5B0"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States, in collaboration with relevant organizations, should make information available to the public on: (</w:t>
      </w:r>
      <w:r w:rsidR="00A47E08" w:rsidRPr="00584A8D">
        <w:rPr>
          <w:rFonts w:eastAsia="MS Mincho"/>
          <w:snapToGrid w:val="0"/>
          <w:kern w:val="22"/>
          <w:szCs w:val="22"/>
          <w:lang w:eastAsia="ja-JP"/>
        </w:rPr>
        <w:t>a</w:t>
      </w:r>
      <w:r w:rsidRPr="00584A8D">
        <w:rPr>
          <w:rFonts w:eastAsia="MS Mincho"/>
          <w:snapToGrid w:val="0"/>
          <w:kern w:val="22"/>
          <w:szCs w:val="22"/>
          <w:lang w:eastAsia="ja-JP"/>
        </w:rPr>
        <w:t xml:space="preserve">) import requirements </w:t>
      </w:r>
      <w:r w:rsidR="00B7629B" w:rsidRPr="00584A8D">
        <w:rPr>
          <w:rFonts w:eastAsia="MS Mincho"/>
          <w:snapToGrid w:val="0"/>
          <w:kern w:val="22"/>
          <w:szCs w:val="22"/>
          <w:lang w:eastAsia="ja-JP"/>
        </w:rPr>
        <w:t xml:space="preserve">for </w:t>
      </w:r>
      <w:r w:rsidRPr="00584A8D">
        <w:rPr>
          <w:rFonts w:eastAsia="MS Mincho"/>
          <w:snapToGrid w:val="0"/>
          <w:kern w:val="22"/>
          <w:szCs w:val="22"/>
          <w:lang w:eastAsia="ja-JP"/>
        </w:rPr>
        <w:t xml:space="preserve">trade in live species </w:t>
      </w:r>
      <w:r w:rsidR="00B7629B" w:rsidRPr="00584A8D">
        <w:rPr>
          <w:rFonts w:eastAsia="MS Mincho"/>
          <w:snapToGrid w:val="0"/>
          <w:kern w:val="22"/>
          <w:szCs w:val="22"/>
          <w:lang w:eastAsia="ja-JP"/>
        </w:rPr>
        <w:t xml:space="preserve">designed </w:t>
      </w:r>
      <w:r w:rsidRPr="00584A8D">
        <w:rPr>
          <w:rFonts w:eastAsia="MS Mincho"/>
          <w:snapToGrid w:val="0"/>
          <w:kern w:val="22"/>
          <w:szCs w:val="22"/>
          <w:lang w:eastAsia="ja-JP"/>
        </w:rPr>
        <w:t>to prevent the unintentional introduction of alien organisms associated with trade in live species; (</w:t>
      </w:r>
      <w:r w:rsidR="00A47E08" w:rsidRPr="00584A8D">
        <w:rPr>
          <w:rFonts w:eastAsia="MS Mincho"/>
          <w:snapToGrid w:val="0"/>
          <w:kern w:val="22"/>
          <w:szCs w:val="22"/>
          <w:lang w:eastAsia="ja-JP"/>
        </w:rPr>
        <w:t>b</w:t>
      </w:r>
      <w:r w:rsidRPr="00584A8D">
        <w:rPr>
          <w:rFonts w:eastAsia="MS Mincho"/>
          <w:snapToGrid w:val="0"/>
          <w:kern w:val="22"/>
          <w:szCs w:val="22"/>
          <w:lang w:eastAsia="ja-JP"/>
        </w:rPr>
        <w:t xml:space="preserve">) </w:t>
      </w:r>
      <w:r w:rsidR="00B7629B" w:rsidRPr="00584A8D">
        <w:rPr>
          <w:rFonts w:eastAsia="MS Mincho"/>
          <w:snapToGrid w:val="0"/>
          <w:kern w:val="22"/>
          <w:szCs w:val="22"/>
          <w:lang w:eastAsia="ja-JP"/>
        </w:rPr>
        <w:t xml:space="preserve">the presence of an </w:t>
      </w:r>
      <w:r w:rsidRPr="00584A8D">
        <w:rPr>
          <w:rFonts w:eastAsia="MS Mincho"/>
          <w:snapToGrid w:val="0"/>
          <w:kern w:val="22"/>
          <w:szCs w:val="22"/>
          <w:lang w:eastAsia="ja-JP"/>
        </w:rPr>
        <w:t xml:space="preserve">invasive alien species </w:t>
      </w:r>
      <w:r w:rsidR="00B7629B" w:rsidRPr="00584A8D">
        <w:rPr>
          <w:rFonts w:eastAsia="MS Mincho"/>
          <w:snapToGrid w:val="0"/>
          <w:kern w:val="22"/>
          <w:szCs w:val="22"/>
          <w:lang w:eastAsia="ja-JP"/>
        </w:rPr>
        <w:t>as a result of</w:t>
      </w:r>
      <w:r w:rsidRPr="00584A8D">
        <w:rPr>
          <w:rFonts w:eastAsia="MS Mincho"/>
          <w:snapToGrid w:val="0"/>
          <w:kern w:val="22"/>
          <w:szCs w:val="22"/>
          <w:lang w:eastAsia="ja-JP"/>
        </w:rPr>
        <w:t xml:space="preserve"> unintentional introduction; and (</w:t>
      </w:r>
      <w:r w:rsidR="00A47E08" w:rsidRPr="00584A8D">
        <w:rPr>
          <w:rFonts w:eastAsia="MS Mincho"/>
          <w:snapToGrid w:val="0"/>
          <w:kern w:val="22"/>
          <w:szCs w:val="22"/>
          <w:lang w:eastAsia="ja-JP"/>
        </w:rPr>
        <w:t>c</w:t>
      </w:r>
      <w:r w:rsidRPr="00584A8D">
        <w:rPr>
          <w:rFonts w:eastAsia="MS Mincho"/>
          <w:snapToGrid w:val="0"/>
          <w:kern w:val="22"/>
          <w:szCs w:val="22"/>
          <w:lang w:eastAsia="ja-JP"/>
        </w:rPr>
        <w:t xml:space="preserve">) results of pathway risk analysis, if </w:t>
      </w:r>
      <w:r w:rsidR="00B7629B" w:rsidRPr="00584A8D">
        <w:rPr>
          <w:rFonts w:eastAsia="MS Mincho"/>
          <w:snapToGrid w:val="0"/>
          <w:kern w:val="22"/>
          <w:szCs w:val="22"/>
          <w:lang w:eastAsia="ja-JP"/>
        </w:rPr>
        <w:t xml:space="preserve">they have been </w:t>
      </w:r>
      <w:r w:rsidRPr="00584A8D">
        <w:rPr>
          <w:rFonts w:eastAsia="MS Mincho"/>
          <w:snapToGrid w:val="0"/>
          <w:kern w:val="22"/>
          <w:szCs w:val="22"/>
          <w:lang w:eastAsia="ja-JP"/>
        </w:rPr>
        <w:t>undertaken.</w:t>
      </w:r>
    </w:p>
    <w:p w14:paraId="7380DEEE" w14:textId="11924E21"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States </w:t>
      </w:r>
      <w:r w:rsidR="007220AD" w:rsidRPr="00584A8D">
        <w:rPr>
          <w:rFonts w:eastAsia="MS Mincho"/>
          <w:snapToGrid w:val="0"/>
          <w:kern w:val="22"/>
          <w:szCs w:val="22"/>
          <w:lang w:eastAsia="ja-JP"/>
        </w:rPr>
        <w:t xml:space="preserve">that </w:t>
      </w:r>
      <w:r w:rsidRPr="00584A8D">
        <w:rPr>
          <w:rFonts w:eastAsia="MS Mincho"/>
          <w:snapToGrid w:val="0"/>
          <w:kern w:val="22"/>
          <w:szCs w:val="22"/>
          <w:lang w:eastAsia="ja-JP"/>
        </w:rPr>
        <w:t xml:space="preserve">receive live species should raise awareness </w:t>
      </w:r>
      <w:r w:rsidR="007220AD" w:rsidRPr="00584A8D">
        <w:rPr>
          <w:rFonts w:eastAsia="MS Mincho"/>
          <w:snapToGrid w:val="0"/>
          <w:kern w:val="22"/>
          <w:szCs w:val="22"/>
          <w:lang w:eastAsia="ja-JP"/>
        </w:rPr>
        <w:t xml:space="preserve">of </w:t>
      </w:r>
      <w:r w:rsidRPr="00584A8D">
        <w:rPr>
          <w:rFonts w:eastAsia="MS Mincho"/>
          <w:snapToGrid w:val="0"/>
          <w:kern w:val="22"/>
          <w:szCs w:val="22"/>
          <w:lang w:eastAsia="ja-JP"/>
        </w:rPr>
        <w:t>the risk of biological invasions posed by trade in live species, including unintentional introduction of pests, pathogenic agents and invasive alien organisms to persons involved in the entire value chain</w:t>
      </w:r>
      <w:r w:rsidR="00FB60F9" w:rsidRPr="00584A8D">
        <w:rPr>
          <w:rFonts w:eastAsia="MS Mincho"/>
          <w:snapToGrid w:val="0"/>
          <w:kern w:val="22"/>
          <w:szCs w:val="22"/>
          <w:lang w:eastAsia="ja-JP"/>
        </w:rPr>
        <w:t>.</w:t>
      </w:r>
      <w:r w:rsidRPr="00584A8D">
        <w:rPr>
          <w:rFonts w:eastAsia="MS Mincho"/>
          <w:snapToGrid w:val="0"/>
          <w:kern w:val="22"/>
          <w:szCs w:val="22"/>
          <w:lang w:eastAsia="ja-JP"/>
        </w:rPr>
        <w:t xml:space="preserve"> </w:t>
      </w:r>
      <w:r w:rsidR="00FB60F9" w:rsidRPr="00584A8D">
        <w:rPr>
          <w:rFonts w:eastAsia="MS Mincho"/>
          <w:snapToGrid w:val="0"/>
          <w:kern w:val="22"/>
          <w:szCs w:val="22"/>
          <w:lang w:eastAsia="ja-JP"/>
        </w:rPr>
        <w:t xml:space="preserve">This </w:t>
      </w:r>
      <w:r w:rsidRPr="00584A8D">
        <w:rPr>
          <w:rFonts w:eastAsia="MS Mincho"/>
          <w:snapToGrid w:val="0"/>
          <w:kern w:val="22"/>
          <w:szCs w:val="22"/>
          <w:lang w:eastAsia="ja-JP"/>
        </w:rPr>
        <w:t>include</w:t>
      </w:r>
      <w:r w:rsidR="00FB60F9" w:rsidRPr="00584A8D">
        <w:rPr>
          <w:rFonts w:eastAsia="MS Mincho"/>
          <w:snapToGrid w:val="0"/>
          <w:kern w:val="22"/>
          <w:szCs w:val="22"/>
          <w:lang w:eastAsia="ja-JP"/>
        </w:rPr>
        <w:t>s</w:t>
      </w:r>
      <w:r w:rsidRPr="00584A8D">
        <w:rPr>
          <w:rFonts w:eastAsia="MS Mincho"/>
          <w:snapToGrid w:val="0"/>
          <w:kern w:val="22"/>
          <w:szCs w:val="22"/>
          <w:lang w:eastAsia="ja-JP"/>
        </w:rPr>
        <w:t xml:space="preserve"> awareness</w:t>
      </w:r>
      <w:r w:rsidR="00FB60F9" w:rsidRPr="00584A8D">
        <w:rPr>
          <w:rFonts w:eastAsia="MS Mincho"/>
          <w:snapToGrid w:val="0"/>
          <w:kern w:val="22"/>
          <w:szCs w:val="22"/>
          <w:lang w:eastAsia="ja-JP"/>
        </w:rPr>
        <w:t>-</w:t>
      </w:r>
      <w:r w:rsidRPr="00584A8D">
        <w:rPr>
          <w:rFonts w:eastAsia="MS Mincho"/>
          <w:snapToGrid w:val="0"/>
          <w:kern w:val="22"/>
          <w:szCs w:val="22"/>
          <w:lang w:eastAsia="ja-JP"/>
        </w:rPr>
        <w:t xml:space="preserve">raising campaigns </w:t>
      </w:r>
      <w:r w:rsidR="00FB60F9" w:rsidRPr="00584A8D">
        <w:rPr>
          <w:rFonts w:eastAsia="MS Mincho"/>
          <w:snapToGrid w:val="0"/>
          <w:kern w:val="22"/>
          <w:szCs w:val="22"/>
          <w:lang w:eastAsia="ja-JP"/>
        </w:rPr>
        <w:t>directed at</w:t>
      </w:r>
      <w:r w:rsidRPr="00584A8D">
        <w:rPr>
          <w:rFonts w:eastAsia="MS Mincho"/>
          <w:snapToGrid w:val="0"/>
          <w:kern w:val="22"/>
          <w:szCs w:val="22"/>
          <w:lang w:eastAsia="ja-JP"/>
        </w:rPr>
        <w:t xml:space="preserve"> the public and potential operators (amateur breeders, etc.). Such campaigns can be organized by States, subnational governments, relevant organizations or </w:t>
      </w:r>
      <w:r w:rsidR="00544119" w:rsidRPr="00584A8D">
        <w:rPr>
          <w:rFonts w:eastAsia="MS Mincho"/>
          <w:snapToGrid w:val="0"/>
          <w:kern w:val="22"/>
          <w:szCs w:val="22"/>
          <w:lang w:eastAsia="ja-JP"/>
        </w:rPr>
        <w:t>any</w:t>
      </w:r>
      <w:r w:rsidR="007220AD" w:rsidRPr="00584A8D">
        <w:rPr>
          <w:rFonts w:eastAsia="MS Mincho"/>
          <w:snapToGrid w:val="0"/>
          <w:kern w:val="22"/>
          <w:szCs w:val="22"/>
          <w:lang w:eastAsia="ja-JP"/>
        </w:rPr>
        <w:t xml:space="preserve"> </w:t>
      </w:r>
      <w:r w:rsidRPr="00584A8D">
        <w:rPr>
          <w:rFonts w:eastAsia="MS Mincho"/>
          <w:snapToGrid w:val="0"/>
          <w:kern w:val="22"/>
          <w:szCs w:val="22"/>
          <w:lang w:eastAsia="ja-JP"/>
        </w:rPr>
        <w:t>industry involved in the value chain.</w:t>
      </w:r>
    </w:p>
    <w:p w14:paraId="31F5487F" w14:textId="34CC0B80" w:rsidR="00D220E9" w:rsidRPr="00584A8D" w:rsidRDefault="00D220E9"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584A8D">
        <w:rPr>
          <w:rFonts w:eastAsia="MS Mincho"/>
          <w:snapToGrid w:val="0"/>
          <w:kern w:val="22"/>
          <w:szCs w:val="22"/>
          <w:lang w:eastAsia="ja-JP"/>
        </w:rPr>
        <w:t>Monitoring</w:t>
      </w:r>
    </w:p>
    <w:p w14:paraId="29EB09AD" w14:textId="12E1FA3B"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States should conduct monitoring of invasive alien organisms which can unintentionally arrive in their territories, particularly in susceptible areas (e.g. ports, cross-docking and warehousing facilities, off-dock container yard</w:t>
      </w:r>
      <w:r w:rsidR="00375096" w:rsidRPr="00584A8D">
        <w:rPr>
          <w:rFonts w:eastAsia="MS Mincho"/>
          <w:snapToGrid w:val="0"/>
          <w:kern w:val="22"/>
          <w:szCs w:val="22"/>
          <w:lang w:eastAsia="ja-JP"/>
        </w:rPr>
        <w:t>s</w:t>
      </w:r>
      <w:r w:rsidRPr="00584A8D">
        <w:rPr>
          <w:rFonts w:eastAsia="MS Mincho"/>
          <w:snapToGrid w:val="0"/>
          <w:kern w:val="22"/>
          <w:szCs w:val="22"/>
          <w:lang w:eastAsia="ja-JP"/>
        </w:rPr>
        <w:t>, connected roads and railways) where their entry, establishment and early stage of spread</w:t>
      </w:r>
      <w:r w:rsidR="00375096" w:rsidRPr="00584A8D">
        <w:rPr>
          <w:rFonts w:eastAsia="MS Mincho"/>
          <w:snapToGrid w:val="0"/>
          <w:kern w:val="22"/>
          <w:szCs w:val="22"/>
          <w:lang w:eastAsia="ja-JP"/>
        </w:rPr>
        <w:t>ing</w:t>
      </w:r>
      <w:r w:rsidRPr="00584A8D">
        <w:rPr>
          <w:rFonts w:eastAsia="MS Mincho"/>
          <w:snapToGrid w:val="0"/>
          <w:kern w:val="22"/>
          <w:szCs w:val="22"/>
          <w:lang w:eastAsia="ja-JP"/>
        </w:rPr>
        <w:t xml:space="preserve"> may occur.</w:t>
      </w:r>
    </w:p>
    <w:p w14:paraId="38DF0E03" w14:textId="060CCA12"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When unintentional introduction in susceptible areas is observed, States should intensify the monitoring of invasive alien organisms in </w:t>
      </w:r>
      <w:r w:rsidR="00B85D25" w:rsidRPr="00584A8D">
        <w:rPr>
          <w:rFonts w:eastAsia="MS Mincho"/>
          <w:snapToGrid w:val="0"/>
          <w:kern w:val="22"/>
          <w:szCs w:val="22"/>
          <w:lang w:eastAsia="ja-JP"/>
        </w:rPr>
        <w:t xml:space="preserve">nearby </w:t>
      </w:r>
      <w:r w:rsidRPr="00584A8D">
        <w:rPr>
          <w:rFonts w:eastAsia="MS Mincho"/>
          <w:snapToGrid w:val="0"/>
          <w:kern w:val="22"/>
          <w:szCs w:val="22"/>
          <w:lang w:eastAsia="ja-JP"/>
        </w:rPr>
        <w:t>areas where there are concerns about protecting biodiversity</w:t>
      </w:r>
      <w:r w:rsidR="00375096" w:rsidRPr="00584A8D">
        <w:rPr>
          <w:rFonts w:eastAsia="MS Mincho"/>
          <w:snapToGrid w:val="0"/>
          <w:kern w:val="22"/>
          <w:szCs w:val="22"/>
          <w:lang w:eastAsia="ja-JP"/>
        </w:rPr>
        <w:t>,</w:t>
      </w:r>
      <w:r w:rsidRPr="00584A8D">
        <w:rPr>
          <w:rFonts w:eastAsia="MS Mincho"/>
          <w:snapToGrid w:val="0"/>
          <w:kern w:val="22"/>
          <w:szCs w:val="22"/>
          <w:lang w:eastAsia="ja-JP"/>
        </w:rPr>
        <w:t xml:space="preserve"> and rapid responses to contain, control and eradicate the invasive alien organisms should be taken. Where information </w:t>
      </w:r>
      <w:r w:rsidR="001E7938" w:rsidRPr="00584A8D">
        <w:rPr>
          <w:rFonts w:eastAsia="MS Mincho"/>
          <w:snapToGrid w:val="0"/>
          <w:kern w:val="22"/>
          <w:szCs w:val="22"/>
          <w:lang w:eastAsia="ja-JP"/>
        </w:rPr>
        <w:t xml:space="preserve">is </w:t>
      </w:r>
      <w:r w:rsidRPr="00584A8D">
        <w:rPr>
          <w:rFonts w:eastAsia="MS Mincho"/>
          <w:snapToGrid w:val="0"/>
          <w:kern w:val="22"/>
          <w:szCs w:val="22"/>
          <w:lang w:eastAsia="ja-JP"/>
        </w:rPr>
        <w:t>available, efforts should be made to communicate this to the public, including countries concerned about unintentional introduction.</w:t>
      </w:r>
    </w:p>
    <w:p w14:paraId="60294C99" w14:textId="33B0C82A"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States should monitor in-country movement and spread of invasive alien organisms introduced unintentionally with </w:t>
      </w:r>
      <w:r w:rsidR="00AB2BE7" w:rsidRPr="00584A8D">
        <w:rPr>
          <w:rFonts w:eastAsia="MS Mincho"/>
          <w:snapToGrid w:val="0"/>
          <w:kern w:val="22"/>
          <w:szCs w:val="22"/>
          <w:lang w:eastAsia="ja-JP"/>
        </w:rPr>
        <w:t xml:space="preserve">the </w:t>
      </w:r>
      <w:r w:rsidRPr="00584A8D">
        <w:rPr>
          <w:rFonts w:eastAsia="MS Mincho"/>
          <w:snapToGrid w:val="0"/>
          <w:kern w:val="22"/>
          <w:szCs w:val="22"/>
          <w:lang w:eastAsia="ja-JP"/>
        </w:rPr>
        <w:t>import of live species in collaboration with subnational or local authorities in order to minimize the impact of invasive alien species and their spread.</w:t>
      </w:r>
    </w:p>
    <w:p w14:paraId="2B6C7CAC" w14:textId="1AD55FCC" w:rsidR="00D220E9" w:rsidRPr="00584A8D" w:rsidRDefault="00D220E9" w:rsidP="00584A8D">
      <w:pPr>
        <w:pStyle w:val="Heading2"/>
        <w:numPr>
          <w:ilvl w:val="0"/>
          <w:numId w:val="53"/>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eastAsia="ja-JP"/>
        </w:rPr>
      </w:pPr>
      <w:r w:rsidRPr="00584A8D">
        <w:rPr>
          <w:rFonts w:eastAsia="MS Mincho"/>
          <w:snapToGrid w:val="0"/>
          <w:kern w:val="22"/>
          <w:szCs w:val="22"/>
          <w:lang w:eastAsia="ja-JP"/>
        </w:rPr>
        <w:t>Other measures</w:t>
      </w:r>
    </w:p>
    <w:p w14:paraId="7BF7AC52" w14:textId="63E2E4B3" w:rsidR="00D220E9" w:rsidRPr="00584A8D" w:rsidRDefault="00D220E9" w:rsidP="00584A8D">
      <w:pPr>
        <w:numPr>
          <w:ilvl w:val="0"/>
          <w:numId w:val="19"/>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eastAsia="ja-JP"/>
        </w:rPr>
      </w:pPr>
      <w:r w:rsidRPr="00584A8D">
        <w:rPr>
          <w:rFonts w:eastAsia="MS Mincho"/>
          <w:snapToGrid w:val="0"/>
          <w:kern w:val="22"/>
          <w:szCs w:val="22"/>
          <w:lang w:eastAsia="ja-JP"/>
        </w:rPr>
        <w:t xml:space="preserve">Any national risk management measures </w:t>
      </w:r>
      <w:r w:rsidR="003069F7" w:rsidRPr="00584A8D">
        <w:rPr>
          <w:rFonts w:eastAsia="MS Mincho"/>
          <w:snapToGrid w:val="0"/>
          <w:kern w:val="22"/>
          <w:szCs w:val="22"/>
          <w:lang w:eastAsia="ja-JP"/>
        </w:rPr>
        <w:t>regarding</w:t>
      </w:r>
      <w:r w:rsidRPr="00584A8D">
        <w:rPr>
          <w:rFonts w:eastAsia="MS Mincho"/>
          <w:snapToGrid w:val="0"/>
          <w:kern w:val="22"/>
          <w:szCs w:val="22"/>
          <w:lang w:eastAsia="ja-JP"/>
        </w:rPr>
        <w:t xml:space="preserve"> unintentional introduction pathways in exporting and importing countries, and codes of conduct set by international bodies </w:t>
      </w:r>
      <w:r w:rsidR="003069F7" w:rsidRPr="00584A8D">
        <w:rPr>
          <w:rFonts w:eastAsia="MS Mincho"/>
          <w:snapToGrid w:val="0"/>
          <w:kern w:val="22"/>
          <w:szCs w:val="22"/>
          <w:lang w:eastAsia="ja-JP"/>
        </w:rPr>
        <w:t xml:space="preserve">related to </w:t>
      </w:r>
      <w:r w:rsidRPr="00584A8D">
        <w:rPr>
          <w:rFonts w:eastAsia="MS Mincho"/>
          <w:snapToGrid w:val="0"/>
          <w:kern w:val="22"/>
          <w:szCs w:val="22"/>
          <w:lang w:eastAsia="ja-JP"/>
        </w:rPr>
        <w:t>shipping and delivery services</w:t>
      </w:r>
      <w:r w:rsidR="003069F7" w:rsidRPr="00584A8D">
        <w:rPr>
          <w:rFonts w:eastAsia="MS Mincho"/>
          <w:snapToGrid w:val="0"/>
          <w:kern w:val="22"/>
          <w:szCs w:val="22"/>
          <w:lang w:eastAsia="ja-JP"/>
        </w:rPr>
        <w:t>,</w:t>
      </w:r>
      <w:r w:rsidRPr="00584A8D">
        <w:rPr>
          <w:rFonts w:eastAsia="MS Mincho"/>
          <w:snapToGrid w:val="0"/>
          <w:kern w:val="22"/>
          <w:szCs w:val="22"/>
          <w:lang w:eastAsia="ja-JP"/>
        </w:rPr>
        <w:t xml:space="preserve"> may apply within the scope of this supplemental guidance.</w:t>
      </w:r>
    </w:p>
    <w:p w14:paraId="735BB9C1" w14:textId="77777777" w:rsidR="00A4054F" w:rsidRPr="00584A8D" w:rsidRDefault="00A4054F" w:rsidP="00A4054F">
      <w:pPr>
        <w:pStyle w:val="ListParagraph"/>
        <w:suppressLineNumbers/>
        <w:suppressAutoHyphens/>
        <w:kinsoku w:val="0"/>
        <w:overflowPunct w:val="0"/>
        <w:autoSpaceDE w:val="0"/>
        <w:autoSpaceDN w:val="0"/>
        <w:adjustRightInd w:val="0"/>
        <w:snapToGrid w:val="0"/>
        <w:ind w:left="0"/>
        <w:contextualSpacing w:val="0"/>
        <w:jc w:val="center"/>
        <w:rPr>
          <w:rFonts w:eastAsia="Yu Mincho"/>
          <w:i/>
          <w:snapToGrid w:val="0"/>
          <w:kern w:val="22"/>
          <w:szCs w:val="22"/>
          <w:lang w:eastAsia="ja-JP"/>
        </w:rPr>
      </w:pPr>
      <w:r w:rsidRPr="00584A8D">
        <w:rPr>
          <w:rFonts w:eastAsia="Yu Mincho"/>
          <w:i/>
          <w:snapToGrid w:val="0"/>
          <w:kern w:val="22"/>
          <w:szCs w:val="22"/>
          <w:lang w:eastAsia="ja-JP"/>
        </w:rPr>
        <w:t>Annex II</w:t>
      </w:r>
    </w:p>
    <w:p w14:paraId="20F21794" w14:textId="77777777" w:rsidR="00A4054F" w:rsidRPr="00584A8D" w:rsidRDefault="00A4054F" w:rsidP="00A4054F">
      <w:pPr>
        <w:pStyle w:val="HEADING"/>
        <w:suppressLineNumbers/>
        <w:suppressAutoHyphens/>
        <w:kinsoku w:val="0"/>
        <w:overflowPunct w:val="0"/>
        <w:autoSpaceDE w:val="0"/>
        <w:autoSpaceDN w:val="0"/>
        <w:adjustRightInd w:val="0"/>
        <w:snapToGrid w:val="0"/>
        <w:spacing w:before="120"/>
        <w:rPr>
          <w:rFonts w:eastAsia="Yu Mincho"/>
          <w:snapToGrid w:val="0"/>
          <w:kern w:val="22"/>
          <w:szCs w:val="22"/>
          <w:lang w:eastAsia="ja-JP"/>
        </w:rPr>
      </w:pPr>
      <w:r w:rsidRPr="00584A8D">
        <w:rPr>
          <w:rFonts w:eastAsia="Yu Mincho"/>
          <w:snapToGrid w:val="0"/>
          <w:kern w:val="22"/>
          <w:szCs w:val="22"/>
          <w:lang w:eastAsia="ja-JP"/>
        </w:rPr>
        <w:t>Terms of reference for the Ad Hoc Technical Expert Group on Invasive Alien Species</w:t>
      </w:r>
    </w:p>
    <w:p w14:paraId="027F42FD" w14:textId="77777777" w:rsidR="00A4054F" w:rsidRPr="00584A8D" w:rsidRDefault="00A4054F" w:rsidP="00A4054F">
      <w:pPr>
        <w:pStyle w:val="BodyText"/>
        <w:suppressLineNumbers/>
        <w:suppressAutoHyphens/>
        <w:kinsoku w:val="0"/>
        <w:overflowPunct w:val="0"/>
        <w:autoSpaceDE w:val="0"/>
        <w:autoSpaceDN w:val="0"/>
        <w:adjustRightInd w:val="0"/>
        <w:snapToGrid w:val="0"/>
        <w:ind w:firstLine="0"/>
        <w:rPr>
          <w:rFonts w:eastAsia="Yu Mincho"/>
          <w:snapToGrid w:val="0"/>
          <w:kern w:val="22"/>
          <w:szCs w:val="22"/>
          <w:lang w:eastAsia="ja-JP"/>
        </w:rPr>
      </w:pPr>
      <w:r w:rsidRPr="00584A8D">
        <w:rPr>
          <w:rFonts w:eastAsia="Yu Mincho"/>
          <w:snapToGrid w:val="0"/>
          <w:kern w:val="22"/>
          <w:szCs w:val="22"/>
          <w:lang w:eastAsia="ja-JP"/>
        </w:rPr>
        <w:t>1.</w:t>
      </w:r>
      <w:r w:rsidRPr="00584A8D">
        <w:rPr>
          <w:rFonts w:eastAsia="Yu Mincho"/>
          <w:snapToGrid w:val="0"/>
          <w:kern w:val="22"/>
          <w:szCs w:val="22"/>
          <w:lang w:eastAsia="ja-JP"/>
        </w:rPr>
        <w:tab/>
        <w:t>The Ad Hoc Technical Expert Group shall undertake assessments on:</w:t>
      </w:r>
    </w:p>
    <w:p w14:paraId="67399C8E" w14:textId="77777777" w:rsidR="00A4054F" w:rsidRPr="00584A8D" w:rsidRDefault="00A4054F" w:rsidP="00A4054F">
      <w:pPr>
        <w:pStyle w:val="ListParagraph"/>
        <w:numPr>
          <w:ilvl w:val="0"/>
          <w:numId w:val="41"/>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Methods for cost-benefit and cost-effectiveness analysis which best apply to the management of invasive alien species;</w:t>
      </w:r>
    </w:p>
    <w:p w14:paraId="2837D9B8" w14:textId="77777777" w:rsidR="00A4054F" w:rsidRPr="00584A8D" w:rsidRDefault="00A4054F" w:rsidP="00A4054F">
      <w:pPr>
        <w:pStyle w:val="ListParagraph"/>
        <w:numPr>
          <w:ilvl w:val="0"/>
          <w:numId w:val="41"/>
        </w:numPr>
        <w:suppressLineNumbers/>
        <w:suppressAutoHyphens/>
        <w:kinsoku w:val="0"/>
        <w:overflowPunct w:val="0"/>
        <w:autoSpaceDE w:val="0"/>
        <w:autoSpaceDN w:val="0"/>
        <w:adjustRightInd w:val="0"/>
        <w:snapToGrid w:val="0"/>
        <w:spacing w:before="120" w:after="120"/>
        <w:ind w:left="0" w:firstLine="720"/>
        <w:contextualSpacing w:val="0"/>
        <w:rPr>
          <w:rFonts w:eastAsia="Yu Mincho"/>
          <w:i/>
          <w:snapToGrid w:val="0"/>
          <w:kern w:val="22"/>
          <w:szCs w:val="22"/>
          <w:lang w:eastAsia="ja-JP"/>
        </w:rPr>
      </w:pPr>
      <w:r w:rsidRPr="00584A8D">
        <w:rPr>
          <w:rFonts w:eastAsia="Yu Mincho"/>
          <w:snapToGrid w:val="0"/>
          <w:kern w:val="22"/>
          <w:szCs w:val="22"/>
          <w:lang w:eastAsia="ja-JP"/>
        </w:rPr>
        <w:t>Risks of biological invasions posed by alien species sold via e-commerce and the impacts thereof;</w:t>
      </w:r>
    </w:p>
    <w:p w14:paraId="01A82211" w14:textId="77777777" w:rsidR="00A4054F" w:rsidRPr="00584A8D" w:rsidRDefault="00A4054F" w:rsidP="00A4054F">
      <w:pPr>
        <w:suppressLineNumbers/>
        <w:suppressAutoHyphens/>
        <w:kinsoku w:val="0"/>
        <w:overflowPunct w:val="0"/>
        <w:autoSpaceDE w:val="0"/>
        <w:autoSpaceDN w:val="0"/>
        <w:adjustRightInd w:val="0"/>
        <w:snapToGrid w:val="0"/>
        <w:spacing w:before="120" w:after="120"/>
        <w:rPr>
          <w:rFonts w:eastAsia="Yu Mincho"/>
          <w:snapToGrid w:val="0"/>
          <w:kern w:val="22"/>
          <w:szCs w:val="22"/>
          <w:lang w:eastAsia="ja-JP"/>
        </w:rPr>
      </w:pPr>
      <w:r w:rsidRPr="00584A8D">
        <w:rPr>
          <w:rFonts w:eastAsia="Yu Mincho"/>
          <w:snapToGrid w:val="0"/>
          <w:kern w:val="22"/>
          <w:szCs w:val="22"/>
          <w:lang w:eastAsia="ja-JP"/>
        </w:rPr>
        <w:t>2.</w:t>
      </w:r>
      <w:r w:rsidRPr="00584A8D">
        <w:rPr>
          <w:rFonts w:eastAsia="Yu Mincho"/>
          <w:snapToGrid w:val="0"/>
          <w:kern w:val="22"/>
          <w:szCs w:val="22"/>
          <w:lang w:eastAsia="ja-JP"/>
        </w:rPr>
        <w:tab/>
        <w:t>The Ad Hoc Technical Expert Group shall develop elements of technical guidance on:</w:t>
      </w:r>
    </w:p>
    <w:p w14:paraId="2A2F9ED3" w14:textId="77777777" w:rsidR="00A4054F" w:rsidRPr="00584A8D" w:rsidRDefault="00A4054F" w:rsidP="00A4054F">
      <w:pPr>
        <w:pStyle w:val="ListParagraph"/>
        <w:numPr>
          <w:ilvl w:val="0"/>
          <w:numId w:val="49"/>
        </w:numPr>
        <w:suppressLineNumbers/>
        <w:suppressAutoHyphens/>
        <w:kinsoku w:val="0"/>
        <w:overflowPunct w:val="0"/>
        <w:autoSpaceDE w:val="0"/>
        <w:autoSpaceDN w:val="0"/>
        <w:adjustRightInd w:val="0"/>
        <w:snapToGrid w:val="0"/>
        <w:spacing w:before="120" w:after="120"/>
        <w:ind w:left="0" w:firstLine="720"/>
        <w:contextualSpacing w:val="0"/>
        <w:rPr>
          <w:rFonts w:eastAsia="Yu Mincho"/>
          <w:i/>
          <w:snapToGrid w:val="0"/>
          <w:kern w:val="22"/>
          <w:szCs w:val="22"/>
          <w:lang w:eastAsia="ja-JP"/>
        </w:rPr>
      </w:pPr>
      <w:r w:rsidRPr="00584A8D">
        <w:rPr>
          <w:rFonts w:eastAsia="Yu Mincho"/>
          <w:snapToGrid w:val="0"/>
          <w:kern w:val="22"/>
          <w:szCs w:val="22"/>
          <w:lang w:eastAsia="ja-JP"/>
        </w:rPr>
        <w:t>Management of invasive alien species, taking into account new potential risks arising from climate change and associated natural disasters and land use changes;</w:t>
      </w:r>
    </w:p>
    <w:p w14:paraId="7FECC46A" w14:textId="77777777" w:rsidR="00A4054F" w:rsidRPr="00584A8D" w:rsidRDefault="00A4054F" w:rsidP="00A4054F">
      <w:pPr>
        <w:pStyle w:val="ListParagraph"/>
        <w:numPr>
          <w:ilvl w:val="0"/>
          <w:numId w:val="49"/>
        </w:numPr>
        <w:suppressLineNumbers/>
        <w:suppressAutoHyphens/>
        <w:kinsoku w:val="0"/>
        <w:overflowPunct w:val="0"/>
        <w:autoSpaceDE w:val="0"/>
        <w:autoSpaceDN w:val="0"/>
        <w:adjustRightInd w:val="0"/>
        <w:snapToGrid w:val="0"/>
        <w:spacing w:before="120" w:after="120"/>
        <w:ind w:left="0" w:firstLine="720"/>
        <w:contextualSpacing w:val="0"/>
        <w:rPr>
          <w:rFonts w:eastAsia="Yu Mincho"/>
          <w:i/>
          <w:snapToGrid w:val="0"/>
          <w:kern w:val="22"/>
          <w:szCs w:val="22"/>
          <w:lang w:eastAsia="ja-JP"/>
        </w:rPr>
      </w:pPr>
      <w:r w:rsidRPr="00584A8D">
        <w:rPr>
          <w:rFonts w:eastAsia="Yu Mincho"/>
          <w:snapToGrid w:val="0"/>
          <w:kern w:val="22"/>
          <w:szCs w:val="22"/>
          <w:lang w:eastAsia="ja-JP"/>
        </w:rPr>
        <w:t>Risk analysis, taking into account the potential consequences of the introduction of invasive alien species on social, economic and cultural values;</w:t>
      </w:r>
    </w:p>
    <w:p w14:paraId="393811F4" w14:textId="77777777" w:rsidR="00A4054F" w:rsidRPr="00584A8D" w:rsidRDefault="00A4054F" w:rsidP="00A4054F">
      <w:pPr>
        <w:pStyle w:val="ListParagraph"/>
        <w:numPr>
          <w:ilvl w:val="0"/>
          <w:numId w:val="49"/>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eastAsia="ja-JP"/>
        </w:rPr>
      </w:pPr>
      <w:r w:rsidRPr="00584A8D">
        <w:rPr>
          <w:rFonts w:eastAsia="Yu Mincho"/>
          <w:snapToGrid w:val="0"/>
          <w:kern w:val="22"/>
          <w:szCs w:val="22"/>
          <w:lang w:eastAsia="ja-JP"/>
        </w:rPr>
        <w:t>Classification of hazardous alien species and its relevant risk communication elements.</w:t>
      </w:r>
    </w:p>
    <w:p w14:paraId="52EEEA40" w14:textId="77777777" w:rsidR="00A4054F" w:rsidRPr="00584A8D" w:rsidRDefault="00A4054F" w:rsidP="00584A8D">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p>
    <w:p w14:paraId="679ABDD2" w14:textId="77777777" w:rsidR="00736BC2" w:rsidRPr="00584A8D" w:rsidRDefault="00CA6B87" w:rsidP="00584A8D">
      <w:pPr>
        <w:suppressLineNumbers/>
        <w:suppressAutoHyphens/>
        <w:kinsoku w:val="0"/>
        <w:overflowPunct w:val="0"/>
        <w:autoSpaceDE w:val="0"/>
        <w:autoSpaceDN w:val="0"/>
        <w:adjustRightInd w:val="0"/>
        <w:snapToGrid w:val="0"/>
        <w:spacing w:before="120" w:after="120"/>
        <w:jc w:val="center"/>
        <w:rPr>
          <w:snapToGrid w:val="0"/>
          <w:kern w:val="22"/>
          <w:szCs w:val="22"/>
        </w:rPr>
      </w:pPr>
      <w:r w:rsidRPr="00584A8D">
        <w:rPr>
          <w:snapToGrid w:val="0"/>
          <w:kern w:val="22"/>
          <w:szCs w:val="22"/>
        </w:rPr>
        <w:t>__________</w:t>
      </w:r>
    </w:p>
    <w:sectPr w:rsidR="00736BC2" w:rsidRPr="00584A8D" w:rsidSect="00CA1572">
      <w:headerReference w:type="even" r:id="rId26"/>
      <w:headerReference w:type="default" r:id="rId27"/>
      <w:footerReference w:type="even" r:id="rId28"/>
      <w:footerReference w:type="default" r:id="rId2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A7112" w14:textId="77777777" w:rsidR="00480F86" w:rsidRDefault="00480F86">
      <w:r>
        <w:separator/>
      </w:r>
    </w:p>
  </w:endnote>
  <w:endnote w:type="continuationSeparator" w:id="0">
    <w:p w14:paraId="0797D00C" w14:textId="77777777" w:rsidR="00480F86" w:rsidRDefault="0048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7FC2" w14:textId="77777777" w:rsidR="00533D0D" w:rsidRDefault="00533D0D" w:rsidP="00584A8D">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B4C5" w14:textId="77777777" w:rsidR="00533D0D" w:rsidRDefault="00533D0D" w:rsidP="00584A8D">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0B04" w14:textId="77777777" w:rsidR="00480F86" w:rsidRDefault="00480F86">
      <w:r>
        <w:separator/>
      </w:r>
    </w:p>
  </w:footnote>
  <w:footnote w:type="continuationSeparator" w:id="0">
    <w:p w14:paraId="7A9021D7" w14:textId="77777777" w:rsidR="00480F86" w:rsidRDefault="00480F86">
      <w:r>
        <w:continuationSeparator/>
      </w:r>
    </w:p>
  </w:footnote>
  <w:footnote w:id="1">
    <w:p w14:paraId="6FD8D330" w14:textId="7235EFD0"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snapToGrid w:val="0"/>
          <w:kern w:val="18"/>
          <w:szCs w:val="18"/>
        </w:rPr>
        <w:t xml:space="preserve">* </w:t>
      </w:r>
      <w:hyperlink r:id="rId1" w:history="1">
        <w:r w:rsidRPr="00584A8D">
          <w:rPr>
            <w:rStyle w:val="Hyperlink"/>
            <w:snapToGrid w:val="0"/>
            <w:kern w:val="18"/>
            <w:szCs w:val="18"/>
          </w:rPr>
          <w:t>CBD/SBSTTA/22/1</w:t>
        </w:r>
      </w:hyperlink>
      <w:r w:rsidRPr="00584A8D">
        <w:rPr>
          <w:snapToGrid w:val="0"/>
          <w:kern w:val="18"/>
          <w:szCs w:val="18"/>
        </w:rPr>
        <w:t>.</w:t>
      </w:r>
    </w:p>
  </w:footnote>
  <w:footnote w:id="2">
    <w:p w14:paraId="6C2AC275" w14:textId="61492B94"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Decision </w:t>
      </w:r>
      <w:hyperlink r:id="rId2" w:history="1">
        <w:r w:rsidRPr="00584A8D">
          <w:rPr>
            <w:rStyle w:val="Hyperlink"/>
            <w:snapToGrid w:val="0"/>
            <w:kern w:val="18"/>
            <w:szCs w:val="18"/>
          </w:rPr>
          <w:t>XII/16</w:t>
        </w:r>
      </w:hyperlink>
      <w:r w:rsidRPr="00584A8D">
        <w:rPr>
          <w:snapToGrid w:val="0"/>
          <w:kern w:val="18"/>
          <w:szCs w:val="18"/>
        </w:rPr>
        <w:t>, annex.</w:t>
      </w:r>
    </w:p>
  </w:footnote>
  <w:footnote w:id="3">
    <w:p w14:paraId="421DFB38" w14:textId="4EDE83B3"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w:t>
      </w:r>
      <w:r w:rsidRPr="00584A8D">
        <w:rPr>
          <w:rFonts w:eastAsia="Yu Mincho"/>
          <w:snapToGrid w:val="0"/>
          <w:kern w:val="18"/>
          <w:szCs w:val="18"/>
          <w:lang w:eastAsia="ja-JP"/>
        </w:rPr>
        <w:t xml:space="preserve">Decision </w:t>
      </w:r>
      <w:hyperlink r:id="rId3" w:history="1">
        <w:r w:rsidRPr="00584A8D">
          <w:rPr>
            <w:rStyle w:val="Hyperlink"/>
            <w:rFonts w:eastAsia="Yu Mincho"/>
            <w:snapToGrid w:val="0"/>
            <w:kern w:val="18"/>
            <w:szCs w:val="18"/>
            <w:lang w:eastAsia="ja-JP"/>
          </w:rPr>
          <w:t>XIII/13</w:t>
        </w:r>
      </w:hyperlink>
      <w:r w:rsidRPr="00584A8D">
        <w:rPr>
          <w:rFonts w:eastAsia="Yu Mincho"/>
          <w:snapToGrid w:val="0"/>
          <w:kern w:val="18"/>
          <w:szCs w:val="18"/>
          <w:lang w:eastAsia="ja-JP"/>
        </w:rPr>
        <w:t>, para. 5.</w:t>
      </w:r>
    </w:p>
  </w:footnote>
  <w:footnote w:id="4">
    <w:p w14:paraId="3F73039B" w14:textId="4F19BA89"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w:t>
      </w:r>
      <w:r w:rsidRPr="00584A8D">
        <w:rPr>
          <w:rFonts w:eastAsia="Yu Mincho"/>
          <w:snapToGrid w:val="0"/>
          <w:kern w:val="18"/>
          <w:szCs w:val="18"/>
          <w:lang w:eastAsia="ja-JP"/>
        </w:rPr>
        <w:t>Notifications 2017-056 and 2017-074.</w:t>
      </w:r>
    </w:p>
  </w:footnote>
  <w:footnote w:id="5">
    <w:p w14:paraId="3A5E29F3" w14:textId="208247E5" w:rsidR="00533D0D" w:rsidRPr="00584A8D" w:rsidRDefault="00533D0D" w:rsidP="00584A8D">
      <w:pPr>
        <w:keepLines/>
        <w:kinsoku w:val="0"/>
        <w:overflowPunct w:val="0"/>
        <w:autoSpaceDE w:val="0"/>
        <w:autoSpaceDN w:val="0"/>
        <w:spacing w:after="60"/>
        <w:jc w:val="left"/>
        <w:rPr>
          <w:snapToGrid w:val="0"/>
          <w:kern w:val="18"/>
          <w:sz w:val="18"/>
          <w:szCs w:val="18"/>
        </w:rPr>
      </w:pPr>
      <w:r w:rsidRPr="00584A8D">
        <w:rPr>
          <w:rStyle w:val="FootnoteReference"/>
          <w:snapToGrid w:val="0"/>
          <w:kern w:val="18"/>
          <w:szCs w:val="18"/>
          <w:u w:val="none"/>
          <w:vertAlign w:val="superscript"/>
        </w:rPr>
        <w:footnoteRef/>
      </w:r>
      <w:r w:rsidRPr="00584A8D">
        <w:rPr>
          <w:snapToGrid w:val="0"/>
          <w:kern w:val="18"/>
          <w:sz w:val="18"/>
          <w:szCs w:val="18"/>
        </w:rPr>
        <w:t xml:space="preserve"> Algeria, Andorra, Argentina, Australia, Belgium, Bosnia and Herzegovina, Brazil, Cambodia, Canada, China, Colombia, Czech</w:t>
      </w:r>
      <w:r w:rsidRPr="00EC24F7">
        <w:rPr>
          <w:snapToGrid w:val="0"/>
          <w:kern w:val="18"/>
          <w:sz w:val="18"/>
          <w:szCs w:val="18"/>
        </w:rPr>
        <w:t>ia</w:t>
      </w:r>
      <w:r w:rsidRPr="00584A8D">
        <w:rPr>
          <w:snapToGrid w:val="0"/>
          <w:kern w:val="18"/>
          <w:sz w:val="18"/>
          <w:szCs w:val="18"/>
        </w:rPr>
        <w:t>, Eritrea, Ethiopia, European Union, Finland, France, Gabon, Iceland, India, Iraq, Iran</w:t>
      </w:r>
      <w:r w:rsidRPr="00EC24F7">
        <w:rPr>
          <w:snapToGrid w:val="0"/>
          <w:kern w:val="18"/>
          <w:sz w:val="18"/>
          <w:szCs w:val="18"/>
        </w:rPr>
        <w:t xml:space="preserve"> (Islamic Republic of)</w:t>
      </w:r>
      <w:r w:rsidRPr="00584A8D">
        <w:rPr>
          <w:snapToGrid w:val="0"/>
          <w:kern w:val="18"/>
          <w:sz w:val="18"/>
          <w:szCs w:val="18"/>
        </w:rPr>
        <w:t>, Italy, Japan, Kenya, Kiribati, Madagascar, Mauritius, Mexico, Nepal, Netherland</w:t>
      </w:r>
      <w:r w:rsidRPr="00EC24F7">
        <w:rPr>
          <w:snapToGrid w:val="0"/>
          <w:kern w:val="18"/>
          <w:sz w:val="18"/>
          <w:szCs w:val="18"/>
        </w:rPr>
        <w:t>s</w:t>
      </w:r>
      <w:r w:rsidRPr="00584A8D">
        <w:rPr>
          <w:snapToGrid w:val="0"/>
          <w:kern w:val="18"/>
          <w:sz w:val="18"/>
          <w:szCs w:val="18"/>
        </w:rPr>
        <w:t>, New Zealand, Nigeria, Norway, Peru, Poland, Portugal, Seychelles, Slovak</w:t>
      </w:r>
      <w:r w:rsidRPr="00EC24F7">
        <w:rPr>
          <w:snapToGrid w:val="0"/>
          <w:kern w:val="18"/>
          <w:sz w:val="18"/>
          <w:szCs w:val="18"/>
        </w:rPr>
        <w:t>ia</w:t>
      </w:r>
      <w:r w:rsidRPr="00584A8D">
        <w:rPr>
          <w:snapToGrid w:val="0"/>
          <w:kern w:val="18"/>
          <w:sz w:val="18"/>
          <w:szCs w:val="18"/>
        </w:rPr>
        <w:t xml:space="preserve">, South Africa, Spain, Sri Lanka, </w:t>
      </w:r>
      <w:r w:rsidRPr="00EC24F7">
        <w:rPr>
          <w:snapToGrid w:val="0"/>
          <w:kern w:val="18"/>
          <w:sz w:val="18"/>
          <w:szCs w:val="18"/>
        </w:rPr>
        <w:t>Saint</w:t>
      </w:r>
      <w:r w:rsidRPr="00584A8D">
        <w:rPr>
          <w:snapToGrid w:val="0"/>
          <w:kern w:val="18"/>
          <w:sz w:val="18"/>
          <w:szCs w:val="18"/>
        </w:rPr>
        <w:t xml:space="preserve"> Kitts and Nevis, </w:t>
      </w:r>
      <w:r w:rsidRPr="00EC24F7">
        <w:rPr>
          <w:snapToGrid w:val="0"/>
          <w:kern w:val="18"/>
          <w:sz w:val="18"/>
          <w:szCs w:val="18"/>
        </w:rPr>
        <w:t>Saint</w:t>
      </w:r>
      <w:r w:rsidRPr="00584A8D">
        <w:rPr>
          <w:snapToGrid w:val="0"/>
          <w:kern w:val="18"/>
          <w:sz w:val="18"/>
          <w:szCs w:val="18"/>
        </w:rPr>
        <w:t xml:space="preserve"> Vincent and the Grenadines, Suriname, Sweden, Switzerland, Tunisia, Turkey, United Kingdom (</w:t>
      </w:r>
      <w:r w:rsidR="004D5233">
        <w:rPr>
          <w:snapToGrid w:val="0"/>
          <w:kern w:val="18"/>
          <w:sz w:val="18"/>
          <w:szCs w:val="18"/>
        </w:rPr>
        <w:t xml:space="preserve">as well as </w:t>
      </w:r>
      <w:r w:rsidRPr="00584A8D">
        <w:rPr>
          <w:snapToGrid w:val="0"/>
          <w:kern w:val="18"/>
          <w:sz w:val="18"/>
          <w:szCs w:val="18"/>
        </w:rPr>
        <w:t xml:space="preserve">England and Wales), </w:t>
      </w:r>
      <w:r w:rsidRPr="00EC24F7">
        <w:rPr>
          <w:snapToGrid w:val="0"/>
          <w:kern w:val="18"/>
          <w:sz w:val="18"/>
          <w:szCs w:val="18"/>
        </w:rPr>
        <w:t>United States of America</w:t>
      </w:r>
      <w:r w:rsidRPr="00584A8D">
        <w:rPr>
          <w:snapToGrid w:val="0"/>
          <w:kern w:val="18"/>
          <w:sz w:val="18"/>
          <w:szCs w:val="18"/>
        </w:rPr>
        <w:t>, Venezuela, Zambia.</w:t>
      </w:r>
    </w:p>
  </w:footnote>
  <w:footnote w:id="6">
    <w:p w14:paraId="3A92DD76" w14:textId="78A40503"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Held in </w:t>
      </w:r>
      <w:r w:rsidRPr="00584A8D">
        <w:rPr>
          <w:rFonts w:eastAsia="Yu Mincho"/>
          <w:snapToGrid w:val="0"/>
          <w:kern w:val="18"/>
          <w:szCs w:val="18"/>
          <w:lang w:eastAsia="ja-JP"/>
        </w:rPr>
        <w:t>Brussel</w:t>
      </w:r>
      <w:r w:rsidRPr="00EC24F7">
        <w:rPr>
          <w:rFonts w:eastAsia="Yu Mincho"/>
          <w:snapToGrid w:val="0"/>
          <w:kern w:val="18"/>
          <w:szCs w:val="18"/>
          <w:lang w:eastAsia="ja-JP"/>
        </w:rPr>
        <w:t>s</w:t>
      </w:r>
      <w:r w:rsidRPr="00584A8D">
        <w:rPr>
          <w:rFonts w:eastAsia="Yu Mincho"/>
          <w:snapToGrid w:val="0"/>
          <w:kern w:val="18"/>
          <w:szCs w:val="18"/>
          <w:lang w:eastAsia="ja-JP"/>
        </w:rPr>
        <w:t xml:space="preserve"> on 22 and 23 November 2017. </w:t>
      </w:r>
      <w:r w:rsidRPr="00584A8D">
        <w:rPr>
          <w:snapToGrid w:val="0"/>
          <w:kern w:val="18"/>
          <w:szCs w:val="18"/>
        </w:rPr>
        <w:t xml:space="preserve">The following organizations participated in the eighth meeting of the Liaison </w:t>
      </w:r>
      <w:r w:rsidRPr="00EC24F7">
        <w:rPr>
          <w:snapToGrid w:val="0"/>
          <w:kern w:val="18"/>
          <w:szCs w:val="18"/>
        </w:rPr>
        <w:t>G</w:t>
      </w:r>
      <w:r w:rsidRPr="00584A8D">
        <w:rPr>
          <w:snapToGrid w:val="0"/>
          <w:kern w:val="18"/>
          <w:szCs w:val="18"/>
        </w:rPr>
        <w:t xml:space="preserve">roup: CABI, CBD, CITES*, IMO, IPPC, IUCN, IUCN-ISSG, OIE, WCO and WTO*(*online remote participation). The report of the </w:t>
      </w:r>
      <w:r w:rsidRPr="00EC24F7">
        <w:rPr>
          <w:snapToGrid w:val="0"/>
          <w:kern w:val="18"/>
          <w:szCs w:val="18"/>
        </w:rPr>
        <w:t>Liaison Group</w:t>
      </w:r>
      <w:r w:rsidRPr="00EC24F7" w:rsidDel="00AA1214">
        <w:rPr>
          <w:snapToGrid w:val="0"/>
          <w:kern w:val="18"/>
          <w:szCs w:val="18"/>
        </w:rPr>
        <w:t xml:space="preserve"> </w:t>
      </w:r>
      <w:r w:rsidRPr="00584A8D">
        <w:rPr>
          <w:snapToGrid w:val="0"/>
          <w:kern w:val="18"/>
          <w:szCs w:val="18"/>
        </w:rPr>
        <w:t xml:space="preserve">is available at: </w:t>
      </w:r>
      <w:hyperlink r:id="rId4" w:history="1">
        <w:r w:rsidRPr="00584A8D">
          <w:rPr>
            <w:rStyle w:val="Hyperlink"/>
            <w:snapToGrid w:val="0"/>
            <w:kern w:val="18"/>
            <w:szCs w:val="18"/>
          </w:rPr>
          <w:t>http://www.cbd.int/invasive/lg/</w:t>
        </w:r>
      </w:hyperlink>
    </w:p>
  </w:footnote>
  <w:footnote w:id="7">
    <w:p w14:paraId="2F46C019" w14:textId="7F24AC9D"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Held in </w:t>
      </w:r>
      <w:r w:rsidRPr="00584A8D">
        <w:rPr>
          <w:rFonts w:eastAsia="Yu Mincho"/>
          <w:snapToGrid w:val="0"/>
          <w:kern w:val="18"/>
          <w:szCs w:val="18"/>
          <w:lang w:eastAsia="ja-JP"/>
        </w:rPr>
        <w:t xml:space="preserve">Montreal, Canada, from 6 to </w:t>
      </w:r>
      <w:r w:rsidRPr="00FB5397">
        <w:rPr>
          <w:rFonts w:eastAsia="Yu Mincho"/>
          <w:snapToGrid w:val="0"/>
          <w:kern w:val="18"/>
          <w:szCs w:val="18"/>
          <w:lang w:eastAsia="ja-JP"/>
        </w:rPr>
        <w:t>9</w:t>
      </w:r>
      <w:r w:rsidRPr="00584A8D">
        <w:rPr>
          <w:rFonts w:eastAsia="Yu Mincho"/>
          <w:snapToGrid w:val="0"/>
          <w:kern w:val="18"/>
          <w:szCs w:val="18"/>
          <w:lang w:eastAsia="ja-JP"/>
        </w:rPr>
        <w:t xml:space="preserve"> December 2017. </w:t>
      </w:r>
      <w:r w:rsidRPr="00584A8D">
        <w:rPr>
          <w:snapToGrid w:val="0"/>
          <w:kern w:val="18"/>
          <w:szCs w:val="18"/>
        </w:rPr>
        <w:t xml:space="preserve">The experts for this workshop were selected on </w:t>
      </w:r>
      <w:r w:rsidRPr="00FB5397">
        <w:rPr>
          <w:snapToGrid w:val="0"/>
          <w:kern w:val="18"/>
          <w:szCs w:val="18"/>
        </w:rPr>
        <w:t xml:space="preserve">the basis of </w:t>
      </w:r>
      <w:r w:rsidRPr="00584A8D">
        <w:rPr>
          <w:snapToGrid w:val="0"/>
          <w:kern w:val="18"/>
          <w:szCs w:val="18"/>
        </w:rPr>
        <w:t xml:space="preserve">the information submitted in response to the notifications, </w:t>
      </w:r>
      <w:r w:rsidRPr="00FB5397">
        <w:rPr>
          <w:snapToGrid w:val="0"/>
          <w:kern w:val="18"/>
          <w:szCs w:val="18"/>
        </w:rPr>
        <w:t>with due regard for</w:t>
      </w:r>
      <w:r w:rsidRPr="00584A8D">
        <w:rPr>
          <w:snapToGrid w:val="0"/>
          <w:kern w:val="18"/>
          <w:szCs w:val="18"/>
        </w:rPr>
        <w:t xml:space="preserve"> geographic and gender balance.  Experts from Barbados, Brazil, </w:t>
      </w:r>
      <w:r w:rsidRPr="00FB5397">
        <w:rPr>
          <w:snapToGrid w:val="0"/>
          <w:kern w:val="18"/>
          <w:szCs w:val="18"/>
        </w:rPr>
        <w:t xml:space="preserve">Cabo </w:t>
      </w:r>
      <w:r w:rsidRPr="00584A8D">
        <w:rPr>
          <w:snapToGrid w:val="0"/>
          <w:kern w:val="18"/>
          <w:szCs w:val="18"/>
        </w:rPr>
        <w:t xml:space="preserve">Verde, Canada, Mexico, New Zealand, Sri Lanka, Sweden, Indigenous Peoples and Local Communities, </w:t>
      </w:r>
      <w:r w:rsidR="00880448" w:rsidRPr="00FB5397">
        <w:rPr>
          <w:snapToGrid w:val="0"/>
          <w:kern w:val="18"/>
          <w:szCs w:val="18"/>
        </w:rPr>
        <w:t xml:space="preserve">the </w:t>
      </w:r>
      <w:r w:rsidRPr="00584A8D">
        <w:rPr>
          <w:snapToGrid w:val="0"/>
          <w:kern w:val="18"/>
          <w:szCs w:val="18"/>
        </w:rPr>
        <w:t xml:space="preserve">International Union for Conservation of Nature (IUCN), </w:t>
      </w:r>
      <w:r w:rsidR="00880448" w:rsidRPr="00FB5397">
        <w:rPr>
          <w:snapToGrid w:val="0"/>
          <w:kern w:val="18"/>
          <w:szCs w:val="18"/>
        </w:rPr>
        <w:t xml:space="preserve">the </w:t>
      </w:r>
      <w:r w:rsidRPr="00584A8D">
        <w:rPr>
          <w:snapToGrid w:val="0"/>
          <w:kern w:val="18"/>
          <w:szCs w:val="18"/>
        </w:rPr>
        <w:t xml:space="preserve">IUCN-Invasive Species Specialist Group, </w:t>
      </w:r>
      <w:r w:rsidR="00880448" w:rsidRPr="00FB5397">
        <w:rPr>
          <w:snapToGrid w:val="0"/>
          <w:kern w:val="18"/>
          <w:szCs w:val="18"/>
        </w:rPr>
        <w:t xml:space="preserve">the </w:t>
      </w:r>
      <w:r w:rsidRPr="00584A8D">
        <w:rPr>
          <w:snapToGrid w:val="0"/>
          <w:kern w:val="18"/>
          <w:szCs w:val="18"/>
        </w:rPr>
        <w:t xml:space="preserve">Global Biodiversity Information Facility (GBIF) Secretariat, </w:t>
      </w:r>
      <w:r w:rsidR="00880448" w:rsidRPr="00FB5397">
        <w:rPr>
          <w:snapToGrid w:val="0"/>
          <w:kern w:val="18"/>
          <w:szCs w:val="18"/>
        </w:rPr>
        <w:t xml:space="preserve">and the </w:t>
      </w:r>
      <w:r w:rsidRPr="00584A8D">
        <w:rPr>
          <w:snapToGrid w:val="0"/>
          <w:kern w:val="18"/>
          <w:szCs w:val="18"/>
        </w:rPr>
        <w:t xml:space="preserve">Network of Regional Governments for Sustainable Development (nrg4SD) attended. The Secretariat received further information and comments from Canada, </w:t>
      </w:r>
      <w:r w:rsidRPr="00FB5397">
        <w:rPr>
          <w:snapToGrid w:val="0"/>
          <w:kern w:val="18"/>
          <w:szCs w:val="18"/>
        </w:rPr>
        <w:t xml:space="preserve">the </w:t>
      </w:r>
      <w:r w:rsidRPr="00584A8D">
        <w:rPr>
          <w:snapToGrid w:val="0"/>
          <w:kern w:val="18"/>
          <w:szCs w:val="18"/>
        </w:rPr>
        <w:t xml:space="preserve">European Union, Sri Lanka, Sweden, the International Plant Protection Convention (IPPC) Secretariat, </w:t>
      </w:r>
      <w:r w:rsidR="00880448" w:rsidRPr="00FB5397">
        <w:rPr>
          <w:snapToGrid w:val="0"/>
          <w:kern w:val="18"/>
          <w:szCs w:val="18"/>
        </w:rPr>
        <w:t xml:space="preserve">the </w:t>
      </w:r>
      <w:r w:rsidRPr="00584A8D">
        <w:rPr>
          <w:snapToGrid w:val="0"/>
          <w:kern w:val="18"/>
          <w:szCs w:val="18"/>
        </w:rPr>
        <w:t xml:space="preserve">World Organisation for Animal Health (OIE), IUCN and </w:t>
      </w:r>
      <w:r w:rsidRPr="00FB5397">
        <w:rPr>
          <w:snapToGrid w:val="0"/>
          <w:kern w:val="18"/>
          <w:szCs w:val="18"/>
        </w:rPr>
        <w:t xml:space="preserve">the </w:t>
      </w:r>
      <w:r w:rsidRPr="00584A8D">
        <w:rPr>
          <w:snapToGrid w:val="0"/>
          <w:kern w:val="18"/>
          <w:szCs w:val="18"/>
        </w:rPr>
        <w:t xml:space="preserve">IUCN-Invasive Species Specialist Group during the commenting period </w:t>
      </w:r>
      <w:r w:rsidRPr="00FB5397">
        <w:rPr>
          <w:snapToGrid w:val="0"/>
          <w:kern w:val="18"/>
          <w:szCs w:val="18"/>
        </w:rPr>
        <w:t>—</w:t>
      </w:r>
      <w:r w:rsidRPr="00584A8D">
        <w:rPr>
          <w:snapToGrid w:val="0"/>
          <w:kern w:val="18"/>
          <w:szCs w:val="18"/>
        </w:rPr>
        <w:t xml:space="preserve"> 22 December 2017 to 28</w:t>
      </w:r>
      <w:r w:rsidRPr="00FB5397">
        <w:rPr>
          <w:snapToGrid w:val="0"/>
          <w:kern w:val="18"/>
          <w:szCs w:val="18"/>
        </w:rPr>
        <w:t> </w:t>
      </w:r>
      <w:r w:rsidRPr="00584A8D">
        <w:rPr>
          <w:snapToGrid w:val="0"/>
          <w:kern w:val="18"/>
          <w:szCs w:val="18"/>
        </w:rPr>
        <w:t>February 2018</w:t>
      </w:r>
      <w:r w:rsidRPr="00FB5397">
        <w:rPr>
          <w:snapToGrid w:val="0"/>
          <w:kern w:val="18"/>
          <w:szCs w:val="18"/>
        </w:rPr>
        <w:t xml:space="preserve"> —</w:t>
      </w:r>
      <w:r w:rsidRPr="00584A8D">
        <w:rPr>
          <w:snapToGrid w:val="0"/>
          <w:kern w:val="18"/>
          <w:szCs w:val="18"/>
        </w:rPr>
        <w:t xml:space="preserve"> as requested by the </w:t>
      </w:r>
      <w:r w:rsidRPr="00FB5397">
        <w:rPr>
          <w:snapToGrid w:val="0"/>
          <w:kern w:val="18"/>
          <w:szCs w:val="18"/>
        </w:rPr>
        <w:t>participants</w:t>
      </w:r>
      <w:r w:rsidRPr="00584A8D">
        <w:rPr>
          <w:snapToGrid w:val="0"/>
          <w:kern w:val="18"/>
          <w:szCs w:val="18"/>
        </w:rPr>
        <w:t xml:space="preserve">. </w:t>
      </w:r>
      <w:r w:rsidR="00FB5397" w:rsidRPr="00584A8D">
        <w:rPr>
          <w:snapToGrid w:val="0"/>
          <w:kern w:val="18"/>
          <w:szCs w:val="18"/>
        </w:rPr>
        <w:t>For the r</w:t>
      </w:r>
      <w:r w:rsidRPr="00584A8D">
        <w:rPr>
          <w:snapToGrid w:val="0"/>
          <w:kern w:val="18"/>
          <w:szCs w:val="18"/>
        </w:rPr>
        <w:t>eport of the Expert workshop</w:t>
      </w:r>
      <w:r w:rsidR="00FB5397" w:rsidRPr="00FB5397">
        <w:rPr>
          <w:snapToGrid w:val="0"/>
          <w:kern w:val="18"/>
          <w:szCs w:val="18"/>
        </w:rPr>
        <w:t>, see CBD/IAS/EM/2017/1/2.</w:t>
      </w:r>
    </w:p>
  </w:footnote>
  <w:footnote w:id="8">
    <w:p w14:paraId="48445CD1" w14:textId="3CFEF0F5" w:rsidR="00533D0D" w:rsidRPr="00584A8D" w:rsidRDefault="00533D0D" w:rsidP="00584A8D">
      <w:pPr>
        <w:pStyle w:val="FootnoteText"/>
        <w:kinsoku w:val="0"/>
        <w:overflowPunct w:val="0"/>
        <w:autoSpaceDE w:val="0"/>
        <w:autoSpaceDN w:val="0"/>
        <w:ind w:firstLine="0"/>
        <w:jc w:val="left"/>
        <w:rPr>
          <w:rStyle w:val="FootnoteReference"/>
          <w:rFonts w:eastAsia="Yu Mincho"/>
          <w:snapToGrid w:val="0"/>
          <w:kern w:val="18"/>
          <w:szCs w:val="18"/>
          <w:u w:val="none"/>
          <w:lang w:eastAsia="ja-JP"/>
        </w:rPr>
      </w:pPr>
      <w:r w:rsidRPr="00584A8D">
        <w:rPr>
          <w:rStyle w:val="FootnoteReference"/>
          <w:rFonts w:eastAsia="Yu Mincho"/>
          <w:snapToGrid w:val="0"/>
          <w:kern w:val="18"/>
          <w:szCs w:val="18"/>
          <w:u w:val="none"/>
          <w:vertAlign w:val="superscript"/>
          <w:lang w:eastAsia="ja-JP"/>
        </w:rPr>
        <w:footnoteRef/>
      </w:r>
      <w:r w:rsidRPr="00584A8D">
        <w:rPr>
          <w:rStyle w:val="FootnoteReference"/>
          <w:rFonts w:eastAsia="Yu Mincho"/>
          <w:snapToGrid w:val="0"/>
          <w:kern w:val="18"/>
          <w:szCs w:val="18"/>
          <w:u w:val="none"/>
          <w:lang w:eastAsia="ja-JP"/>
        </w:rPr>
        <w:t xml:space="preserve"> </w:t>
      </w:r>
      <w:hyperlink r:id="rId5" w:history="1">
        <w:r w:rsidRPr="00584A8D">
          <w:rPr>
            <w:rStyle w:val="Hyperlink"/>
            <w:rFonts w:eastAsia="Yu Mincho"/>
            <w:snapToGrid w:val="0"/>
            <w:kern w:val="18"/>
            <w:szCs w:val="18"/>
            <w:lang w:eastAsia="ja-JP"/>
          </w:rPr>
          <w:t>UNEP/CBD/SBSTTA/18/9/Add.1</w:t>
        </w:r>
      </w:hyperlink>
      <w:r w:rsidRPr="00EC24F7">
        <w:rPr>
          <w:rFonts w:eastAsia="Yu Mincho"/>
          <w:snapToGrid w:val="0"/>
          <w:kern w:val="18"/>
          <w:szCs w:val="18"/>
          <w:lang w:eastAsia="ja-JP"/>
        </w:rPr>
        <w:t>.</w:t>
      </w:r>
    </w:p>
  </w:footnote>
  <w:footnote w:id="9">
    <w:p w14:paraId="01A9A0AF" w14:textId="1B6EAC77" w:rsidR="00533D0D" w:rsidRPr="00584A8D" w:rsidRDefault="00533D0D" w:rsidP="00584A8D">
      <w:pPr>
        <w:pStyle w:val="FootnoteText"/>
        <w:kinsoku w:val="0"/>
        <w:overflowPunct w:val="0"/>
        <w:autoSpaceDE w:val="0"/>
        <w:autoSpaceDN w:val="0"/>
        <w:ind w:firstLine="0"/>
        <w:jc w:val="left"/>
        <w:rPr>
          <w:rStyle w:val="FootnoteReference"/>
          <w:rFonts w:eastAsia="Yu Mincho"/>
          <w:snapToGrid w:val="0"/>
          <w:kern w:val="18"/>
          <w:szCs w:val="18"/>
          <w:u w:val="none"/>
          <w:lang w:eastAsia="ja-JP"/>
        </w:rPr>
      </w:pPr>
      <w:r w:rsidRPr="00584A8D">
        <w:rPr>
          <w:rStyle w:val="FootnoteReference"/>
          <w:rFonts w:eastAsia="Yu Mincho"/>
          <w:snapToGrid w:val="0"/>
          <w:kern w:val="18"/>
          <w:szCs w:val="18"/>
          <w:u w:val="none"/>
          <w:vertAlign w:val="superscript"/>
          <w:lang w:eastAsia="ja-JP"/>
        </w:rPr>
        <w:footnoteRef/>
      </w:r>
      <w:r w:rsidRPr="00EC24F7">
        <w:rPr>
          <w:rStyle w:val="FootnoteReference"/>
          <w:rFonts w:eastAsia="Yu Mincho"/>
          <w:snapToGrid w:val="0"/>
          <w:kern w:val="18"/>
          <w:szCs w:val="18"/>
          <w:u w:val="none"/>
          <w:lang w:eastAsia="ja-JP"/>
        </w:rPr>
        <w:t xml:space="preserve"> </w:t>
      </w:r>
      <w:r w:rsidRPr="00584A8D">
        <w:rPr>
          <w:rStyle w:val="FootnoteReference"/>
          <w:rFonts w:eastAsia="Yu Mincho"/>
          <w:snapToGrid w:val="0"/>
          <w:kern w:val="18"/>
          <w:szCs w:val="18"/>
          <w:u w:val="none"/>
          <w:lang w:eastAsia="ja-JP"/>
        </w:rPr>
        <w:t>IUCN</w:t>
      </w:r>
      <w:r w:rsidR="00E66443" w:rsidRPr="00EC24F7">
        <w:rPr>
          <w:rFonts w:eastAsia="Yu Mincho"/>
          <w:snapToGrid w:val="0"/>
          <w:kern w:val="18"/>
          <w:szCs w:val="18"/>
          <w:lang w:eastAsia="ja-JP"/>
        </w:rPr>
        <w:t>,</w:t>
      </w:r>
      <w:r w:rsidRPr="00584A8D">
        <w:rPr>
          <w:rStyle w:val="FootnoteReference"/>
          <w:rFonts w:eastAsia="Yu Mincho"/>
          <w:snapToGrid w:val="0"/>
          <w:kern w:val="18"/>
          <w:szCs w:val="18"/>
          <w:u w:val="none"/>
          <w:lang w:eastAsia="ja-JP"/>
        </w:rPr>
        <w:t xml:space="preserve"> 2017. Guidance for interpretation of CBD categories on introduction pathways. Technical note prepared by IUCN for the European Commission</w:t>
      </w:r>
      <w:r w:rsidRPr="00EC24F7">
        <w:rPr>
          <w:rFonts w:eastAsia="Yu Mincho"/>
          <w:snapToGrid w:val="0"/>
          <w:kern w:val="18"/>
          <w:szCs w:val="18"/>
          <w:lang w:eastAsia="ja-JP"/>
        </w:rPr>
        <w:t>.</w:t>
      </w:r>
    </w:p>
  </w:footnote>
  <w:footnote w:id="10">
    <w:p w14:paraId="50236EB0" w14:textId="7D6A7EF0" w:rsidR="00533D0D" w:rsidRPr="00584A8D" w:rsidRDefault="00533D0D" w:rsidP="00584A8D">
      <w:pPr>
        <w:pStyle w:val="FootnoteText"/>
        <w:kinsoku w:val="0"/>
        <w:overflowPunct w:val="0"/>
        <w:autoSpaceDE w:val="0"/>
        <w:autoSpaceDN w:val="0"/>
        <w:ind w:firstLine="0"/>
        <w:jc w:val="left"/>
        <w:rPr>
          <w:snapToGrid w:val="0"/>
          <w:kern w:val="18"/>
          <w:szCs w:val="18"/>
          <w:lang w:val="en-US"/>
        </w:rPr>
      </w:pPr>
      <w:r w:rsidRPr="00584A8D">
        <w:rPr>
          <w:rStyle w:val="FootnoteReference"/>
          <w:snapToGrid w:val="0"/>
          <w:kern w:val="18"/>
          <w:szCs w:val="18"/>
          <w:u w:val="none"/>
          <w:vertAlign w:val="superscript"/>
        </w:rPr>
        <w:footnoteRef/>
      </w:r>
      <w:r w:rsidRPr="00584A8D">
        <w:rPr>
          <w:snapToGrid w:val="0"/>
          <w:kern w:val="18"/>
          <w:szCs w:val="18"/>
        </w:rPr>
        <w:t xml:space="preserve"> </w:t>
      </w:r>
      <w:hyperlink r:id="rId6" w:history="1">
        <w:r w:rsidRPr="00584A8D">
          <w:rPr>
            <w:rStyle w:val="Hyperlink"/>
            <w:snapToGrid w:val="0"/>
            <w:kern w:val="18"/>
            <w:szCs w:val="18"/>
          </w:rPr>
          <w:t>https://www.wto.org/english/tratop_e/sps_e/spsagr_e.htm</w:t>
        </w:r>
      </w:hyperlink>
    </w:p>
  </w:footnote>
  <w:footnote w:id="11">
    <w:p w14:paraId="7B33065E" w14:textId="492E0B39" w:rsidR="00533D0D" w:rsidRPr="00584A8D" w:rsidRDefault="00533D0D" w:rsidP="00584A8D">
      <w:pPr>
        <w:pStyle w:val="FootnoteText"/>
        <w:kinsoku w:val="0"/>
        <w:overflowPunct w:val="0"/>
        <w:autoSpaceDE w:val="0"/>
        <w:autoSpaceDN w:val="0"/>
        <w:ind w:firstLine="0"/>
        <w:jc w:val="left"/>
        <w:rPr>
          <w:snapToGrid w:val="0"/>
          <w:kern w:val="18"/>
          <w:szCs w:val="18"/>
          <w:lang w:val="en-US"/>
        </w:rPr>
      </w:pPr>
      <w:r w:rsidRPr="00584A8D">
        <w:rPr>
          <w:rStyle w:val="FootnoteReference"/>
          <w:snapToGrid w:val="0"/>
          <w:kern w:val="18"/>
          <w:szCs w:val="18"/>
          <w:u w:val="none"/>
          <w:vertAlign w:val="superscript"/>
        </w:rPr>
        <w:footnoteRef/>
      </w:r>
      <w:r w:rsidRPr="00584A8D">
        <w:rPr>
          <w:snapToGrid w:val="0"/>
          <w:kern w:val="18"/>
          <w:szCs w:val="18"/>
        </w:rPr>
        <w:t xml:space="preserve"> </w:t>
      </w:r>
      <w:r w:rsidRPr="00EC24F7">
        <w:rPr>
          <w:rStyle w:val="FootnoteReference"/>
          <w:rFonts w:eastAsia="Yu Mincho"/>
          <w:snapToGrid w:val="0"/>
          <w:kern w:val="18"/>
          <w:szCs w:val="18"/>
          <w:u w:val="none"/>
        </w:rPr>
        <w:t xml:space="preserve">One representative entered a formal objection during the process leading to the adoption of this decision and underlined that he did not believe that the Conference of the Parties could legitimately adopt a motion or a text with a formal objection in place. A few representatives expressed reservations regarding the procedure leading to the adoption of this decision (see </w:t>
      </w:r>
      <w:hyperlink r:id="rId7" w:history="1">
        <w:r w:rsidRPr="00EC24F7">
          <w:rPr>
            <w:rStyle w:val="Hyperlink"/>
            <w:rFonts w:eastAsia="Yu Mincho"/>
            <w:snapToGrid w:val="0"/>
            <w:kern w:val="18"/>
            <w:szCs w:val="18"/>
          </w:rPr>
          <w:t>UNEP/CBD/COP/6/20</w:t>
        </w:r>
      </w:hyperlink>
      <w:r w:rsidRPr="00EC24F7">
        <w:rPr>
          <w:rStyle w:val="FootnoteReference"/>
          <w:rFonts w:eastAsia="Yu Mincho"/>
          <w:snapToGrid w:val="0"/>
          <w:kern w:val="18"/>
          <w:szCs w:val="18"/>
          <w:u w:val="none"/>
        </w:rPr>
        <w:t>, paras. 294-324).</w:t>
      </w:r>
    </w:p>
  </w:footnote>
  <w:footnote w:id="12">
    <w:p w14:paraId="2C13A606" w14:textId="5174B28B" w:rsidR="00533D0D" w:rsidRPr="002B26B8" w:rsidRDefault="00533D0D" w:rsidP="002B26B8">
      <w:pPr>
        <w:pStyle w:val="FootnoteText"/>
        <w:kinsoku w:val="0"/>
        <w:overflowPunct w:val="0"/>
        <w:autoSpaceDE w:val="0"/>
        <w:autoSpaceDN w:val="0"/>
        <w:ind w:firstLine="0"/>
        <w:jc w:val="left"/>
        <w:rPr>
          <w:rStyle w:val="FootnoteReference"/>
          <w:rFonts w:eastAsia="Yu Mincho"/>
          <w:snapToGrid w:val="0"/>
          <w:kern w:val="18"/>
          <w:szCs w:val="18"/>
          <w:u w:val="none"/>
          <w:vertAlign w:val="superscript"/>
          <w:lang w:eastAsia="ja-JP"/>
        </w:rPr>
      </w:pPr>
    </w:p>
  </w:footnote>
  <w:footnote w:id="13">
    <w:p w14:paraId="08D4FAD7" w14:textId="63CB8387"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584A8D">
        <w:rPr>
          <w:snapToGrid w:val="0"/>
          <w:kern w:val="18"/>
          <w:szCs w:val="18"/>
        </w:rPr>
        <w:t xml:space="preserve"> </w:t>
      </w:r>
      <w:hyperlink r:id="rId8" w:history="1">
        <w:r w:rsidR="00977358" w:rsidRPr="00BD281A">
          <w:rPr>
            <w:rStyle w:val="Hyperlink"/>
            <w:snapToGrid w:val="0"/>
            <w:kern w:val="18"/>
            <w:szCs w:val="18"/>
          </w:rPr>
          <w:t>http://www.oie.int/standard-setting/terrestrial-code/access-online/</w:t>
        </w:r>
      </w:hyperlink>
    </w:p>
  </w:footnote>
  <w:footnote w:id="14">
    <w:p w14:paraId="6DA7C898" w14:textId="3A32662A"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584A8D">
        <w:rPr>
          <w:snapToGrid w:val="0"/>
          <w:kern w:val="18"/>
          <w:szCs w:val="18"/>
        </w:rPr>
        <w:t xml:space="preserve"> </w:t>
      </w:r>
      <w:hyperlink r:id="rId9" w:history="1">
        <w:r w:rsidR="00977358" w:rsidRPr="00BD281A">
          <w:rPr>
            <w:rStyle w:val="Hyperlink"/>
            <w:snapToGrid w:val="0"/>
            <w:kern w:val="18"/>
            <w:szCs w:val="18"/>
          </w:rPr>
          <w:t>http://www.oie.int/standard-setting/aquatic-code/access-online/</w:t>
        </w:r>
      </w:hyperlink>
    </w:p>
  </w:footnote>
  <w:footnote w:id="15">
    <w:p w14:paraId="58C75BCA" w14:textId="4ADE86AF"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584A8D">
        <w:rPr>
          <w:snapToGrid w:val="0"/>
          <w:kern w:val="18"/>
          <w:szCs w:val="18"/>
        </w:rPr>
        <w:t xml:space="preserve"> </w:t>
      </w:r>
      <w:hyperlink r:id="rId10" w:history="1">
        <w:r w:rsidR="00A76820" w:rsidRPr="00584A8D">
          <w:rPr>
            <w:rStyle w:val="Hyperlink"/>
            <w:i/>
            <w:iCs/>
          </w:rPr>
          <w:t>Globally Harmonized System of Classification and Labelling of Chemicals (GHS)</w:t>
        </w:r>
        <w:r w:rsidR="00A76820" w:rsidRPr="00EC24F7">
          <w:rPr>
            <w:rStyle w:val="Hyperlink"/>
            <w:snapToGrid w:val="0"/>
            <w:kern w:val="18"/>
            <w:szCs w:val="18"/>
          </w:rPr>
          <w:t xml:space="preserve">, </w:t>
        </w:r>
        <w:r w:rsidR="00A76820" w:rsidRPr="00584A8D">
          <w:rPr>
            <w:rStyle w:val="Hyperlink"/>
            <w:i/>
            <w:iCs/>
          </w:rPr>
          <w:t>Fourth revised edition</w:t>
        </w:r>
        <w:r w:rsidR="00A76820" w:rsidRPr="00EC24F7">
          <w:rPr>
            <w:rStyle w:val="Hyperlink"/>
            <w:snapToGrid w:val="0"/>
            <w:kern w:val="18"/>
            <w:szCs w:val="18"/>
          </w:rPr>
          <w:t xml:space="preserve"> </w:t>
        </w:r>
        <w:r w:rsidR="00DF4EB7" w:rsidRPr="00EC24F7">
          <w:rPr>
            <w:rStyle w:val="Hyperlink"/>
            <w:snapToGrid w:val="0"/>
            <w:kern w:val="18"/>
            <w:szCs w:val="18"/>
          </w:rPr>
          <w:t>(</w:t>
        </w:r>
        <w:r w:rsidR="00A76820" w:rsidRPr="00EC24F7">
          <w:rPr>
            <w:rStyle w:val="Hyperlink"/>
            <w:snapToGrid w:val="0"/>
            <w:kern w:val="18"/>
            <w:szCs w:val="18"/>
          </w:rPr>
          <w:t xml:space="preserve">United Nations publication, Sales No. </w:t>
        </w:r>
        <w:proofErr w:type="gramStart"/>
        <w:r w:rsidR="00A76820" w:rsidRPr="00EC24F7">
          <w:rPr>
            <w:rStyle w:val="Hyperlink"/>
            <w:snapToGrid w:val="0"/>
            <w:kern w:val="18"/>
            <w:szCs w:val="18"/>
          </w:rPr>
          <w:t>E.11.II.E.</w:t>
        </w:r>
        <w:proofErr w:type="gramEnd"/>
        <w:r w:rsidR="00A76820" w:rsidRPr="00EC24F7">
          <w:rPr>
            <w:rStyle w:val="Hyperlink"/>
            <w:snapToGrid w:val="0"/>
            <w:kern w:val="18"/>
            <w:szCs w:val="18"/>
          </w:rPr>
          <w:t>6</w:t>
        </w:r>
      </w:hyperlink>
      <w:r w:rsidR="00DF4EB7" w:rsidRPr="00584A8D">
        <w:rPr>
          <w:snapToGrid w:val="0"/>
          <w:kern w:val="18"/>
          <w:szCs w:val="18"/>
        </w:rPr>
        <w:t>)</w:t>
      </w:r>
      <w:r w:rsidR="00A76820" w:rsidRPr="00EC24F7">
        <w:rPr>
          <w:snapToGrid w:val="0"/>
          <w:kern w:val="18"/>
          <w:szCs w:val="18"/>
        </w:rPr>
        <w:t>.</w:t>
      </w:r>
    </w:p>
  </w:footnote>
  <w:footnote w:id="16">
    <w:p w14:paraId="731935DD" w14:textId="4FAC1DDA"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EC24F7">
        <w:rPr>
          <w:snapToGrid w:val="0"/>
          <w:kern w:val="18"/>
          <w:szCs w:val="18"/>
        </w:rPr>
        <w:t xml:space="preserve"> </w:t>
      </w:r>
      <w:r w:rsidR="00966B0C" w:rsidRPr="00EC24F7">
        <w:rPr>
          <w:snapToGrid w:val="0"/>
          <w:kern w:val="18"/>
          <w:szCs w:val="18"/>
        </w:rPr>
        <w:t>“</w:t>
      </w:r>
      <w:hyperlink r:id="rId11" w:history="1">
        <w:r w:rsidR="00966B0C" w:rsidRPr="00EC24F7">
          <w:rPr>
            <w:rStyle w:val="Hyperlink"/>
            <w:snapToGrid w:val="0"/>
            <w:kern w:val="18"/>
            <w:szCs w:val="18"/>
          </w:rPr>
          <w:t>Strategic Trade Control Enforcement (STCE): Implementation Guide</w:t>
        </w:r>
      </w:hyperlink>
      <w:r w:rsidR="00966B0C" w:rsidRPr="00EC24F7">
        <w:rPr>
          <w:snapToGrid w:val="0"/>
          <w:kern w:val="18"/>
          <w:szCs w:val="18"/>
        </w:rPr>
        <w:t>”.</w:t>
      </w:r>
    </w:p>
  </w:footnote>
  <w:footnote w:id="17">
    <w:p w14:paraId="29344530" w14:textId="01D81ECE"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00E529C7" w:rsidRPr="00EC24F7">
        <w:rPr>
          <w:snapToGrid w:val="0"/>
          <w:kern w:val="18"/>
          <w:szCs w:val="18"/>
        </w:rPr>
        <w:t xml:space="preserve"> </w:t>
      </w:r>
      <w:hyperlink r:id="rId12" w:history="1">
        <w:r w:rsidR="00E529C7" w:rsidRPr="00EC24F7">
          <w:rPr>
            <w:rStyle w:val="Hyperlink"/>
            <w:snapToGrid w:val="0"/>
            <w:kern w:val="18"/>
            <w:szCs w:val="18"/>
          </w:rPr>
          <w:t>WHO/HSE/GCR/2015.2</w:t>
        </w:r>
      </w:hyperlink>
      <w:r w:rsidR="00E529C7" w:rsidRPr="00EC24F7">
        <w:rPr>
          <w:snapToGrid w:val="0"/>
          <w:kern w:val="18"/>
          <w:szCs w:val="18"/>
        </w:rPr>
        <w:t>.</w:t>
      </w:r>
    </w:p>
  </w:footnote>
  <w:footnote w:id="18">
    <w:p w14:paraId="554F1D79" w14:textId="5B226A13"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584A8D">
        <w:rPr>
          <w:snapToGrid w:val="0"/>
          <w:kern w:val="18"/>
          <w:szCs w:val="18"/>
        </w:rPr>
        <w:t xml:space="preserve"> </w:t>
      </w:r>
      <w:hyperlink r:id="rId13" w:history="1">
        <w:r w:rsidR="00EC561C" w:rsidRPr="00EC24F7">
          <w:rPr>
            <w:rStyle w:val="Hyperlink"/>
            <w:snapToGrid w:val="0"/>
            <w:kern w:val="18"/>
            <w:szCs w:val="18"/>
          </w:rPr>
          <w:t xml:space="preserve">United Nations publication, Sales No. </w:t>
        </w:r>
        <w:proofErr w:type="gramStart"/>
        <w:r w:rsidR="00EC561C" w:rsidRPr="00EC24F7">
          <w:rPr>
            <w:rStyle w:val="Hyperlink"/>
            <w:snapToGrid w:val="0"/>
            <w:kern w:val="18"/>
            <w:szCs w:val="18"/>
          </w:rPr>
          <w:t>E.11.II.E.</w:t>
        </w:r>
        <w:proofErr w:type="gramEnd"/>
        <w:r w:rsidR="00EC561C" w:rsidRPr="00EC24F7">
          <w:rPr>
            <w:rStyle w:val="Hyperlink"/>
            <w:snapToGrid w:val="0"/>
            <w:kern w:val="18"/>
            <w:szCs w:val="18"/>
          </w:rPr>
          <w:t>6</w:t>
        </w:r>
      </w:hyperlink>
      <w:r w:rsidR="00EC561C" w:rsidRPr="00EC24F7">
        <w:rPr>
          <w:rStyle w:val="Hyperlink"/>
          <w:snapToGrid w:val="0"/>
          <w:kern w:val="18"/>
          <w:szCs w:val="18"/>
        </w:rPr>
        <w:t>.</w:t>
      </w:r>
    </w:p>
  </w:footnote>
  <w:footnote w:id="19">
    <w:p w14:paraId="1931C9E0" w14:textId="6EFD7111"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rFonts w:eastAsia="Yu Mincho"/>
          <w:snapToGrid w:val="0"/>
          <w:kern w:val="18"/>
          <w:szCs w:val="18"/>
          <w:u w:val="none"/>
          <w:vertAlign w:val="superscript"/>
          <w:lang w:eastAsia="ja-JP"/>
        </w:rPr>
        <w:footnoteRef/>
      </w:r>
      <w:r w:rsidRPr="00584A8D">
        <w:rPr>
          <w:rStyle w:val="FootnoteReference"/>
          <w:rFonts w:eastAsia="Yu Mincho"/>
          <w:snapToGrid w:val="0"/>
          <w:kern w:val="18"/>
          <w:szCs w:val="18"/>
          <w:u w:val="none"/>
          <w:lang w:eastAsia="ja-JP"/>
        </w:rPr>
        <w:t xml:space="preserve"> </w:t>
      </w:r>
      <w:r w:rsidR="00DF7A17" w:rsidRPr="00584A8D">
        <w:rPr>
          <w:rStyle w:val="FootnoteReference"/>
          <w:rFonts w:eastAsia="Yu Mincho"/>
          <w:snapToGrid w:val="0"/>
          <w:kern w:val="18"/>
          <w:szCs w:val="18"/>
          <w:u w:val="none"/>
          <w:lang w:eastAsia="ja-JP"/>
        </w:rPr>
        <w:t xml:space="preserve">See Economic </w:t>
      </w:r>
      <w:r w:rsidR="00DF7A17" w:rsidRPr="00EC24F7">
        <w:rPr>
          <w:snapToGrid w:val="0"/>
          <w:kern w:val="18"/>
          <w:szCs w:val="18"/>
        </w:rPr>
        <w:t xml:space="preserve">and Social Council resolution </w:t>
      </w:r>
      <w:hyperlink r:id="rId14" w:history="1">
        <w:r w:rsidR="00DF7A17" w:rsidRPr="00EC24F7">
          <w:rPr>
            <w:rStyle w:val="Hyperlink"/>
            <w:snapToGrid w:val="0"/>
            <w:kern w:val="18"/>
            <w:szCs w:val="18"/>
          </w:rPr>
          <w:t>2009/19</w:t>
        </w:r>
      </w:hyperlink>
      <w:r w:rsidR="00DF7A17" w:rsidRPr="00EC24F7">
        <w:rPr>
          <w:snapToGrid w:val="0"/>
          <w:kern w:val="18"/>
          <w:szCs w:val="18"/>
        </w:rPr>
        <w:t xml:space="preserve"> of 29 July 2009.</w:t>
      </w:r>
    </w:p>
  </w:footnote>
  <w:footnote w:id="20">
    <w:p w14:paraId="3603753D" w14:textId="46C98101"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vertAlign w:val="superscript"/>
        </w:rPr>
        <w:t xml:space="preserve"> </w:t>
      </w:r>
      <w:r w:rsidRPr="00584A8D">
        <w:rPr>
          <w:snapToGrid w:val="0"/>
          <w:kern w:val="18"/>
          <w:szCs w:val="18"/>
        </w:rPr>
        <w:t>Further information on e-commerce and various other matters, as per requests in decision XIII/13</w:t>
      </w:r>
      <w:r w:rsidR="004D0394" w:rsidRPr="00EC24F7">
        <w:rPr>
          <w:snapToGrid w:val="0"/>
          <w:kern w:val="18"/>
          <w:szCs w:val="18"/>
        </w:rPr>
        <w:t>,</w:t>
      </w:r>
      <w:r w:rsidRPr="00584A8D">
        <w:rPr>
          <w:snapToGrid w:val="0"/>
          <w:kern w:val="18"/>
          <w:szCs w:val="18"/>
        </w:rPr>
        <w:t xml:space="preserve"> is included in information document CBD/SBSTTA/22/INF/22.</w:t>
      </w:r>
    </w:p>
  </w:footnote>
  <w:footnote w:id="21">
    <w:p w14:paraId="3DB57DA7" w14:textId="7709C57D"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w:t>
      </w:r>
      <w:r w:rsidR="00DE2610" w:rsidRPr="00584A8D">
        <w:t>See</w:t>
      </w:r>
      <w:r w:rsidR="009426C5" w:rsidRPr="00584A8D">
        <w:rPr>
          <w:rStyle w:val="Hyperlink"/>
          <w:snapToGrid w:val="0"/>
          <w:color w:val="auto"/>
          <w:kern w:val="18"/>
          <w:szCs w:val="18"/>
          <w:u w:val="none"/>
        </w:rPr>
        <w:t xml:space="preserve"> </w:t>
      </w:r>
      <w:r w:rsidR="00F61DBA" w:rsidRPr="00584A8D">
        <w:rPr>
          <w:rStyle w:val="Hyperlink"/>
          <w:snapToGrid w:val="0"/>
          <w:color w:val="auto"/>
          <w:kern w:val="18"/>
          <w:szCs w:val="18"/>
          <w:u w:val="none"/>
        </w:rPr>
        <w:t>r</w:t>
      </w:r>
      <w:r w:rsidR="009426C5" w:rsidRPr="00584A8D">
        <w:rPr>
          <w:rStyle w:val="Hyperlink"/>
          <w:snapToGrid w:val="0"/>
          <w:color w:val="auto"/>
          <w:kern w:val="18"/>
          <w:szCs w:val="18"/>
          <w:u w:val="none"/>
        </w:rPr>
        <w:t xml:space="preserve">esolution </w:t>
      </w:r>
      <w:hyperlink r:id="rId15" w:history="1">
        <w:r w:rsidR="009426C5" w:rsidRPr="00584A8D">
          <w:rPr>
            <w:rStyle w:val="Hyperlink"/>
            <w:rFonts w:eastAsia="MS Mincho"/>
            <w:snapToGrid w:val="0"/>
            <w:kern w:val="18"/>
            <w:szCs w:val="18"/>
            <w:lang w:eastAsia="ja-JP"/>
          </w:rPr>
          <w:t>Conf. 11.3 (Rev. CoP17)</w:t>
        </w:r>
      </w:hyperlink>
      <w:r w:rsidR="009426C5" w:rsidRPr="00584A8D">
        <w:rPr>
          <w:rFonts w:eastAsia="MS Mincho"/>
          <w:snapToGrid w:val="0"/>
          <w:kern w:val="18"/>
          <w:szCs w:val="18"/>
          <w:lang w:eastAsia="ja-JP"/>
        </w:rPr>
        <w:t xml:space="preserve"> on compliance and enforcement.</w:t>
      </w:r>
    </w:p>
  </w:footnote>
  <w:footnote w:id="22">
    <w:p w14:paraId="76A236FF" w14:textId="04B828D6" w:rsidR="00533D0D" w:rsidRPr="00584A8D" w:rsidRDefault="00533D0D" w:rsidP="00584A8D">
      <w:pPr>
        <w:pStyle w:val="IPPFootnote"/>
        <w:keepLines/>
        <w:kinsoku w:val="0"/>
        <w:overflowPunct w:val="0"/>
        <w:autoSpaceDE w:val="0"/>
        <w:autoSpaceDN w:val="0"/>
        <w:jc w:val="left"/>
        <w:rPr>
          <w:snapToGrid w:val="0"/>
          <w:kern w:val="18"/>
          <w:sz w:val="18"/>
          <w:szCs w:val="18"/>
        </w:rPr>
      </w:pPr>
      <w:r w:rsidRPr="00584A8D">
        <w:rPr>
          <w:rStyle w:val="FootnoteReference"/>
          <w:snapToGrid w:val="0"/>
          <w:kern w:val="18"/>
          <w:szCs w:val="18"/>
          <w:u w:val="none"/>
          <w:vertAlign w:val="superscript"/>
        </w:rPr>
        <w:footnoteRef/>
      </w:r>
      <w:r w:rsidRPr="00584A8D">
        <w:rPr>
          <w:snapToGrid w:val="0"/>
          <w:kern w:val="18"/>
          <w:sz w:val="18"/>
          <w:szCs w:val="18"/>
        </w:rPr>
        <w:t xml:space="preserve"> Report of the </w:t>
      </w:r>
      <w:hyperlink r:id="rId16" w:history="1">
        <w:r w:rsidRPr="00584A8D">
          <w:rPr>
            <w:rStyle w:val="Hyperlink"/>
            <w:snapToGrid w:val="0"/>
            <w:kern w:val="18"/>
            <w:sz w:val="18"/>
            <w:szCs w:val="18"/>
          </w:rPr>
          <w:t>22</w:t>
        </w:r>
        <w:r w:rsidRPr="00584A8D">
          <w:rPr>
            <w:rStyle w:val="Hyperlink"/>
            <w:snapToGrid w:val="0"/>
            <w:kern w:val="18"/>
            <w:sz w:val="18"/>
            <w:szCs w:val="18"/>
            <w:vertAlign w:val="superscript"/>
          </w:rPr>
          <w:t>nd</w:t>
        </w:r>
        <w:r w:rsidRPr="00584A8D">
          <w:rPr>
            <w:rStyle w:val="Hyperlink"/>
            <w:snapToGrid w:val="0"/>
            <w:kern w:val="18"/>
            <w:sz w:val="18"/>
            <w:szCs w:val="18"/>
          </w:rPr>
          <w:t xml:space="preserve"> TC-RPPO</w:t>
        </w:r>
      </w:hyperlink>
    </w:p>
  </w:footnote>
  <w:footnote w:id="23">
    <w:p w14:paraId="4824D1D7" w14:textId="280358D5" w:rsidR="00533D0D" w:rsidRPr="00584A8D" w:rsidRDefault="00533D0D" w:rsidP="00584A8D">
      <w:pPr>
        <w:pStyle w:val="IPPFootnote"/>
        <w:keepLines/>
        <w:kinsoku w:val="0"/>
        <w:overflowPunct w:val="0"/>
        <w:autoSpaceDE w:val="0"/>
        <w:autoSpaceDN w:val="0"/>
        <w:jc w:val="left"/>
        <w:rPr>
          <w:rFonts w:eastAsia="Calibri"/>
          <w:b/>
          <w:bCs/>
          <w:snapToGrid w:val="0"/>
          <w:kern w:val="18"/>
          <w:sz w:val="18"/>
          <w:szCs w:val="18"/>
        </w:rPr>
      </w:pPr>
      <w:r w:rsidRPr="00584A8D">
        <w:rPr>
          <w:rStyle w:val="FootnoteReference"/>
          <w:snapToGrid w:val="0"/>
          <w:kern w:val="18"/>
          <w:szCs w:val="18"/>
          <w:u w:val="none"/>
          <w:vertAlign w:val="superscript"/>
        </w:rPr>
        <w:footnoteRef/>
      </w:r>
      <w:r w:rsidRPr="00584A8D">
        <w:rPr>
          <w:rFonts w:eastAsia="Calibri"/>
          <w:snapToGrid w:val="0"/>
          <w:kern w:val="18"/>
          <w:sz w:val="18"/>
          <w:szCs w:val="18"/>
        </w:rPr>
        <w:t xml:space="preserve"> The IRSS study Internet Trade (e-Commerce) in Plants: Potential Phytosanitary Risks is available at </w:t>
      </w:r>
      <w:hyperlink r:id="rId17" w:history="1">
        <w:r w:rsidRPr="00584A8D">
          <w:rPr>
            <w:rStyle w:val="Hyperlink"/>
            <w:rFonts w:eastAsia="Calibri"/>
            <w:snapToGrid w:val="0"/>
            <w:kern w:val="18"/>
            <w:sz w:val="18"/>
            <w:szCs w:val="18"/>
          </w:rPr>
          <w:t>https://www.ippc.int/en/irss/activities/2/</w:t>
        </w:r>
      </w:hyperlink>
    </w:p>
  </w:footnote>
  <w:footnote w:id="24">
    <w:p w14:paraId="47931306" w14:textId="5F1A1458" w:rsidR="00533D0D" w:rsidRPr="00584A8D" w:rsidRDefault="00533D0D" w:rsidP="00584A8D">
      <w:pPr>
        <w:pStyle w:val="IPPFootnote"/>
        <w:keepLines/>
        <w:kinsoku w:val="0"/>
        <w:overflowPunct w:val="0"/>
        <w:autoSpaceDE w:val="0"/>
        <w:autoSpaceDN w:val="0"/>
        <w:jc w:val="left"/>
        <w:rPr>
          <w:snapToGrid w:val="0"/>
          <w:kern w:val="18"/>
          <w:sz w:val="18"/>
          <w:szCs w:val="18"/>
        </w:rPr>
      </w:pPr>
      <w:r w:rsidRPr="00584A8D">
        <w:rPr>
          <w:rStyle w:val="FootnoteReference"/>
          <w:snapToGrid w:val="0"/>
          <w:kern w:val="18"/>
          <w:szCs w:val="18"/>
          <w:u w:val="none"/>
          <w:vertAlign w:val="superscript"/>
        </w:rPr>
        <w:footnoteRef/>
      </w:r>
      <w:r w:rsidRPr="00584A8D">
        <w:rPr>
          <w:snapToGrid w:val="0"/>
          <w:kern w:val="18"/>
          <w:sz w:val="18"/>
          <w:szCs w:val="18"/>
        </w:rPr>
        <w:t xml:space="preserve"> </w:t>
      </w:r>
      <w:hyperlink r:id="rId18" w:history="1">
        <w:r w:rsidRPr="00584A8D">
          <w:rPr>
            <w:rStyle w:val="Hyperlink"/>
            <w:snapToGrid w:val="0"/>
            <w:kern w:val="18"/>
            <w:sz w:val="18"/>
            <w:szCs w:val="18"/>
          </w:rPr>
          <w:t>CPM-09 Recommendation 014/14</w:t>
        </w:r>
      </w:hyperlink>
    </w:p>
  </w:footnote>
  <w:footnote w:id="25">
    <w:p w14:paraId="70BC3D94" w14:textId="068B6AA9"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w:t>
      </w:r>
      <w:hyperlink r:id="rId19" w:history="1">
        <w:r w:rsidRPr="00584A8D">
          <w:rPr>
            <w:rStyle w:val="Hyperlink"/>
            <w:snapToGrid w:val="0"/>
            <w:kern w:val="18"/>
            <w:szCs w:val="18"/>
          </w:rPr>
          <w:t>http://www.wcoomd.org/~/media/wco/public/global/pdf/topics/facilitation/activities-and-programmes/ecommerce/wco-study-report-on-e_commerce.pdf?la=en</w:t>
        </w:r>
      </w:hyperlink>
    </w:p>
  </w:footnote>
  <w:footnote w:id="26">
    <w:p w14:paraId="0CB3BAF1" w14:textId="7C9780EB"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w:t>
      </w:r>
      <w:r w:rsidRPr="00584A8D">
        <w:rPr>
          <w:rFonts w:eastAsia="Yu Mincho"/>
          <w:snapToGrid w:val="0"/>
          <w:kern w:val="18"/>
          <w:szCs w:val="18"/>
          <w:lang w:eastAsia="ja-JP"/>
        </w:rPr>
        <w:t>Held at WCO headquarters</w:t>
      </w:r>
      <w:r w:rsidR="00A30B1D" w:rsidRPr="00EC24F7">
        <w:rPr>
          <w:rFonts w:eastAsia="Yu Mincho"/>
          <w:snapToGrid w:val="0"/>
          <w:kern w:val="18"/>
          <w:szCs w:val="18"/>
          <w:lang w:eastAsia="ja-JP"/>
        </w:rPr>
        <w:t xml:space="preserve"> in Brussels</w:t>
      </w:r>
      <w:r w:rsidRPr="00584A8D">
        <w:rPr>
          <w:rFonts w:eastAsia="Yu Mincho"/>
          <w:snapToGrid w:val="0"/>
          <w:kern w:val="18"/>
          <w:szCs w:val="18"/>
          <w:lang w:eastAsia="ja-JP"/>
        </w:rPr>
        <w:t xml:space="preserve">, </w:t>
      </w:r>
      <w:r w:rsidRPr="00584A8D">
        <w:rPr>
          <w:snapToGrid w:val="0"/>
          <w:color w:val="00000A"/>
          <w:kern w:val="18"/>
          <w:szCs w:val="18"/>
        </w:rPr>
        <w:t>22-23 November 2017.</w:t>
      </w:r>
    </w:p>
  </w:footnote>
  <w:footnote w:id="27">
    <w:p w14:paraId="7A1CF874" w14:textId="2C27BE5C"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Held in </w:t>
      </w:r>
      <w:r w:rsidRPr="00584A8D">
        <w:rPr>
          <w:rFonts w:eastAsia="Yu Mincho"/>
          <w:snapToGrid w:val="0"/>
          <w:kern w:val="18"/>
          <w:szCs w:val="18"/>
          <w:lang w:eastAsia="ja-JP"/>
        </w:rPr>
        <w:t>Brussels, 23-25 January 2018.</w:t>
      </w:r>
    </w:p>
  </w:footnote>
  <w:footnote w:id="28">
    <w:p w14:paraId="43707DD4" w14:textId="4186B0CF"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Held </w:t>
      </w:r>
      <w:r w:rsidRPr="00584A8D">
        <w:rPr>
          <w:rFonts w:eastAsia="Yu Mincho"/>
          <w:snapToGrid w:val="0"/>
          <w:kern w:val="18"/>
          <w:szCs w:val="18"/>
          <w:lang w:eastAsia="ja-JP"/>
        </w:rPr>
        <w:t>in Beijing, 9-10 February 2018.</w:t>
      </w:r>
    </w:p>
  </w:footnote>
  <w:footnote w:id="29">
    <w:p w14:paraId="3359681E" w14:textId="77777777" w:rsidR="00DF3F96" w:rsidRPr="008B2EA0" w:rsidRDefault="00DF3F96" w:rsidP="00DF3F96">
      <w:pPr>
        <w:pStyle w:val="FootnoteText"/>
        <w:kinsoku w:val="0"/>
        <w:overflowPunct w:val="0"/>
        <w:autoSpaceDE w:val="0"/>
        <w:autoSpaceDN w:val="0"/>
        <w:ind w:firstLine="0"/>
        <w:jc w:val="left"/>
        <w:rPr>
          <w:snapToGrid w:val="0"/>
          <w:kern w:val="18"/>
          <w:szCs w:val="18"/>
        </w:rPr>
      </w:pPr>
      <w:r w:rsidRPr="008B2EA0">
        <w:rPr>
          <w:rStyle w:val="FootnoteReference"/>
          <w:snapToGrid w:val="0"/>
          <w:kern w:val="18"/>
          <w:szCs w:val="18"/>
          <w:u w:val="none"/>
          <w:vertAlign w:val="superscript"/>
        </w:rPr>
        <w:footnoteRef/>
      </w:r>
      <w:r w:rsidRPr="008B2EA0">
        <w:rPr>
          <w:snapToGrid w:val="0"/>
          <w:kern w:val="18"/>
          <w:szCs w:val="18"/>
        </w:rPr>
        <w:t xml:space="preserve"> </w:t>
      </w:r>
      <w:proofErr w:type="spellStart"/>
      <w:r w:rsidRPr="008B2EA0">
        <w:rPr>
          <w:snapToGrid w:val="0"/>
          <w:kern w:val="18"/>
          <w:szCs w:val="18"/>
        </w:rPr>
        <w:t>Pagad</w:t>
      </w:r>
      <w:proofErr w:type="spellEnd"/>
      <w:r w:rsidRPr="008B2EA0">
        <w:rPr>
          <w:snapToGrid w:val="0"/>
          <w:kern w:val="18"/>
          <w:szCs w:val="18"/>
        </w:rPr>
        <w:t xml:space="preserve"> S. et al. </w:t>
      </w:r>
      <w:r w:rsidRPr="008B2EA0">
        <w:rPr>
          <w:i/>
          <w:iCs/>
          <w:snapToGrid w:val="0"/>
          <w:kern w:val="18"/>
          <w:szCs w:val="18"/>
        </w:rPr>
        <w:t>Nature Scientific Data</w:t>
      </w:r>
      <w:r w:rsidRPr="00EC24F7">
        <w:rPr>
          <w:snapToGrid w:val="0"/>
          <w:kern w:val="18"/>
          <w:szCs w:val="18"/>
        </w:rPr>
        <w:t>,</w:t>
      </w:r>
      <w:r w:rsidRPr="008B2EA0">
        <w:rPr>
          <w:snapToGrid w:val="0"/>
          <w:kern w:val="18"/>
          <w:szCs w:val="18"/>
        </w:rPr>
        <w:t xml:space="preserve"> vol</w:t>
      </w:r>
      <w:r w:rsidRPr="00EC24F7">
        <w:rPr>
          <w:snapToGrid w:val="0"/>
          <w:kern w:val="18"/>
          <w:szCs w:val="18"/>
        </w:rPr>
        <w:t>.</w:t>
      </w:r>
      <w:r w:rsidRPr="008B2EA0">
        <w:rPr>
          <w:snapToGrid w:val="0"/>
          <w:kern w:val="18"/>
          <w:szCs w:val="18"/>
        </w:rPr>
        <w:t xml:space="preserve"> 5, Article number: 170202 (2018) doi:10.1038/sdata.2017.202</w:t>
      </w:r>
    </w:p>
  </w:footnote>
  <w:footnote w:id="30">
    <w:p w14:paraId="7BCDAA49" w14:textId="77777777" w:rsidR="00DF3F96" w:rsidRPr="008B2EA0" w:rsidRDefault="00DF3F96" w:rsidP="00DF3F96">
      <w:pPr>
        <w:pStyle w:val="FootnoteText"/>
        <w:kinsoku w:val="0"/>
        <w:overflowPunct w:val="0"/>
        <w:autoSpaceDE w:val="0"/>
        <w:autoSpaceDN w:val="0"/>
        <w:ind w:firstLine="0"/>
        <w:jc w:val="left"/>
        <w:rPr>
          <w:snapToGrid w:val="0"/>
          <w:kern w:val="18"/>
          <w:szCs w:val="18"/>
        </w:rPr>
      </w:pPr>
      <w:r w:rsidRPr="008B2EA0">
        <w:rPr>
          <w:rStyle w:val="FootnoteReference"/>
          <w:snapToGrid w:val="0"/>
          <w:kern w:val="18"/>
          <w:szCs w:val="18"/>
          <w:u w:val="none"/>
          <w:vertAlign w:val="superscript"/>
        </w:rPr>
        <w:footnoteRef/>
      </w:r>
      <w:r w:rsidRPr="008B2EA0">
        <w:rPr>
          <w:snapToGrid w:val="0"/>
          <w:kern w:val="18"/>
          <w:szCs w:val="18"/>
        </w:rPr>
        <w:t xml:space="preserve"> </w:t>
      </w:r>
      <w:hyperlink r:id="rId20" w:history="1">
        <w:r w:rsidRPr="008B2EA0">
          <w:rPr>
            <w:rStyle w:val="Hyperlink"/>
            <w:snapToGrid w:val="0"/>
            <w:kern w:val="18"/>
            <w:szCs w:val="18"/>
          </w:rPr>
          <w:t>https://www.gbif.org/dataset/search?publishing_org=cdef28b1-db4e-4c58-aa71-3c5238c2d0b5</w:t>
        </w:r>
      </w:hyperlink>
      <w:r w:rsidRPr="008B2EA0">
        <w:rPr>
          <w:snapToGrid w:val="0"/>
          <w:kern w:val="18"/>
          <w:szCs w:val="18"/>
        </w:rPr>
        <w:t xml:space="preserve"> (accessed 28 April 2018)</w:t>
      </w:r>
      <w:r w:rsidRPr="00EC24F7">
        <w:rPr>
          <w:snapToGrid w:val="0"/>
          <w:kern w:val="18"/>
          <w:szCs w:val="18"/>
        </w:rPr>
        <w:t>.</w:t>
      </w:r>
    </w:p>
  </w:footnote>
  <w:footnote w:id="31">
    <w:p w14:paraId="077F07BC" w14:textId="2D877E15"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w:t>
      </w:r>
      <w:hyperlink r:id="rId21" w:history="1">
        <w:r w:rsidRPr="00584A8D">
          <w:rPr>
            <w:rStyle w:val="Hyperlink"/>
            <w:snapToGrid w:val="0"/>
            <w:kern w:val="18"/>
            <w:szCs w:val="18"/>
          </w:rPr>
          <w:t>https://www.iucn.org/sites/dev/files/eicat_standard_version_1_may_2017.pdf</w:t>
        </w:r>
      </w:hyperlink>
    </w:p>
  </w:footnote>
  <w:footnote w:id="32">
    <w:p w14:paraId="7C01AA8B" w14:textId="425AA584"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The Inter-agency Liaison Group on Invasive Alien Species is currently composed of the following international organizations: Centre for Agricultural Biosciences International (CABI); Convention on Biological Diversity; Convention on International Trade in Endangered Species of Wild Fauna and Flora (CITES); Food and Agriculture Organization</w:t>
      </w:r>
      <w:r w:rsidRPr="00EC24F7">
        <w:rPr>
          <w:snapToGrid w:val="0"/>
          <w:kern w:val="18"/>
          <w:szCs w:val="18"/>
        </w:rPr>
        <w:t xml:space="preserve"> of the United Nations</w:t>
      </w:r>
      <w:r w:rsidRPr="00584A8D">
        <w:rPr>
          <w:snapToGrid w:val="0"/>
          <w:kern w:val="18"/>
          <w:szCs w:val="18"/>
        </w:rPr>
        <w:t xml:space="preserve"> (FAO); International Civil Aviation Organization (ICAO);  International Maritime Organization (IMO); International Plant Protection Convention (IPPC); International Union for Conservation of Nature (IUCN) and its Invasive Species Specialist Group; World Organisation for Animal Health (OIE); World Customs Organization (WCO)</w:t>
      </w:r>
      <w:r w:rsidRPr="00EC24F7">
        <w:rPr>
          <w:snapToGrid w:val="0"/>
          <w:kern w:val="18"/>
          <w:szCs w:val="18"/>
        </w:rPr>
        <w:t>;</w:t>
      </w:r>
      <w:r w:rsidRPr="00584A8D">
        <w:rPr>
          <w:snapToGrid w:val="0"/>
          <w:kern w:val="18"/>
          <w:szCs w:val="18"/>
        </w:rPr>
        <w:t xml:space="preserve"> and World Trade Organization (WTO).</w:t>
      </w:r>
    </w:p>
  </w:footnote>
  <w:footnote w:id="33">
    <w:p w14:paraId="17C2685D" w14:textId="6DC0093A"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To be held in Montreal, Canada, </w:t>
      </w:r>
      <w:r w:rsidRPr="00EC24F7">
        <w:rPr>
          <w:snapToGrid w:val="0"/>
          <w:kern w:val="18"/>
          <w:szCs w:val="18"/>
        </w:rPr>
        <w:t>on</w:t>
      </w:r>
      <w:r w:rsidRPr="00584A8D">
        <w:rPr>
          <w:snapToGrid w:val="0"/>
          <w:kern w:val="18"/>
          <w:szCs w:val="18"/>
        </w:rPr>
        <w:t xml:space="preserve"> 9 </w:t>
      </w:r>
      <w:r w:rsidRPr="00EC24F7">
        <w:rPr>
          <w:snapToGrid w:val="0"/>
          <w:kern w:val="18"/>
          <w:szCs w:val="18"/>
        </w:rPr>
        <w:t>and</w:t>
      </w:r>
      <w:r w:rsidRPr="00584A8D">
        <w:rPr>
          <w:snapToGrid w:val="0"/>
          <w:kern w:val="18"/>
          <w:szCs w:val="18"/>
        </w:rPr>
        <w:t xml:space="preserve"> 10 July 2018.</w:t>
      </w:r>
    </w:p>
  </w:footnote>
  <w:footnote w:id="34">
    <w:p w14:paraId="08E39886" w14:textId="1A18791E" w:rsidR="00B51F95" w:rsidRPr="00584A8D" w:rsidRDefault="00B51F95" w:rsidP="00584A8D">
      <w:pPr>
        <w:pStyle w:val="FootnoteText"/>
        <w:kinsoku w:val="0"/>
        <w:overflowPunct w:val="0"/>
        <w:autoSpaceDE w:val="0"/>
        <w:autoSpaceDN w:val="0"/>
        <w:ind w:firstLine="0"/>
        <w:jc w:val="left"/>
        <w:rPr>
          <w:snapToGrid w:val="0"/>
          <w:kern w:val="18"/>
          <w:szCs w:val="18"/>
          <w:lang w:val="en-US"/>
        </w:rPr>
      </w:pPr>
      <w:r w:rsidRPr="00584A8D">
        <w:rPr>
          <w:rStyle w:val="FootnoteReference"/>
          <w:snapToGrid w:val="0"/>
          <w:kern w:val="18"/>
          <w:szCs w:val="18"/>
          <w:u w:val="none"/>
          <w:vertAlign w:val="superscript"/>
        </w:rPr>
        <w:footnoteRef/>
      </w:r>
      <w:r w:rsidRPr="00584A8D">
        <w:rPr>
          <w:snapToGrid w:val="0"/>
          <w:kern w:val="18"/>
          <w:szCs w:val="18"/>
        </w:rPr>
        <w:t xml:space="preserve"> </w:t>
      </w:r>
      <w:r w:rsidRPr="00EC24F7">
        <w:rPr>
          <w:snapToGrid w:val="0"/>
          <w:kern w:val="18"/>
          <w:szCs w:val="18"/>
        </w:rPr>
        <w:t>One representative of a Party entered a formal objection during the process leading to the adoption of this decision and underlined that he did not believe that the Conference of the Parties could legitimately adopt a motion or a text with a formal objection in place. A few representatives expressed reservations regarding the procedure leading to the adoption of this decision (see UNEP/CBD/COP/6/20, paras. 294-324).</w:t>
      </w:r>
    </w:p>
  </w:footnote>
  <w:footnote w:id="35">
    <w:p w14:paraId="66F89FC3" w14:textId="7B2EE2CA"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w:t>
      </w:r>
      <w:hyperlink r:id="rId22" w:history="1">
        <w:r w:rsidRPr="00584A8D">
          <w:rPr>
            <w:rStyle w:val="Hyperlink"/>
            <w:snapToGrid w:val="0"/>
            <w:kern w:val="18"/>
            <w:szCs w:val="18"/>
          </w:rPr>
          <w:t>https://www.unece.org/fileadmin/DAM/trans/doc/2014/wp24/CTU_Code_January_2014.pdf</w:t>
        </w:r>
      </w:hyperlink>
      <w:r w:rsidRPr="00584A8D">
        <w:rPr>
          <w:snapToGrid w:val="0"/>
          <w:kern w:val="18"/>
          <w:szCs w:val="18"/>
        </w:rPr>
        <w:t xml:space="preserve"> </w:t>
      </w:r>
    </w:p>
  </w:footnote>
  <w:footnote w:id="36">
    <w:p w14:paraId="6B15F30C" w14:textId="292FA5F1" w:rsidR="00533D0D" w:rsidRPr="00584A8D" w:rsidRDefault="00533D0D" w:rsidP="00584A8D">
      <w:pPr>
        <w:pStyle w:val="FootnoteText"/>
        <w:kinsoku w:val="0"/>
        <w:overflowPunct w:val="0"/>
        <w:autoSpaceDE w:val="0"/>
        <w:autoSpaceDN w:val="0"/>
        <w:ind w:firstLine="0"/>
        <w:jc w:val="left"/>
        <w:rPr>
          <w:snapToGrid w:val="0"/>
          <w:kern w:val="18"/>
          <w:szCs w:val="18"/>
        </w:rPr>
      </w:pPr>
      <w:r w:rsidRPr="00584A8D">
        <w:rPr>
          <w:rStyle w:val="FootnoteReference"/>
          <w:snapToGrid w:val="0"/>
          <w:kern w:val="18"/>
          <w:szCs w:val="18"/>
          <w:u w:val="none"/>
          <w:vertAlign w:val="superscript"/>
        </w:rPr>
        <w:footnoteRef/>
      </w:r>
      <w:r w:rsidRPr="00584A8D">
        <w:rPr>
          <w:snapToGrid w:val="0"/>
          <w:kern w:val="18"/>
          <w:szCs w:val="18"/>
        </w:rPr>
        <w:t xml:space="preserve"> Disinfection means the application, after thorough cleansing, of procedures intended to destroy the infectious or parasitic agents of animal diseases, including zoonoses; this applies to premises, vehicles and different objects which may have been directly or indirectly contaminated (</w:t>
      </w:r>
      <w:hyperlink r:id="rId23" w:history="1">
        <w:r w:rsidRPr="00584A8D">
          <w:rPr>
            <w:rStyle w:val="Hyperlink"/>
            <w:snapToGrid w:val="0"/>
            <w:kern w:val="18"/>
            <w:szCs w:val="18"/>
          </w:rPr>
          <w:t>OIE Terrestrial Animal Health Code</w:t>
        </w:r>
      </w:hyperlink>
      <w:r w:rsidRPr="00584A8D">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0197CDAC" w14:textId="126C9686" w:rsidR="00533D0D" w:rsidRDefault="00533D0D" w:rsidP="00584A8D">
        <w:pPr>
          <w:pStyle w:val="Header"/>
          <w:tabs>
            <w:tab w:val="clear" w:pos="4320"/>
            <w:tab w:val="clear" w:pos="8640"/>
          </w:tabs>
          <w:kinsoku w:val="0"/>
          <w:overflowPunct w:val="0"/>
          <w:autoSpaceDE w:val="0"/>
          <w:autoSpaceDN w:val="0"/>
          <w:jc w:val="left"/>
          <w:rPr>
            <w:noProof/>
            <w:kern w:val="22"/>
          </w:rPr>
        </w:pPr>
        <w:r>
          <w:rPr>
            <w:noProof/>
            <w:kern w:val="22"/>
          </w:rPr>
          <w:t>CBD/SBSTTA/22/9</w:t>
        </w:r>
      </w:p>
    </w:sdtContent>
  </w:sdt>
  <w:p w14:paraId="37B9FCC7" w14:textId="336F31CA" w:rsidR="00533D0D" w:rsidRPr="005440A6" w:rsidRDefault="00533D0D" w:rsidP="00584A8D">
    <w:pPr>
      <w:pStyle w:val="Header"/>
      <w:tabs>
        <w:tab w:val="clear" w:pos="4320"/>
        <w:tab w:val="clear" w:pos="8640"/>
      </w:tabs>
      <w:kinsoku w:val="0"/>
      <w:overflowPunct w:val="0"/>
      <w:autoSpaceDE w:val="0"/>
      <w:autoSpaceDN w:val="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901E59">
      <w:rPr>
        <w:noProof/>
        <w:kern w:val="22"/>
      </w:rPr>
      <w:t>10</w:t>
    </w:r>
    <w:r w:rsidRPr="005440A6">
      <w:rPr>
        <w:noProof/>
        <w:kern w:val="22"/>
      </w:rPr>
      <w:fldChar w:fldCharType="end"/>
    </w:r>
  </w:p>
  <w:p w14:paraId="75232818" w14:textId="77777777" w:rsidR="00533D0D" w:rsidRPr="005440A6" w:rsidRDefault="00533D0D" w:rsidP="00584A8D">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2D260142" w14:textId="6AD750F1" w:rsidR="00533D0D" w:rsidRPr="005440A6" w:rsidRDefault="00533D0D" w:rsidP="00584A8D">
        <w:pPr>
          <w:pStyle w:val="Header"/>
          <w:tabs>
            <w:tab w:val="clear" w:pos="4320"/>
            <w:tab w:val="clear" w:pos="8640"/>
          </w:tabs>
          <w:kinsoku w:val="0"/>
          <w:overflowPunct w:val="0"/>
          <w:autoSpaceDE w:val="0"/>
          <w:autoSpaceDN w:val="0"/>
          <w:jc w:val="right"/>
          <w:rPr>
            <w:noProof/>
            <w:kern w:val="22"/>
          </w:rPr>
        </w:pPr>
        <w:r>
          <w:rPr>
            <w:noProof/>
            <w:kern w:val="22"/>
          </w:rPr>
          <w:t>CBD/SBSTTA/22/9</w:t>
        </w:r>
      </w:p>
    </w:sdtContent>
  </w:sdt>
  <w:p w14:paraId="260B0204" w14:textId="2FF23969" w:rsidR="00533D0D" w:rsidRPr="005440A6" w:rsidRDefault="00533D0D" w:rsidP="00584A8D">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901E59">
      <w:rPr>
        <w:noProof/>
        <w:kern w:val="22"/>
      </w:rPr>
      <w:t>9</w:t>
    </w:r>
    <w:r w:rsidRPr="005440A6">
      <w:rPr>
        <w:noProof/>
        <w:kern w:val="22"/>
      </w:rPr>
      <w:fldChar w:fldCharType="end"/>
    </w:r>
  </w:p>
  <w:p w14:paraId="0F592068" w14:textId="77777777" w:rsidR="00533D0D" w:rsidRPr="005440A6" w:rsidRDefault="00533D0D" w:rsidP="00584A8D">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661"/>
    <w:multiLevelType w:val="hybridMultilevel"/>
    <w:tmpl w:val="08B084CA"/>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44259"/>
    <w:multiLevelType w:val="hybridMultilevel"/>
    <w:tmpl w:val="375633CC"/>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6C96A37"/>
    <w:multiLevelType w:val="hybridMultilevel"/>
    <w:tmpl w:val="2A96392E"/>
    <w:lvl w:ilvl="0" w:tplc="532E5D0C">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92597"/>
    <w:multiLevelType w:val="hybridMultilevel"/>
    <w:tmpl w:val="BCA48D8E"/>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4C0A6C"/>
    <w:multiLevelType w:val="multilevel"/>
    <w:tmpl w:val="06E871E4"/>
    <w:numStyleLink w:val="IPPParagraphnumberedlist"/>
  </w:abstractNum>
  <w:abstractNum w:abstractNumId="5" w15:restartNumberingAfterBreak="0">
    <w:nsid w:val="0A910917"/>
    <w:multiLevelType w:val="hybridMultilevel"/>
    <w:tmpl w:val="434C48F2"/>
    <w:lvl w:ilvl="0" w:tplc="FA2292B6">
      <w:start w:val="1"/>
      <w:numFmt w:val="decimal"/>
      <w:lvlText w:val="%1."/>
      <w:lvlJc w:val="left"/>
      <w:pPr>
        <w:ind w:left="720" w:hanging="360"/>
      </w:pPr>
      <w:rPr>
        <w:i w:val="0"/>
      </w:rPr>
    </w:lvl>
    <w:lvl w:ilvl="1" w:tplc="EC8C5788">
      <w:start w:val="1"/>
      <w:numFmt w:val="lowerLetter"/>
      <w:lvlText w:val="(%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D7978"/>
    <w:multiLevelType w:val="hybridMultilevel"/>
    <w:tmpl w:val="09C4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A07C4"/>
    <w:multiLevelType w:val="hybridMultilevel"/>
    <w:tmpl w:val="DE66A11C"/>
    <w:lvl w:ilvl="0" w:tplc="C372770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359627F"/>
    <w:multiLevelType w:val="hybridMultilevel"/>
    <w:tmpl w:val="D6C86438"/>
    <w:lvl w:ilvl="0" w:tplc="8AAE969E">
      <w:start w:val="1"/>
      <w:numFmt w:val="lowerLetter"/>
      <w:lvlText w:val="(%1)"/>
      <w:lvlJc w:val="left"/>
      <w:pPr>
        <w:ind w:left="1377" w:hanging="360"/>
      </w:pPr>
      <w:rPr>
        <w:rFonts w:hint="default"/>
        <w:b w:val="0"/>
      </w:rPr>
    </w:lvl>
    <w:lvl w:ilvl="1" w:tplc="10090019" w:tentative="1">
      <w:start w:val="1"/>
      <w:numFmt w:val="lowerLetter"/>
      <w:lvlText w:val="%2."/>
      <w:lvlJc w:val="left"/>
      <w:pPr>
        <w:ind w:left="2097" w:hanging="360"/>
      </w:pPr>
    </w:lvl>
    <w:lvl w:ilvl="2" w:tplc="1009001B" w:tentative="1">
      <w:start w:val="1"/>
      <w:numFmt w:val="lowerRoman"/>
      <w:lvlText w:val="%3."/>
      <w:lvlJc w:val="right"/>
      <w:pPr>
        <w:ind w:left="2817" w:hanging="180"/>
      </w:pPr>
    </w:lvl>
    <w:lvl w:ilvl="3" w:tplc="1009000F" w:tentative="1">
      <w:start w:val="1"/>
      <w:numFmt w:val="decimal"/>
      <w:lvlText w:val="%4."/>
      <w:lvlJc w:val="left"/>
      <w:pPr>
        <w:ind w:left="3537" w:hanging="360"/>
      </w:pPr>
    </w:lvl>
    <w:lvl w:ilvl="4" w:tplc="10090019" w:tentative="1">
      <w:start w:val="1"/>
      <w:numFmt w:val="lowerLetter"/>
      <w:lvlText w:val="%5."/>
      <w:lvlJc w:val="left"/>
      <w:pPr>
        <w:ind w:left="4257" w:hanging="360"/>
      </w:pPr>
    </w:lvl>
    <w:lvl w:ilvl="5" w:tplc="1009001B" w:tentative="1">
      <w:start w:val="1"/>
      <w:numFmt w:val="lowerRoman"/>
      <w:lvlText w:val="%6."/>
      <w:lvlJc w:val="right"/>
      <w:pPr>
        <w:ind w:left="4977" w:hanging="180"/>
      </w:pPr>
    </w:lvl>
    <w:lvl w:ilvl="6" w:tplc="1009000F" w:tentative="1">
      <w:start w:val="1"/>
      <w:numFmt w:val="decimal"/>
      <w:lvlText w:val="%7."/>
      <w:lvlJc w:val="left"/>
      <w:pPr>
        <w:ind w:left="5697" w:hanging="360"/>
      </w:pPr>
    </w:lvl>
    <w:lvl w:ilvl="7" w:tplc="10090019" w:tentative="1">
      <w:start w:val="1"/>
      <w:numFmt w:val="lowerLetter"/>
      <w:lvlText w:val="%8."/>
      <w:lvlJc w:val="left"/>
      <w:pPr>
        <w:ind w:left="6417" w:hanging="360"/>
      </w:pPr>
    </w:lvl>
    <w:lvl w:ilvl="8" w:tplc="1009001B" w:tentative="1">
      <w:start w:val="1"/>
      <w:numFmt w:val="lowerRoman"/>
      <w:lvlText w:val="%9."/>
      <w:lvlJc w:val="right"/>
      <w:pPr>
        <w:ind w:left="7137" w:hanging="180"/>
      </w:pPr>
    </w:lvl>
  </w:abstractNum>
  <w:abstractNum w:abstractNumId="9" w15:restartNumberingAfterBreak="0">
    <w:nsid w:val="1A1957AA"/>
    <w:multiLevelType w:val="hybridMultilevel"/>
    <w:tmpl w:val="9E34D596"/>
    <w:lvl w:ilvl="0" w:tplc="9474C84A">
      <w:start w:val="1"/>
      <w:numFmt w:val="decimal"/>
      <w:lvlText w:val="%1."/>
      <w:lvlJc w:val="left"/>
      <w:pPr>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4051DF"/>
    <w:multiLevelType w:val="hybridMultilevel"/>
    <w:tmpl w:val="1E98EE22"/>
    <w:lvl w:ilvl="0" w:tplc="17CE933E">
      <w:start w:val="4"/>
      <w:numFmt w:val="upperRoman"/>
      <w:lvlText w:val="%1."/>
      <w:lvlJc w:val="left"/>
      <w:pPr>
        <w:ind w:left="1080" w:hanging="72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C67C4"/>
    <w:multiLevelType w:val="hybridMultilevel"/>
    <w:tmpl w:val="3B4647AC"/>
    <w:lvl w:ilvl="0" w:tplc="92B0D80E">
      <w:start w:val="1"/>
      <w:numFmt w:val="lowerLetter"/>
      <w:lvlText w:val="(%1)"/>
      <w:lvlJc w:val="left"/>
      <w:pPr>
        <w:ind w:left="1429"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F779FC"/>
    <w:multiLevelType w:val="hybridMultilevel"/>
    <w:tmpl w:val="3CA85D3E"/>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4DA7998"/>
    <w:multiLevelType w:val="hybridMultilevel"/>
    <w:tmpl w:val="5734CD38"/>
    <w:lvl w:ilvl="0" w:tplc="6FD26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61A14"/>
    <w:multiLevelType w:val="hybridMultilevel"/>
    <w:tmpl w:val="6F70ADBC"/>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4C73BF"/>
    <w:multiLevelType w:val="hybridMultilevel"/>
    <w:tmpl w:val="5BCAEC8C"/>
    <w:lvl w:ilvl="0" w:tplc="FD2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718A8"/>
    <w:multiLevelType w:val="hybridMultilevel"/>
    <w:tmpl w:val="614AC078"/>
    <w:lvl w:ilvl="0" w:tplc="E68044F8">
      <w:start w:val="4"/>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D3E553F"/>
    <w:multiLevelType w:val="hybridMultilevel"/>
    <w:tmpl w:val="2D22D5F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15:restartNumberingAfterBreak="0">
    <w:nsid w:val="2E861687"/>
    <w:multiLevelType w:val="hybridMultilevel"/>
    <w:tmpl w:val="95B85CEE"/>
    <w:lvl w:ilvl="0" w:tplc="A3C65878">
      <w:start w:val="1"/>
      <w:numFmt w:val="lowerLetter"/>
      <w:lvlText w:val="(%1)"/>
      <w:lvlJc w:val="left"/>
      <w:pPr>
        <w:ind w:left="1429" w:hanging="360"/>
      </w:pPr>
      <w:rPr>
        <w:rFonts w:hint="default"/>
        <w:b w:val="0"/>
        <w:i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0D5243A"/>
    <w:multiLevelType w:val="hybridMultilevel"/>
    <w:tmpl w:val="72F21FEA"/>
    <w:lvl w:ilvl="0" w:tplc="BFB89C8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2" w15:restartNumberingAfterBreak="0">
    <w:nsid w:val="324A7988"/>
    <w:multiLevelType w:val="hybridMultilevel"/>
    <w:tmpl w:val="6FAA4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3E930E7"/>
    <w:multiLevelType w:val="hybridMultilevel"/>
    <w:tmpl w:val="6F70ADBC"/>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63C68AE"/>
    <w:multiLevelType w:val="hybridMultilevel"/>
    <w:tmpl w:val="0844641C"/>
    <w:lvl w:ilvl="0" w:tplc="EA6CDD2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E15617"/>
    <w:multiLevelType w:val="hybridMultilevel"/>
    <w:tmpl w:val="F9B65B4C"/>
    <w:lvl w:ilvl="0" w:tplc="57BAFDBA">
      <w:start w:val="2"/>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335A2D"/>
    <w:multiLevelType w:val="hybridMultilevel"/>
    <w:tmpl w:val="3B4647AC"/>
    <w:lvl w:ilvl="0" w:tplc="92B0D80E">
      <w:start w:val="1"/>
      <w:numFmt w:val="lowerLetter"/>
      <w:lvlText w:val="(%1)"/>
      <w:lvlJc w:val="left"/>
      <w:pPr>
        <w:ind w:left="1429"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85290E"/>
    <w:multiLevelType w:val="hybridMultilevel"/>
    <w:tmpl w:val="9182BD24"/>
    <w:lvl w:ilvl="0" w:tplc="8AAE969E">
      <w:start w:val="1"/>
      <w:numFmt w:val="lowerLetter"/>
      <w:lvlText w:val="(%1)"/>
      <w:lvlJc w:val="left"/>
      <w:pPr>
        <w:ind w:left="1080" w:hanging="360"/>
      </w:pPr>
      <w:rPr>
        <w:rFonts w:hint="default"/>
        <w:b w:val="0"/>
      </w:rPr>
    </w:lvl>
    <w:lvl w:ilvl="1" w:tplc="1009001B">
      <w:start w:val="1"/>
      <w:numFmt w:val="lowerRoman"/>
      <w:lvlText w:val="%2."/>
      <w:lvlJc w:val="right"/>
      <w:pPr>
        <w:ind w:left="1800" w:hanging="360"/>
      </w:pPr>
      <w:rPr>
        <w:rFonts w:hint="default"/>
        <w:i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4A93916"/>
    <w:multiLevelType w:val="hybridMultilevel"/>
    <w:tmpl w:val="7E60A0CE"/>
    <w:lvl w:ilvl="0" w:tplc="757EE49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6754B0E"/>
    <w:multiLevelType w:val="hybridMultilevel"/>
    <w:tmpl w:val="E6B8A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4728530A">
      <w:start w:val="1"/>
      <w:numFmt w:val="decimal"/>
      <w:lvlText w:val="%4."/>
      <w:lvlJc w:val="left"/>
      <w:pPr>
        <w:ind w:left="2880" w:hanging="360"/>
      </w:pPr>
      <w:rPr>
        <w:i w:val="0"/>
      </w:rPr>
    </w:lvl>
    <w:lvl w:ilvl="4" w:tplc="8AAE969E">
      <w:start w:val="1"/>
      <w:numFmt w:val="lowerLetter"/>
      <w:lvlText w:val="(%5)"/>
      <w:lvlJc w:val="left"/>
      <w:pPr>
        <w:ind w:left="3600" w:hanging="360"/>
      </w:pPr>
      <w:rPr>
        <w:rFonts w:hint="default"/>
        <w:b w:val="0"/>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51605E"/>
    <w:multiLevelType w:val="hybridMultilevel"/>
    <w:tmpl w:val="A558D056"/>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4BF52AB1"/>
    <w:multiLevelType w:val="hybridMultilevel"/>
    <w:tmpl w:val="AE6C0B88"/>
    <w:lvl w:ilvl="0" w:tplc="417A3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FD6C2D"/>
    <w:multiLevelType w:val="hybridMultilevel"/>
    <w:tmpl w:val="AB48864A"/>
    <w:lvl w:ilvl="0" w:tplc="5992CA48">
      <w:start w:val="1"/>
      <w:numFmt w:val="lowerRoman"/>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0800ACB"/>
    <w:multiLevelType w:val="hybridMultilevel"/>
    <w:tmpl w:val="8FAC41A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53827806"/>
    <w:multiLevelType w:val="hybridMultilevel"/>
    <w:tmpl w:val="89249386"/>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59E9148B"/>
    <w:multiLevelType w:val="hybridMultilevel"/>
    <w:tmpl w:val="4562341C"/>
    <w:lvl w:ilvl="0" w:tplc="9A983E2A">
      <w:start w:val="1"/>
      <w:numFmt w:val="lowerRoman"/>
      <w:lvlText w:val="%1."/>
      <w:lvlJc w:val="right"/>
      <w:pPr>
        <w:ind w:left="1800" w:hanging="360"/>
      </w:pPr>
      <w:rPr>
        <w:b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5B7A1B39"/>
    <w:multiLevelType w:val="hybridMultilevel"/>
    <w:tmpl w:val="3E603432"/>
    <w:lvl w:ilvl="0" w:tplc="AD9E05B4">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4D33471"/>
    <w:multiLevelType w:val="hybridMultilevel"/>
    <w:tmpl w:val="3DA41726"/>
    <w:lvl w:ilvl="0" w:tplc="B964E542">
      <w:start w:val="3"/>
      <w:numFmt w:val="upperRoman"/>
      <w:lvlText w:val="%1."/>
      <w:lvlJc w:val="left"/>
      <w:pPr>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6547837"/>
    <w:multiLevelType w:val="hybridMultilevel"/>
    <w:tmpl w:val="6F70ADBC"/>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666350D"/>
    <w:multiLevelType w:val="hybridMultilevel"/>
    <w:tmpl w:val="E3607E00"/>
    <w:lvl w:ilvl="0" w:tplc="7520D362">
      <w:start w:val="4"/>
      <w:numFmt w:val="decimal"/>
      <w:lvlText w:val="%1."/>
      <w:lvlJc w:val="left"/>
      <w:pPr>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6941AE9"/>
    <w:multiLevelType w:val="hybridMultilevel"/>
    <w:tmpl w:val="189C6544"/>
    <w:lvl w:ilvl="0" w:tplc="8C24E49A">
      <w:start w:val="1"/>
      <w:numFmt w:val="upperRoman"/>
      <w:lvlText w:val="%1."/>
      <w:lvlJc w:val="left"/>
      <w:pPr>
        <w:ind w:left="1080" w:hanging="720"/>
      </w:pPr>
      <w:rPr>
        <w:rFonts w:hint="default"/>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7417371"/>
    <w:multiLevelType w:val="hybridMultilevel"/>
    <w:tmpl w:val="95FC4E7A"/>
    <w:lvl w:ilvl="0" w:tplc="8AAE969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47B52DE"/>
    <w:multiLevelType w:val="hybridMultilevel"/>
    <w:tmpl w:val="EC1A3430"/>
    <w:lvl w:ilvl="0" w:tplc="1B3292EC">
      <w:start w:val="1"/>
      <w:numFmt w:val="decimal"/>
      <w:lvlText w:val="%1."/>
      <w:lvlJc w:val="left"/>
      <w:pPr>
        <w:ind w:left="1080" w:hanging="720"/>
      </w:pPr>
      <w:rPr>
        <w:rFonts w:eastAsia="Yu Mincho"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290A07"/>
    <w:multiLevelType w:val="hybridMultilevel"/>
    <w:tmpl w:val="08B084CA"/>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125993"/>
    <w:multiLevelType w:val="hybridMultilevel"/>
    <w:tmpl w:val="08609CF2"/>
    <w:lvl w:ilvl="0" w:tplc="CF301D86">
      <w:start w:val="1"/>
      <w:numFmt w:val="decimal"/>
      <w:lvlText w:val="%1."/>
      <w:lvlJc w:val="left"/>
      <w:pPr>
        <w:ind w:left="360" w:hanging="360"/>
      </w:pPr>
      <w:rPr>
        <w:b w:val="0"/>
        <w:i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BA71451"/>
    <w:multiLevelType w:val="hybridMultilevel"/>
    <w:tmpl w:val="95FC4E7A"/>
    <w:lvl w:ilvl="0" w:tplc="8AAE969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7C45445F"/>
    <w:multiLevelType w:val="hybridMultilevel"/>
    <w:tmpl w:val="641C0784"/>
    <w:lvl w:ilvl="0" w:tplc="8AAE969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34"/>
  </w:num>
  <w:num w:numId="3">
    <w:abstractNumId w:val="29"/>
  </w:num>
  <w:num w:numId="4">
    <w:abstractNumId w:val="34"/>
  </w:num>
  <w:num w:numId="5">
    <w:abstractNumId w:val="31"/>
  </w:num>
  <w:num w:numId="6">
    <w:abstractNumId w:val="44"/>
  </w:num>
  <w:num w:numId="7">
    <w:abstractNumId w:val="45"/>
  </w:num>
  <w:num w:numId="8">
    <w:abstractNumId w:val="49"/>
  </w:num>
  <w:num w:numId="9">
    <w:abstractNumId w:val="27"/>
  </w:num>
  <w:num w:numId="10">
    <w:abstractNumId w:val="39"/>
  </w:num>
  <w:num w:numId="11">
    <w:abstractNumId w:val="28"/>
  </w:num>
  <w:num w:numId="12">
    <w:abstractNumId w:val="21"/>
  </w:num>
  <w:num w:numId="13">
    <w:abstractNumId w:val="47"/>
  </w:num>
  <w:num w:numId="14">
    <w:abstractNumId w:val="38"/>
  </w:num>
  <w:num w:numId="15">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3"/>
  </w:num>
  <w:num w:numId="17">
    <w:abstractNumId w:val="35"/>
  </w:num>
  <w:num w:numId="18">
    <w:abstractNumId w:val="8"/>
  </w:num>
  <w:num w:numId="19">
    <w:abstractNumId w:val="5"/>
  </w:num>
  <w:num w:numId="20">
    <w:abstractNumId w:val="14"/>
  </w:num>
  <w:num w:numId="21">
    <w:abstractNumId w:val="42"/>
  </w:num>
  <w:num w:numId="22">
    <w:abstractNumId w:val="50"/>
  </w:num>
  <w:num w:numId="23">
    <w:abstractNumId w:val="1"/>
  </w:num>
  <w:num w:numId="24">
    <w:abstractNumId w:val="37"/>
  </w:num>
  <w:num w:numId="25">
    <w:abstractNumId w:val="36"/>
  </w:num>
  <w:num w:numId="26">
    <w:abstractNumId w:val="32"/>
  </w:num>
  <w:num w:numId="27">
    <w:abstractNumId w:val="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8"/>
  </w:num>
  <w:num w:numId="31">
    <w:abstractNumId w:val="20"/>
  </w:num>
  <w:num w:numId="32">
    <w:abstractNumId w:val="22"/>
  </w:num>
  <w:num w:numId="33">
    <w:abstractNumId w:val="25"/>
  </w:num>
  <w:num w:numId="34">
    <w:abstractNumId w:val="46"/>
  </w:num>
  <w:num w:numId="35">
    <w:abstractNumId w:val="9"/>
  </w:num>
  <w:num w:numId="36">
    <w:abstractNumId w:val="0"/>
  </w:num>
  <w:num w:numId="37">
    <w:abstractNumId w:val="17"/>
  </w:num>
  <w:num w:numId="38">
    <w:abstractNumId w:val="15"/>
  </w:num>
  <w:num w:numId="39">
    <w:abstractNumId w:val="16"/>
  </w:num>
  <w:num w:numId="40">
    <w:abstractNumId w:val="43"/>
  </w:num>
  <w:num w:numId="41">
    <w:abstractNumId w:val="11"/>
  </w:num>
  <w:num w:numId="42">
    <w:abstractNumId w:val="48"/>
  </w:num>
  <w:num w:numId="43">
    <w:abstractNumId w:val="40"/>
  </w:num>
  <w:num w:numId="44">
    <w:abstractNumId w:val="51"/>
  </w:num>
  <w:num w:numId="45">
    <w:abstractNumId w:val="12"/>
  </w:num>
  <w:num w:numId="46">
    <w:abstractNumId w:val="3"/>
  </w:num>
  <w:num w:numId="47">
    <w:abstractNumId w:val="41"/>
  </w:num>
  <w:num w:numId="48">
    <w:abstractNumId w:val="10"/>
  </w:num>
  <w:num w:numId="49">
    <w:abstractNumId w:val="26"/>
  </w:num>
  <w:num w:numId="50">
    <w:abstractNumId w:val="13"/>
  </w:num>
  <w:num w:numId="51">
    <w:abstractNumId w:val="33"/>
  </w:num>
  <w:num w:numId="52">
    <w:abstractNumId w:val="6"/>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283"/>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256A"/>
    <w:rsid w:val="00007B4B"/>
    <w:rsid w:val="00011CC5"/>
    <w:rsid w:val="0001469A"/>
    <w:rsid w:val="00020682"/>
    <w:rsid w:val="000219AC"/>
    <w:rsid w:val="00030E69"/>
    <w:rsid w:val="00031D24"/>
    <w:rsid w:val="000322C6"/>
    <w:rsid w:val="0003340D"/>
    <w:rsid w:val="00037873"/>
    <w:rsid w:val="00040A26"/>
    <w:rsid w:val="00042AA7"/>
    <w:rsid w:val="00043144"/>
    <w:rsid w:val="00043627"/>
    <w:rsid w:val="00043A85"/>
    <w:rsid w:val="000450B1"/>
    <w:rsid w:val="000454D9"/>
    <w:rsid w:val="000526D1"/>
    <w:rsid w:val="00054381"/>
    <w:rsid w:val="00054C6E"/>
    <w:rsid w:val="00067088"/>
    <w:rsid w:val="00067D49"/>
    <w:rsid w:val="00070B54"/>
    <w:rsid w:val="000711E1"/>
    <w:rsid w:val="00072EAF"/>
    <w:rsid w:val="00073708"/>
    <w:rsid w:val="000763FC"/>
    <w:rsid w:val="00077500"/>
    <w:rsid w:val="00080473"/>
    <w:rsid w:val="000809EC"/>
    <w:rsid w:val="00081040"/>
    <w:rsid w:val="0008244E"/>
    <w:rsid w:val="0008335D"/>
    <w:rsid w:val="00083BE9"/>
    <w:rsid w:val="0008479C"/>
    <w:rsid w:val="000863A6"/>
    <w:rsid w:val="00091761"/>
    <w:rsid w:val="00091A46"/>
    <w:rsid w:val="00092AE1"/>
    <w:rsid w:val="000937E0"/>
    <w:rsid w:val="000939F4"/>
    <w:rsid w:val="00094AE1"/>
    <w:rsid w:val="0009704D"/>
    <w:rsid w:val="000A3D53"/>
    <w:rsid w:val="000A734E"/>
    <w:rsid w:val="000B00A0"/>
    <w:rsid w:val="000B64C0"/>
    <w:rsid w:val="000B70E6"/>
    <w:rsid w:val="000C1ED5"/>
    <w:rsid w:val="000D0720"/>
    <w:rsid w:val="000D0ED7"/>
    <w:rsid w:val="000D15FB"/>
    <w:rsid w:val="000D1EC7"/>
    <w:rsid w:val="000D3AB6"/>
    <w:rsid w:val="000D6D02"/>
    <w:rsid w:val="000E205D"/>
    <w:rsid w:val="000E2AD1"/>
    <w:rsid w:val="000E637D"/>
    <w:rsid w:val="000E6663"/>
    <w:rsid w:val="000E7224"/>
    <w:rsid w:val="000E7655"/>
    <w:rsid w:val="000E7E6A"/>
    <w:rsid w:val="000F566D"/>
    <w:rsid w:val="000F5ADB"/>
    <w:rsid w:val="000F63AB"/>
    <w:rsid w:val="000F7163"/>
    <w:rsid w:val="00102F35"/>
    <w:rsid w:val="001044C4"/>
    <w:rsid w:val="001074F8"/>
    <w:rsid w:val="00107EFB"/>
    <w:rsid w:val="00112912"/>
    <w:rsid w:val="001133DA"/>
    <w:rsid w:val="0012214B"/>
    <w:rsid w:val="001228FD"/>
    <w:rsid w:val="00123012"/>
    <w:rsid w:val="00125686"/>
    <w:rsid w:val="0012695B"/>
    <w:rsid w:val="00127323"/>
    <w:rsid w:val="00127DBA"/>
    <w:rsid w:val="001322B3"/>
    <w:rsid w:val="00132628"/>
    <w:rsid w:val="00133F7C"/>
    <w:rsid w:val="0013426B"/>
    <w:rsid w:val="00135FF5"/>
    <w:rsid w:val="001361FA"/>
    <w:rsid w:val="00137D7C"/>
    <w:rsid w:val="00143BFF"/>
    <w:rsid w:val="00144A55"/>
    <w:rsid w:val="00147069"/>
    <w:rsid w:val="0014789D"/>
    <w:rsid w:val="00147F7E"/>
    <w:rsid w:val="00152F9E"/>
    <w:rsid w:val="0015582F"/>
    <w:rsid w:val="00155D3E"/>
    <w:rsid w:val="00157B6C"/>
    <w:rsid w:val="0016521D"/>
    <w:rsid w:val="00166367"/>
    <w:rsid w:val="00170FB4"/>
    <w:rsid w:val="00171927"/>
    <w:rsid w:val="00175787"/>
    <w:rsid w:val="001811DD"/>
    <w:rsid w:val="00182A1B"/>
    <w:rsid w:val="0018437E"/>
    <w:rsid w:val="001848CF"/>
    <w:rsid w:val="00192E06"/>
    <w:rsid w:val="001966B1"/>
    <w:rsid w:val="001A23D3"/>
    <w:rsid w:val="001A5072"/>
    <w:rsid w:val="001C6C48"/>
    <w:rsid w:val="001C7590"/>
    <w:rsid w:val="001D172A"/>
    <w:rsid w:val="001D2472"/>
    <w:rsid w:val="001D2937"/>
    <w:rsid w:val="001D6AF9"/>
    <w:rsid w:val="001D6F33"/>
    <w:rsid w:val="001D6FF9"/>
    <w:rsid w:val="001D73AD"/>
    <w:rsid w:val="001D7803"/>
    <w:rsid w:val="001E0C5B"/>
    <w:rsid w:val="001E28F1"/>
    <w:rsid w:val="001E495C"/>
    <w:rsid w:val="001E658B"/>
    <w:rsid w:val="001E7161"/>
    <w:rsid w:val="001E7938"/>
    <w:rsid w:val="001F54A5"/>
    <w:rsid w:val="001F5D56"/>
    <w:rsid w:val="001F6379"/>
    <w:rsid w:val="001F655B"/>
    <w:rsid w:val="001F672C"/>
    <w:rsid w:val="002012B6"/>
    <w:rsid w:val="00203EAC"/>
    <w:rsid w:val="00204415"/>
    <w:rsid w:val="00205D79"/>
    <w:rsid w:val="00206E5E"/>
    <w:rsid w:val="00207A6E"/>
    <w:rsid w:val="00212B62"/>
    <w:rsid w:val="00215643"/>
    <w:rsid w:val="00222623"/>
    <w:rsid w:val="00224B92"/>
    <w:rsid w:val="002268E0"/>
    <w:rsid w:val="00232D95"/>
    <w:rsid w:val="002352CD"/>
    <w:rsid w:val="002357E1"/>
    <w:rsid w:val="0024195A"/>
    <w:rsid w:val="0024424D"/>
    <w:rsid w:val="002442EC"/>
    <w:rsid w:val="0024487B"/>
    <w:rsid w:val="00245038"/>
    <w:rsid w:val="002459C0"/>
    <w:rsid w:val="002516DD"/>
    <w:rsid w:val="00252897"/>
    <w:rsid w:val="0025735B"/>
    <w:rsid w:val="00261ADB"/>
    <w:rsid w:val="00262AAB"/>
    <w:rsid w:val="002635CD"/>
    <w:rsid w:val="002638C5"/>
    <w:rsid w:val="00266469"/>
    <w:rsid w:val="00272642"/>
    <w:rsid w:val="00272963"/>
    <w:rsid w:val="00280A7A"/>
    <w:rsid w:val="002875A6"/>
    <w:rsid w:val="00290376"/>
    <w:rsid w:val="00291726"/>
    <w:rsid w:val="00292EA1"/>
    <w:rsid w:val="00292F7C"/>
    <w:rsid w:val="0029349F"/>
    <w:rsid w:val="002972D8"/>
    <w:rsid w:val="002977AF"/>
    <w:rsid w:val="002977ED"/>
    <w:rsid w:val="002A2D1A"/>
    <w:rsid w:val="002A3230"/>
    <w:rsid w:val="002B0371"/>
    <w:rsid w:val="002B0576"/>
    <w:rsid w:val="002B0942"/>
    <w:rsid w:val="002B26B8"/>
    <w:rsid w:val="002B3E22"/>
    <w:rsid w:val="002B4BF9"/>
    <w:rsid w:val="002C2926"/>
    <w:rsid w:val="002C3EF3"/>
    <w:rsid w:val="002C54FB"/>
    <w:rsid w:val="002C6E82"/>
    <w:rsid w:val="002D08D7"/>
    <w:rsid w:val="002D11BE"/>
    <w:rsid w:val="002D34EA"/>
    <w:rsid w:val="002D37D5"/>
    <w:rsid w:val="002D46D8"/>
    <w:rsid w:val="002D611B"/>
    <w:rsid w:val="002E11DD"/>
    <w:rsid w:val="002E2113"/>
    <w:rsid w:val="002E2C70"/>
    <w:rsid w:val="002E3C55"/>
    <w:rsid w:val="002E4C77"/>
    <w:rsid w:val="002E52E3"/>
    <w:rsid w:val="002E66C7"/>
    <w:rsid w:val="002E711D"/>
    <w:rsid w:val="002F1C31"/>
    <w:rsid w:val="002F2223"/>
    <w:rsid w:val="002F3C2E"/>
    <w:rsid w:val="00301F42"/>
    <w:rsid w:val="00302843"/>
    <w:rsid w:val="003050F7"/>
    <w:rsid w:val="003069F7"/>
    <w:rsid w:val="00306CC7"/>
    <w:rsid w:val="0030773F"/>
    <w:rsid w:val="00320C95"/>
    <w:rsid w:val="003210FF"/>
    <w:rsid w:val="00322B4C"/>
    <w:rsid w:val="0032346E"/>
    <w:rsid w:val="00323A9F"/>
    <w:rsid w:val="0032575F"/>
    <w:rsid w:val="00325DE3"/>
    <w:rsid w:val="00327FED"/>
    <w:rsid w:val="00332963"/>
    <w:rsid w:val="00336766"/>
    <w:rsid w:val="003421DD"/>
    <w:rsid w:val="00347106"/>
    <w:rsid w:val="00350BDD"/>
    <w:rsid w:val="003545CE"/>
    <w:rsid w:val="00355AEC"/>
    <w:rsid w:val="0035655C"/>
    <w:rsid w:val="00357EFE"/>
    <w:rsid w:val="0036174E"/>
    <w:rsid w:val="00364C4A"/>
    <w:rsid w:val="0037097D"/>
    <w:rsid w:val="00375096"/>
    <w:rsid w:val="0038212E"/>
    <w:rsid w:val="00382535"/>
    <w:rsid w:val="00382AF5"/>
    <w:rsid w:val="00383034"/>
    <w:rsid w:val="003858E6"/>
    <w:rsid w:val="00387688"/>
    <w:rsid w:val="00392CF0"/>
    <w:rsid w:val="00395E65"/>
    <w:rsid w:val="003A0856"/>
    <w:rsid w:val="003B10B9"/>
    <w:rsid w:val="003B1160"/>
    <w:rsid w:val="003B1383"/>
    <w:rsid w:val="003B51DC"/>
    <w:rsid w:val="003B749A"/>
    <w:rsid w:val="003C113F"/>
    <w:rsid w:val="003C28F6"/>
    <w:rsid w:val="003C392E"/>
    <w:rsid w:val="003C3DAA"/>
    <w:rsid w:val="003C7622"/>
    <w:rsid w:val="003D2654"/>
    <w:rsid w:val="003D7CDD"/>
    <w:rsid w:val="003E158F"/>
    <w:rsid w:val="003E2DAE"/>
    <w:rsid w:val="003E4652"/>
    <w:rsid w:val="003E7890"/>
    <w:rsid w:val="003E7E69"/>
    <w:rsid w:val="003F097C"/>
    <w:rsid w:val="003F51C3"/>
    <w:rsid w:val="003F5DE0"/>
    <w:rsid w:val="003F6E44"/>
    <w:rsid w:val="00400239"/>
    <w:rsid w:val="004035DE"/>
    <w:rsid w:val="004051B0"/>
    <w:rsid w:val="00406BC6"/>
    <w:rsid w:val="00412E2E"/>
    <w:rsid w:val="00414CA6"/>
    <w:rsid w:val="004212A3"/>
    <w:rsid w:val="00421B44"/>
    <w:rsid w:val="00422AA6"/>
    <w:rsid w:val="0043336A"/>
    <w:rsid w:val="00436BAF"/>
    <w:rsid w:val="00437F33"/>
    <w:rsid w:val="0044153B"/>
    <w:rsid w:val="0044424E"/>
    <w:rsid w:val="0045022F"/>
    <w:rsid w:val="004504A8"/>
    <w:rsid w:val="00453A94"/>
    <w:rsid w:val="00453BF8"/>
    <w:rsid w:val="0045601D"/>
    <w:rsid w:val="004575C8"/>
    <w:rsid w:val="00457756"/>
    <w:rsid w:val="004616B1"/>
    <w:rsid w:val="00467997"/>
    <w:rsid w:val="00480F86"/>
    <w:rsid w:val="00483C34"/>
    <w:rsid w:val="00484354"/>
    <w:rsid w:val="0048713F"/>
    <w:rsid w:val="00487DEB"/>
    <w:rsid w:val="00493939"/>
    <w:rsid w:val="004A499F"/>
    <w:rsid w:val="004A4B6B"/>
    <w:rsid w:val="004A517E"/>
    <w:rsid w:val="004A6A2F"/>
    <w:rsid w:val="004B3D73"/>
    <w:rsid w:val="004B597A"/>
    <w:rsid w:val="004B6F64"/>
    <w:rsid w:val="004C0594"/>
    <w:rsid w:val="004D0394"/>
    <w:rsid w:val="004D1EC1"/>
    <w:rsid w:val="004D280A"/>
    <w:rsid w:val="004D46D3"/>
    <w:rsid w:val="004D5233"/>
    <w:rsid w:val="004F14B2"/>
    <w:rsid w:val="004F19B8"/>
    <w:rsid w:val="004F1AA0"/>
    <w:rsid w:val="004F2C04"/>
    <w:rsid w:val="004F38BD"/>
    <w:rsid w:val="004F38F5"/>
    <w:rsid w:val="004F49EC"/>
    <w:rsid w:val="00500530"/>
    <w:rsid w:val="00501B3F"/>
    <w:rsid w:val="00503054"/>
    <w:rsid w:val="005032C9"/>
    <w:rsid w:val="00506AED"/>
    <w:rsid w:val="00516C26"/>
    <w:rsid w:val="00517B15"/>
    <w:rsid w:val="00524B75"/>
    <w:rsid w:val="0052690B"/>
    <w:rsid w:val="00531EA0"/>
    <w:rsid w:val="00533D0D"/>
    <w:rsid w:val="00534760"/>
    <w:rsid w:val="0054202C"/>
    <w:rsid w:val="0054367D"/>
    <w:rsid w:val="005440A6"/>
    <w:rsid w:val="00544119"/>
    <w:rsid w:val="005454A8"/>
    <w:rsid w:val="00546C1B"/>
    <w:rsid w:val="0055383F"/>
    <w:rsid w:val="00554A03"/>
    <w:rsid w:val="005565E0"/>
    <w:rsid w:val="005610FE"/>
    <w:rsid w:val="00565330"/>
    <w:rsid w:val="0056605E"/>
    <w:rsid w:val="00576E57"/>
    <w:rsid w:val="00577687"/>
    <w:rsid w:val="0058035D"/>
    <w:rsid w:val="005838C4"/>
    <w:rsid w:val="00584A8D"/>
    <w:rsid w:val="00585878"/>
    <w:rsid w:val="00585D9B"/>
    <w:rsid w:val="00586CF8"/>
    <w:rsid w:val="005940D5"/>
    <w:rsid w:val="005955D2"/>
    <w:rsid w:val="005962A4"/>
    <w:rsid w:val="005A3002"/>
    <w:rsid w:val="005A4284"/>
    <w:rsid w:val="005A60BD"/>
    <w:rsid w:val="005B0C07"/>
    <w:rsid w:val="005B304B"/>
    <w:rsid w:val="005B4523"/>
    <w:rsid w:val="005B51AF"/>
    <w:rsid w:val="005B59F9"/>
    <w:rsid w:val="005B670A"/>
    <w:rsid w:val="005C189A"/>
    <w:rsid w:val="005C1C89"/>
    <w:rsid w:val="005C1D38"/>
    <w:rsid w:val="005C2424"/>
    <w:rsid w:val="005C4B9B"/>
    <w:rsid w:val="005C6937"/>
    <w:rsid w:val="005D139C"/>
    <w:rsid w:val="005D5EF4"/>
    <w:rsid w:val="005D626D"/>
    <w:rsid w:val="005D74C0"/>
    <w:rsid w:val="005E1352"/>
    <w:rsid w:val="005E2A4A"/>
    <w:rsid w:val="005E53BC"/>
    <w:rsid w:val="005E7B43"/>
    <w:rsid w:val="005F0C45"/>
    <w:rsid w:val="005F2163"/>
    <w:rsid w:val="005F416D"/>
    <w:rsid w:val="005F4738"/>
    <w:rsid w:val="005F4C74"/>
    <w:rsid w:val="005F57A1"/>
    <w:rsid w:val="005F7B53"/>
    <w:rsid w:val="00603D71"/>
    <w:rsid w:val="00610DAB"/>
    <w:rsid w:val="006119C5"/>
    <w:rsid w:val="00612729"/>
    <w:rsid w:val="0061430C"/>
    <w:rsid w:val="0062057C"/>
    <w:rsid w:val="006210B6"/>
    <w:rsid w:val="006227E9"/>
    <w:rsid w:val="006260D5"/>
    <w:rsid w:val="006305EA"/>
    <w:rsid w:val="00632746"/>
    <w:rsid w:val="006357B6"/>
    <w:rsid w:val="00645E4D"/>
    <w:rsid w:val="00647E1A"/>
    <w:rsid w:val="00650442"/>
    <w:rsid w:val="006507F2"/>
    <w:rsid w:val="006542D7"/>
    <w:rsid w:val="0065473E"/>
    <w:rsid w:val="00655184"/>
    <w:rsid w:val="006566D4"/>
    <w:rsid w:val="00657604"/>
    <w:rsid w:val="00657FE0"/>
    <w:rsid w:val="00664E56"/>
    <w:rsid w:val="0067680B"/>
    <w:rsid w:val="00676AFC"/>
    <w:rsid w:val="00677072"/>
    <w:rsid w:val="0068064B"/>
    <w:rsid w:val="00681DB2"/>
    <w:rsid w:val="006838C0"/>
    <w:rsid w:val="006856BA"/>
    <w:rsid w:val="00690847"/>
    <w:rsid w:val="006908E1"/>
    <w:rsid w:val="0069300A"/>
    <w:rsid w:val="006930B5"/>
    <w:rsid w:val="00694DAF"/>
    <w:rsid w:val="00697844"/>
    <w:rsid w:val="006A0FBD"/>
    <w:rsid w:val="006A49A9"/>
    <w:rsid w:val="006B074E"/>
    <w:rsid w:val="006B1163"/>
    <w:rsid w:val="006B21A7"/>
    <w:rsid w:val="006B2BD5"/>
    <w:rsid w:val="006B4437"/>
    <w:rsid w:val="006B6FD2"/>
    <w:rsid w:val="006C521A"/>
    <w:rsid w:val="006D0E3D"/>
    <w:rsid w:val="006D336D"/>
    <w:rsid w:val="006D55B4"/>
    <w:rsid w:val="006D5F37"/>
    <w:rsid w:val="006D6876"/>
    <w:rsid w:val="006D6F57"/>
    <w:rsid w:val="006D769E"/>
    <w:rsid w:val="006E0F35"/>
    <w:rsid w:val="006F03BB"/>
    <w:rsid w:val="006F09B1"/>
    <w:rsid w:val="006F107B"/>
    <w:rsid w:val="006F284C"/>
    <w:rsid w:val="006F3FC6"/>
    <w:rsid w:val="006F7227"/>
    <w:rsid w:val="006F7F12"/>
    <w:rsid w:val="00702366"/>
    <w:rsid w:val="007065AB"/>
    <w:rsid w:val="007163BC"/>
    <w:rsid w:val="00720FB4"/>
    <w:rsid w:val="007220AD"/>
    <w:rsid w:val="00722115"/>
    <w:rsid w:val="00730AE3"/>
    <w:rsid w:val="00734082"/>
    <w:rsid w:val="00736BC2"/>
    <w:rsid w:val="00745F78"/>
    <w:rsid w:val="00755069"/>
    <w:rsid w:val="00756F19"/>
    <w:rsid w:val="00757518"/>
    <w:rsid w:val="00765B80"/>
    <w:rsid w:val="00765CB9"/>
    <w:rsid w:val="00766060"/>
    <w:rsid w:val="00766386"/>
    <w:rsid w:val="00767D84"/>
    <w:rsid w:val="007754EE"/>
    <w:rsid w:val="0077620D"/>
    <w:rsid w:val="00783C70"/>
    <w:rsid w:val="007919D7"/>
    <w:rsid w:val="00792F21"/>
    <w:rsid w:val="0079325E"/>
    <w:rsid w:val="00793897"/>
    <w:rsid w:val="007A1181"/>
    <w:rsid w:val="007A1754"/>
    <w:rsid w:val="007A2BBC"/>
    <w:rsid w:val="007B1587"/>
    <w:rsid w:val="007B1BD6"/>
    <w:rsid w:val="007B2D4C"/>
    <w:rsid w:val="007C22FE"/>
    <w:rsid w:val="007C3FEA"/>
    <w:rsid w:val="007C503A"/>
    <w:rsid w:val="007C5115"/>
    <w:rsid w:val="007C5285"/>
    <w:rsid w:val="007C633B"/>
    <w:rsid w:val="007C64A7"/>
    <w:rsid w:val="007C6658"/>
    <w:rsid w:val="007C7B24"/>
    <w:rsid w:val="007D20C3"/>
    <w:rsid w:val="007D3182"/>
    <w:rsid w:val="007D5657"/>
    <w:rsid w:val="007D6294"/>
    <w:rsid w:val="007D6507"/>
    <w:rsid w:val="007D68FB"/>
    <w:rsid w:val="007D7480"/>
    <w:rsid w:val="007E0597"/>
    <w:rsid w:val="007E4BED"/>
    <w:rsid w:val="007F00DF"/>
    <w:rsid w:val="007F0522"/>
    <w:rsid w:val="007F72DC"/>
    <w:rsid w:val="008003B5"/>
    <w:rsid w:val="00802013"/>
    <w:rsid w:val="0080253D"/>
    <w:rsid w:val="008027E3"/>
    <w:rsid w:val="00802877"/>
    <w:rsid w:val="008038E2"/>
    <w:rsid w:val="008042DE"/>
    <w:rsid w:val="00807A8D"/>
    <w:rsid w:val="00810036"/>
    <w:rsid w:val="0081198C"/>
    <w:rsid w:val="00813A7B"/>
    <w:rsid w:val="00814626"/>
    <w:rsid w:val="0082398F"/>
    <w:rsid w:val="00823D68"/>
    <w:rsid w:val="00825524"/>
    <w:rsid w:val="00826761"/>
    <w:rsid w:val="00826914"/>
    <w:rsid w:val="0083211E"/>
    <w:rsid w:val="00837999"/>
    <w:rsid w:val="00845D24"/>
    <w:rsid w:val="008466E6"/>
    <w:rsid w:val="00850F06"/>
    <w:rsid w:val="00854BCD"/>
    <w:rsid w:val="008609F1"/>
    <w:rsid w:val="00870D40"/>
    <w:rsid w:val="0087279F"/>
    <w:rsid w:val="00877C67"/>
    <w:rsid w:val="00880448"/>
    <w:rsid w:val="008819EF"/>
    <w:rsid w:val="00885C7A"/>
    <w:rsid w:val="008909AB"/>
    <w:rsid w:val="008939C6"/>
    <w:rsid w:val="00897104"/>
    <w:rsid w:val="008A0F30"/>
    <w:rsid w:val="008A1594"/>
    <w:rsid w:val="008A3D5A"/>
    <w:rsid w:val="008A49CC"/>
    <w:rsid w:val="008A6954"/>
    <w:rsid w:val="008A7B99"/>
    <w:rsid w:val="008B04F3"/>
    <w:rsid w:val="008B0ACA"/>
    <w:rsid w:val="008B5682"/>
    <w:rsid w:val="008B638F"/>
    <w:rsid w:val="008C013C"/>
    <w:rsid w:val="008C073C"/>
    <w:rsid w:val="008C1E35"/>
    <w:rsid w:val="008C3735"/>
    <w:rsid w:val="008C3EE4"/>
    <w:rsid w:val="008C4A39"/>
    <w:rsid w:val="008C7BCC"/>
    <w:rsid w:val="008D3083"/>
    <w:rsid w:val="008D5AA2"/>
    <w:rsid w:val="008E2D5C"/>
    <w:rsid w:val="008E4886"/>
    <w:rsid w:val="008E5DFF"/>
    <w:rsid w:val="008E5F84"/>
    <w:rsid w:val="008E6180"/>
    <w:rsid w:val="008E652A"/>
    <w:rsid w:val="008E7500"/>
    <w:rsid w:val="008E7856"/>
    <w:rsid w:val="008E7AF8"/>
    <w:rsid w:val="008F1649"/>
    <w:rsid w:val="008F2852"/>
    <w:rsid w:val="008F2CD1"/>
    <w:rsid w:val="008F34E9"/>
    <w:rsid w:val="008F452A"/>
    <w:rsid w:val="008F5583"/>
    <w:rsid w:val="008F6E42"/>
    <w:rsid w:val="0090024A"/>
    <w:rsid w:val="00901E59"/>
    <w:rsid w:val="00902A3A"/>
    <w:rsid w:val="00902F00"/>
    <w:rsid w:val="009067F8"/>
    <w:rsid w:val="009073AF"/>
    <w:rsid w:val="00907C50"/>
    <w:rsid w:val="0091105C"/>
    <w:rsid w:val="00911FB6"/>
    <w:rsid w:val="009143C0"/>
    <w:rsid w:val="00915DA3"/>
    <w:rsid w:val="00922EAD"/>
    <w:rsid w:val="00924344"/>
    <w:rsid w:val="009271C8"/>
    <w:rsid w:val="009273EC"/>
    <w:rsid w:val="00927538"/>
    <w:rsid w:val="0092794B"/>
    <w:rsid w:val="009316DE"/>
    <w:rsid w:val="00933DD0"/>
    <w:rsid w:val="009344D1"/>
    <w:rsid w:val="00941D24"/>
    <w:rsid w:val="009426C5"/>
    <w:rsid w:val="0094348F"/>
    <w:rsid w:val="0094407A"/>
    <w:rsid w:val="0095088D"/>
    <w:rsid w:val="00952E39"/>
    <w:rsid w:val="00953856"/>
    <w:rsid w:val="0095452C"/>
    <w:rsid w:val="00954DF9"/>
    <w:rsid w:val="009554D5"/>
    <w:rsid w:val="009610A4"/>
    <w:rsid w:val="00965084"/>
    <w:rsid w:val="00966B0C"/>
    <w:rsid w:val="0096752A"/>
    <w:rsid w:val="00970644"/>
    <w:rsid w:val="0097202C"/>
    <w:rsid w:val="0097274F"/>
    <w:rsid w:val="00973E3E"/>
    <w:rsid w:val="0097688D"/>
    <w:rsid w:val="00976BD9"/>
    <w:rsid w:val="00977358"/>
    <w:rsid w:val="0097768D"/>
    <w:rsid w:val="00980216"/>
    <w:rsid w:val="00980BA1"/>
    <w:rsid w:val="0098268D"/>
    <w:rsid w:val="00984522"/>
    <w:rsid w:val="009853E9"/>
    <w:rsid w:val="00990DF6"/>
    <w:rsid w:val="00991CCA"/>
    <w:rsid w:val="009944E1"/>
    <w:rsid w:val="00997CCE"/>
    <w:rsid w:val="009A075D"/>
    <w:rsid w:val="009A0DED"/>
    <w:rsid w:val="009A0F08"/>
    <w:rsid w:val="009A1D4F"/>
    <w:rsid w:val="009A2735"/>
    <w:rsid w:val="009A3393"/>
    <w:rsid w:val="009B2379"/>
    <w:rsid w:val="009B2903"/>
    <w:rsid w:val="009B5E1D"/>
    <w:rsid w:val="009B7F47"/>
    <w:rsid w:val="009C0E6E"/>
    <w:rsid w:val="009C3DC3"/>
    <w:rsid w:val="009C71E3"/>
    <w:rsid w:val="009C7A8B"/>
    <w:rsid w:val="009D1998"/>
    <w:rsid w:val="009D2F92"/>
    <w:rsid w:val="009D60CA"/>
    <w:rsid w:val="009D66E0"/>
    <w:rsid w:val="009E0FC2"/>
    <w:rsid w:val="009E2B79"/>
    <w:rsid w:val="009E3589"/>
    <w:rsid w:val="009F05CC"/>
    <w:rsid w:val="009F1F74"/>
    <w:rsid w:val="00A022AF"/>
    <w:rsid w:val="00A02C81"/>
    <w:rsid w:val="00A05F4C"/>
    <w:rsid w:val="00A10051"/>
    <w:rsid w:val="00A105A5"/>
    <w:rsid w:val="00A1513B"/>
    <w:rsid w:val="00A17D3D"/>
    <w:rsid w:val="00A20F36"/>
    <w:rsid w:val="00A24F7D"/>
    <w:rsid w:val="00A257CA"/>
    <w:rsid w:val="00A2666C"/>
    <w:rsid w:val="00A30B1D"/>
    <w:rsid w:val="00A30DAD"/>
    <w:rsid w:val="00A35766"/>
    <w:rsid w:val="00A372C2"/>
    <w:rsid w:val="00A4054F"/>
    <w:rsid w:val="00A40793"/>
    <w:rsid w:val="00A4123B"/>
    <w:rsid w:val="00A42339"/>
    <w:rsid w:val="00A47E08"/>
    <w:rsid w:val="00A518EF"/>
    <w:rsid w:val="00A51BE9"/>
    <w:rsid w:val="00A5276F"/>
    <w:rsid w:val="00A52DCF"/>
    <w:rsid w:val="00A5670F"/>
    <w:rsid w:val="00A5748C"/>
    <w:rsid w:val="00A60160"/>
    <w:rsid w:val="00A62127"/>
    <w:rsid w:val="00A62F9C"/>
    <w:rsid w:val="00A65A02"/>
    <w:rsid w:val="00A71E30"/>
    <w:rsid w:val="00A75937"/>
    <w:rsid w:val="00A76820"/>
    <w:rsid w:val="00A8273B"/>
    <w:rsid w:val="00A84C16"/>
    <w:rsid w:val="00A92C0F"/>
    <w:rsid w:val="00AA014E"/>
    <w:rsid w:val="00AA1214"/>
    <w:rsid w:val="00AB03AF"/>
    <w:rsid w:val="00AB2438"/>
    <w:rsid w:val="00AB2BE7"/>
    <w:rsid w:val="00AB4C36"/>
    <w:rsid w:val="00AB50F9"/>
    <w:rsid w:val="00AB6AA2"/>
    <w:rsid w:val="00AB774A"/>
    <w:rsid w:val="00AB7E94"/>
    <w:rsid w:val="00AC1E69"/>
    <w:rsid w:val="00AD2162"/>
    <w:rsid w:val="00AD3EB0"/>
    <w:rsid w:val="00AD4877"/>
    <w:rsid w:val="00AD4E77"/>
    <w:rsid w:val="00AD7EAD"/>
    <w:rsid w:val="00AE2481"/>
    <w:rsid w:val="00AF0B93"/>
    <w:rsid w:val="00AF214D"/>
    <w:rsid w:val="00AF79A3"/>
    <w:rsid w:val="00AF7B91"/>
    <w:rsid w:val="00AF7BF7"/>
    <w:rsid w:val="00B04D99"/>
    <w:rsid w:val="00B059F4"/>
    <w:rsid w:val="00B10478"/>
    <w:rsid w:val="00B11DEC"/>
    <w:rsid w:val="00B12594"/>
    <w:rsid w:val="00B138F2"/>
    <w:rsid w:val="00B20626"/>
    <w:rsid w:val="00B26FF9"/>
    <w:rsid w:val="00B271A0"/>
    <w:rsid w:val="00B316CB"/>
    <w:rsid w:val="00B318C8"/>
    <w:rsid w:val="00B3299A"/>
    <w:rsid w:val="00B35272"/>
    <w:rsid w:val="00B464DF"/>
    <w:rsid w:val="00B465F5"/>
    <w:rsid w:val="00B51A23"/>
    <w:rsid w:val="00B51F95"/>
    <w:rsid w:val="00B535AE"/>
    <w:rsid w:val="00B54C95"/>
    <w:rsid w:val="00B56B11"/>
    <w:rsid w:val="00B57FB9"/>
    <w:rsid w:val="00B605B5"/>
    <w:rsid w:val="00B60762"/>
    <w:rsid w:val="00B619B2"/>
    <w:rsid w:val="00B62B9C"/>
    <w:rsid w:val="00B736C4"/>
    <w:rsid w:val="00B750C8"/>
    <w:rsid w:val="00B7629B"/>
    <w:rsid w:val="00B776C5"/>
    <w:rsid w:val="00B8064F"/>
    <w:rsid w:val="00B85D25"/>
    <w:rsid w:val="00B85F9B"/>
    <w:rsid w:val="00B87395"/>
    <w:rsid w:val="00B907BF"/>
    <w:rsid w:val="00B9198C"/>
    <w:rsid w:val="00B955CB"/>
    <w:rsid w:val="00B978DF"/>
    <w:rsid w:val="00BA11A4"/>
    <w:rsid w:val="00BA1498"/>
    <w:rsid w:val="00BA285F"/>
    <w:rsid w:val="00BA28D6"/>
    <w:rsid w:val="00BA3233"/>
    <w:rsid w:val="00BA4B38"/>
    <w:rsid w:val="00BA6DB4"/>
    <w:rsid w:val="00BA7688"/>
    <w:rsid w:val="00BB5A4F"/>
    <w:rsid w:val="00BB724F"/>
    <w:rsid w:val="00BC2839"/>
    <w:rsid w:val="00BC3475"/>
    <w:rsid w:val="00BC4ABF"/>
    <w:rsid w:val="00BC4C65"/>
    <w:rsid w:val="00BC5235"/>
    <w:rsid w:val="00BC5FF2"/>
    <w:rsid w:val="00BC6213"/>
    <w:rsid w:val="00BC68D7"/>
    <w:rsid w:val="00BD5EA1"/>
    <w:rsid w:val="00BE13DD"/>
    <w:rsid w:val="00BE21BF"/>
    <w:rsid w:val="00BE26DE"/>
    <w:rsid w:val="00BE37A4"/>
    <w:rsid w:val="00BE42D2"/>
    <w:rsid w:val="00BE45DE"/>
    <w:rsid w:val="00BF114F"/>
    <w:rsid w:val="00BF2233"/>
    <w:rsid w:val="00BF231D"/>
    <w:rsid w:val="00BF35C8"/>
    <w:rsid w:val="00BF5E53"/>
    <w:rsid w:val="00BF6890"/>
    <w:rsid w:val="00C0222A"/>
    <w:rsid w:val="00C03221"/>
    <w:rsid w:val="00C03B88"/>
    <w:rsid w:val="00C03D94"/>
    <w:rsid w:val="00C05456"/>
    <w:rsid w:val="00C06613"/>
    <w:rsid w:val="00C076A9"/>
    <w:rsid w:val="00C07B4A"/>
    <w:rsid w:val="00C135D6"/>
    <w:rsid w:val="00C15BBB"/>
    <w:rsid w:val="00C251F3"/>
    <w:rsid w:val="00C25602"/>
    <w:rsid w:val="00C312B3"/>
    <w:rsid w:val="00C31FC0"/>
    <w:rsid w:val="00C37FF1"/>
    <w:rsid w:val="00C40F8A"/>
    <w:rsid w:val="00C414D7"/>
    <w:rsid w:val="00C41981"/>
    <w:rsid w:val="00C45108"/>
    <w:rsid w:val="00C507CD"/>
    <w:rsid w:val="00C51F93"/>
    <w:rsid w:val="00C6014E"/>
    <w:rsid w:val="00C64077"/>
    <w:rsid w:val="00C65999"/>
    <w:rsid w:val="00C67E56"/>
    <w:rsid w:val="00C70883"/>
    <w:rsid w:val="00C739FA"/>
    <w:rsid w:val="00C74FC1"/>
    <w:rsid w:val="00C75979"/>
    <w:rsid w:val="00C77E2B"/>
    <w:rsid w:val="00C816E8"/>
    <w:rsid w:val="00C83905"/>
    <w:rsid w:val="00C83EBF"/>
    <w:rsid w:val="00C85EA4"/>
    <w:rsid w:val="00C912FE"/>
    <w:rsid w:val="00C915A0"/>
    <w:rsid w:val="00C917A4"/>
    <w:rsid w:val="00C956D5"/>
    <w:rsid w:val="00C9571C"/>
    <w:rsid w:val="00CA1572"/>
    <w:rsid w:val="00CA4CED"/>
    <w:rsid w:val="00CA6B87"/>
    <w:rsid w:val="00CA7C15"/>
    <w:rsid w:val="00CB0B5B"/>
    <w:rsid w:val="00CB0CEA"/>
    <w:rsid w:val="00CB4344"/>
    <w:rsid w:val="00CB5EC7"/>
    <w:rsid w:val="00CB7882"/>
    <w:rsid w:val="00CC01C5"/>
    <w:rsid w:val="00CC028A"/>
    <w:rsid w:val="00CC1670"/>
    <w:rsid w:val="00CC2031"/>
    <w:rsid w:val="00CC47CE"/>
    <w:rsid w:val="00CD2A82"/>
    <w:rsid w:val="00CD46A3"/>
    <w:rsid w:val="00CD6227"/>
    <w:rsid w:val="00CE0F70"/>
    <w:rsid w:val="00CE3039"/>
    <w:rsid w:val="00CE3F4B"/>
    <w:rsid w:val="00CE51C3"/>
    <w:rsid w:val="00CE54E5"/>
    <w:rsid w:val="00CE5A7C"/>
    <w:rsid w:val="00CE7EA2"/>
    <w:rsid w:val="00CF0EC7"/>
    <w:rsid w:val="00CF4F69"/>
    <w:rsid w:val="00CF5710"/>
    <w:rsid w:val="00CF5F04"/>
    <w:rsid w:val="00CF5FF2"/>
    <w:rsid w:val="00CF716A"/>
    <w:rsid w:val="00CF7438"/>
    <w:rsid w:val="00D01CB7"/>
    <w:rsid w:val="00D030EE"/>
    <w:rsid w:val="00D03B00"/>
    <w:rsid w:val="00D04941"/>
    <w:rsid w:val="00D0579A"/>
    <w:rsid w:val="00D059F8"/>
    <w:rsid w:val="00D05FE0"/>
    <w:rsid w:val="00D1131E"/>
    <w:rsid w:val="00D15589"/>
    <w:rsid w:val="00D16C03"/>
    <w:rsid w:val="00D21DB3"/>
    <w:rsid w:val="00D220E9"/>
    <w:rsid w:val="00D222BA"/>
    <w:rsid w:val="00D22AE8"/>
    <w:rsid w:val="00D238B9"/>
    <w:rsid w:val="00D24B2E"/>
    <w:rsid w:val="00D25CA8"/>
    <w:rsid w:val="00D30AC5"/>
    <w:rsid w:val="00D315ED"/>
    <w:rsid w:val="00D31AFA"/>
    <w:rsid w:val="00D341AA"/>
    <w:rsid w:val="00D36E95"/>
    <w:rsid w:val="00D36F62"/>
    <w:rsid w:val="00D432AD"/>
    <w:rsid w:val="00D4369E"/>
    <w:rsid w:val="00D44967"/>
    <w:rsid w:val="00D51069"/>
    <w:rsid w:val="00D512EA"/>
    <w:rsid w:val="00D52D87"/>
    <w:rsid w:val="00D55236"/>
    <w:rsid w:val="00D609E1"/>
    <w:rsid w:val="00D63A3E"/>
    <w:rsid w:val="00D63AE6"/>
    <w:rsid w:val="00D662D5"/>
    <w:rsid w:val="00D73C85"/>
    <w:rsid w:val="00D75807"/>
    <w:rsid w:val="00D854BD"/>
    <w:rsid w:val="00D8741A"/>
    <w:rsid w:val="00D90F9F"/>
    <w:rsid w:val="00D91B4D"/>
    <w:rsid w:val="00D921CC"/>
    <w:rsid w:val="00D944DD"/>
    <w:rsid w:val="00D9537D"/>
    <w:rsid w:val="00D97AD3"/>
    <w:rsid w:val="00D97AFC"/>
    <w:rsid w:val="00DA3CB2"/>
    <w:rsid w:val="00DA7958"/>
    <w:rsid w:val="00DB0FE2"/>
    <w:rsid w:val="00DB1D29"/>
    <w:rsid w:val="00DB340D"/>
    <w:rsid w:val="00DC3DB1"/>
    <w:rsid w:val="00DC5CC7"/>
    <w:rsid w:val="00DC76AF"/>
    <w:rsid w:val="00DD01CC"/>
    <w:rsid w:val="00DD3B47"/>
    <w:rsid w:val="00DD52CC"/>
    <w:rsid w:val="00DE2610"/>
    <w:rsid w:val="00DE308B"/>
    <w:rsid w:val="00DE3388"/>
    <w:rsid w:val="00DF3F96"/>
    <w:rsid w:val="00DF4EAE"/>
    <w:rsid w:val="00DF4EB7"/>
    <w:rsid w:val="00DF55AF"/>
    <w:rsid w:val="00DF5727"/>
    <w:rsid w:val="00DF7A17"/>
    <w:rsid w:val="00E07820"/>
    <w:rsid w:val="00E10F6A"/>
    <w:rsid w:val="00E14A6C"/>
    <w:rsid w:val="00E20051"/>
    <w:rsid w:val="00E205FE"/>
    <w:rsid w:val="00E211EB"/>
    <w:rsid w:val="00E21A0D"/>
    <w:rsid w:val="00E25875"/>
    <w:rsid w:val="00E2622B"/>
    <w:rsid w:val="00E30A98"/>
    <w:rsid w:val="00E330B5"/>
    <w:rsid w:val="00E378C1"/>
    <w:rsid w:val="00E37A7A"/>
    <w:rsid w:val="00E404AA"/>
    <w:rsid w:val="00E40FF0"/>
    <w:rsid w:val="00E4279D"/>
    <w:rsid w:val="00E46073"/>
    <w:rsid w:val="00E47630"/>
    <w:rsid w:val="00E5096B"/>
    <w:rsid w:val="00E513D6"/>
    <w:rsid w:val="00E529C7"/>
    <w:rsid w:val="00E55B3B"/>
    <w:rsid w:val="00E55E91"/>
    <w:rsid w:val="00E55FCD"/>
    <w:rsid w:val="00E65D4A"/>
    <w:rsid w:val="00E663C8"/>
    <w:rsid w:val="00E66443"/>
    <w:rsid w:val="00E664E3"/>
    <w:rsid w:val="00E71989"/>
    <w:rsid w:val="00E71BCE"/>
    <w:rsid w:val="00E74C91"/>
    <w:rsid w:val="00E76EE7"/>
    <w:rsid w:val="00E804B4"/>
    <w:rsid w:val="00E81F42"/>
    <w:rsid w:val="00E8245F"/>
    <w:rsid w:val="00E85A34"/>
    <w:rsid w:val="00E85C0D"/>
    <w:rsid w:val="00E91A0C"/>
    <w:rsid w:val="00E9305D"/>
    <w:rsid w:val="00E9620E"/>
    <w:rsid w:val="00E96796"/>
    <w:rsid w:val="00EA2C00"/>
    <w:rsid w:val="00EA4658"/>
    <w:rsid w:val="00EA62B0"/>
    <w:rsid w:val="00EA7525"/>
    <w:rsid w:val="00EB28BF"/>
    <w:rsid w:val="00EB425C"/>
    <w:rsid w:val="00EB45CD"/>
    <w:rsid w:val="00EC0891"/>
    <w:rsid w:val="00EC24F7"/>
    <w:rsid w:val="00EC3D07"/>
    <w:rsid w:val="00EC561C"/>
    <w:rsid w:val="00ED3124"/>
    <w:rsid w:val="00ED3EAF"/>
    <w:rsid w:val="00ED754D"/>
    <w:rsid w:val="00EE0103"/>
    <w:rsid w:val="00EE04DA"/>
    <w:rsid w:val="00EE0CB8"/>
    <w:rsid w:val="00EE2DDF"/>
    <w:rsid w:val="00EE3902"/>
    <w:rsid w:val="00EE46F8"/>
    <w:rsid w:val="00EE51DB"/>
    <w:rsid w:val="00EF50BC"/>
    <w:rsid w:val="00EF6531"/>
    <w:rsid w:val="00F03335"/>
    <w:rsid w:val="00F03813"/>
    <w:rsid w:val="00F0463F"/>
    <w:rsid w:val="00F05223"/>
    <w:rsid w:val="00F0786A"/>
    <w:rsid w:val="00F0798F"/>
    <w:rsid w:val="00F10360"/>
    <w:rsid w:val="00F13DC0"/>
    <w:rsid w:val="00F14485"/>
    <w:rsid w:val="00F15CA7"/>
    <w:rsid w:val="00F16F02"/>
    <w:rsid w:val="00F17560"/>
    <w:rsid w:val="00F21A2A"/>
    <w:rsid w:val="00F23FDE"/>
    <w:rsid w:val="00F25483"/>
    <w:rsid w:val="00F26A60"/>
    <w:rsid w:val="00F26C75"/>
    <w:rsid w:val="00F2731B"/>
    <w:rsid w:val="00F30FB4"/>
    <w:rsid w:val="00F32B4A"/>
    <w:rsid w:val="00F42243"/>
    <w:rsid w:val="00F44287"/>
    <w:rsid w:val="00F46177"/>
    <w:rsid w:val="00F465B6"/>
    <w:rsid w:val="00F466A2"/>
    <w:rsid w:val="00F50B48"/>
    <w:rsid w:val="00F535CD"/>
    <w:rsid w:val="00F5663A"/>
    <w:rsid w:val="00F61AEB"/>
    <w:rsid w:val="00F61DBA"/>
    <w:rsid w:val="00F64CB9"/>
    <w:rsid w:val="00F65E5A"/>
    <w:rsid w:val="00F65E89"/>
    <w:rsid w:val="00F67181"/>
    <w:rsid w:val="00F71E02"/>
    <w:rsid w:val="00F72092"/>
    <w:rsid w:val="00F730DC"/>
    <w:rsid w:val="00F7315B"/>
    <w:rsid w:val="00F73BC4"/>
    <w:rsid w:val="00F7528C"/>
    <w:rsid w:val="00F756F0"/>
    <w:rsid w:val="00F77628"/>
    <w:rsid w:val="00F77A70"/>
    <w:rsid w:val="00F77BCA"/>
    <w:rsid w:val="00F810A2"/>
    <w:rsid w:val="00F827AF"/>
    <w:rsid w:val="00F838DD"/>
    <w:rsid w:val="00F83906"/>
    <w:rsid w:val="00F83F1B"/>
    <w:rsid w:val="00F86BBA"/>
    <w:rsid w:val="00F86DE4"/>
    <w:rsid w:val="00F90A84"/>
    <w:rsid w:val="00F94CB8"/>
    <w:rsid w:val="00F94E1D"/>
    <w:rsid w:val="00F95742"/>
    <w:rsid w:val="00FA0329"/>
    <w:rsid w:val="00FA3B2F"/>
    <w:rsid w:val="00FB05BF"/>
    <w:rsid w:val="00FB0FE1"/>
    <w:rsid w:val="00FB2612"/>
    <w:rsid w:val="00FB3B70"/>
    <w:rsid w:val="00FB4D91"/>
    <w:rsid w:val="00FB5397"/>
    <w:rsid w:val="00FB5F2F"/>
    <w:rsid w:val="00FB60F9"/>
    <w:rsid w:val="00FB6FA5"/>
    <w:rsid w:val="00FB7C38"/>
    <w:rsid w:val="00FC0CE7"/>
    <w:rsid w:val="00FC22ED"/>
    <w:rsid w:val="00FC34E6"/>
    <w:rsid w:val="00FC397E"/>
    <w:rsid w:val="00FC4CC8"/>
    <w:rsid w:val="00FC6159"/>
    <w:rsid w:val="00FC6A0C"/>
    <w:rsid w:val="00FC7715"/>
    <w:rsid w:val="00FD061C"/>
    <w:rsid w:val="00FD1D0A"/>
    <w:rsid w:val="00FD5DF8"/>
    <w:rsid w:val="00FE058C"/>
    <w:rsid w:val="00FE28B7"/>
    <w:rsid w:val="00FE2BD1"/>
    <w:rsid w:val="00FE3031"/>
    <w:rsid w:val="00FE741A"/>
    <w:rsid w:val="00FF09C1"/>
    <w:rsid w:val="00FF2936"/>
    <w:rsid w:val="00FF4C3A"/>
    <w:rsid w:val="00FF5532"/>
    <w:rsid w:val="00FF7127"/>
    <w:rsid w:val="00FF79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D4E739"/>
  <w15:docId w15:val="{93B1E5C4-3548-41AB-B3F0-879010C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36D"/>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n3,fn,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16 Poin,(Diplomarbeit FZ)8"/>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416D"/>
  </w:style>
  <w:style w:type="character" w:customStyle="1" w:styleId="UnresolvedMention1">
    <w:name w:val="Unresolved Mention1"/>
    <w:basedOn w:val="DefaultParagraphFont"/>
    <w:uiPriority w:val="99"/>
    <w:semiHidden/>
    <w:unhideWhenUsed/>
    <w:rsid w:val="005F416D"/>
    <w:rPr>
      <w:color w:val="808080"/>
      <w:shd w:val="clear" w:color="auto" w:fill="E6E6E6"/>
    </w:rPr>
  </w:style>
  <w:style w:type="character" w:customStyle="1" w:styleId="HeaderChar">
    <w:name w:val="Header Char"/>
    <w:basedOn w:val="DefaultParagraphFont"/>
    <w:link w:val="Header"/>
    <w:uiPriority w:val="99"/>
    <w:rsid w:val="005F416D"/>
    <w:rPr>
      <w:sz w:val="22"/>
      <w:szCs w:val="24"/>
      <w:lang w:val="en-GB"/>
    </w:rPr>
  </w:style>
  <w:style w:type="character" w:customStyle="1" w:styleId="FooterChar">
    <w:name w:val="Footer Char"/>
    <w:basedOn w:val="DefaultParagraphFont"/>
    <w:link w:val="Footer"/>
    <w:uiPriority w:val="99"/>
    <w:rsid w:val="005F416D"/>
    <w:rPr>
      <w:sz w:val="22"/>
      <w:szCs w:val="24"/>
      <w:lang w:val="en-GB"/>
    </w:rPr>
  </w:style>
  <w:style w:type="character" w:customStyle="1" w:styleId="Heading1Char">
    <w:name w:val="Heading 1 Char"/>
    <w:basedOn w:val="DefaultParagraphFont"/>
    <w:link w:val="Heading1"/>
    <w:rsid w:val="005F416D"/>
    <w:rPr>
      <w:b/>
      <w:caps/>
      <w:sz w:val="22"/>
      <w:szCs w:val="24"/>
      <w:lang w:val="en-GB"/>
    </w:rPr>
  </w:style>
  <w:style w:type="paragraph" w:customStyle="1" w:styleId="IPPBullet2">
    <w:name w:val="IPP Bullet2"/>
    <w:basedOn w:val="Normal"/>
    <w:next w:val="IPPBullet1"/>
    <w:qFormat/>
    <w:rsid w:val="005F416D"/>
    <w:pPr>
      <w:numPr>
        <w:numId w:val="13"/>
      </w:numPr>
      <w:tabs>
        <w:tab w:val="left" w:pos="1134"/>
      </w:tabs>
      <w:spacing w:after="60"/>
      <w:ind w:left="1134" w:hanging="567"/>
    </w:pPr>
    <w:rPr>
      <w:rFonts w:eastAsia="Times"/>
    </w:rPr>
  </w:style>
  <w:style w:type="paragraph" w:customStyle="1" w:styleId="IPPFootnote">
    <w:name w:val="IPP Footnote"/>
    <w:basedOn w:val="Normal"/>
    <w:qFormat/>
    <w:rsid w:val="005F416D"/>
    <w:pPr>
      <w:tabs>
        <w:tab w:val="left" w:pos="0"/>
        <w:tab w:val="left" w:pos="28"/>
      </w:tabs>
      <w:spacing w:after="60"/>
    </w:pPr>
    <w:rPr>
      <w:sz w:val="20"/>
    </w:rPr>
  </w:style>
  <w:style w:type="paragraph" w:customStyle="1" w:styleId="IPPBullet1">
    <w:name w:val="IPP Bullet1"/>
    <w:basedOn w:val="IPPBullet1Last"/>
    <w:qFormat/>
    <w:rsid w:val="005F416D"/>
    <w:pPr>
      <w:numPr>
        <w:numId w:val="0"/>
      </w:numPr>
      <w:spacing w:after="60"/>
    </w:pPr>
    <w:rPr>
      <w:lang w:val="en-US"/>
    </w:rPr>
  </w:style>
  <w:style w:type="paragraph" w:customStyle="1" w:styleId="IPPBullet1Last">
    <w:name w:val="IPP Bullet1Last"/>
    <w:basedOn w:val="Normal"/>
    <w:next w:val="Normal"/>
    <w:autoRedefine/>
    <w:qFormat/>
    <w:rsid w:val="005F416D"/>
    <w:pPr>
      <w:numPr>
        <w:numId w:val="14"/>
      </w:numPr>
      <w:spacing w:after="180"/>
    </w:pPr>
    <w:rPr>
      <w:rFonts w:eastAsia="Times"/>
    </w:rPr>
  </w:style>
  <w:style w:type="numbering" w:customStyle="1" w:styleId="IPPParagraphnumberedlist">
    <w:name w:val="IPP Paragraph numbered list"/>
    <w:rsid w:val="005F416D"/>
    <w:pPr>
      <w:numPr>
        <w:numId w:val="12"/>
      </w:numPr>
    </w:pPr>
  </w:style>
  <w:style w:type="paragraph" w:customStyle="1" w:styleId="IPPNumberedList">
    <w:name w:val="IPP NumberedList"/>
    <w:basedOn w:val="IPPBullet1"/>
    <w:qFormat/>
    <w:rsid w:val="005F416D"/>
  </w:style>
  <w:style w:type="paragraph" w:customStyle="1" w:styleId="IPPParagraphnumbering">
    <w:name w:val="IPP Paragraph numbering"/>
    <w:basedOn w:val="Normal"/>
    <w:qFormat/>
    <w:rsid w:val="005F416D"/>
    <w:pPr>
      <w:numPr>
        <w:numId w:val="15"/>
      </w:numPr>
      <w:spacing w:after="180"/>
    </w:pPr>
    <w:rPr>
      <w:rFonts w:eastAsia="Times"/>
      <w:lang w:val="en-US"/>
    </w:rPr>
  </w:style>
  <w:style w:type="character" w:styleId="Strong">
    <w:name w:val="Strong"/>
    <w:basedOn w:val="DefaultParagraphFont"/>
    <w:uiPriority w:val="22"/>
    <w:qFormat/>
    <w:rsid w:val="005F416D"/>
    <w:rPr>
      <w:b/>
      <w:bCs/>
    </w:rPr>
  </w:style>
  <w:style w:type="character" w:customStyle="1" w:styleId="UnresolvedMention2">
    <w:name w:val="Unresolved Mention2"/>
    <w:basedOn w:val="DefaultParagraphFont"/>
    <w:uiPriority w:val="99"/>
    <w:semiHidden/>
    <w:unhideWhenUsed/>
    <w:rsid w:val="00094AE1"/>
    <w:rPr>
      <w:color w:val="808080"/>
      <w:shd w:val="clear" w:color="auto" w:fill="E6E6E6"/>
    </w:rPr>
  </w:style>
  <w:style w:type="character" w:customStyle="1" w:styleId="UnresolvedMention3">
    <w:name w:val="Unresolved Mention3"/>
    <w:basedOn w:val="DefaultParagraphFont"/>
    <w:uiPriority w:val="99"/>
    <w:semiHidden/>
    <w:unhideWhenUsed/>
    <w:rsid w:val="009E3589"/>
    <w:rPr>
      <w:color w:val="808080"/>
      <w:shd w:val="clear" w:color="auto" w:fill="E6E6E6"/>
    </w:rPr>
  </w:style>
  <w:style w:type="character" w:customStyle="1" w:styleId="UnresolvedMention4">
    <w:name w:val="Unresolved Mention4"/>
    <w:basedOn w:val="DefaultParagraphFont"/>
    <w:uiPriority w:val="99"/>
    <w:semiHidden/>
    <w:unhideWhenUsed/>
    <w:rsid w:val="005C1D38"/>
    <w:rPr>
      <w:color w:val="808080"/>
      <w:shd w:val="clear" w:color="auto" w:fill="E6E6E6"/>
    </w:rPr>
  </w:style>
  <w:style w:type="character" w:styleId="HTMLVariable">
    <w:name w:val="HTML Variable"/>
    <w:basedOn w:val="DefaultParagraphFont"/>
    <w:uiPriority w:val="99"/>
    <w:semiHidden/>
    <w:unhideWhenUsed/>
    <w:rsid w:val="00CC028A"/>
    <w:rPr>
      <w:i/>
      <w:iCs/>
    </w:rPr>
  </w:style>
  <w:style w:type="character" w:customStyle="1" w:styleId="UnresolvedMention5">
    <w:name w:val="Unresolved Mention5"/>
    <w:basedOn w:val="DefaultParagraphFont"/>
    <w:uiPriority w:val="99"/>
    <w:semiHidden/>
    <w:unhideWhenUsed/>
    <w:rsid w:val="008A1594"/>
    <w:rPr>
      <w:color w:val="808080"/>
      <w:shd w:val="clear" w:color="auto" w:fill="E6E6E6"/>
    </w:rPr>
  </w:style>
  <w:style w:type="character" w:customStyle="1" w:styleId="UnresolvedMention6">
    <w:name w:val="Unresolved Mention6"/>
    <w:basedOn w:val="DefaultParagraphFont"/>
    <w:uiPriority w:val="99"/>
    <w:semiHidden/>
    <w:unhideWhenUsed/>
    <w:rsid w:val="003876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266">
      <w:bodyDiv w:val="1"/>
      <w:marLeft w:val="0"/>
      <w:marRight w:val="0"/>
      <w:marTop w:val="0"/>
      <w:marBottom w:val="0"/>
      <w:divBdr>
        <w:top w:val="none" w:sz="0" w:space="0" w:color="auto"/>
        <w:left w:val="none" w:sz="0" w:space="0" w:color="auto"/>
        <w:bottom w:val="none" w:sz="0" w:space="0" w:color="auto"/>
        <w:right w:val="none" w:sz="0" w:space="0" w:color="auto"/>
      </w:divBdr>
    </w:div>
    <w:div w:id="66195394">
      <w:bodyDiv w:val="1"/>
      <w:marLeft w:val="0"/>
      <w:marRight w:val="0"/>
      <w:marTop w:val="0"/>
      <w:marBottom w:val="0"/>
      <w:divBdr>
        <w:top w:val="none" w:sz="0" w:space="0" w:color="auto"/>
        <w:left w:val="none" w:sz="0" w:space="0" w:color="auto"/>
        <w:bottom w:val="none" w:sz="0" w:space="0" w:color="auto"/>
        <w:right w:val="none" w:sz="0" w:space="0" w:color="auto"/>
      </w:divBdr>
    </w:div>
    <w:div w:id="870188048">
      <w:bodyDiv w:val="1"/>
      <w:marLeft w:val="0"/>
      <w:marRight w:val="0"/>
      <w:marTop w:val="0"/>
      <w:marBottom w:val="0"/>
      <w:divBdr>
        <w:top w:val="none" w:sz="0" w:space="0" w:color="auto"/>
        <w:left w:val="none" w:sz="0" w:space="0" w:color="auto"/>
        <w:bottom w:val="none" w:sz="0" w:space="0" w:color="auto"/>
        <w:right w:val="none" w:sz="0" w:space="0" w:color="auto"/>
      </w:divBdr>
    </w:div>
    <w:div w:id="896747006">
      <w:bodyDiv w:val="1"/>
      <w:marLeft w:val="0"/>
      <w:marRight w:val="0"/>
      <w:marTop w:val="0"/>
      <w:marBottom w:val="0"/>
      <w:divBdr>
        <w:top w:val="none" w:sz="0" w:space="0" w:color="auto"/>
        <w:left w:val="none" w:sz="0" w:space="0" w:color="auto"/>
        <w:bottom w:val="none" w:sz="0" w:space="0" w:color="auto"/>
        <w:right w:val="none" w:sz="0" w:space="0" w:color="auto"/>
      </w:divBdr>
    </w:div>
    <w:div w:id="1609119850">
      <w:bodyDiv w:val="1"/>
      <w:marLeft w:val="0"/>
      <w:marRight w:val="0"/>
      <w:marTop w:val="0"/>
      <w:marBottom w:val="0"/>
      <w:divBdr>
        <w:top w:val="none" w:sz="0" w:space="0" w:color="auto"/>
        <w:left w:val="none" w:sz="0" w:space="0" w:color="auto"/>
        <w:bottom w:val="none" w:sz="0" w:space="0" w:color="auto"/>
        <w:right w:val="none" w:sz="0" w:space="0" w:color="auto"/>
      </w:divBdr>
      <w:divsChild>
        <w:div w:id="1460345120">
          <w:marLeft w:val="336"/>
          <w:marRight w:val="0"/>
          <w:marTop w:val="120"/>
          <w:marBottom w:val="312"/>
          <w:divBdr>
            <w:top w:val="none" w:sz="0" w:space="0" w:color="auto"/>
            <w:left w:val="none" w:sz="0" w:space="0" w:color="auto"/>
            <w:bottom w:val="none" w:sz="0" w:space="0" w:color="auto"/>
            <w:right w:val="none" w:sz="0" w:space="0" w:color="auto"/>
          </w:divBdr>
          <w:divsChild>
            <w:div w:id="15274477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7675184">
      <w:bodyDiv w:val="1"/>
      <w:marLeft w:val="0"/>
      <w:marRight w:val="0"/>
      <w:marTop w:val="0"/>
      <w:marBottom w:val="0"/>
      <w:divBdr>
        <w:top w:val="none" w:sz="0" w:space="0" w:color="auto"/>
        <w:left w:val="none" w:sz="0" w:space="0" w:color="auto"/>
        <w:bottom w:val="none" w:sz="0" w:space="0" w:color="auto"/>
        <w:right w:val="none" w:sz="0" w:space="0" w:color="auto"/>
      </w:divBdr>
    </w:div>
    <w:div w:id="187866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coomd.org/" TargetMode="External"/><Relationship Id="rId18" Type="http://schemas.openxmlformats.org/officeDocument/2006/relationships/hyperlink" Target="https://www.ippc.int/en/core-activities/governance/cp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coomd.org/" TargetMode="External"/><Relationship Id="rId7" Type="http://schemas.openxmlformats.org/officeDocument/2006/relationships/endnotes" Target="endnotes.xml"/><Relationship Id="rId12" Type="http://schemas.openxmlformats.org/officeDocument/2006/relationships/hyperlink" Target="http://www.oie.int/" TargetMode="External"/><Relationship Id="rId17" Type="http://schemas.openxmlformats.org/officeDocument/2006/relationships/hyperlink" Target="https://www.ippc.int/" TargetMode="External"/><Relationship Id="rId25" Type="http://schemas.openxmlformats.org/officeDocument/2006/relationships/hyperlink" Target="https://www.cbd.int/doc/decisions/cop-12/cop-12-dec-16-en.pdf" TargetMode="External"/><Relationship Id="rId2" Type="http://schemas.openxmlformats.org/officeDocument/2006/relationships/numbering" Target="numbering.xml"/><Relationship Id="rId16" Type="http://schemas.openxmlformats.org/officeDocument/2006/relationships/hyperlink" Target="https://www.cites.org/" TargetMode="External"/><Relationship Id="rId20" Type="http://schemas.openxmlformats.org/officeDocument/2006/relationships/hyperlink" Target="http://www.upu.i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3-en.pdf" TargetMode="External"/><Relationship Id="rId24" Type="http://schemas.openxmlformats.org/officeDocument/2006/relationships/hyperlink" Target="https://www.cbd.int/doc/decisions/cop-12/cop-12-dec-16-e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 TargetMode="External"/><Relationship Id="rId23" Type="http://schemas.openxmlformats.org/officeDocument/2006/relationships/hyperlink" Target="http://www.iucngisd.org/gisd/" TargetMode="External"/><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s://www.wto.org/english/docs_e/legal_e/tfa-nov14_e.htm"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who.int/" TargetMode="External"/><Relationship Id="rId22" Type="http://schemas.openxmlformats.org/officeDocument/2006/relationships/hyperlink" Target="http://www.griis.org/"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ie.int/standard-setting/terrestrial-code/access-online/" TargetMode="External"/><Relationship Id="rId13" Type="http://schemas.openxmlformats.org/officeDocument/2006/relationships/hyperlink" Target="https://www.unece.org/fileadmin/DAM/trans/danger/publi/ghs/ghs_rev04/English/ST-SG-AC10-30-Rev4e.pdf" TargetMode="External"/><Relationship Id="rId18" Type="http://schemas.openxmlformats.org/officeDocument/2006/relationships/hyperlink" Target="https://www.ippc.int/sites/default/files/documents/20140127/cpm_2014_14_cpm_recommendations_2014-01-26_201401270647--202.46%20KB.pdf" TargetMode="External"/><Relationship Id="rId3" Type="http://schemas.openxmlformats.org/officeDocument/2006/relationships/hyperlink" Target="https://www.cbd.int/doc/decisions/cop-13/cop-13-dec-13-en.pdf" TargetMode="External"/><Relationship Id="rId21" Type="http://schemas.openxmlformats.org/officeDocument/2006/relationships/hyperlink" Target="https://www.iucn.org/sites/dev/files/eicat_standard_version_1_may_2017.pdf" TargetMode="External"/><Relationship Id="rId7" Type="http://schemas.openxmlformats.org/officeDocument/2006/relationships/hyperlink" Target="https://www.cbd.int/doc/meetings/cop/cop-06/official/cop-06-20-en.pdf" TargetMode="External"/><Relationship Id="rId12" Type="http://schemas.openxmlformats.org/officeDocument/2006/relationships/hyperlink" Target="http://apps.who.int/iris/bitstream/handle/10665/149288/WHO_HSE_GCR_2015.2_eng.pdf;jsessionid=4D86EF9B53506FF473B4A62CDEFA7F02?sequence=1" TargetMode="External"/><Relationship Id="rId17" Type="http://schemas.openxmlformats.org/officeDocument/2006/relationships/hyperlink" Target="https://www.ippc.int/en/irss/activities/2/" TargetMode="External"/><Relationship Id="rId2" Type="http://schemas.openxmlformats.org/officeDocument/2006/relationships/hyperlink" Target="https://www.cbd.int/doc/decisions/cop-12/cop-12-dec-16-en.pdf" TargetMode="External"/><Relationship Id="rId16" Type="http://schemas.openxmlformats.org/officeDocument/2006/relationships/hyperlink" Target="https://www.ippc.int/en/2010---22nd-tc-among-rppos-/" TargetMode="External"/><Relationship Id="rId20" Type="http://schemas.openxmlformats.org/officeDocument/2006/relationships/hyperlink" Target="https://www.gbif.org/dataset/search?publishing_org=cdef28b1-db4e-4c58-aa71-3c5238c2d0b5" TargetMode="External"/><Relationship Id="rId1" Type="http://schemas.openxmlformats.org/officeDocument/2006/relationships/hyperlink" Target="https://www.cbd.int/doc/meetings/sbstta/sbstta-22/official/sbstta-22-01-en.pdf" TargetMode="External"/><Relationship Id="rId6" Type="http://schemas.openxmlformats.org/officeDocument/2006/relationships/hyperlink" Target="https://www.wto.org/english/tratop_e/sps_e/spsagr_e.htm" TargetMode="External"/><Relationship Id="rId11" Type="http://schemas.openxmlformats.org/officeDocument/2006/relationships/hyperlink" Target="http://www.wcoomd.org/-/media/wco/public/global/pdf/topics/enforcement-and-compliance/tools-and-instruments/stce-implementation-guide/stce-implementation-guide-_-e-_-small.pdf?db=web" TargetMode="External"/><Relationship Id="rId5" Type="http://schemas.openxmlformats.org/officeDocument/2006/relationships/hyperlink" Target="https://www.cbd.int/doc/meetings/sbstta/sbstta-18/official/sbstta-18-09-add1-en.pdf" TargetMode="External"/><Relationship Id="rId15" Type="http://schemas.openxmlformats.org/officeDocument/2006/relationships/hyperlink" Target="https://cites.org/sites/default/files/document/E-Res-11-03-R17A.pdf" TargetMode="External"/><Relationship Id="rId23" Type="http://schemas.openxmlformats.org/officeDocument/2006/relationships/hyperlink" Target="http://www.oie.int/standard-setting/terrestrial-code/" TargetMode="External"/><Relationship Id="rId10" Type="http://schemas.openxmlformats.org/officeDocument/2006/relationships/hyperlink" Target="https://www.unece.org/fileadmin/DAM/trans/danger/publi/ghs/ghs_rev04/English/ST-SG-AC10-30-Rev4e.pdf" TargetMode="External"/><Relationship Id="rId19" Type="http://schemas.openxmlformats.org/officeDocument/2006/relationships/hyperlink" Target="http://www.wcoomd.org/~/media/wco/public/global/pdf/topics/facilitation/activities-and-programmes/ecommerce/wco-study-report-on-e_commerce.pdf?la=en" TargetMode="External"/><Relationship Id="rId4" Type="http://schemas.openxmlformats.org/officeDocument/2006/relationships/hyperlink" Target="http://www.cbd.int/invasive/lg/" TargetMode="External"/><Relationship Id="rId9" Type="http://schemas.openxmlformats.org/officeDocument/2006/relationships/hyperlink" Target="http://www.oie.int/standard-setting/aquatic-code/access-online/" TargetMode="External"/><Relationship Id="rId14" Type="http://schemas.openxmlformats.org/officeDocument/2006/relationships/hyperlink" Target="https://www.un.org/ecosoc/sites/www.un.org.ecosoc/files/documents/2009/resolution-2009-19.pdf" TargetMode="External"/><Relationship Id="rId22" Type="http://schemas.openxmlformats.org/officeDocument/2006/relationships/hyperlink" Target="https://www.unece.org/fileadmin/DAM/trans/doc/2014/wp24/CTU_Code_January_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24B22"/>
    <w:rsid w:val="000D780F"/>
    <w:rsid w:val="00123AC0"/>
    <w:rsid w:val="00141EB9"/>
    <w:rsid w:val="001B29AF"/>
    <w:rsid w:val="002D06CA"/>
    <w:rsid w:val="00305163"/>
    <w:rsid w:val="003638BF"/>
    <w:rsid w:val="0037757D"/>
    <w:rsid w:val="003D52E2"/>
    <w:rsid w:val="00402DB9"/>
    <w:rsid w:val="00430ED3"/>
    <w:rsid w:val="004665F4"/>
    <w:rsid w:val="004A69EC"/>
    <w:rsid w:val="004F6DD5"/>
    <w:rsid w:val="00524537"/>
    <w:rsid w:val="006B392D"/>
    <w:rsid w:val="006F14C3"/>
    <w:rsid w:val="007A3689"/>
    <w:rsid w:val="007E501A"/>
    <w:rsid w:val="0083264A"/>
    <w:rsid w:val="008722D2"/>
    <w:rsid w:val="00880F01"/>
    <w:rsid w:val="00897DFC"/>
    <w:rsid w:val="008C0467"/>
    <w:rsid w:val="008C76F2"/>
    <w:rsid w:val="009F1512"/>
    <w:rsid w:val="00A27574"/>
    <w:rsid w:val="00A52D79"/>
    <w:rsid w:val="00AF22C6"/>
    <w:rsid w:val="00B32EBA"/>
    <w:rsid w:val="00B36C7B"/>
    <w:rsid w:val="00BB2CFE"/>
    <w:rsid w:val="00C95C3C"/>
    <w:rsid w:val="00D5481D"/>
    <w:rsid w:val="00E90D09"/>
    <w:rsid w:val="00EC17B5"/>
    <w:rsid w:val="00EC2F04"/>
    <w:rsid w:val="00FF66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30ED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BF67C43CDB4B41FCA1AAB14B7B637AE0">
    <w:name w:val="BF67C43CDB4B41FCA1AAB14B7B637AE0"/>
    <w:rsid w:val="00430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F14C-0D11-445F-A7BA-E1CB0CF6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11</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Invasive alien species</vt:lpstr>
    </vt:vector>
  </TitlesOfParts>
  <Company>Biodiversity</Company>
  <LinksUpToDate>false</LinksUpToDate>
  <CharactersWithSpaces>34369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alien species</dc:title>
  <dc:subject>CBD/SBSTTA/22/9</dc:subject>
  <dc:creator>SCBD</dc:creator>
  <cp:lastModifiedBy>veronique lefebvre</cp:lastModifiedBy>
  <cp:revision>5</cp:revision>
  <cp:lastPrinted>2018-05-09T18:18:00Z</cp:lastPrinted>
  <dcterms:created xsi:type="dcterms:W3CDTF">2018-05-14T20:11:00Z</dcterms:created>
  <dcterms:modified xsi:type="dcterms:W3CDTF">2018-06-18T16:26:00Z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