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93F5D" w:rsidRPr="003133A9" w14:paraId="599E40AC" w14:textId="77777777" w:rsidTr="00B93F5D">
        <w:trPr>
          <w:trHeight w:val="851"/>
        </w:trPr>
        <w:tc>
          <w:tcPr>
            <w:tcW w:w="976" w:type="dxa"/>
          </w:tcPr>
          <w:p w14:paraId="08FCA068" w14:textId="77777777" w:rsidR="00B93F5D" w:rsidRPr="003133A9" w:rsidRDefault="00B93F5D" w:rsidP="00B93F5D">
            <w:pPr>
              <w:suppressLineNumbers/>
              <w:suppressAutoHyphens/>
              <w:rPr>
                <w:kern w:val="22"/>
                <w:lang w:val="en-GB"/>
              </w:rPr>
            </w:pPr>
            <w:bookmarkStart w:id="0" w:name="_Hlk505247837"/>
            <w:r w:rsidRPr="003133A9">
              <w:rPr>
                <w:noProof/>
                <w:kern w:val="22"/>
                <w:lang w:eastAsia="fr-CA"/>
              </w:rPr>
              <w:drawing>
                <wp:anchor distT="0" distB="0" distL="114300" distR="114300" simplePos="0" relativeHeight="251658241" behindDoc="0" locked="0" layoutInCell="1" allowOverlap="1" wp14:anchorId="52E1E5AF" wp14:editId="3F3541DE">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5EA25EFE" w14:textId="422D466B" w:rsidR="00B93F5D" w:rsidRPr="003133A9" w:rsidRDefault="003231D9" w:rsidP="00B93F5D">
            <w:pPr>
              <w:suppressLineNumbers/>
              <w:suppressAutoHyphens/>
              <w:rPr>
                <w:kern w:val="22"/>
                <w:lang w:val="en-GB"/>
              </w:rPr>
            </w:pPr>
            <w:r w:rsidRPr="003231D9">
              <w:rPr>
                <w:noProof/>
                <w:lang w:eastAsia="fr-CA"/>
              </w:rPr>
              <w:drawing>
                <wp:inline distT="0" distB="0" distL="0" distR="0" wp14:anchorId="5DF356A1" wp14:editId="5B4F3D92">
                  <wp:extent cx="592455" cy="36601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407" cy="375251"/>
                          </a:xfrm>
                          <a:prstGeom prst="rect">
                            <a:avLst/>
                          </a:prstGeom>
                          <a:noFill/>
                          <a:ln>
                            <a:noFill/>
                          </a:ln>
                        </pic:spPr>
                      </pic:pic>
                    </a:graphicData>
                  </a:graphic>
                </wp:inline>
              </w:drawing>
            </w:r>
          </w:p>
        </w:tc>
        <w:tc>
          <w:tcPr>
            <w:tcW w:w="4090" w:type="dxa"/>
          </w:tcPr>
          <w:p w14:paraId="16230C5E" w14:textId="77777777" w:rsidR="00B93F5D" w:rsidRPr="003133A9" w:rsidRDefault="00B93F5D" w:rsidP="00B93F5D">
            <w:pPr>
              <w:suppressLineNumbers/>
              <w:suppressAutoHyphens/>
              <w:jc w:val="right"/>
              <w:rPr>
                <w:rFonts w:ascii="Arial" w:hAnsi="Arial" w:cs="Arial"/>
                <w:b/>
                <w:kern w:val="22"/>
                <w:sz w:val="32"/>
                <w:szCs w:val="32"/>
                <w:lang w:val="en-GB"/>
              </w:rPr>
            </w:pPr>
            <w:r w:rsidRPr="003133A9">
              <w:rPr>
                <w:rFonts w:ascii="Arial" w:hAnsi="Arial" w:cs="Arial"/>
                <w:b/>
                <w:kern w:val="22"/>
                <w:sz w:val="32"/>
                <w:szCs w:val="32"/>
                <w:lang w:val="en-GB"/>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B93F5D" w:rsidRPr="003133A9" w14:paraId="3AA01CAE" w14:textId="77777777" w:rsidTr="00B93F5D">
        <w:tc>
          <w:tcPr>
            <w:tcW w:w="6117" w:type="dxa"/>
            <w:tcBorders>
              <w:top w:val="single" w:sz="12" w:space="0" w:color="auto"/>
              <w:bottom w:val="single" w:sz="36" w:space="0" w:color="auto"/>
            </w:tcBorders>
            <w:vAlign w:val="center"/>
          </w:tcPr>
          <w:bookmarkEnd w:id="0"/>
          <w:p w14:paraId="2723EE1D" w14:textId="00242BB9" w:rsidR="00B93F5D" w:rsidRPr="003133A9" w:rsidRDefault="003231D9" w:rsidP="00B93F5D">
            <w:pPr>
              <w:kinsoku w:val="0"/>
              <w:overflowPunct w:val="0"/>
              <w:autoSpaceDE w:val="0"/>
              <w:autoSpaceDN w:val="0"/>
              <w:rPr>
                <w:snapToGrid w:val="0"/>
                <w:kern w:val="22"/>
                <w:lang w:val="en-GB"/>
              </w:rPr>
            </w:pPr>
            <w:r>
              <w:rPr>
                <w:noProof/>
                <w:szCs w:val="22"/>
                <w:lang w:eastAsia="fr-CA"/>
              </w:rPr>
              <w:drawing>
                <wp:inline distT="0" distB="0" distL="0" distR="0" wp14:anchorId="06AE1979" wp14:editId="6013F273">
                  <wp:extent cx="2352675" cy="942975"/>
                  <wp:effectExtent l="0" t="0" r="9525" b="9525"/>
                  <wp:docPr id="6" name="Image 6"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9429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8728A08" w14:textId="77777777" w:rsidR="00B93F5D" w:rsidRPr="00AD216C" w:rsidRDefault="00B93F5D" w:rsidP="00B93F5D">
            <w:pPr>
              <w:kinsoku w:val="0"/>
              <w:overflowPunct w:val="0"/>
              <w:autoSpaceDE w:val="0"/>
              <w:autoSpaceDN w:val="0"/>
              <w:ind w:left="1215"/>
              <w:jc w:val="left"/>
              <w:rPr>
                <w:snapToGrid w:val="0"/>
                <w:kern w:val="22"/>
                <w:szCs w:val="22"/>
              </w:rPr>
            </w:pPr>
            <w:r w:rsidRPr="00AD216C">
              <w:rPr>
                <w:snapToGrid w:val="0"/>
                <w:kern w:val="22"/>
                <w:szCs w:val="22"/>
              </w:rPr>
              <w:t>Distr.</w:t>
            </w:r>
          </w:p>
          <w:p w14:paraId="4D2610EC" w14:textId="113467D7" w:rsidR="00B93F5D" w:rsidRPr="00AD216C" w:rsidRDefault="00622AA8" w:rsidP="00B93F5D">
            <w:pPr>
              <w:kinsoku w:val="0"/>
              <w:overflowPunct w:val="0"/>
              <w:autoSpaceDE w:val="0"/>
              <w:autoSpaceDN w:val="0"/>
              <w:ind w:left="1215"/>
              <w:jc w:val="left"/>
              <w:rPr>
                <w:snapToGrid w:val="0"/>
                <w:kern w:val="22"/>
                <w:szCs w:val="22"/>
              </w:rPr>
            </w:pPr>
            <w:r w:rsidRPr="00AD216C">
              <w:rPr>
                <w:snapToGrid w:val="0"/>
                <w:kern w:val="22"/>
                <w:szCs w:val="22"/>
              </w:rPr>
              <w:t>GÉNÉRALE</w:t>
            </w:r>
          </w:p>
          <w:p w14:paraId="48641A88" w14:textId="77777777" w:rsidR="00B93F5D" w:rsidRPr="00AD216C" w:rsidRDefault="00B93F5D" w:rsidP="00B93F5D">
            <w:pPr>
              <w:kinsoku w:val="0"/>
              <w:overflowPunct w:val="0"/>
              <w:autoSpaceDE w:val="0"/>
              <w:autoSpaceDN w:val="0"/>
              <w:ind w:left="1215"/>
              <w:jc w:val="left"/>
              <w:rPr>
                <w:snapToGrid w:val="0"/>
                <w:kern w:val="22"/>
                <w:szCs w:val="22"/>
              </w:rPr>
            </w:pPr>
          </w:p>
          <w:p w14:paraId="435AA35B" w14:textId="26A7D594" w:rsidR="00B93F5D" w:rsidRPr="00AD216C" w:rsidRDefault="006121B4" w:rsidP="00B93F5D">
            <w:pPr>
              <w:ind w:left="1215"/>
              <w:jc w:val="left"/>
              <w:rPr>
                <w:snapToGrid w:val="0"/>
                <w:kern w:val="22"/>
                <w:szCs w:val="22"/>
              </w:rPr>
            </w:pPr>
            <w:sdt>
              <w:sdtPr>
                <w:rPr>
                  <w:snapToGrid w:val="0"/>
                  <w:kern w:val="22"/>
                  <w:szCs w:val="22"/>
                </w:rPr>
                <w:alias w:val="Subject"/>
                <w:tag w:val=""/>
                <w:id w:val="2137136483"/>
                <w:placeholder>
                  <w:docPart w:val="7DA6901CC37F44978C0FD015AF4CEDBE"/>
                </w:placeholder>
                <w:dataBinding w:prefixMappings="xmlns:ns0='http://purl.org/dc/elements/1.1/' xmlns:ns1='http://schemas.openxmlformats.org/package/2006/metadata/core-properties' " w:xpath="/ns1:coreProperties[1]/ns0:subject[1]" w:storeItemID="{6C3C8BC8-F283-45AE-878A-BAB7291924A1}"/>
                <w:text/>
              </w:sdtPr>
              <w:sdtEndPr/>
              <w:sdtContent>
                <w:r w:rsidR="008A4282" w:rsidRPr="00AD216C">
                  <w:rPr>
                    <w:snapToGrid w:val="0"/>
                    <w:kern w:val="22"/>
                    <w:szCs w:val="22"/>
                  </w:rPr>
                  <w:t>CBD/SBI/3/3/Add.1</w:t>
                </w:r>
              </w:sdtContent>
            </w:sdt>
          </w:p>
          <w:p w14:paraId="0739ACA2" w14:textId="75F7B0EF" w:rsidR="00B93F5D" w:rsidRPr="00AD216C" w:rsidRDefault="00321780" w:rsidP="00B93F5D">
            <w:pPr>
              <w:kinsoku w:val="0"/>
              <w:overflowPunct w:val="0"/>
              <w:autoSpaceDE w:val="0"/>
              <w:autoSpaceDN w:val="0"/>
              <w:ind w:left="1215"/>
              <w:jc w:val="left"/>
              <w:rPr>
                <w:snapToGrid w:val="0"/>
                <w:kern w:val="22"/>
                <w:szCs w:val="22"/>
              </w:rPr>
            </w:pPr>
            <w:r w:rsidRPr="00AD216C">
              <w:rPr>
                <w:snapToGrid w:val="0"/>
                <w:kern w:val="22"/>
                <w:szCs w:val="22"/>
              </w:rPr>
              <w:t xml:space="preserve">17 </w:t>
            </w:r>
            <w:r w:rsidR="00622AA8" w:rsidRPr="00AD216C">
              <w:rPr>
                <w:snapToGrid w:val="0"/>
                <w:kern w:val="22"/>
                <w:szCs w:val="22"/>
              </w:rPr>
              <w:t>août</w:t>
            </w:r>
            <w:r w:rsidR="008A4282" w:rsidRPr="00AD216C">
              <w:rPr>
                <w:snapToGrid w:val="0"/>
                <w:kern w:val="22"/>
                <w:szCs w:val="22"/>
              </w:rPr>
              <w:t xml:space="preserve"> </w:t>
            </w:r>
            <w:r w:rsidR="00B93F5D" w:rsidRPr="00AD216C">
              <w:rPr>
                <w:snapToGrid w:val="0"/>
                <w:kern w:val="22"/>
                <w:szCs w:val="22"/>
              </w:rPr>
              <w:t>2020</w:t>
            </w:r>
          </w:p>
          <w:p w14:paraId="4AA07CC5" w14:textId="77777777" w:rsidR="00B93F5D" w:rsidRPr="00AD216C" w:rsidRDefault="00B93F5D" w:rsidP="00B93F5D">
            <w:pPr>
              <w:kinsoku w:val="0"/>
              <w:overflowPunct w:val="0"/>
              <w:autoSpaceDE w:val="0"/>
              <w:autoSpaceDN w:val="0"/>
              <w:ind w:left="1215"/>
              <w:jc w:val="left"/>
              <w:rPr>
                <w:snapToGrid w:val="0"/>
                <w:kern w:val="22"/>
                <w:szCs w:val="22"/>
              </w:rPr>
            </w:pPr>
          </w:p>
          <w:p w14:paraId="03116B25" w14:textId="77777777" w:rsidR="00622AA8" w:rsidRPr="00AD216C" w:rsidRDefault="00622AA8" w:rsidP="00B93F5D">
            <w:pPr>
              <w:kinsoku w:val="0"/>
              <w:overflowPunct w:val="0"/>
              <w:autoSpaceDE w:val="0"/>
              <w:autoSpaceDN w:val="0"/>
              <w:ind w:left="1215"/>
              <w:jc w:val="left"/>
              <w:rPr>
                <w:snapToGrid w:val="0"/>
                <w:kern w:val="22"/>
                <w:szCs w:val="22"/>
              </w:rPr>
            </w:pPr>
            <w:r w:rsidRPr="00AD216C">
              <w:rPr>
                <w:snapToGrid w:val="0"/>
                <w:kern w:val="22"/>
                <w:szCs w:val="22"/>
              </w:rPr>
              <w:t>FRANÇAIS</w:t>
            </w:r>
          </w:p>
          <w:p w14:paraId="09DF7B12" w14:textId="43527F5F" w:rsidR="00B93F5D" w:rsidRPr="00AD216C" w:rsidRDefault="00321780" w:rsidP="00B93F5D">
            <w:pPr>
              <w:kinsoku w:val="0"/>
              <w:overflowPunct w:val="0"/>
              <w:autoSpaceDE w:val="0"/>
              <w:autoSpaceDN w:val="0"/>
              <w:ind w:left="1215"/>
              <w:jc w:val="left"/>
              <w:rPr>
                <w:snapToGrid w:val="0"/>
                <w:kern w:val="22"/>
                <w:szCs w:val="22"/>
              </w:rPr>
            </w:pPr>
            <w:r w:rsidRPr="00AD216C">
              <w:rPr>
                <w:snapToGrid w:val="0"/>
                <w:kern w:val="22"/>
                <w:szCs w:val="22"/>
              </w:rPr>
              <w:t>ORIGINAL</w:t>
            </w:r>
            <w:r w:rsidR="00622AA8" w:rsidRPr="00AD216C">
              <w:rPr>
                <w:snapToGrid w:val="0"/>
                <w:kern w:val="22"/>
                <w:szCs w:val="22"/>
              </w:rPr>
              <w:t xml:space="preserve"> </w:t>
            </w:r>
            <w:r w:rsidRPr="00AD216C">
              <w:rPr>
                <w:snapToGrid w:val="0"/>
                <w:kern w:val="22"/>
                <w:szCs w:val="22"/>
              </w:rPr>
              <w:t xml:space="preserve">: </w:t>
            </w:r>
            <w:r w:rsidR="00622AA8" w:rsidRPr="00AD216C">
              <w:rPr>
                <w:snapToGrid w:val="0"/>
                <w:kern w:val="22"/>
                <w:szCs w:val="22"/>
              </w:rPr>
              <w:t>ANGLAIS</w:t>
            </w:r>
          </w:p>
          <w:p w14:paraId="5D810B6C" w14:textId="77777777" w:rsidR="00B93F5D" w:rsidRPr="003133A9" w:rsidRDefault="00B93F5D" w:rsidP="00B93F5D">
            <w:pPr>
              <w:kinsoku w:val="0"/>
              <w:overflowPunct w:val="0"/>
              <w:autoSpaceDE w:val="0"/>
              <w:autoSpaceDN w:val="0"/>
              <w:jc w:val="left"/>
              <w:rPr>
                <w:snapToGrid w:val="0"/>
                <w:kern w:val="22"/>
                <w:lang w:val="en-GB"/>
              </w:rPr>
            </w:pPr>
          </w:p>
        </w:tc>
      </w:tr>
    </w:tbl>
    <w:p w14:paraId="10B56D36" w14:textId="4E481AB2" w:rsidR="003231D9" w:rsidRPr="00115221" w:rsidRDefault="003231D9" w:rsidP="003231D9">
      <w:pPr>
        <w:ind w:left="284" w:hanging="284"/>
        <w:rPr>
          <w:rFonts w:eastAsia="Malgun Gothic" w:cs="Times New Roman"/>
          <w:caps/>
          <w:snapToGrid w:val="0"/>
          <w:kern w:val="22"/>
          <w:sz w:val="20"/>
          <w:lang w:val="fr-CA"/>
        </w:rPr>
      </w:pPr>
      <w:bookmarkStart w:id="1" w:name="_Hlk2766324"/>
      <w:r w:rsidRPr="003D2B87">
        <w:rPr>
          <w:rFonts w:eastAsia="Malgun Gothic"/>
          <w:caps/>
          <w:snapToGrid w:val="0"/>
          <w:kern w:val="22"/>
          <w:lang w:val="fr-CA"/>
        </w:rPr>
        <w:t>ORGANE SUBSIDI</w:t>
      </w:r>
      <w:r w:rsidRPr="00115221">
        <w:rPr>
          <w:rFonts w:eastAsia="Malgun Gothic" w:cs="Times New Roman"/>
          <w:caps/>
          <w:snapToGrid w:val="0"/>
          <w:kern w:val="22"/>
          <w:lang w:val="fr-CA"/>
        </w:rPr>
        <w:t>AIRE CHARGÉ DE</w:t>
      </w:r>
    </w:p>
    <w:p w14:paraId="1B2B673E" w14:textId="6F6F7453" w:rsidR="003231D9" w:rsidRPr="00115221" w:rsidRDefault="003231D9" w:rsidP="003231D9">
      <w:pPr>
        <w:ind w:left="284" w:hanging="284"/>
        <w:rPr>
          <w:rFonts w:eastAsia="Malgun Gothic" w:cs="Times New Roman"/>
          <w:caps/>
          <w:snapToGrid w:val="0"/>
          <w:kern w:val="22"/>
          <w:lang w:val="fr-CA"/>
        </w:rPr>
      </w:pPr>
      <w:r w:rsidRPr="00115221">
        <w:rPr>
          <w:rFonts w:eastAsia="Malgun Gothic" w:cs="Times New Roman"/>
          <w:caps/>
          <w:snapToGrid w:val="0"/>
          <w:kern w:val="22"/>
          <w:lang w:val="fr-CA"/>
        </w:rPr>
        <w:t xml:space="preserve">   L’APPLICATION</w:t>
      </w:r>
    </w:p>
    <w:p w14:paraId="59264FDE" w14:textId="10823D1E" w:rsidR="00985A74" w:rsidRPr="00115221" w:rsidRDefault="003231D9" w:rsidP="003231D9">
      <w:pPr>
        <w:ind w:left="284" w:hanging="284"/>
        <w:rPr>
          <w:rFonts w:cs="Times New Roman"/>
          <w:snapToGrid w:val="0"/>
          <w:kern w:val="22"/>
          <w:szCs w:val="22"/>
          <w:lang w:val="fr-CA" w:eastAsia="nb-NO"/>
        </w:rPr>
      </w:pPr>
      <w:r w:rsidRPr="00115221">
        <w:rPr>
          <w:rFonts w:cs="Times New Roman"/>
          <w:snapToGrid w:val="0"/>
          <w:kern w:val="22"/>
          <w:szCs w:val="22"/>
          <w:lang w:val="fr-CA" w:eastAsia="nb-NO"/>
        </w:rPr>
        <w:t>Troisième réunion</w:t>
      </w:r>
    </w:p>
    <w:p w14:paraId="2DD2D037" w14:textId="118017D8" w:rsidR="00985A74" w:rsidRPr="00115221" w:rsidRDefault="003231D9" w:rsidP="000A5388">
      <w:pPr>
        <w:pStyle w:val="Cornernotation"/>
        <w:suppressLineNumbers/>
        <w:suppressAutoHyphens/>
        <w:kinsoku w:val="0"/>
        <w:overflowPunct w:val="0"/>
        <w:autoSpaceDE w:val="0"/>
        <w:autoSpaceDN w:val="0"/>
        <w:ind w:left="227" w:right="3831" w:hanging="227"/>
        <w:rPr>
          <w:kern w:val="22"/>
          <w:sz w:val="22"/>
          <w:szCs w:val="22"/>
          <w:lang w:val="fr-CA" w:eastAsia="ko-KR"/>
        </w:rPr>
      </w:pPr>
      <w:r w:rsidRPr="00115221">
        <w:rPr>
          <w:kern w:val="22"/>
          <w:sz w:val="22"/>
          <w:szCs w:val="22"/>
          <w:lang w:val="fr-CA" w:eastAsia="ko-KR"/>
        </w:rPr>
        <w:t>Date et lieu à déterminer</w:t>
      </w:r>
    </w:p>
    <w:p w14:paraId="5764689B" w14:textId="7F9D8128" w:rsidR="009062D2" w:rsidRPr="00115221" w:rsidRDefault="003231D9" w:rsidP="000A5388">
      <w:pPr>
        <w:pStyle w:val="Cornernotation"/>
        <w:suppressLineNumbers/>
        <w:suppressAutoHyphens/>
        <w:kinsoku w:val="0"/>
        <w:overflowPunct w:val="0"/>
        <w:autoSpaceDE w:val="0"/>
        <w:autoSpaceDN w:val="0"/>
        <w:ind w:left="227" w:right="3831" w:hanging="227"/>
        <w:rPr>
          <w:kern w:val="22"/>
          <w:sz w:val="22"/>
          <w:szCs w:val="22"/>
          <w:lang w:val="fr-CA" w:eastAsia="ko-KR"/>
        </w:rPr>
      </w:pPr>
      <w:r w:rsidRPr="00115221">
        <w:rPr>
          <w:kern w:val="22"/>
          <w:sz w:val="22"/>
          <w:szCs w:val="22"/>
          <w:lang w:val="fr-CA" w:eastAsia="ko-KR"/>
        </w:rPr>
        <w:t>Point 4 de l’ordre du jour provisoire</w:t>
      </w:r>
      <w:r w:rsidR="00BE4D2B" w:rsidRPr="00115221">
        <w:rPr>
          <w:rStyle w:val="FootnoteReference"/>
          <w:kern w:val="22"/>
          <w:sz w:val="22"/>
          <w:szCs w:val="22"/>
          <w:lang w:val="fr-CA" w:eastAsia="ko-KR"/>
        </w:rPr>
        <w:footnoteReference w:customMarkFollows="1" w:id="2"/>
        <w:t>*</w:t>
      </w:r>
      <w:r w:rsidR="00C00133">
        <w:rPr>
          <w:kern w:val="22"/>
          <w:sz w:val="22"/>
          <w:szCs w:val="22"/>
          <w:lang w:val="fr-CA" w:eastAsia="ko-KR"/>
        </w:rPr>
        <w:t xml:space="preserve"> </w:t>
      </w:r>
    </w:p>
    <w:bookmarkEnd w:id="1" w:displacedByCustomXml="next"/>
    <w:sdt>
      <w:sdtPr>
        <w:rPr>
          <w:rFonts w:cs="Times New Roman"/>
          <w:snapToGrid w:val="0"/>
          <w:lang w:val="fr-CA"/>
        </w:rPr>
        <w:alias w:val="Title"/>
        <w:tag w:val=""/>
        <w:id w:val="1580942142"/>
        <w:placeholder>
          <w:docPart w:val="7CAC84CC5B834614A625AEEEEF6CFDB7"/>
        </w:placeholder>
        <w:dataBinding w:prefixMappings="xmlns:ns0='http://purl.org/dc/elements/1.1/' xmlns:ns1='http://schemas.openxmlformats.org/package/2006/metadata/core-properties' " w:xpath="/ns1:coreProperties[1]/ns0:title[1]" w:storeItemID="{6C3C8BC8-F283-45AE-878A-BAB7291924A1}"/>
        <w:text/>
      </w:sdtPr>
      <w:sdtEndPr/>
      <w:sdtContent>
        <w:p w14:paraId="16F61168" w14:textId="580FFDB0" w:rsidR="004569FB" w:rsidRPr="00115221" w:rsidRDefault="003D24AC" w:rsidP="008E2291">
          <w:pPr>
            <w:pStyle w:val="HEADINGNOTFORTOC"/>
            <w:rPr>
              <w:rFonts w:cs="Times New Roman"/>
              <w:snapToGrid w:val="0"/>
              <w:lang w:val="fr-CA"/>
            </w:rPr>
          </w:pPr>
          <w:r>
            <w:rPr>
              <w:rFonts w:cs="Times New Roman"/>
              <w:snapToGrid w:val="0"/>
              <w:lang w:val="fr-CA"/>
            </w:rPr>
            <w:t>ANALYSE DE L’INFORMATION POUR L’ÉVALUATION ET EXAMEN DE L’EFFICACITÉ DU pROTOCOLE DE cARTAGENA SUR LA PRÉVENTION DES RISQUES BIOTECHNOLOGIQUES ET ÉVALUATION FINALE DU PLAN STRATÉGIQUE POUR LE PROTOCOLE DE CARTAGENA POUR LA PÉRIODE 2011-2020</w:t>
          </w:r>
        </w:p>
      </w:sdtContent>
    </w:sdt>
    <w:p w14:paraId="1CCD313D" w14:textId="1187E626" w:rsidR="004569FB" w:rsidRPr="00115221" w:rsidRDefault="005063EC" w:rsidP="004569FB">
      <w:pPr>
        <w:keepNext/>
        <w:tabs>
          <w:tab w:val="left" w:pos="8364"/>
        </w:tabs>
        <w:spacing w:before="120" w:after="120"/>
        <w:jc w:val="center"/>
        <w:rPr>
          <w:rFonts w:cs="Times New Roman"/>
          <w:i/>
          <w:snapToGrid w:val="0"/>
          <w:kern w:val="22"/>
          <w:szCs w:val="22"/>
          <w:lang w:val="fr-CA"/>
        </w:rPr>
      </w:pPr>
      <w:r w:rsidRPr="00115221">
        <w:rPr>
          <w:rFonts w:cs="Times New Roman"/>
          <w:i/>
          <w:snapToGrid w:val="0"/>
          <w:kern w:val="22"/>
          <w:szCs w:val="22"/>
          <w:lang w:val="fr-CA"/>
        </w:rPr>
        <w:t>Note de la Secrétaire exécutive</w:t>
      </w:r>
    </w:p>
    <w:p w14:paraId="06E6B6C6" w14:textId="77777777" w:rsidR="004569FB" w:rsidRPr="00115221" w:rsidRDefault="004569FB" w:rsidP="004569FB">
      <w:pPr>
        <w:keepNext/>
        <w:numPr>
          <w:ilvl w:val="0"/>
          <w:numId w:val="3"/>
        </w:numPr>
        <w:spacing w:before="120" w:after="120"/>
        <w:ind w:left="0" w:firstLine="0"/>
        <w:jc w:val="center"/>
        <w:outlineLvl w:val="0"/>
        <w:rPr>
          <w:rFonts w:cs="Times New Roman"/>
          <w:b/>
          <w:bCs/>
          <w:caps/>
          <w:snapToGrid w:val="0"/>
          <w:kern w:val="22"/>
          <w:szCs w:val="22"/>
          <w:lang w:val="fr-CA"/>
        </w:rPr>
      </w:pPr>
      <w:r w:rsidRPr="00115221">
        <w:rPr>
          <w:rFonts w:cs="Times New Roman"/>
          <w:b/>
          <w:bCs/>
          <w:caps/>
          <w:snapToGrid w:val="0"/>
          <w:kern w:val="22"/>
          <w:szCs w:val="22"/>
          <w:lang w:val="fr-CA"/>
        </w:rPr>
        <w:t>INTRODUCTION</w:t>
      </w:r>
    </w:p>
    <w:p w14:paraId="5BFE7397" w14:textId="5870CA80" w:rsidR="004569FB" w:rsidRPr="00115221" w:rsidRDefault="009F097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L’article 35 du Protocole de Cartagena sur la prévention des risques biotechnologiques oblige la Conférence des Parties siégeant en</w:t>
      </w:r>
      <w:r w:rsidR="00C00133">
        <w:rPr>
          <w:rFonts w:cs="Times New Roman"/>
          <w:snapToGrid w:val="0"/>
          <w:kern w:val="22"/>
          <w:szCs w:val="22"/>
          <w:lang w:val="fr-CA"/>
        </w:rPr>
        <w:t xml:space="preserve"> tant que réunion des Parties </w:t>
      </w:r>
      <w:r w:rsidR="005D1371">
        <w:rPr>
          <w:rFonts w:cs="Times New Roman"/>
          <w:snapToGrid w:val="0"/>
          <w:kern w:val="22"/>
          <w:szCs w:val="22"/>
          <w:lang w:val="fr-CA"/>
        </w:rPr>
        <w:t xml:space="preserve">au Protocole </w:t>
      </w:r>
      <w:r w:rsidR="00C00133">
        <w:rPr>
          <w:rFonts w:cs="Times New Roman"/>
          <w:snapToGrid w:val="0"/>
          <w:kern w:val="22"/>
          <w:szCs w:val="22"/>
          <w:lang w:val="fr-CA"/>
        </w:rPr>
        <w:t xml:space="preserve">à </w:t>
      </w:r>
      <w:r w:rsidRPr="00115221">
        <w:rPr>
          <w:rFonts w:cs="Times New Roman"/>
          <w:snapToGrid w:val="0"/>
          <w:kern w:val="22"/>
          <w:szCs w:val="22"/>
          <w:lang w:val="fr-CA"/>
        </w:rPr>
        <w:t xml:space="preserve">évaluer l’efficacité du Protocole, ainsi que </w:t>
      </w:r>
      <w:r w:rsidR="00C00133">
        <w:rPr>
          <w:rFonts w:cs="Times New Roman"/>
          <w:snapToGrid w:val="0"/>
          <w:kern w:val="22"/>
          <w:szCs w:val="22"/>
          <w:lang w:val="fr-CA"/>
        </w:rPr>
        <w:t xml:space="preserve">de </w:t>
      </w:r>
      <w:r w:rsidRPr="00115221">
        <w:rPr>
          <w:rFonts w:cs="Times New Roman"/>
          <w:snapToGrid w:val="0"/>
          <w:kern w:val="22"/>
          <w:szCs w:val="22"/>
          <w:lang w:val="fr-CA"/>
        </w:rPr>
        <w:t xml:space="preserve">ses procédures et annexes, cinq ans après l’entrée en vigueur du Protocole et </w:t>
      </w:r>
      <w:r w:rsidR="00C00133">
        <w:rPr>
          <w:rFonts w:cs="Times New Roman"/>
          <w:snapToGrid w:val="0"/>
          <w:kern w:val="22"/>
          <w:szCs w:val="22"/>
          <w:lang w:val="fr-CA"/>
        </w:rPr>
        <w:t xml:space="preserve">au moins </w:t>
      </w:r>
      <w:r w:rsidRPr="00115221">
        <w:rPr>
          <w:rFonts w:cs="Times New Roman"/>
          <w:snapToGrid w:val="0"/>
          <w:kern w:val="22"/>
          <w:szCs w:val="22"/>
          <w:lang w:val="fr-CA"/>
        </w:rPr>
        <w:t>tous les cinq ans par la suite.</w:t>
      </w:r>
    </w:p>
    <w:p w14:paraId="4BA54165" w14:textId="175E985E" w:rsidR="004569FB" w:rsidRPr="00115221" w:rsidRDefault="009F097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w:t>
      </w:r>
      <w:r w:rsidR="00E43507" w:rsidRPr="00115221">
        <w:rPr>
          <w:rFonts w:cs="Times New Roman"/>
          <w:snapToGrid w:val="0"/>
          <w:kern w:val="22"/>
          <w:szCs w:val="22"/>
          <w:lang w:val="fr-CA"/>
        </w:rPr>
        <w:t>a Conférence des P</w:t>
      </w:r>
      <w:r w:rsidRPr="00115221">
        <w:rPr>
          <w:rFonts w:cs="Times New Roman"/>
          <w:snapToGrid w:val="0"/>
          <w:kern w:val="22"/>
          <w:szCs w:val="22"/>
          <w:lang w:val="fr-CA"/>
        </w:rPr>
        <w:t xml:space="preserve">arties a adopté le Plan stratégique </w:t>
      </w:r>
      <w:r w:rsidR="00C00133">
        <w:rPr>
          <w:rFonts w:cs="Times New Roman"/>
          <w:snapToGrid w:val="0"/>
          <w:kern w:val="22"/>
          <w:szCs w:val="22"/>
          <w:lang w:val="fr-CA"/>
        </w:rPr>
        <w:t>pour le</w:t>
      </w:r>
      <w:r w:rsidRPr="00115221">
        <w:rPr>
          <w:rFonts w:cs="Times New Roman"/>
          <w:snapToGrid w:val="0"/>
          <w:kern w:val="22"/>
          <w:szCs w:val="22"/>
          <w:lang w:val="fr-CA"/>
        </w:rPr>
        <w:t xml:space="preserve"> Protocole de Cartagena sur la prévention des risques biotechnologiq</w:t>
      </w:r>
      <w:r w:rsidR="00C00133">
        <w:rPr>
          <w:rFonts w:cs="Times New Roman"/>
          <w:snapToGrid w:val="0"/>
          <w:kern w:val="22"/>
          <w:szCs w:val="22"/>
          <w:lang w:val="fr-CA"/>
        </w:rPr>
        <w:t>ues pour la période 2011-2020 (P</w:t>
      </w:r>
      <w:r w:rsidRPr="00115221">
        <w:rPr>
          <w:rFonts w:cs="Times New Roman"/>
          <w:snapToGrid w:val="0"/>
          <w:kern w:val="22"/>
          <w:szCs w:val="22"/>
          <w:lang w:val="fr-CA"/>
        </w:rPr>
        <w:t>lan stratégique)</w:t>
      </w:r>
      <w:r w:rsidR="00E43507" w:rsidRPr="00115221">
        <w:rPr>
          <w:rFonts w:cs="Times New Roman"/>
          <w:snapToGrid w:val="0"/>
          <w:kern w:val="22"/>
          <w:szCs w:val="22"/>
          <w:lang w:val="fr-CA"/>
        </w:rPr>
        <w:t xml:space="preserve"> en 2010, dans sa</w:t>
      </w:r>
      <w:r w:rsidRPr="00115221">
        <w:rPr>
          <w:rFonts w:cs="Times New Roman"/>
          <w:snapToGrid w:val="0"/>
          <w:kern w:val="22"/>
          <w:szCs w:val="22"/>
          <w:lang w:val="fr-CA"/>
        </w:rPr>
        <w:t xml:space="preserve"> </w:t>
      </w:r>
      <w:r w:rsidR="004569FB" w:rsidRPr="00115221">
        <w:rPr>
          <w:rFonts w:cs="Times New Roman"/>
          <w:snapToGrid w:val="0"/>
          <w:kern w:val="22"/>
          <w:szCs w:val="22"/>
          <w:lang w:val="fr-CA"/>
        </w:rPr>
        <w:t xml:space="preserve"> </w:t>
      </w:r>
      <w:hyperlink r:id="rId14" w:history="1">
        <w:r w:rsidR="004569FB" w:rsidRPr="00115221">
          <w:rPr>
            <w:rStyle w:val="Hyperlink"/>
            <w:rFonts w:cs="Times New Roman"/>
            <w:snapToGrid w:val="0"/>
            <w:kern w:val="22"/>
            <w:szCs w:val="22"/>
            <w:lang w:val="fr-CA"/>
          </w:rPr>
          <w:t>d</w:t>
        </w:r>
        <w:r w:rsidR="00E43507" w:rsidRPr="00115221">
          <w:rPr>
            <w:rStyle w:val="Hyperlink"/>
            <w:rFonts w:cs="Times New Roman"/>
            <w:snapToGrid w:val="0"/>
            <w:kern w:val="22"/>
            <w:szCs w:val="22"/>
            <w:lang w:val="fr-CA"/>
          </w:rPr>
          <w:t>é</w:t>
        </w:r>
        <w:r w:rsidR="004569FB" w:rsidRPr="00115221">
          <w:rPr>
            <w:rStyle w:val="Hyperlink"/>
            <w:rFonts w:cs="Times New Roman"/>
            <w:snapToGrid w:val="0"/>
            <w:kern w:val="22"/>
            <w:szCs w:val="22"/>
            <w:lang w:val="fr-CA"/>
          </w:rPr>
          <w:t>cision BS</w:t>
        </w:r>
        <w:r w:rsidR="004569FB" w:rsidRPr="00115221">
          <w:rPr>
            <w:rStyle w:val="Hyperlink"/>
            <w:rFonts w:cs="Times New Roman"/>
            <w:snapToGrid w:val="0"/>
            <w:kern w:val="22"/>
            <w:szCs w:val="22"/>
            <w:lang w:val="fr-CA"/>
          </w:rPr>
          <w:noBreakHyphen/>
          <w:t>V/16</w:t>
        </w:r>
      </w:hyperlink>
      <w:r w:rsidR="004569FB" w:rsidRPr="00115221">
        <w:rPr>
          <w:rFonts w:cs="Times New Roman"/>
          <w:snapToGrid w:val="0"/>
          <w:kern w:val="22"/>
          <w:szCs w:val="22"/>
          <w:lang w:val="fr-CA"/>
        </w:rPr>
        <w:t xml:space="preserve">. </w:t>
      </w:r>
      <w:r w:rsidR="00C00133">
        <w:rPr>
          <w:rFonts w:cs="Times New Roman"/>
          <w:snapToGrid w:val="0"/>
          <w:kern w:val="22"/>
          <w:szCs w:val="22"/>
          <w:lang w:val="fr-CA"/>
        </w:rPr>
        <w:t>L’évaluation de mi-mandat du P</w:t>
      </w:r>
      <w:r w:rsidR="00E43507" w:rsidRPr="00115221">
        <w:rPr>
          <w:rFonts w:cs="Times New Roman"/>
          <w:snapToGrid w:val="0"/>
          <w:kern w:val="22"/>
          <w:szCs w:val="22"/>
          <w:lang w:val="fr-CA"/>
        </w:rPr>
        <w:t>lan stratégique a été menée en même temps que la troisième évaluation et examen de l’efficacité du Protocole et examiné</w:t>
      </w:r>
      <w:r w:rsidR="00243644">
        <w:rPr>
          <w:rFonts w:cs="Times New Roman"/>
          <w:snapToGrid w:val="0"/>
          <w:kern w:val="22"/>
          <w:szCs w:val="22"/>
          <w:lang w:val="fr-CA"/>
        </w:rPr>
        <w:t>e</w:t>
      </w:r>
      <w:r w:rsidR="00E43507" w:rsidRPr="00115221">
        <w:rPr>
          <w:rFonts w:cs="Times New Roman"/>
          <w:snapToGrid w:val="0"/>
          <w:kern w:val="22"/>
          <w:szCs w:val="22"/>
          <w:lang w:val="fr-CA"/>
        </w:rPr>
        <w:t xml:space="preserve"> par la Conférence des Parties siégeant en tant que réunion des Parties au Protocole à sa huitième réunion (dé</w:t>
      </w:r>
      <w:r w:rsidR="004569FB" w:rsidRPr="00115221">
        <w:rPr>
          <w:rFonts w:cs="Times New Roman"/>
          <w:snapToGrid w:val="0"/>
          <w:kern w:val="22"/>
          <w:szCs w:val="22"/>
          <w:lang w:val="fr-CA"/>
        </w:rPr>
        <w:t xml:space="preserve">cision </w:t>
      </w:r>
      <w:hyperlink r:id="rId15" w:history="1">
        <w:r w:rsidR="000337F9" w:rsidRPr="00115221">
          <w:rPr>
            <w:rStyle w:val="Hyperlink"/>
            <w:rFonts w:cs="Times New Roman"/>
            <w:snapToGrid w:val="0"/>
            <w:kern w:val="22"/>
            <w:szCs w:val="22"/>
            <w:lang w:val="fr-CA"/>
          </w:rPr>
          <w:t>CP</w:t>
        </w:r>
        <w:r w:rsidR="004569FB" w:rsidRPr="00115221">
          <w:rPr>
            <w:rStyle w:val="Hyperlink"/>
            <w:rFonts w:cs="Times New Roman"/>
            <w:snapToGrid w:val="0"/>
            <w:kern w:val="22"/>
            <w:szCs w:val="22"/>
            <w:lang w:val="fr-CA"/>
          </w:rPr>
          <w:t>-VIII/15</w:t>
        </w:r>
      </w:hyperlink>
      <w:r w:rsidR="004569FB" w:rsidRPr="00115221">
        <w:rPr>
          <w:rFonts w:cs="Times New Roman"/>
          <w:snapToGrid w:val="0"/>
          <w:kern w:val="22"/>
          <w:szCs w:val="22"/>
          <w:lang w:val="fr-CA"/>
        </w:rPr>
        <w:t xml:space="preserve">). </w:t>
      </w:r>
    </w:p>
    <w:p w14:paraId="1DCA9BDB" w14:textId="59AF3D1A" w:rsidR="004569FB" w:rsidRPr="00115221" w:rsidRDefault="00E43507"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La Conférence des Parties siégeant en tant que réunion des Parties au Protocole a décidé</w:t>
      </w:r>
      <w:r w:rsidR="00243644">
        <w:rPr>
          <w:rFonts w:cs="Times New Roman"/>
          <w:snapToGrid w:val="0"/>
          <w:kern w:val="22"/>
          <w:szCs w:val="22"/>
          <w:lang w:val="fr-CA"/>
        </w:rPr>
        <w:t>,</w:t>
      </w:r>
      <w:r w:rsidRPr="00115221">
        <w:rPr>
          <w:rFonts w:cs="Times New Roman"/>
          <w:snapToGrid w:val="0"/>
          <w:kern w:val="22"/>
          <w:szCs w:val="22"/>
          <w:lang w:val="fr-CA"/>
        </w:rPr>
        <w:t xml:space="preserve"> à sa neuvième réunion, dans sa décision</w:t>
      </w:r>
      <w:r w:rsidR="004569FB" w:rsidRPr="00115221">
        <w:rPr>
          <w:rFonts w:cs="Times New Roman"/>
          <w:snapToGrid w:val="0"/>
          <w:kern w:val="22"/>
          <w:szCs w:val="22"/>
          <w:lang w:val="fr-CA"/>
        </w:rPr>
        <w:t xml:space="preserve"> </w:t>
      </w:r>
      <w:hyperlink r:id="rId16" w:history="1">
        <w:r w:rsidR="004569FB" w:rsidRPr="00115221">
          <w:rPr>
            <w:rStyle w:val="Hyperlink"/>
            <w:rFonts w:cs="Times New Roman"/>
            <w:snapToGrid w:val="0"/>
            <w:kern w:val="22"/>
            <w:szCs w:val="22"/>
            <w:lang w:val="fr-CA"/>
          </w:rPr>
          <w:t>CP-9/6</w:t>
        </w:r>
      </w:hyperlink>
      <w:r w:rsidR="004569FB" w:rsidRPr="00115221">
        <w:rPr>
          <w:rFonts w:cs="Times New Roman"/>
          <w:snapToGrid w:val="0"/>
          <w:kern w:val="22"/>
          <w:szCs w:val="22"/>
          <w:lang w:val="fr-CA"/>
        </w:rPr>
        <w:t xml:space="preserve">, </w:t>
      </w:r>
      <w:r w:rsidRPr="00115221">
        <w:rPr>
          <w:rFonts w:cs="Times New Roman"/>
          <w:snapToGrid w:val="0"/>
          <w:kern w:val="22"/>
          <w:szCs w:val="22"/>
          <w:lang w:val="fr-CA"/>
        </w:rPr>
        <w:t xml:space="preserve">que la quatrième évaluation </w:t>
      </w:r>
      <w:r w:rsidR="00550B15" w:rsidRPr="00115221">
        <w:rPr>
          <w:rFonts w:cs="Times New Roman"/>
          <w:snapToGrid w:val="0"/>
          <w:kern w:val="22"/>
          <w:szCs w:val="22"/>
          <w:lang w:val="fr-CA"/>
        </w:rPr>
        <w:t xml:space="preserve">et examen du Protocole de Cartagena serait jumelée à l’évaluation finale du Plan stratégique </w:t>
      </w:r>
      <w:r w:rsidR="00C00133">
        <w:rPr>
          <w:rFonts w:cs="Times New Roman"/>
          <w:snapToGrid w:val="0"/>
          <w:kern w:val="22"/>
          <w:szCs w:val="22"/>
          <w:lang w:val="fr-CA"/>
        </w:rPr>
        <w:t>pour le</w:t>
      </w:r>
      <w:r w:rsidR="00550B15" w:rsidRPr="00115221">
        <w:rPr>
          <w:rFonts w:cs="Times New Roman"/>
          <w:snapToGrid w:val="0"/>
          <w:kern w:val="22"/>
          <w:szCs w:val="22"/>
          <w:lang w:val="fr-CA"/>
        </w:rPr>
        <w:t xml:space="preserve"> Protocole de Cartagena et a dressé les grandes lignes d’une méthodologie à cet égard qui comprend des contributions du Groupe de liaison du Protocole de Cartagena sur la prévention des risques biotechn</w:t>
      </w:r>
      <w:r w:rsidR="00FA7FAA" w:rsidRPr="00115221">
        <w:rPr>
          <w:rFonts w:cs="Times New Roman"/>
          <w:snapToGrid w:val="0"/>
          <w:kern w:val="22"/>
          <w:szCs w:val="22"/>
          <w:lang w:val="fr-CA"/>
        </w:rPr>
        <w:t>ologiques et du C</w:t>
      </w:r>
      <w:r w:rsidR="00550B15" w:rsidRPr="00115221">
        <w:rPr>
          <w:rFonts w:cs="Times New Roman"/>
          <w:snapToGrid w:val="0"/>
          <w:kern w:val="22"/>
          <w:szCs w:val="22"/>
          <w:lang w:val="fr-CA"/>
        </w:rPr>
        <w:t>omité de confo</w:t>
      </w:r>
      <w:r w:rsidR="007B4777">
        <w:rPr>
          <w:rFonts w:cs="Times New Roman"/>
          <w:snapToGrid w:val="0"/>
          <w:kern w:val="22"/>
          <w:szCs w:val="22"/>
          <w:lang w:val="fr-CA"/>
        </w:rPr>
        <w:t>rmité</w:t>
      </w:r>
      <w:r w:rsidR="00550B15" w:rsidRPr="00115221">
        <w:rPr>
          <w:rFonts w:cs="Times New Roman"/>
          <w:snapToGrid w:val="0"/>
          <w:kern w:val="22"/>
          <w:szCs w:val="22"/>
          <w:lang w:val="fr-CA"/>
        </w:rPr>
        <w:t xml:space="preserve">, ainsi que l’examen par l’Organe subsidiaire chargé de l'application à sa troisième réunion et </w:t>
      </w:r>
      <w:r w:rsidR="00243644">
        <w:rPr>
          <w:rFonts w:cs="Times New Roman"/>
          <w:snapToGrid w:val="0"/>
          <w:kern w:val="22"/>
          <w:szCs w:val="22"/>
          <w:lang w:val="fr-CA"/>
        </w:rPr>
        <w:t xml:space="preserve">par </w:t>
      </w:r>
      <w:r w:rsidR="00550B15" w:rsidRPr="00115221">
        <w:rPr>
          <w:rFonts w:cs="Times New Roman"/>
          <w:snapToGrid w:val="0"/>
          <w:kern w:val="22"/>
          <w:szCs w:val="22"/>
          <w:lang w:val="fr-CA"/>
        </w:rPr>
        <w:t>la Conférence des Parties siégeant en tant que réunion des Parties au Protocole à sa dixième réunion</w:t>
      </w:r>
      <w:r w:rsidR="004569FB" w:rsidRPr="00115221">
        <w:rPr>
          <w:rFonts w:cs="Times New Roman"/>
          <w:snapToGrid w:val="0"/>
          <w:kern w:val="22"/>
          <w:szCs w:val="22"/>
          <w:lang w:val="fr-CA"/>
        </w:rPr>
        <w:t xml:space="preserve">. </w:t>
      </w:r>
    </w:p>
    <w:p w14:paraId="00C9E413" w14:textId="7D530F9E" w:rsidR="004569FB" w:rsidRPr="00115221" w:rsidRDefault="00A30E74"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La Conférence des Parties siégeant en tant que réunion des Parties au Protocole a demandé à la Secrétaire exécutive d’analyser et de résumer </w:t>
      </w:r>
      <w:r w:rsidR="00532D40" w:rsidRPr="00115221">
        <w:rPr>
          <w:rFonts w:cs="Times New Roman"/>
          <w:snapToGrid w:val="0"/>
          <w:kern w:val="22"/>
          <w:szCs w:val="22"/>
          <w:lang w:val="fr-CA"/>
        </w:rPr>
        <w:t>les informations</w:t>
      </w:r>
      <w:r w:rsidRPr="00115221">
        <w:rPr>
          <w:rFonts w:cs="Times New Roman"/>
          <w:snapToGrid w:val="0"/>
          <w:kern w:val="22"/>
          <w:szCs w:val="22"/>
          <w:lang w:val="fr-CA"/>
        </w:rPr>
        <w:t xml:space="preserve"> </w:t>
      </w:r>
      <w:r w:rsidR="00532D40" w:rsidRPr="00115221">
        <w:rPr>
          <w:rFonts w:cs="Times New Roman"/>
          <w:snapToGrid w:val="0"/>
          <w:kern w:val="22"/>
          <w:szCs w:val="22"/>
          <w:lang w:val="fr-CA"/>
        </w:rPr>
        <w:t>concernant</w:t>
      </w:r>
      <w:r w:rsidRPr="00115221">
        <w:rPr>
          <w:rFonts w:cs="Times New Roman"/>
          <w:snapToGrid w:val="0"/>
          <w:kern w:val="22"/>
          <w:szCs w:val="22"/>
          <w:lang w:val="fr-CA"/>
        </w:rPr>
        <w:t xml:space="preserve"> l’application</w:t>
      </w:r>
      <w:r w:rsidR="00532D40" w:rsidRPr="00115221">
        <w:rPr>
          <w:rFonts w:cs="Times New Roman"/>
          <w:snapToGrid w:val="0"/>
          <w:kern w:val="22"/>
          <w:szCs w:val="22"/>
          <w:lang w:val="fr-CA"/>
        </w:rPr>
        <w:t xml:space="preserve"> du Protocole en utilisant</w:t>
      </w:r>
      <w:r w:rsidRPr="00115221">
        <w:rPr>
          <w:rFonts w:cs="Times New Roman"/>
          <w:snapToGrid w:val="0"/>
          <w:kern w:val="22"/>
          <w:szCs w:val="22"/>
          <w:lang w:val="fr-CA"/>
        </w:rPr>
        <w:t>, entre autre</w:t>
      </w:r>
      <w:r w:rsidR="00532D40" w:rsidRPr="00115221">
        <w:rPr>
          <w:rFonts w:cs="Times New Roman"/>
          <w:snapToGrid w:val="0"/>
          <w:kern w:val="22"/>
          <w:szCs w:val="22"/>
          <w:lang w:val="fr-CA"/>
        </w:rPr>
        <w:t>s</w:t>
      </w:r>
      <w:r w:rsidRPr="00115221">
        <w:rPr>
          <w:rFonts w:cs="Times New Roman"/>
          <w:snapToGrid w:val="0"/>
          <w:kern w:val="22"/>
          <w:szCs w:val="22"/>
          <w:lang w:val="fr-CA"/>
        </w:rPr>
        <w:t>, les quatrièmes rapports nationaux comme source</w:t>
      </w:r>
      <w:r w:rsidR="00532D40" w:rsidRPr="00115221">
        <w:rPr>
          <w:rFonts w:cs="Times New Roman"/>
          <w:snapToGrid w:val="0"/>
          <w:kern w:val="22"/>
          <w:szCs w:val="22"/>
          <w:lang w:val="fr-CA"/>
        </w:rPr>
        <w:t xml:space="preserve"> primaire</w:t>
      </w:r>
      <w:r w:rsidR="004569FB" w:rsidRPr="00115221">
        <w:rPr>
          <w:rFonts w:cs="Times New Roman"/>
          <w:snapToGrid w:val="0"/>
          <w:kern w:val="22"/>
          <w:szCs w:val="22"/>
          <w:lang w:val="fr-CA"/>
        </w:rPr>
        <w:t>,</w:t>
      </w:r>
      <w:r w:rsidR="00EC4E70" w:rsidRPr="00115221">
        <w:rPr>
          <w:rStyle w:val="FootnoteReference"/>
          <w:rFonts w:cs="Times New Roman"/>
          <w:snapToGrid w:val="0"/>
          <w:kern w:val="22"/>
          <w:szCs w:val="22"/>
          <w:lang w:val="fr-CA"/>
        </w:rPr>
        <w:footnoteReference w:id="3"/>
      </w:r>
      <w:r w:rsidR="004569FB" w:rsidRPr="00115221">
        <w:rPr>
          <w:rFonts w:cs="Times New Roman"/>
          <w:snapToGrid w:val="0"/>
          <w:kern w:val="22"/>
          <w:szCs w:val="22"/>
          <w:lang w:val="fr-CA"/>
        </w:rPr>
        <w:t xml:space="preserve"> </w:t>
      </w:r>
      <w:r w:rsidRPr="00115221">
        <w:rPr>
          <w:rFonts w:cs="Times New Roman"/>
          <w:snapToGrid w:val="0"/>
          <w:kern w:val="22"/>
          <w:szCs w:val="22"/>
          <w:lang w:val="fr-CA"/>
        </w:rPr>
        <w:t xml:space="preserve">le </w:t>
      </w:r>
      <w:r w:rsidR="00216388">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et l</w:t>
      </w:r>
      <w:r w:rsidR="000B2B6D" w:rsidRPr="00115221">
        <w:rPr>
          <w:rFonts w:cs="Times New Roman"/>
          <w:snapToGrid w:val="0"/>
          <w:kern w:val="22"/>
          <w:szCs w:val="22"/>
          <w:lang w:val="fr-CA"/>
        </w:rPr>
        <w:t>es données d’</w:t>
      </w:r>
      <w:r w:rsidRPr="00115221">
        <w:rPr>
          <w:rFonts w:cs="Times New Roman"/>
          <w:snapToGrid w:val="0"/>
          <w:kern w:val="22"/>
          <w:szCs w:val="22"/>
          <w:lang w:val="fr-CA"/>
        </w:rPr>
        <w:t xml:space="preserve">expérience </w:t>
      </w:r>
      <w:r w:rsidR="000B2B6D" w:rsidRPr="00115221">
        <w:rPr>
          <w:rFonts w:cs="Times New Roman"/>
          <w:snapToGrid w:val="0"/>
          <w:kern w:val="22"/>
          <w:szCs w:val="22"/>
          <w:lang w:val="fr-CA"/>
        </w:rPr>
        <w:t>des</w:t>
      </w:r>
      <w:r w:rsidRPr="00115221">
        <w:rPr>
          <w:rFonts w:cs="Times New Roman"/>
          <w:snapToGrid w:val="0"/>
          <w:kern w:val="22"/>
          <w:szCs w:val="22"/>
          <w:lang w:val="fr-CA"/>
        </w:rPr>
        <w:t xml:space="preserve"> projets de renforcement des capacités et </w:t>
      </w:r>
      <w:r w:rsidR="000B2B6D" w:rsidRPr="00115221">
        <w:rPr>
          <w:rFonts w:cs="Times New Roman"/>
          <w:snapToGrid w:val="0"/>
          <w:kern w:val="22"/>
          <w:szCs w:val="22"/>
          <w:lang w:val="fr-CA"/>
        </w:rPr>
        <w:t>du</w:t>
      </w:r>
      <w:r w:rsidRPr="00115221">
        <w:rPr>
          <w:rFonts w:cs="Times New Roman"/>
          <w:snapToGrid w:val="0"/>
          <w:kern w:val="22"/>
          <w:szCs w:val="22"/>
          <w:lang w:val="fr-CA"/>
        </w:rPr>
        <w:t xml:space="preserve"> Comité de conformité</w:t>
      </w:r>
      <w:r w:rsidR="00FA7FAA" w:rsidRPr="00115221">
        <w:rPr>
          <w:rFonts w:cs="Times New Roman"/>
          <w:snapToGrid w:val="0"/>
          <w:kern w:val="22"/>
          <w:szCs w:val="22"/>
          <w:lang w:val="fr-CA"/>
        </w:rPr>
        <w:t xml:space="preserve">, </w:t>
      </w:r>
      <w:r w:rsidR="000B2B6D" w:rsidRPr="00115221">
        <w:rPr>
          <w:rFonts w:cs="Times New Roman"/>
          <w:snapToGrid w:val="0"/>
          <w:kern w:val="22"/>
          <w:szCs w:val="22"/>
          <w:lang w:val="fr-CA"/>
        </w:rPr>
        <w:t xml:space="preserve">le cas échéant, en vue </w:t>
      </w:r>
      <w:r w:rsidR="00FA7FAA" w:rsidRPr="00115221">
        <w:rPr>
          <w:rFonts w:cs="Times New Roman"/>
          <w:snapToGrid w:val="0"/>
          <w:kern w:val="22"/>
          <w:szCs w:val="22"/>
          <w:lang w:val="fr-CA"/>
        </w:rPr>
        <w:t xml:space="preserve">de faciliter </w:t>
      </w:r>
      <w:r w:rsidR="000B2B6D" w:rsidRPr="00115221">
        <w:rPr>
          <w:rFonts w:cs="Times New Roman"/>
          <w:snapToGrid w:val="0"/>
          <w:kern w:val="22"/>
          <w:szCs w:val="22"/>
          <w:lang w:val="fr-CA"/>
        </w:rPr>
        <w:t xml:space="preserve">la quatrième </w:t>
      </w:r>
      <w:r w:rsidR="00FA7FAA" w:rsidRPr="00115221">
        <w:rPr>
          <w:rFonts w:cs="Times New Roman"/>
          <w:snapToGrid w:val="0"/>
          <w:kern w:val="22"/>
          <w:szCs w:val="22"/>
          <w:lang w:val="fr-CA"/>
        </w:rPr>
        <w:t xml:space="preserve">évaluation et examen du Protocole de concert avec l’évaluation finale du </w:t>
      </w:r>
      <w:r w:rsidR="00243644">
        <w:rPr>
          <w:rFonts w:cs="Times New Roman"/>
          <w:snapToGrid w:val="0"/>
          <w:kern w:val="22"/>
          <w:szCs w:val="22"/>
          <w:lang w:val="fr-CA"/>
        </w:rPr>
        <w:t>P</w:t>
      </w:r>
      <w:r w:rsidR="00FA7FAA" w:rsidRPr="00115221">
        <w:rPr>
          <w:rFonts w:cs="Times New Roman"/>
          <w:snapToGrid w:val="0"/>
          <w:kern w:val="22"/>
          <w:szCs w:val="22"/>
          <w:lang w:val="fr-CA"/>
        </w:rPr>
        <w:t xml:space="preserve">lan stratégique, et de mettre cette information à la disposition du </w:t>
      </w:r>
      <w:r w:rsidR="00FA7FAA" w:rsidRPr="00115221">
        <w:rPr>
          <w:rFonts w:eastAsia="Times New Roman" w:cs="Times New Roman"/>
          <w:snapToGrid w:val="0"/>
          <w:kern w:val="22"/>
          <w:szCs w:val="22"/>
          <w:lang w:val="fr-CA"/>
        </w:rPr>
        <w:t>Groupe</w:t>
      </w:r>
      <w:r w:rsidR="00264149" w:rsidRPr="00115221">
        <w:rPr>
          <w:rFonts w:cs="Times New Roman"/>
          <w:snapToGrid w:val="0"/>
          <w:kern w:val="22"/>
          <w:szCs w:val="22"/>
          <w:lang w:val="fr-CA"/>
        </w:rPr>
        <w:t xml:space="preserve"> de l</w:t>
      </w:r>
      <w:r w:rsidR="00FA7FAA" w:rsidRPr="00115221">
        <w:rPr>
          <w:rFonts w:cs="Times New Roman"/>
          <w:snapToGrid w:val="0"/>
          <w:kern w:val="22"/>
          <w:szCs w:val="22"/>
          <w:lang w:val="fr-CA"/>
        </w:rPr>
        <w:t>iaison et, selon qu’il convient, du Comité de conformité</w:t>
      </w:r>
      <w:r w:rsidR="004569FB" w:rsidRPr="00115221">
        <w:rPr>
          <w:rFonts w:cs="Times New Roman"/>
          <w:snapToGrid w:val="0"/>
          <w:kern w:val="22"/>
          <w:szCs w:val="22"/>
          <w:lang w:val="fr-CA"/>
        </w:rPr>
        <w:t>.</w:t>
      </w:r>
    </w:p>
    <w:p w14:paraId="7B520E8D" w14:textId="11829AD8" w:rsidR="00735B09" w:rsidRPr="00115221" w:rsidRDefault="00FA7FAA"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lastRenderedPageBreak/>
        <w:t xml:space="preserve">La présente note </w:t>
      </w:r>
      <w:r w:rsidR="00AA7049">
        <w:rPr>
          <w:rFonts w:cs="Times New Roman"/>
          <w:snapToGrid w:val="0"/>
          <w:kern w:val="22"/>
          <w:szCs w:val="22"/>
          <w:lang w:val="fr-CA"/>
        </w:rPr>
        <w:t>contient</w:t>
      </w:r>
      <w:r w:rsidRPr="00115221">
        <w:rPr>
          <w:rFonts w:cs="Times New Roman"/>
          <w:snapToGrid w:val="0"/>
          <w:kern w:val="22"/>
          <w:szCs w:val="22"/>
          <w:lang w:val="fr-CA"/>
        </w:rPr>
        <w:t xml:space="preserve"> l’analyse et </w:t>
      </w:r>
      <w:r w:rsidR="00243644">
        <w:rPr>
          <w:rFonts w:cs="Times New Roman"/>
          <w:snapToGrid w:val="0"/>
          <w:kern w:val="22"/>
          <w:szCs w:val="22"/>
          <w:lang w:val="fr-CA"/>
        </w:rPr>
        <w:t>la synthèse</w:t>
      </w:r>
      <w:r w:rsidRPr="00115221">
        <w:rPr>
          <w:rFonts w:cs="Times New Roman"/>
          <w:snapToGrid w:val="0"/>
          <w:kern w:val="22"/>
          <w:szCs w:val="22"/>
          <w:lang w:val="fr-CA"/>
        </w:rPr>
        <w:t xml:space="preserve"> de l’information pour l</w:t>
      </w:r>
      <w:r w:rsidR="000B2B6D" w:rsidRPr="00115221">
        <w:rPr>
          <w:rFonts w:cs="Times New Roman"/>
          <w:snapToGrid w:val="0"/>
          <w:kern w:val="22"/>
          <w:szCs w:val="22"/>
          <w:lang w:val="fr-CA"/>
        </w:rPr>
        <w:t xml:space="preserve">a </w:t>
      </w:r>
      <w:r w:rsidRPr="00115221">
        <w:rPr>
          <w:rFonts w:cs="Times New Roman"/>
          <w:snapToGrid w:val="0"/>
          <w:kern w:val="22"/>
          <w:szCs w:val="22"/>
          <w:lang w:val="fr-CA"/>
        </w:rPr>
        <w:t>quatrième évaluation et examen de l’efficacité du Proto</w:t>
      </w:r>
      <w:r w:rsidR="004907EB">
        <w:rPr>
          <w:rFonts w:cs="Times New Roman"/>
          <w:snapToGrid w:val="0"/>
          <w:kern w:val="22"/>
          <w:szCs w:val="22"/>
          <w:lang w:val="fr-CA"/>
        </w:rPr>
        <w:t>cole et l’évaluation finale du P</w:t>
      </w:r>
      <w:r w:rsidRPr="00115221">
        <w:rPr>
          <w:rFonts w:cs="Times New Roman"/>
          <w:snapToGrid w:val="0"/>
          <w:kern w:val="22"/>
          <w:szCs w:val="22"/>
          <w:lang w:val="fr-CA"/>
        </w:rPr>
        <w:t>lan stratégique. Une version préliminaire de ce document a été mise à la disposition du Comité de confo</w:t>
      </w:r>
      <w:r w:rsidR="00AA7049">
        <w:rPr>
          <w:rFonts w:cs="Times New Roman"/>
          <w:snapToGrid w:val="0"/>
          <w:kern w:val="22"/>
          <w:szCs w:val="22"/>
          <w:lang w:val="fr-CA"/>
        </w:rPr>
        <w:t>rmité à sa dix-septième réunion</w:t>
      </w:r>
      <w:r w:rsidRPr="00115221">
        <w:rPr>
          <w:rFonts w:cs="Times New Roman"/>
          <w:snapToGrid w:val="0"/>
          <w:kern w:val="22"/>
          <w:szCs w:val="22"/>
          <w:lang w:val="fr-CA"/>
        </w:rPr>
        <w:t xml:space="preserve"> e</w:t>
      </w:r>
      <w:r w:rsidR="00AA7049">
        <w:rPr>
          <w:rFonts w:cs="Times New Roman"/>
          <w:snapToGrid w:val="0"/>
          <w:kern w:val="22"/>
          <w:szCs w:val="22"/>
          <w:lang w:val="fr-CA"/>
        </w:rPr>
        <w:t>t du Groupe de liaison</w:t>
      </w:r>
      <w:r w:rsidRPr="00115221">
        <w:rPr>
          <w:rFonts w:cs="Times New Roman"/>
          <w:snapToGrid w:val="0"/>
          <w:kern w:val="22"/>
          <w:szCs w:val="22"/>
          <w:lang w:val="fr-CA"/>
        </w:rPr>
        <w:t xml:space="preserve"> à sa quatorzième réunion</w:t>
      </w:r>
      <w:r w:rsidR="00254420" w:rsidRPr="00115221">
        <w:rPr>
          <w:rFonts w:cs="Times New Roman"/>
          <w:snapToGrid w:val="0"/>
          <w:kern w:val="22"/>
          <w:szCs w:val="22"/>
          <w:lang w:val="fr-CA"/>
        </w:rPr>
        <w:t>.</w:t>
      </w:r>
      <w:r w:rsidR="00E84E9F" w:rsidRPr="00115221">
        <w:rPr>
          <w:rStyle w:val="FootnoteReference"/>
          <w:rFonts w:cs="Times New Roman"/>
          <w:snapToGrid w:val="0"/>
          <w:kern w:val="22"/>
          <w:szCs w:val="22"/>
          <w:lang w:val="fr-CA"/>
        </w:rPr>
        <w:footnoteReference w:id="4"/>
      </w:r>
    </w:p>
    <w:p w14:paraId="6335DE39" w14:textId="2CE484C9" w:rsidR="004569FB" w:rsidRPr="00115221" w:rsidRDefault="00B56D96" w:rsidP="000A5388">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La partie II décrit la méthodologie utilisée pour préparer l’analyse de l’information. La partie III offre une analyse et une synthèse de l’inform</w:t>
      </w:r>
      <w:r w:rsidR="00532D40" w:rsidRPr="00115221">
        <w:rPr>
          <w:rFonts w:cs="Times New Roman"/>
          <w:snapToGrid w:val="0"/>
          <w:kern w:val="22"/>
          <w:szCs w:val="22"/>
          <w:lang w:val="fr-CA"/>
        </w:rPr>
        <w:t>ation sur les progrè</w:t>
      </w:r>
      <w:r w:rsidRPr="00115221">
        <w:rPr>
          <w:rFonts w:cs="Times New Roman"/>
          <w:snapToGrid w:val="0"/>
          <w:kern w:val="22"/>
          <w:szCs w:val="22"/>
          <w:lang w:val="fr-CA"/>
        </w:rPr>
        <w:t>s accomplis dans la réalisation des objectifs opérationnels du Plan stratégique et sur l’état de la mise en œuvre du Protocole de Cartagena sur la prévention des risques biotechnologiques</w:t>
      </w:r>
      <w:r w:rsidR="00735B09" w:rsidRPr="00115221">
        <w:rPr>
          <w:rFonts w:cs="Times New Roman"/>
          <w:snapToGrid w:val="0"/>
          <w:kern w:val="22"/>
          <w:szCs w:val="22"/>
          <w:lang w:val="fr-CA"/>
        </w:rPr>
        <w:t>.</w:t>
      </w:r>
    </w:p>
    <w:p w14:paraId="249B14BD" w14:textId="1B22CB5F" w:rsidR="004569FB" w:rsidRPr="00115221" w:rsidRDefault="004569FB" w:rsidP="004569FB">
      <w:pPr>
        <w:keepNext/>
        <w:numPr>
          <w:ilvl w:val="0"/>
          <w:numId w:val="3"/>
        </w:numPr>
        <w:suppressLineNumbers/>
        <w:suppressAutoHyphens/>
        <w:spacing w:before="120" w:after="120"/>
        <w:ind w:left="0" w:firstLine="0"/>
        <w:jc w:val="center"/>
        <w:outlineLvl w:val="0"/>
        <w:rPr>
          <w:rFonts w:cs="Times New Roman"/>
          <w:b/>
          <w:bCs/>
          <w:caps/>
          <w:snapToGrid w:val="0"/>
          <w:kern w:val="22"/>
          <w:szCs w:val="22"/>
          <w:lang w:val="fr-CA"/>
        </w:rPr>
      </w:pPr>
      <w:r w:rsidRPr="00115221">
        <w:rPr>
          <w:rFonts w:cs="Times New Roman"/>
          <w:b/>
          <w:bCs/>
          <w:caps/>
          <w:snapToGrid w:val="0"/>
          <w:kern w:val="22"/>
          <w:szCs w:val="22"/>
          <w:lang w:val="fr-CA"/>
        </w:rPr>
        <w:t>M</w:t>
      </w:r>
      <w:r w:rsidR="00B56D96" w:rsidRPr="00115221">
        <w:rPr>
          <w:rFonts w:cs="Times New Roman"/>
          <w:b/>
          <w:bCs/>
          <w:caps/>
          <w:snapToGrid w:val="0"/>
          <w:kern w:val="22"/>
          <w:szCs w:val="22"/>
          <w:lang w:val="fr-CA"/>
        </w:rPr>
        <w:t>É</w:t>
      </w:r>
      <w:r w:rsidRPr="00115221">
        <w:rPr>
          <w:rFonts w:cs="Times New Roman"/>
          <w:b/>
          <w:bCs/>
          <w:caps/>
          <w:snapToGrid w:val="0"/>
          <w:kern w:val="22"/>
          <w:szCs w:val="22"/>
          <w:lang w:val="fr-CA"/>
        </w:rPr>
        <w:t>THODOLOG</w:t>
      </w:r>
      <w:r w:rsidR="00B56D96" w:rsidRPr="00115221">
        <w:rPr>
          <w:rFonts w:cs="Times New Roman"/>
          <w:b/>
          <w:bCs/>
          <w:caps/>
          <w:snapToGrid w:val="0"/>
          <w:kern w:val="22"/>
          <w:szCs w:val="22"/>
          <w:lang w:val="fr-CA"/>
        </w:rPr>
        <w:t>IE</w:t>
      </w:r>
    </w:p>
    <w:p w14:paraId="6C775CF1" w14:textId="7D32CD61" w:rsidR="004569FB" w:rsidRPr="00115221" w:rsidRDefault="00B56D96"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Conformément au paragraphe 3 b) de la décision CP-9/6, ce document analyse et résume les informations concernant </w:t>
      </w:r>
      <w:r w:rsidR="00532D40" w:rsidRPr="00115221">
        <w:rPr>
          <w:rFonts w:cs="Times New Roman"/>
          <w:snapToGrid w:val="0"/>
          <w:kern w:val="22"/>
          <w:szCs w:val="22"/>
          <w:lang w:val="fr-CA"/>
        </w:rPr>
        <w:t>l’application du Protocole</w:t>
      </w:r>
      <w:r w:rsidR="00EC46BE" w:rsidRPr="00115221">
        <w:rPr>
          <w:rFonts w:cs="Times New Roman"/>
          <w:snapToGrid w:val="0"/>
          <w:kern w:val="22"/>
          <w:szCs w:val="22"/>
          <w:lang w:val="fr-CA"/>
        </w:rPr>
        <w:t xml:space="preserve"> </w:t>
      </w:r>
      <w:r w:rsidR="004907EB">
        <w:rPr>
          <w:rFonts w:cs="Times New Roman"/>
          <w:snapToGrid w:val="0"/>
          <w:kern w:val="22"/>
          <w:szCs w:val="22"/>
          <w:lang w:val="fr-CA"/>
        </w:rPr>
        <w:t>dans le contexte du</w:t>
      </w:r>
      <w:r w:rsidR="00EC46BE" w:rsidRPr="00115221">
        <w:rPr>
          <w:rFonts w:cs="Times New Roman"/>
          <w:snapToGrid w:val="0"/>
          <w:kern w:val="22"/>
          <w:szCs w:val="22"/>
          <w:lang w:val="fr-CA"/>
        </w:rPr>
        <w:t xml:space="preserve"> quatrième cycle </w:t>
      </w:r>
      <w:r w:rsidR="005C6F2D">
        <w:rPr>
          <w:rFonts w:cs="Times New Roman"/>
          <w:snapToGrid w:val="0"/>
          <w:kern w:val="22"/>
          <w:szCs w:val="22"/>
          <w:lang w:val="fr-CA"/>
        </w:rPr>
        <w:t>de présentation des</w:t>
      </w:r>
      <w:r w:rsidR="00EC46BE" w:rsidRPr="00115221">
        <w:rPr>
          <w:rFonts w:cs="Times New Roman"/>
          <w:snapToGrid w:val="0"/>
          <w:kern w:val="22"/>
          <w:szCs w:val="22"/>
          <w:lang w:val="fr-CA"/>
        </w:rPr>
        <w:t xml:space="preserve"> rapports par rapport aux données de référence</w:t>
      </w:r>
      <w:r w:rsidR="004569FB" w:rsidRPr="00115221">
        <w:rPr>
          <w:rFonts w:cs="Times New Roman"/>
          <w:snapToGrid w:val="0"/>
          <w:kern w:val="22"/>
          <w:szCs w:val="22"/>
          <w:lang w:val="fr-CA"/>
        </w:rPr>
        <w:t xml:space="preserve">. </w:t>
      </w:r>
    </w:p>
    <w:p w14:paraId="3A3571ED" w14:textId="11FADEC8" w:rsidR="004569FB" w:rsidRPr="00115221" w:rsidRDefault="00EC46BE"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Les informations ayant servi à la présente analyse sont tiré</w:t>
      </w:r>
      <w:r w:rsidR="00216388">
        <w:rPr>
          <w:rFonts w:cs="Times New Roman"/>
          <w:snapToGrid w:val="0"/>
          <w:kern w:val="22"/>
          <w:szCs w:val="22"/>
          <w:lang w:val="fr-CA"/>
        </w:rPr>
        <w:t>e</w:t>
      </w:r>
      <w:r w:rsidRPr="00115221">
        <w:rPr>
          <w:rFonts w:cs="Times New Roman"/>
          <w:snapToGrid w:val="0"/>
          <w:kern w:val="22"/>
          <w:szCs w:val="22"/>
          <w:lang w:val="fr-CA"/>
        </w:rPr>
        <w:t>s des quatrièmes rapports nationaux remis le 15 janvier 2020</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5"/>
      </w:r>
      <w:r w:rsidR="004569FB" w:rsidRPr="00115221">
        <w:rPr>
          <w:rFonts w:cs="Times New Roman"/>
          <w:snapToGrid w:val="0"/>
          <w:kern w:val="22"/>
          <w:szCs w:val="22"/>
          <w:lang w:val="fr-CA"/>
        </w:rPr>
        <w:t xml:space="preserve"> </w:t>
      </w:r>
      <w:r w:rsidRPr="00115221">
        <w:rPr>
          <w:rFonts w:cs="Times New Roman"/>
          <w:snapToGrid w:val="0"/>
          <w:kern w:val="22"/>
          <w:szCs w:val="22"/>
          <w:lang w:val="fr-CA"/>
        </w:rPr>
        <w:t xml:space="preserve">des </w:t>
      </w:r>
      <w:r w:rsidR="00B6412A">
        <w:rPr>
          <w:rFonts w:cs="Times New Roman"/>
          <w:snapToGrid w:val="0"/>
          <w:kern w:val="22"/>
          <w:szCs w:val="22"/>
          <w:lang w:val="fr-CA"/>
        </w:rPr>
        <w:t>informations provenant du centre d’échange</w:t>
      </w:r>
      <w:r w:rsidRPr="00115221">
        <w:rPr>
          <w:rFonts w:cs="Times New Roman"/>
          <w:snapToGrid w:val="0"/>
          <w:kern w:val="22"/>
          <w:szCs w:val="22"/>
          <w:lang w:val="fr-CA"/>
        </w:rPr>
        <w:t xml:space="preserve"> sur la prévention des risques biotechnologiques et des </w:t>
      </w:r>
      <w:r w:rsidR="000B30A4" w:rsidRPr="00115221">
        <w:rPr>
          <w:rFonts w:cs="Times New Roman"/>
          <w:snapToGrid w:val="0"/>
          <w:kern w:val="22"/>
          <w:szCs w:val="22"/>
          <w:lang w:val="fr-CA"/>
        </w:rPr>
        <w:t>données d’expérience des projets de renforcement des capacités et du Comité de conformité</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6"/>
      </w:r>
      <w:r w:rsidR="004569FB" w:rsidRPr="00115221">
        <w:rPr>
          <w:rFonts w:cs="Times New Roman"/>
          <w:snapToGrid w:val="0"/>
          <w:kern w:val="22"/>
          <w:szCs w:val="22"/>
          <w:lang w:val="fr-CA"/>
        </w:rPr>
        <w:t xml:space="preserve"> </w:t>
      </w:r>
    </w:p>
    <w:p w14:paraId="2F606BFD" w14:textId="51E76BB2" w:rsidR="004569FB" w:rsidRPr="00115221" w:rsidRDefault="000B30A4"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Les données de référence utilisées pour mesurer les progrès ont été établies dans la décision BS-VI/15. Ces données comprennent les informations provenant surtout des deuxièmes rapports nationaux, du </w:t>
      </w:r>
      <w:r w:rsidR="00216388">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et d’une enquête dédiée visant à </w:t>
      </w:r>
      <w:r w:rsidR="00C879B5">
        <w:rPr>
          <w:rFonts w:cs="Times New Roman"/>
          <w:snapToGrid w:val="0"/>
          <w:kern w:val="22"/>
          <w:szCs w:val="22"/>
          <w:lang w:val="fr-CA"/>
        </w:rPr>
        <w:t>recueillir</w:t>
      </w:r>
      <w:r w:rsidRPr="00115221">
        <w:rPr>
          <w:rFonts w:cs="Times New Roman"/>
          <w:snapToGrid w:val="0"/>
          <w:kern w:val="22"/>
          <w:szCs w:val="22"/>
          <w:lang w:val="fr-CA"/>
        </w:rPr>
        <w:t xml:space="preserve"> des informations relatives aux indicateurs du Plan stratégique ne pouvant pas être obtenues des deuxièmes rapports nationaux ni au moyen d’autres mécanismes e</w:t>
      </w:r>
      <w:r w:rsidR="00216388">
        <w:rPr>
          <w:rFonts w:cs="Times New Roman"/>
          <w:snapToGrid w:val="0"/>
          <w:kern w:val="22"/>
          <w:szCs w:val="22"/>
          <w:lang w:val="fr-CA"/>
        </w:rPr>
        <w:t>xistants (ci-après appelée « l’E</w:t>
      </w:r>
      <w:r w:rsidRPr="00115221">
        <w:rPr>
          <w:rFonts w:cs="Times New Roman"/>
          <w:snapToGrid w:val="0"/>
          <w:kern w:val="22"/>
          <w:szCs w:val="22"/>
          <w:lang w:val="fr-CA"/>
        </w:rPr>
        <w:t>nquête »)</w:t>
      </w:r>
      <w:r w:rsidR="008C6876" w:rsidRPr="00115221">
        <w:rPr>
          <w:rFonts w:cs="Times New Roman"/>
          <w:snapToGrid w:val="0"/>
          <w:kern w:val="22"/>
          <w:szCs w:val="22"/>
          <w:lang w:val="fr-CA"/>
        </w:rPr>
        <w:t>.</w:t>
      </w:r>
      <w:r w:rsidR="008C6876" w:rsidRPr="00115221">
        <w:rPr>
          <w:rFonts w:cs="Times New Roman"/>
          <w:kern w:val="22"/>
          <w:szCs w:val="22"/>
          <w:vertAlign w:val="superscript"/>
          <w:lang w:val="fr-CA"/>
        </w:rPr>
        <w:footnoteReference w:id="7"/>
      </w:r>
    </w:p>
    <w:p w14:paraId="211B890D" w14:textId="5FC56756" w:rsidR="004569FB" w:rsidRPr="00115221" w:rsidRDefault="000B30A4"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Les informations fournies dans les quatrièmes rapports nationaux ont été </w:t>
      </w:r>
      <w:r w:rsidR="00C879B5">
        <w:rPr>
          <w:rFonts w:cs="Times New Roman"/>
          <w:snapToGrid w:val="0"/>
          <w:kern w:val="22"/>
          <w:szCs w:val="22"/>
          <w:lang w:val="fr-CA"/>
        </w:rPr>
        <w:t>comparées</w:t>
      </w:r>
      <w:r w:rsidRPr="00115221">
        <w:rPr>
          <w:rFonts w:cs="Times New Roman"/>
          <w:snapToGrid w:val="0"/>
          <w:kern w:val="22"/>
          <w:szCs w:val="22"/>
          <w:lang w:val="fr-CA"/>
        </w:rPr>
        <w:t xml:space="preserve"> aux </w:t>
      </w:r>
      <w:r w:rsidR="00C879B5">
        <w:rPr>
          <w:rFonts w:cs="Times New Roman"/>
          <w:snapToGrid w:val="0"/>
          <w:kern w:val="22"/>
          <w:szCs w:val="22"/>
          <w:lang w:val="fr-CA"/>
        </w:rPr>
        <w:t>valeurs</w:t>
      </w:r>
      <w:r w:rsidRPr="00115221">
        <w:rPr>
          <w:rFonts w:cs="Times New Roman"/>
          <w:snapToGrid w:val="0"/>
          <w:kern w:val="22"/>
          <w:szCs w:val="22"/>
          <w:lang w:val="fr-CA"/>
        </w:rPr>
        <w:t xml:space="preserve"> de référence</w:t>
      </w:r>
      <w:r w:rsidR="0067072D" w:rsidRPr="00115221">
        <w:rPr>
          <w:rFonts w:cs="Times New Roman"/>
          <w:snapToGrid w:val="0"/>
          <w:kern w:val="22"/>
          <w:szCs w:val="22"/>
          <w:lang w:val="fr-CA"/>
        </w:rPr>
        <w:t>. La comparaison de ces données a été réalisée grâce à un outil d’analyse en ligne des rapports d’analyse</w:t>
      </w:r>
      <w:r w:rsidR="004569FB" w:rsidRPr="00115221">
        <w:rPr>
          <w:rFonts w:cs="Times New Roman"/>
          <w:snapToGrid w:val="0"/>
          <w:kern w:val="22"/>
          <w:szCs w:val="22"/>
          <w:lang w:val="fr-CA"/>
        </w:rPr>
        <w:t>.</w:t>
      </w:r>
      <w:r w:rsidR="004569FB" w:rsidRPr="00115221">
        <w:rPr>
          <w:rFonts w:cs="Times New Roman"/>
          <w:snapToGrid w:val="0"/>
          <w:kern w:val="22"/>
          <w:szCs w:val="22"/>
          <w:vertAlign w:val="superscript"/>
          <w:lang w:val="fr-CA"/>
        </w:rPr>
        <w:footnoteReference w:id="8"/>
      </w:r>
      <w:r w:rsidR="004569FB" w:rsidRPr="00115221">
        <w:rPr>
          <w:rFonts w:cs="Times New Roman"/>
          <w:snapToGrid w:val="0"/>
          <w:kern w:val="22"/>
          <w:szCs w:val="22"/>
          <w:lang w:val="fr-CA"/>
        </w:rPr>
        <w:t xml:space="preserve"> </w:t>
      </w:r>
      <w:r w:rsidR="0067072D" w:rsidRPr="00115221">
        <w:rPr>
          <w:rFonts w:cs="Times New Roman"/>
          <w:snapToGrid w:val="0"/>
          <w:kern w:val="22"/>
          <w:szCs w:val="22"/>
          <w:lang w:val="fr-CA"/>
        </w:rPr>
        <w:t xml:space="preserve">Les informations du </w:t>
      </w:r>
      <w:r w:rsidR="00B6412A">
        <w:rPr>
          <w:rFonts w:cs="Times New Roman"/>
          <w:snapToGrid w:val="0"/>
          <w:kern w:val="22"/>
          <w:szCs w:val="22"/>
          <w:lang w:val="fr-CA"/>
        </w:rPr>
        <w:t>centre d’échange</w:t>
      </w:r>
      <w:r w:rsidR="0067072D" w:rsidRPr="00115221">
        <w:rPr>
          <w:rFonts w:cs="Times New Roman"/>
          <w:snapToGrid w:val="0"/>
          <w:kern w:val="22"/>
          <w:szCs w:val="22"/>
          <w:lang w:val="fr-CA"/>
        </w:rPr>
        <w:t xml:space="preserve"> sur la prévention des risques </w:t>
      </w:r>
      <w:r w:rsidR="00C879B5">
        <w:rPr>
          <w:rFonts w:cs="Times New Roman"/>
          <w:snapToGrid w:val="0"/>
          <w:kern w:val="22"/>
          <w:szCs w:val="22"/>
          <w:lang w:val="fr-CA"/>
        </w:rPr>
        <w:t>concernant</w:t>
      </w:r>
      <w:r w:rsidR="0067072D" w:rsidRPr="00115221">
        <w:rPr>
          <w:rFonts w:cs="Times New Roman"/>
          <w:snapToGrid w:val="0"/>
          <w:kern w:val="22"/>
          <w:szCs w:val="22"/>
          <w:lang w:val="fr-CA"/>
        </w:rPr>
        <w:t xml:space="preserve"> le quatrième cycle </w:t>
      </w:r>
      <w:r w:rsidR="005C6F2D">
        <w:rPr>
          <w:rFonts w:cs="Times New Roman"/>
          <w:snapToGrid w:val="0"/>
          <w:kern w:val="22"/>
          <w:szCs w:val="22"/>
          <w:lang w:val="fr-CA"/>
        </w:rPr>
        <w:t>de présentation des</w:t>
      </w:r>
      <w:r w:rsidR="0067072D" w:rsidRPr="00115221">
        <w:rPr>
          <w:rFonts w:cs="Times New Roman"/>
          <w:snapToGrid w:val="0"/>
          <w:kern w:val="22"/>
          <w:szCs w:val="22"/>
          <w:lang w:val="fr-CA"/>
        </w:rPr>
        <w:t xml:space="preserve"> rap</w:t>
      </w:r>
      <w:r w:rsidR="008A3A1E" w:rsidRPr="00115221">
        <w:rPr>
          <w:rFonts w:cs="Times New Roman"/>
          <w:snapToGrid w:val="0"/>
          <w:kern w:val="22"/>
          <w:szCs w:val="22"/>
          <w:lang w:val="fr-CA"/>
        </w:rPr>
        <w:t>p</w:t>
      </w:r>
      <w:r w:rsidR="0067072D" w:rsidRPr="00115221">
        <w:rPr>
          <w:rFonts w:cs="Times New Roman"/>
          <w:snapToGrid w:val="0"/>
          <w:kern w:val="22"/>
          <w:szCs w:val="22"/>
          <w:lang w:val="fr-CA"/>
        </w:rPr>
        <w:t xml:space="preserve">orts </w:t>
      </w:r>
      <w:r w:rsidR="00C879B5">
        <w:rPr>
          <w:rFonts w:cs="Times New Roman"/>
          <w:snapToGrid w:val="0"/>
          <w:kern w:val="22"/>
          <w:szCs w:val="22"/>
          <w:lang w:val="fr-CA"/>
        </w:rPr>
        <w:t>ont</w:t>
      </w:r>
      <w:r w:rsidR="0067072D" w:rsidRPr="00115221">
        <w:rPr>
          <w:rFonts w:cs="Times New Roman"/>
          <w:snapToGrid w:val="0"/>
          <w:kern w:val="22"/>
          <w:szCs w:val="22"/>
          <w:lang w:val="fr-CA"/>
        </w:rPr>
        <w:t xml:space="preserve"> été comparée</w:t>
      </w:r>
      <w:r w:rsidR="00C879B5">
        <w:rPr>
          <w:rFonts w:cs="Times New Roman"/>
          <w:snapToGrid w:val="0"/>
          <w:kern w:val="22"/>
          <w:szCs w:val="22"/>
          <w:lang w:val="fr-CA"/>
        </w:rPr>
        <w:t>s</w:t>
      </w:r>
      <w:r w:rsidR="0067072D" w:rsidRPr="00115221">
        <w:rPr>
          <w:rFonts w:cs="Times New Roman"/>
          <w:snapToGrid w:val="0"/>
          <w:kern w:val="22"/>
          <w:szCs w:val="22"/>
          <w:lang w:val="fr-CA"/>
        </w:rPr>
        <w:t xml:space="preserve"> à des rens</w:t>
      </w:r>
      <w:r w:rsidR="008A3A1E" w:rsidRPr="00115221">
        <w:rPr>
          <w:rFonts w:cs="Times New Roman"/>
          <w:snapToGrid w:val="0"/>
          <w:kern w:val="22"/>
          <w:szCs w:val="22"/>
          <w:lang w:val="fr-CA"/>
        </w:rPr>
        <w:t>ei</w:t>
      </w:r>
      <w:r w:rsidR="0067072D" w:rsidRPr="00115221">
        <w:rPr>
          <w:rFonts w:cs="Times New Roman"/>
          <w:snapToGrid w:val="0"/>
          <w:kern w:val="22"/>
          <w:szCs w:val="22"/>
          <w:lang w:val="fr-CA"/>
        </w:rPr>
        <w:t>gn</w:t>
      </w:r>
      <w:r w:rsidR="008A3A1E" w:rsidRPr="00115221">
        <w:rPr>
          <w:rFonts w:cs="Times New Roman"/>
          <w:snapToGrid w:val="0"/>
          <w:kern w:val="22"/>
          <w:szCs w:val="22"/>
          <w:lang w:val="fr-CA"/>
        </w:rPr>
        <w:t>e</w:t>
      </w:r>
      <w:r w:rsidR="0067072D" w:rsidRPr="00115221">
        <w:rPr>
          <w:rFonts w:cs="Times New Roman"/>
          <w:snapToGrid w:val="0"/>
          <w:kern w:val="22"/>
          <w:szCs w:val="22"/>
          <w:lang w:val="fr-CA"/>
        </w:rPr>
        <w:t xml:space="preserve">ments semblables </w:t>
      </w:r>
      <w:r w:rsidR="00C879B5">
        <w:rPr>
          <w:rFonts w:cs="Times New Roman"/>
          <w:snapToGrid w:val="0"/>
          <w:kern w:val="22"/>
          <w:szCs w:val="22"/>
          <w:lang w:val="fr-CA"/>
        </w:rPr>
        <w:t xml:space="preserve">provenant </w:t>
      </w:r>
      <w:r w:rsidR="0067072D" w:rsidRPr="00115221">
        <w:rPr>
          <w:rFonts w:cs="Times New Roman"/>
          <w:snapToGrid w:val="0"/>
          <w:kern w:val="22"/>
          <w:szCs w:val="22"/>
          <w:lang w:val="fr-CA"/>
        </w:rPr>
        <w:t xml:space="preserve">des </w:t>
      </w:r>
      <w:r w:rsidR="00C879B5">
        <w:rPr>
          <w:rFonts w:cs="Times New Roman"/>
          <w:snapToGrid w:val="0"/>
          <w:kern w:val="22"/>
          <w:szCs w:val="22"/>
          <w:lang w:val="fr-CA"/>
        </w:rPr>
        <w:t>valeurs</w:t>
      </w:r>
      <w:r w:rsidR="0067072D" w:rsidRPr="00115221">
        <w:rPr>
          <w:rFonts w:cs="Times New Roman"/>
          <w:snapToGrid w:val="0"/>
          <w:kern w:val="22"/>
          <w:szCs w:val="22"/>
          <w:lang w:val="fr-CA"/>
        </w:rPr>
        <w:t xml:space="preserve"> de référence. La source d’info</w:t>
      </w:r>
      <w:r w:rsidR="008A3A1E" w:rsidRPr="00115221">
        <w:rPr>
          <w:rFonts w:cs="Times New Roman"/>
          <w:snapToGrid w:val="0"/>
          <w:kern w:val="22"/>
          <w:szCs w:val="22"/>
          <w:lang w:val="fr-CA"/>
        </w:rPr>
        <w:t>rmati</w:t>
      </w:r>
      <w:r w:rsidR="0067072D" w:rsidRPr="00115221">
        <w:rPr>
          <w:rFonts w:cs="Times New Roman"/>
          <w:snapToGrid w:val="0"/>
          <w:kern w:val="22"/>
          <w:szCs w:val="22"/>
          <w:lang w:val="fr-CA"/>
        </w:rPr>
        <w:t>on utilisée est indiquée dans la grille des sources d’information</w:t>
      </w:r>
      <w:r w:rsidR="004569FB" w:rsidRPr="00115221">
        <w:rPr>
          <w:rStyle w:val="FootnoteReference"/>
          <w:rFonts w:cs="Times New Roman"/>
          <w:snapToGrid w:val="0"/>
          <w:kern w:val="22"/>
          <w:szCs w:val="22"/>
          <w:lang w:val="fr-CA"/>
        </w:rPr>
        <w:footnoteReference w:id="9"/>
      </w:r>
      <w:r w:rsidR="008A3A1E" w:rsidRPr="00115221">
        <w:rPr>
          <w:rFonts w:cs="Times New Roman"/>
          <w:snapToGrid w:val="0"/>
          <w:kern w:val="22"/>
          <w:szCs w:val="22"/>
          <w:lang w:val="fr-CA"/>
        </w:rPr>
        <w:t xml:space="preserve"> pour chacun des indicateurs.</w:t>
      </w:r>
      <w:r w:rsidR="004569FB" w:rsidRPr="00115221">
        <w:rPr>
          <w:rFonts w:cs="Times New Roman"/>
          <w:snapToGrid w:val="0"/>
          <w:kern w:val="22"/>
          <w:szCs w:val="22"/>
          <w:lang w:val="fr-CA"/>
        </w:rPr>
        <w:t xml:space="preserve"> </w:t>
      </w:r>
    </w:p>
    <w:p w14:paraId="41B99B84" w14:textId="4E892558" w:rsidR="00C06D13" w:rsidRPr="00115221" w:rsidRDefault="008A3A1E"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L’analyse </w:t>
      </w:r>
      <w:r w:rsidR="00C072D7">
        <w:rPr>
          <w:rFonts w:cs="Times New Roman"/>
          <w:snapToGrid w:val="0"/>
          <w:kern w:val="22"/>
          <w:szCs w:val="22"/>
          <w:lang w:val="fr-CA"/>
        </w:rPr>
        <w:t>tient compte</w:t>
      </w:r>
      <w:r w:rsidRPr="00115221">
        <w:rPr>
          <w:rFonts w:cs="Times New Roman"/>
          <w:snapToGrid w:val="0"/>
          <w:kern w:val="22"/>
          <w:szCs w:val="22"/>
          <w:lang w:val="fr-CA"/>
        </w:rPr>
        <w:t xml:space="preserve"> </w:t>
      </w:r>
      <w:r w:rsidR="00216388">
        <w:rPr>
          <w:rFonts w:cs="Times New Roman"/>
          <w:snapToGrid w:val="0"/>
          <w:kern w:val="22"/>
          <w:szCs w:val="22"/>
          <w:lang w:val="fr-CA"/>
        </w:rPr>
        <w:t xml:space="preserve">également </w:t>
      </w:r>
      <w:r w:rsidRPr="00115221">
        <w:rPr>
          <w:rFonts w:cs="Times New Roman"/>
          <w:snapToGrid w:val="0"/>
          <w:kern w:val="22"/>
          <w:szCs w:val="22"/>
          <w:lang w:val="fr-CA"/>
        </w:rPr>
        <w:t>des données ne concernant que les Parties ayant remis leur quatrième rapport national au 15 janvi</w:t>
      </w:r>
      <w:r w:rsidR="00CE5530" w:rsidRPr="00115221">
        <w:rPr>
          <w:rFonts w:cs="Times New Roman"/>
          <w:snapToGrid w:val="0"/>
          <w:kern w:val="22"/>
          <w:szCs w:val="22"/>
          <w:lang w:val="fr-CA"/>
        </w:rPr>
        <w:t xml:space="preserve">er 2020, </w:t>
      </w:r>
      <w:r w:rsidR="00C072D7">
        <w:rPr>
          <w:rFonts w:cs="Times New Roman"/>
          <w:snapToGrid w:val="0"/>
          <w:kern w:val="22"/>
          <w:szCs w:val="22"/>
          <w:lang w:val="fr-CA"/>
        </w:rPr>
        <w:t xml:space="preserve">qui avaient fourni </w:t>
      </w:r>
      <w:r w:rsidR="00CE5530" w:rsidRPr="00115221">
        <w:rPr>
          <w:rFonts w:cs="Times New Roman"/>
          <w:snapToGrid w:val="0"/>
          <w:kern w:val="22"/>
          <w:szCs w:val="22"/>
          <w:lang w:val="fr-CA"/>
        </w:rPr>
        <w:t>des do</w:t>
      </w:r>
      <w:r w:rsidRPr="00115221">
        <w:rPr>
          <w:rFonts w:cs="Times New Roman"/>
          <w:snapToGrid w:val="0"/>
          <w:kern w:val="22"/>
          <w:szCs w:val="22"/>
          <w:lang w:val="fr-CA"/>
        </w:rPr>
        <w:t xml:space="preserve">nnées </w:t>
      </w:r>
      <w:r w:rsidR="00CE5530" w:rsidRPr="00115221">
        <w:rPr>
          <w:rFonts w:cs="Times New Roman"/>
          <w:snapToGrid w:val="0"/>
          <w:kern w:val="22"/>
          <w:szCs w:val="22"/>
          <w:lang w:val="fr-CA"/>
        </w:rPr>
        <w:t>de</w:t>
      </w:r>
      <w:r w:rsidRPr="00115221">
        <w:rPr>
          <w:rFonts w:cs="Times New Roman"/>
          <w:snapToGrid w:val="0"/>
          <w:kern w:val="22"/>
          <w:szCs w:val="22"/>
          <w:lang w:val="fr-CA"/>
        </w:rPr>
        <w:t xml:space="preserve"> référence</w:t>
      </w:r>
      <w:r w:rsidR="00CE5530" w:rsidRPr="00115221">
        <w:rPr>
          <w:rFonts w:cs="Times New Roman"/>
          <w:snapToGrid w:val="0"/>
          <w:kern w:val="22"/>
          <w:szCs w:val="22"/>
          <w:lang w:val="fr-CA"/>
        </w:rPr>
        <w:t xml:space="preserve"> correspondantes</w:t>
      </w:r>
      <w:r w:rsidRPr="00115221">
        <w:rPr>
          <w:rFonts w:cs="Times New Roman"/>
          <w:snapToGrid w:val="0"/>
          <w:kern w:val="22"/>
          <w:szCs w:val="22"/>
          <w:lang w:val="fr-CA"/>
        </w:rPr>
        <w:t xml:space="preserve">. Cette méthode a pour objet </w:t>
      </w:r>
      <w:r w:rsidR="00C072D7">
        <w:rPr>
          <w:rFonts w:cs="Times New Roman"/>
          <w:snapToGrid w:val="0"/>
          <w:kern w:val="22"/>
          <w:szCs w:val="22"/>
          <w:lang w:val="fr-CA"/>
        </w:rPr>
        <w:t>d’obtenir</w:t>
      </w:r>
      <w:r w:rsidRPr="00115221">
        <w:rPr>
          <w:rFonts w:cs="Times New Roman"/>
          <w:snapToGrid w:val="0"/>
          <w:kern w:val="22"/>
          <w:szCs w:val="22"/>
          <w:lang w:val="fr-CA"/>
        </w:rPr>
        <w:t xml:space="preserve"> un examen conséquent et comparable des progrès au fil du temps et </w:t>
      </w:r>
      <w:r w:rsidR="00FF6DAF">
        <w:rPr>
          <w:rFonts w:cs="Times New Roman"/>
          <w:snapToGrid w:val="0"/>
          <w:kern w:val="22"/>
          <w:szCs w:val="22"/>
          <w:lang w:val="fr-CA"/>
        </w:rPr>
        <w:t>correspond</w:t>
      </w:r>
      <w:r w:rsidRPr="00115221">
        <w:rPr>
          <w:rFonts w:cs="Times New Roman"/>
          <w:snapToGrid w:val="0"/>
          <w:kern w:val="22"/>
          <w:szCs w:val="22"/>
          <w:lang w:val="fr-CA"/>
        </w:rPr>
        <w:t xml:space="preserve"> à la méthode utilisée pour la troisième évaluation et examen du Protocole et l’évaluation à mi-mandat du Plan stratégique</w:t>
      </w:r>
      <w:r w:rsidR="00F078D1" w:rsidRPr="00115221">
        <w:rPr>
          <w:rFonts w:cs="Times New Roman"/>
          <w:snapToGrid w:val="0"/>
          <w:kern w:val="22"/>
          <w:szCs w:val="22"/>
          <w:lang w:val="fr-CA"/>
        </w:rPr>
        <w:t>.</w:t>
      </w:r>
      <w:r w:rsidR="00F078D1" w:rsidRPr="00115221">
        <w:rPr>
          <w:rStyle w:val="FootnoteReference"/>
          <w:rFonts w:cs="Times New Roman"/>
          <w:snapToGrid w:val="0"/>
          <w:kern w:val="22"/>
          <w:szCs w:val="22"/>
          <w:lang w:val="fr-CA"/>
        </w:rPr>
        <w:footnoteReference w:id="10"/>
      </w:r>
    </w:p>
    <w:p w14:paraId="38657DC8" w14:textId="04531AE7" w:rsidR="004569FB" w:rsidRPr="00115221" w:rsidRDefault="000468FC"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Quatre-vingt-quatorze des 99 Parties ayant remis un quatrième rapport </w:t>
      </w:r>
      <w:r w:rsidRPr="00115221">
        <w:rPr>
          <w:rFonts w:eastAsia="Times New Roman" w:cs="Times New Roman"/>
          <w:snapToGrid w:val="0"/>
          <w:kern w:val="22"/>
          <w:szCs w:val="22"/>
          <w:lang w:val="fr-CA"/>
        </w:rPr>
        <w:t>national</w:t>
      </w:r>
      <w:r w:rsidRPr="00115221">
        <w:rPr>
          <w:rFonts w:cs="Times New Roman"/>
          <w:snapToGrid w:val="0"/>
          <w:kern w:val="22"/>
          <w:szCs w:val="22"/>
          <w:lang w:val="fr-CA"/>
        </w:rPr>
        <w:t xml:space="preserve"> comple</w:t>
      </w:r>
      <w:r w:rsidR="003C6911">
        <w:rPr>
          <w:rFonts w:cs="Times New Roman"/>
          <w:snapToGrid w:val="0"/>
          <w:kern w:val="22"/>
          <w:szCs w:val="22"/>
          <w:lang w:val="fr-CA"/>
        </w:rPr>
        <w:t>t au 15 </w:t>
      </w:r>
      <w:r w:rsidRPr="00115221">
        <w:rPr>
          <w:rFonts w:cs="Times New Roman"/>
          <w:snapToGrid w:val="0"/>
          <w:kern w:val="22"/>
          <w:szCs w:val="22"/>
          <w:lang w:val="fr-CA"/>
        </w:rPr>
        <w:t xml:space="preserve">janvier 2020 avaient également remis un deuxième </w:t>
      </w:r>
      <w:r w:rsidR="00203116" w:rsidRPr="00115221">
        <w:rPr>
          <w:rFonts w:cs="Times New Roman"/>
          <w:snapToGrid w:val="0"/>
          <w:kern w:val="22"/>
          <w:szCs w:val="22"/>
          <w:lang w:val="fr-CA"/>
        </w:rPr>
        <w:t>rapport</w:t>
      </w:r>
      <w:r w:rsidRPr="00115221">
        <w:rPr>
          <w:rFonts w:cs="Times New Roman"/>
          <w:snapToGrid w:val="0"/>
          <w:kern w:val="22"/>
          <w:szCs w:val="22"/>
          <w:lang w:val="fr-CA"/>
        </w:rPr>
        <w:t xml:space="preserve"> national et 71 avaient participé à l’Enquête. </w:t>
      </w:r>
      <w:r w:rsidR="00203116" w:rsidRPr="00115221">
        <w:rPr>
          <w:rFonts w:cs="Times New Roman"/>
          <w:snapToGrid w:val="0"/>
          <w:kern w:val="22"/>
          <w:szCs w:val="22"/>
          <w:lang w:val="fr-CA"/>
        </w:rPr>
        <w:lastRenderedPageBreak/>
        <w:t>Les Parties n’ont pas nécessairement répondu à toutes les questions des rapports nationaux ni de l’Enquête, de sorte que le nombre de Parties auquel l’analyse fait référence varie d’un indicateur à l’autre</w:t>
      </w:r>
      <w:r w:rsidR="00077201" w:rsidRPr="00115221">
        <w:rPr>
          <w:rFonts w:cs="Times New Roman"/>
          <w:snapToGrid w:val="0"/>
          <w:kern w:val="22"/>
          <w:szCs w:val="22"/>
          <w:lang w:val="fr-CA"/>
        </w:rPr>
        <w:t xml:space="preserve">. </w:t>
      </w:r>
    </w:p>
    <w:p w14:paraId="28973521" w14:textId="31CD8FAA" w:rsidR="004569FB" w:rsidRPr="00115221" w:rsidRDefault="00FF6DA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Pr>
          <w:rFonts w:cs="Times New Roman"/>
          <w:snapToGrid w:val="0"/>
          <w:kern w:val="22"/>
          <w:szCs w:val="22"/>
          <w:lang w:val="fr-CA"/>
        </w:rPr>
        <w:t>Cette</w:t>
      </w:r>
      <w:r w:rsidR="00203116" w:rsidRPr="00115221">
        <w:rPr>
          <w:rFonts w:cs="Times New Roman"/>
          <w:snapToGrid w:val="0"/>
          <w:kern w:val="22"/>
          <w:szCs w:val="22"/>
          <w:lang w:val="fr-CA"/>
        </w:rPr>
        <w:t xml:space="preserve"> </w:t>
      </w:r>
      <w:r w:rsidR="007B4777">
        <w:rPr>
          <w:rFonts w:cs="Times New Roman"/>
          <w:snapToGrid w:val="0"/>
          <w:kern w:val="22"/>
          <w:szCs w:val="22"/>
          <w:lang w:val="fr-CA"/>
        </w:rPr>
        <w:t>note</w:t>
      </w:r>
      <w:r w:rsidR="00203116" w:rsidRPr="00115221">
        <w:rPr>
          <w:rFonts w:cs="Times New Roman"/>
          <w:snapToGrid w:val="0"/>
          <w:kern w:val="22"/>
          <w:szCs w:val="22"/>
          <w:lang w:val="fr-CA"/>
        </w:rPr>
        <w:t xml:space="preserve"> présente une analyse des informations recueillies </w:t>
      </w:r>
      <w:r w:rsidR="00131F4F" w:rsidRPr="00115221">
        <w:rPr>
          <w:rFonts w:cs="Times New Roman"/>
          <w:snapToGrid w:val="0"/>
          <w:kern w:val="22"/>
          <w:szCs w:val="22"/>
          <w:lang w:val="fr-CA"/>
        </w:rPr>
        <w:t xml:space="preserve">dans la quatrième période </w:t>
      </w:r>
      <w:r w:rsidR="003C6911">
        <w:rPr>
          <w:rFonts w:cs="Times New Roman"/>
          <w:snapToGrid w:val="0"/>
          <w:kern w:val="22"/>
          <w:szCs w:val="22"/>
          <w:lang w:val="fr-CA"/>
        </w:rPr>
        <w:t>de présentation</w:t>
      </w:r>
      <w:r w:rsidR="00131F4F" w:rsidRPr="00115221">
        <w:rPr>
          <w:rFonts w:cs="Times New Roman"/>
          <w:snapToGrid w:val="0"/>
          <w:kern w:val="22"/>
          <w:szCs w:val="22"/>
          <w:lang w:val="fr-CA"/>
        </w:rPr>
        <w:t xml:space="preserve"> du rapport national (situation actuelle) et des </w:t>
      </w:r>
      <w:r w:rsidR="003C6911">
        <w:rPr>
          <w:rFonts w:eastAsia="Times New Roman" w:cs="Times New Roman"/>
          <w:snapToGrid w:val="0"/>
          <w:kern w:val="22"/>
          <w:szCs w:val="22"/>
          <w:lang w:val="fr-CA"/>
        </w:rPr>
        <w:t>différences</w:t>
      </w:r>
      <w:r w:rsidR="003C6911">
        <w:rPr>
          <w:rFonts w:cs="Times New Roman"/>
          <w:snapToGrid w:val="0"/>
          <w:kern w:val="22"/>
          <w:szCs w:val="22"/>
          <w:lang w:val="fr-CA"/>
        </w:rPr>
        <w:t xml:space="preserve"> </w:t>
      </w:r>
      <w:r w:rsidR="00FC47DF">
        <w:rPr>
          <w:rFonts w:cs="Times New Roman"/>
          <w:snapToGrid w:val="0"/>
          <w:kern w:val="22"/>
          <w:szCs w:val="22"/>
          <w:lang w:val="fr-CA"/>
        </w:rPr>
        <w:t>déclarées</w:t>
      </w:r>
      <w:r w:rsidR="003C6911">
        <w:rPr>
          <w:rFonts w:cs="Times New Roman"/>
          <w:snapToGrid w:val="0"/>
          <w:kern w:val="22"/>
          <w:szCs w:val="22"/>
          <w:lang w:val="fr-CA"/>
        </w:rPr>
        <w:t xml:space="preserve"> depuis l’</w:t>
      </w:r>
      <w:r w:rsidR="00131F4F" w:rsidRPr="00115221">
        <w:rPr>
          <w:rFonts w:cs="Times New Roman"/>
          <w:snapToGrid w:val="0"/>
          <w:kern w:val="22"/>
          <w:szCs w:val="22"/>
          <w:lang w:val="fr-CA"/>
        </w:rPr>
        <w:t xml:space="preserve">établissement des données de référence. Les </w:t>
      </w:r>
      <w:r w:rsidR="003C6911">
        <w:rPr>
          <w:rFonts w:eastAsia="Times New Roman" w:cs="Times New Roman"/>
          <w:snapToGrid w:val="0"/>
          <w:kern w:val="22"/>
          <w:szCs w:val="22"/>
          <w:lang w:val="fr-CA"/>
        </w:rPr>
        <w:t>différences</w:t>
      </w:r>
      <w:r w:rsidR="00131F4F" w:rsidRPr="00115221">
        <w:rPr>
          <w:rFonts w:cs="Times New Roman"/>
          <w:snapToGrid w:val="0"/>
          <w:kern w:val="22"/>
          <w:szCs w:val="22"/>
          <w:lang w:val="fr-CA"/>
        </w:rPr>
        <w:t xml:space="preserve"> sont présenté</w:t>
      </w:r>
      <w:r w:rsidR="008B4F61">
        <w:rPr>
          <w:rFonts w:cs="Times New Roman"/>
          <w:snapToGrid w:val="0"/>
          <w:kern w:val="22"/>
          <w:szCs w:val="22"/>
          <w:lang w:val="fr-CA"/>
        </w:rPr>
        <w:t>es</w:t>
      </w:r>
      <w:r w:rsidR="00131F4F" w:rsidRPr="00115221">
        <w:rPr>
          <w:rFonts w:cs="Times New Roman"/>
          <w:snapToGrid w:val="0"/>
          <w:kern w:val="22"/>
          <w:szCs w:val="22"/>
          <w:lang w:val="fr-CA"/>
        </w:rPr>
        <w:t xml:space="preserve"> en tant qu’« augmentation</w:t>
      </w:r>
      <w:r w:rsidR="003C6911">
        <w:rPr>
          <w:rFonts w:cs="Times New Roman"/>
          <w:snapToGrid w:val="0"/>
          <w:kern w:val="22"/>
          <w:szCs w:val="22"/>
          <w:lang w:val="fr-CA"/>
        </w:rPr>
        <w:t> </w:t>
      </w:r>
      <w:r w:rsidR="00131F4F" w:rsidRPr="00115221">
        <w:rPr>
          <w:rFonts w:cs="Times New Roman"/>
          <w:lang w:val="fr-CA"/>
        </w:rPr>
        <w:t xml:space="preserve">» </w:t>
      </w:r>
      <w:r w:rsidR="00FC47DF">
        <w:rPr>
          <w:rFonts w:cs="Times New Roman"/>
          <w:snapToGrid w:val="0"/>
          <w:kern w:val="22"/>
          <w:szCs w:val="22"/>
          <w:lang w:val="fr-CA"/>
        </w:rPr>
        <w:t>(« </w:t>
      </w:r>
      <w:r w:rsidR="00131F4F" w:rsidRPr="00115221">
        <w:rPr>
          <w:rFonts w:cs="Times New Roman"/>
          <w:snapToGrid w:val="0"/>
          <w:kern w:val="22"/>
          <w:szCs w:val="22"/>
          <w:lang w:val="fr-CA"/>
        </w:rPr>
        <w:t>(+x</w:t>
      </w:r>
      <w:r w:rsidR="00FC47DF">
        <w:rPr>
          <w:rFonts w:cs="Times New Roman"/>
          <w:snapToGrid w:val="0"/>
          <w:kern w:val="22"/>
          <w:szCs w:val="22"/>
          <w:lang w:val="fr-CA"/>
        </w:rPr>
        <w:t xml:space="preserve"> p. cent</w:t>
      </w:r>
      <w:r w:rsidR="00131F4F" w:rsidRPr="00115221">
        <w:rPr>
          <w:rFonts w:cs="Times New Roman"/>
          <w:snapToGrid w:val="0"/>
          <w:kern w:val="22"/>
          <w:szCs w:val="22"/>
          <w:lang w:val="fr-CA"/>
        </w:rPr>
        <w:t>)</w:t>
      </w:r>
      <w:r w:rsidR="00FC47DF">
        <w:rPr>
          <w:rFonts w:cs="Times New Roman"/>
          <w:snapToGrid w:val="0"/>
          <w:kern w:val="22"/>
          <w:szCs w:val="22"/>
          <w:lang w:val="fr-CA"/>
        </w:rPr>
        <w:t> ») ou de « diminution » (« (-x p. cent</w:t>
      </w:r>
      <w:r w:rsidR="00131F4F" w:rsidRPr="00115221">
        <w:rPr>
          <w:rFonts w:cs="Times New Roman"/>
          <w:snapToGrid w:val="0"/>
          <w:kern w:val="22"/>
          <w:szCs w:val="22"/>
          <w:lang w:val="fr-CA"/>
        </w:rPr>
        <w:t>)</w:t>
      </w:r>
      <w:r w:rsidR="00FC47DF">
        <w:rPr>
          <w:rFonts w:cs="Times New Roman"/>
          <w:snapToGrid w:val="0"/>
          <w:kern w:val="22"/>
          <w:szCs w:val="22"/>
          <w:lang w:val="fr-CA"/>
        </w:rPr>
        <w:t> »</w:t>
      </w:r>
      <w:r w:rsidR="00131F4F" w:rsidRPr="00115221">
        <w:rPr>
          <w:rFonts w:cs="Times New Roman"/>
          <w:snapToGrid w:val="0"/>
          <w:kern w:val="22"/>
          <w:szCs w:val="22"/>
          <w:lang w:val="fr-CA"/>
        </w:rPr>
        <w:t xml:space="preserve">) et </w:t>
      </w:r>
      <w:r w:rsidR="008B4F61">
        <w:rPr>
          <w:rFonts w:cs="Times New Roman"/>
          <w:snapToGrid w:val="0"/>
          <w:kern w:val="22"/>
          <w:szCs w:val="22"/>
          <w:lang w:val="fr-CA"/>
        </w:rPr>
        <w:t>constituent une différence nette</w:t>
      </w:r>
      <w:r w:rsidR="00131F4F" w:rsidRPr="00115221">
        <w:rPr>
          <w:rFonts w:cs="Times New Roman"/>
          <w:snapToGrid w:val="0"/>
          <w:kern w:val="22"/>
          <w:szCs w:val="22"/>
          <w:lang w:val="fr-CA"/>
        </w:rPr>
        <w:t xml:space="preserve"> </w:t>
      </w:r>
      <w:r w:rsidR="008B4F61">
        <w:rPr>
          <w:rFonts w:cs="Times New Roman"/>
          <w:snapToGrid w:val="0"/>
          <w:kern w:val="22"/>
          <w:szCs w:val="22"/>
          <w:lang w:val="fr-CA"/>
        </w:rPr>
        <w:t xml:space="preserve">et non une différence déclarée </w:t>
      </w:r>
      <w:r w:rsidR="00131F4F" w:rsidRPr="00115221">
        <w:rPr>
          <w:rFonts w:cs="Times New Roman"/>
          <w:snapToGrid w:val="0"/>
          <w:kern w:val="22"/>
          <w:szCs w:val="22"/>
          <w:lang w:val="fr-CA"/>
        </w:rPr>
        <w:t>par les Parties</w:t>
      </w:r>
      <w:r w:rsidR="004569FB" w:rsidRPr="00115221">
        <w:rPr>
          <w:rFonts w:cs="Times New Roman"/>
          <w:snapToGrid w:val="0"/>
          <w:kern w:val="22"/>
          <w:szCs w:val="22"/>
          <w:lang w:val="fr-CA"/>
        </w:rPr>
        <w:t>.</w:t>
      </w:r>
      <w:r w:rsidR="009D45AC" w:rsidRPr="00115221">
        <w:rPr>
          <w:rStyle w:val="FootnoteReference"/>
          <w:rFonts w:cs="Times New Roman"/>
          <w:snapToGrid w:val="0"/>
          <w:kern w:val="22"/>
          <w:szCs w:val="22"/>
          <w:lang w:val="fr-CA"/>
        </w:rPr>
        <w:footnoteReference w:id="11"/>
      </w:r>
    </w:p>
    <w:p w14:paraId="4BDDF3CD" w14:textId="2DF84F6F" w:rsidR="004569FB" w:rsidRPr="00115221" w:rsidRDefault="00131F4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E</w:t>
      </w:r>
      <w:r w:rsidR="00946C0E" w:rsidRPr="00115221">
        <w:rPr>
          <w:rFonts w:cs="Times New Roman"/>
          <w:snapToGrid w:val="0"/>
          <w:kern w:val="22"/>
          <w:szCs w:val="22"/>
          <w:lang w:val="fr-CA"/>
        </w:rPr>
        <w:t>n plus des info</w:t>
      </w:r>
      <w:r w:rsidRPr="00115221">
        <w:rPr>
          <w:rFonts w:cs="Times New Roman"/>
          <w:snapToGrid w:val="0"/>
          <w:kern w:val="22"/>
          <w:szCs w:val="22"/>
          <w:lang w:val="fr-CA"/>
        </w:rPr>
        <w:t xml:space="preserve">rmations sur la situation actuelle et les </w:t>
      </w:r>
      <w:r w:rsidR="008B4F61">
        <w:rPr>
          <w:rFonts w:eastAsia="Times New Roman" w:cs="Times New Roman"/>
          <w:snapToGrid w:val="0"/>
          <w:kern w:val="22"/>
          <w:szCs w:val="22"/>
          <w:lang w:val="fr-CA"/>
        </w:rPr>
        <w:t>différences</w:t>
      </w:r>
      <w:r w:rsidRPr="00115221">
        <w:rPr>
          <w:rFonts w:cs="Times New Roman"/>
          <w:snapToGrid w:val="0"/>
          <w:kern w:val="22"/>
          <w:szCs w:val="22"/>
          <w:lang w:val="fr-CA"/>
        </w:rPr>
        <w:t xml:space="preserve"> par rap</w:t>
      </w:r>
      <w:r w:rsidR="00946C0E" w:rsidRPr="00115221">
        <w:rPr>
          <w:rFonts w:cs="Times New Roman"/>
          <w:snapToGrid w:val="0"/>
          <w:kern w:val="22"/>
          <w:szCs w:val="22"/>
          <w:lang w:val="fr-CA"/>
        </w:rPr>
        <w:t>port aux donn</w:t>
      </w:r>
      <w:r w:rsidR="008B4F61">
        <w:rPr>
          <w:rFonts w:cs="Times New Roman"/>
          <w:snapToGrid w:val="0"/>
          <w:kern w:val="22"/>
          <w:szCs w:val="22"/>
          <w:lang w:val="fr-CA"/>
        </w:rPr>
        <w:t>é</w:t>
      </w:r>
      <w:r w:rsidR="00946C0E" w:rsidRPr="00115221">
        <w:rPr>
          <w:rFonts w:cs="Times New Roman"/>
          <w:snapToGrid w:val="0"/>
          <w:kern w:val="22"/>
          <w:szCs w:val="22"/>
          <w:lang w:val="fr-CA"/>
        </w:rPr>
        <w:t>es de référ</w:t>
      </w:r>
      <w:r w:rsidRPr="00115221">
        <w:rPr>
          <w:rFonts w:cs="Times New Roman"/>
          <w:snapToGrid w:val="0"/>
          <w:kern w:val="22"/>
          <w:szCs w:val="22"/>
          <w:lang w:val="fr-CA"/>
        </w:rPr>
        <w:t>ence mondiales, l’anal</w:t>
      </w:r>
      <w:r w:rsidR="00946C0E" w:rsidRPr="00115221">
        <w:rPr>
          <w:rFonts w:cs="Times New Roman"/>
          <w:snapToGrid w:val="0"/>
          <w:kern w:val="22"/>
          <w:szCs w:val="22"/>
          <w:lang w:val="fr-CA"/>
        </w:rPr>
        <w:t>yse fournit également une ventilati</w:t>
      </w:r>
      <w:r w:rsidRPr="00115221">
        <w:rPr>
          <w:rFonts w:cs="Times New Roman"/>
          <w:snapToGrid w:val="0"/>
          <w:kern w:val="22"/>
          <w:szCs w:val="22"/>
          <w:lang w:val="fr-CA"/>
        </w:rPr>
        <w:t xml:space="preserve">on régionale pour plusieurs indicateurs afin de préciser la situation signalée ou les </w:t>
      </w:r>
      <w:r w:rsidR="008B4F61">
        <w:rPr>
          <w:rFonts w:eastAsia="Times New Roman" w:cs="Times New Roman"/>
          <w:snapToGrid w:val="0"/>
          <w:kern w:val="22"/>
          <w:szCs w:val="22"/>
          <w:lang w:val="fr-CA"/>
        </w:rPr>
        <w:t>différences</w:t>
      </w:r>
      <w:r w:rsidRPr="00115221">
        <w:rPr>
          <w:rFonts w:cs="Times New Roman"/>
          <w:snapToGrid w:val="0"/>
          <w:kern w:val="22"/>
          <w:szCs w:val="22"/>
          <w:lang w:val="fr-CA"/>
        </w:rPr>
        <w:t xml:space="preserve"> </w:t>
      </w:r>
      <w:r w:rsidR="00946C0E" w:rsidRPr="00115221">
        <w:rPr>
          <w:rFonts w:cs="Times New Roman"/>
          <w:snapToGrid w:val="0"/>
          <w:kern w:val="22"/>
          <w:szCs w:val="22"/>
          <w:lang w:val="fr-CA"/>
        </w:rPr>
        <w:t xml:space="preserve">par rapport </w:t>
      </w:r>
      <w:r w:rsidRPr="00115221">
        <w:rPr>
          <w:rFonts w:cs="Times New Roman"/>
          <w:snapToGrid w:val="0"/>
          <w:kern w:val="22"/>
          <w:szCs w:val="22"/>
          <w:lang w:val="fr-CA"/>
        </w:rPr>
        <w:t>aux valeur</w:t>
      </w:r>
      <w:r w:rsidR="00481EBF">
        <w:rPr>
          <w:rFonts w:cs="Times New Roman"/>
          <w:snapToGrid w:val="0"/>
          <w:kern w:val="22"/>
          <w:szCs w:val="22"/>
          <w:lang w:val="fr-CA"/>
        </w:rPr>
        <w:t>s</w:t>
      </w:r>
      <w:r w:rsidRPr="00115221">
        <w:rPr>
          <w:rFonts w:cs="Times New Roman"/>
          <w:snapToGrid w:val="0"/>
          <w:kern w:val="22"/>
          <w:szCs w:val="22"/>
          <w:lang w:val="fr-CA"/>
        </w:rPr>
        <w:t xml:space="preserve"> de référence à l’échelle mondiale, </w:t>
      </w:r>
      <w:r w:rsidR="00946C0E" w:rsidRPr="00115221">
        <w:rPr>
          <w:rFonts w:cs="Times New Roman"/>
          <w:snapToGrid w:val="0"/>
          <w:kern w:val="22"/>
          <w:szCs w:val="22"/>
          <w:lang w:val="fr-CA"/>
        </w:rPr>
        <w:t>Le nombre de Parties dans certains groupes étant limité, les petit</w:t>
      </w:r>
      <w:r w:rsidR="008B4F61">
        <w:rPr>
          <w:rFonts w:cs="Times New Roman"/>
          <w:snapToGrid w:val="0"/>
          <w:kern w:val="22"/>
          <w:szCs w:val="22"/>
          <w:lang w:val="fr-CA"/>
        </w:rPr>
        <w:t>e</w:t>
      </w:r>
      <w:r w:rsidR="00946C0E" w:rsidRPr="00115221">
        <w:rPr>
          <w:rFonts w:cs="Times New Roman"/>
          <w:snapToGrid w:val="0"/>
          <w:kern w:val="22"/>
          <w:szCs w:val="22"/>
          <w:lang w:val="fr-CA"/>
        </w:rPr>
        <w:t xml:space="preserve">s </w:t>
      </w:r>
      <w:r w:rsidR="008B4F61">
        <w:rPr>
          <w:rFonts w:cs="Times New Roman"/>
          <w:snapToGrid w:val="0"/>
          <w:kern w:val="22"/>
          <w:szCs w:val="22"/>
          <w:lang w:val="fr-CA"/>
        </w:rPr>
        <w:t>différences</w:t>
      </w:r>
      <w:r w:rsidR="00946C0E" w:rsidRPr="00115221">
        <w:rPr>
          <w:rFonts w:cs="Times New Roman"/>
          <w:snapToGrid w:val="0"/>
          <w:kern w:val="22"/>
          <w:szCs w:val="22"/>
          <w:lang w:val="fr-CA"/>
        </w:rPr>
        <w:t xml:space="preserve"> exprimé</w:t>
      </w:r>
      <w:r w:rsidR="008B4F61">
        <w:rPr>
          <w:rFonts w:cs="Times New Roman"/>
          <w:snapToGrid w:val="0"/>
          <w:kern w:val="22"/>
          <w:szCs w:val="22"/>
          <w:lang w:val="fr-CA"/>
        </w:rPr>
        <w:t>e</w:t>
      </w:r>
      <w:r w:rsidR="00946C0E" w:rsidRPr="00115221">
        <w:rPr>
          <w:rFonts w:cs="Times New Roman"/>
          <w:snapToGrid w:val="0"/>
          <w:kern w:val="22"/>
          <w:szCs w:val="22"/>
          <w:lang w:val="fr-CA"/>
        </w:rPr>
        <w:t xml:space="preserve">s en pourcentage peuvent donner lieu à d’énormes </w:t>
      </w:r>
      <w:r w:rsidR="008B4F61">
        <w:rPr>
          <w:rFonts w:cs="Times New Roman"/>
          <w:snapToGrid w:val="0"/>
          <w:kern w:val="22"/>
          <w:szCs w:val="22"/>
          <w:lang w:val="fr-CA"/>
        </w:rPr>
        <w:t>disparités</w:t>
      </w:r>
      <w:r w:rsidR="004569FB" w:rsidRPr="00115221">
        <w:rPr>
          <w:rFonts w:cs="Times New Roman"/>
          <w:snapToGrid w:val="0"/>
          <w:kern w:val="22"/>
          <w:szCs w:val="22"/>
          <w:lang w:val="fr-CA"/>
        </w:rPr>
        <w:t xml:space="preserve">. </w:t>
      </w:r>
    </w:p>
    <w:p w14:paraId="00B47805" w14:textId="6A5EA960" w:rsidR="004569FB" w:rsidRPr="00115221" w:rsidRDefault="00946C0E"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L’analyse porte sur les différents objectifs opérationnels du Plan stratégique et utilise </w:t>
      </w:r>
      <w:r w:rsidR="00FC47DF">
        <w:rPr>
          <w:rFonts w:cs="Times New Roman"/>
          <w:snapToGrid w:val="0"/>
          <w:kern w:val="22"/>
          <w:szCs w:val="22"/>
          <w:lang w:val="fr-CA"/>
        </w:rPr>
        <w:t>divers</w:t>
      </w:r>
      <w:r w:rsidRPr="00115221">
        <w:rPr>
          <w:rFonts w:cs="Times New Roman"/>
          <w:snapToGrid w:val="0"/>
          <w:kern w:val="22"/>
          <w:szCs w:val="22"/>
          <w:lang w:val="fr-CA"/>
        </w:rPr>
        <w:t xml:space="preserve"> indicateurs pour évaluer les progrès accomplis dans la réalisation des objectifs opérationnels</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12"/>
      </w:r>
      <w:r w:rsidR="004569FB" w:rsidRPr="00115221">
        <w:rPr>
          <w:rFonts w:cs="Times New Roman"/>
          <w:snapToGrid w:val="0"/>
          <w:kern w:val="22"/>
          <w:szCs w:val="22"/>
          <w:lang w:val="fr-CA"/>
        </w:rPr>
        <w:t xml:space="preserve"> </w:t>
      </w:r>
      <w:r w:rsidRPr="00115221">
        <w:rPr>
          <w:rFonts w:cs="Times New Roman"/>
          <w:snapToGrid w:val="0"/>
          <w:kern w:val="22"/>
          <w:szCs w:val="22"/>
          <w:lang w:val="fr-CA"/>
        </w:rPr>
        <w:t>Certains indicateurs font r</w:t>
      </w:r>
      <w:r w:rsidR="00122E07" w:rsidRPr="00115221">
        <w:rPr>
          <w:rFonts w:cs="Times New Roman"/>
          <w:snapToGrid w:val="0"/>
          <w:kern w:val="22"/>
          <w:szCs w:val="22"/>
          <w:lang w:val="fr-CA"/>
        </w:rPr>
        <w:t>éfé</w:t>
      </w:r>
      <w:r w:rsidRPr="00115221">
        <w:rPr>
          <w:rFonts w:cs="Times New Roman"/>
          <w:snapToGrid w:val="0"/>
          <w:kern w:val="22"/>
          <w:szCs w:val="22"/>
          <w:lang w:val="fr-CA"/>
        </w:rPr>
        <w:t>rence au « pourcentage de</w:t>
      </w:r>
      <w:r w:rsidR="00997795">
        <w:rPr>
          <w:rFonts w:cs="Times New Roman"/>
          <w:snapToGrid w:val="0"/>
          <w:kern w:val="22"/>
          <w:szCs w:val="22"/>
          <w:lang w:val="fr-CA"/>
        </w:rPr>
        <w:t>s</w:t>
      </w:r>
      <w:r w:rsidRPr="00115221">
        <w:rPr>
          <w:rFonts w:cs="Times New Roman"/>
          <w:snapToGrid w:val="0"/>
          <w:kern w:val="22"/>
          <w:szCs w:val="22"/>
          <w:lang w:val="fr-CA"/>
        </w:rPr>
        <w:t xml:space="preserve"> Parties</w:t>
      </w:r>
      <w:r w:rsidRPr="00115221">
        <w:rPr>
          <w:rFonts w:cs="Times New Roman"/>
          <w:lang w:val="fr-CA"/>
        </w:rPr>
        <w:t>»</w:t>
      </w:r>
      <w:r w:rsidR="00122E07" w:rsidRPr="00115221">
        <w:rPr>
          <w:rFonts w:cs="Times New Roman"/>
          <w:lang w:val="fr-CA"/>
        </w:rPr>
        <w:t>, tandis que d’autres font référ</w:t>
      </w:r>
      <w:r w:rsidR="00997795">
        <w:rPr>
          <w:rFonts w:cs="Times New Roman"/>
          <w:lang w:val="fr-CA"/>
        </w:rPr>
        <w:t>ence au « nombre de P</w:t>
      </w:r>
      <w:r w:rsidRPr="00115221">
        <w:rPr>
          <w:rFonts w:cs="Times New Roman"/>
          <w:lang w:val="fr-CA"/>
        </w:rPr>
        <w:t xml:space="preserve">arties ». </w:t>
      </w:r>
      <w:r w:rsidR="00122E07" w:rsidRPr="00115221">
        <w:rPr>
          <w:rFonts w:cs="Times New Roman"/>
          <w:lang w:val="fr-CA"/>
        </w:rPr>
        <w:t xml:space="preserve">La présente analyse fait référence aux pourcentages et indique également le nombre de Parties entre </w:t>
      </w:r>
      <w:r w:rsidR="004E7531">
        <w:rPr>
          <w:rFonts w:cs="Times New Roman"/>
          <w:lang w:val="fr-CA"/>
        </w:rPr>
        <w:t>parenthèses</w:t>
      </w:r>
      <w:r w:rsidR="00122E07" w:rsidRPr="00115221">
        <w:rPr>
          <w:rFonts w:cs="Times New Roman"/>
          <w:lang w:val="fr-CA"/>
        </w:rPr>
        <w:t xml:space="preserve"> pour les chiffres mondiaux, comme ce fut le cas lors de l’analyse préparée pour la troisième évaluation et examen du Protocole et</w:t>
      </w:r>
      <w:r w:rsidR="00997795">
        <w:rPr>
          <w:rFonts w:cs="Times New Roman"/>
          <w:lang w:val="fr-CA"/>
        </w:rPr>
        <w:t xml:space="preserve"> l’</w:t>
      </w:r>
      <w:r w:rsidR="00122E07" w:rsidRPr="00115221">
        <w:rPr>
          <w:rFonts w:cs="Times New Roman"/>
          <w:lang w:val="fr-CA"/>
        </w:rPr>
        <w:t xml:space="preserve">examen de mi-mandat du Plan stratégique. Seuls les pourcentages sont </w:t>
      </w:r>
      <w:r w:rsidR="00997795">
        <w:rPr>
          <w:rFonts w:cs="Times New Roman"/>
          <w:lang w:val="fr-CA"/>
        </w:rPr>
        <w:t>indiqués</w:t>
      </w:r>
      <w:r w:rsidR="00122E07" w:rsidRPr="00115221">
        <w:rPr>
          <w:rFonts w:cs="Times New Roman"/>
          <w:lang w:val="fr-CA"/>
        </w:rPr>
        <w:t xml:space="preserve"> pour les données et les tendances régionales</w:t>
      </w:r>
      <w:r w:rsidR="000A6B13" w:rsidRPr="00115221">
        <w:rPr>
          <w:rFonts w:cs="Times New Roman"/>
          <w:snapToGrid w:val="0"/>
          <w:kern w:val="22"/>
          <w:szCs w:val="22"/>
          <w:lang w:val="fr-CA"/>
        </w:rPr>
        <w:t xml:space="preserve">. </w:t>
      </w:r>
    </w:p>
    <w:p w14:paraId="266D1689" w14:textId="6D76D311" w:rsidR="004569FB" w:rsidRPr="00115221" w:rsidRDefault="00305063" w:rsidP="004569FB">
      <w:pPr>
        <w:keepNext/>
        <w:numPr>
          <w:ilvl w:val="0"/>
          <w:numId w:val="3"/>
        </w:numPr>
        <w:suppressLineNumbers/>
        <w:tabs>
          <w:tab w:val="left" w:pos="993"/>
        </w:tabs>
        <w:suppressAutoHyphens/>
        <w:spacing w:before="120" w:after="120"/>
        <w:ind w:left="993" w:hanging="720"/>
        <w:jc w:val="left"/>
        <w:outlineLvl w:val="0"/>
        <w:rPr>
          <w:rFonts w:cs="Times New Roman"/>
          <w:b/>
          <w:bCs/>
          <w:caps/>
          <w:snapToGrid w:val="0"/>
          <w:kern w:val="22"/>
          <w:szCs w:val="22"/>
          <w:lang w:val="fr-CA"/>
        </w:rPr>
      </w:pPr>
      <w:r w:rsidRPr="00115221">
        <w:rPr>
          <w:rFonts w:cs="Times New Roman"/>
          <w:b/>
          <w:bCs/>
          <w:caps/>
          <w:snapToGrid w:val="0"/>
          <w:kern w:val="22"/>
          <w:szCs w:val="22"/>
          <w:lang w:val="fr-CA"/>
        </w:rPr>
        <w:t xml:space="preserve">ANALYSE DE LA SITUATION ET DES TENDANCES DANS </w:t>
      </w:r>
      <w:r w:rsidR="00997795">
        <w:rPr>
          <w:rFonts w:cs="Times New Roman"/>
          <w:b/>
          <w:bCs/>
          <w:caps/>
          <w:snapToGrid w:val="0"/>
          <w:kern w:val="22"/>
          <w:szCs w:val="22"/>
          <w:lang w:val="fr-CA"/>
        </w:rPr>
        <w:t>L’APPLICATION</w:t>
      </w:r>
      <w:r w:rsidRPr="00115221">
        <w:rPr>
          <w:rFonts w:cs="Times New Roman"/>
          <w:b/>
          <w:bCs/>
          <w:caps/>
          <w:snapToGrid w:val="0"/>
          <w:kern w:val="22"/>
          <w:szCs w:val="22"/>
          <w:lang w:val="fr-CA"/>
        </w:rPr>
        <w:t xml:space="preserve"> DU PROTOCOLE DE CARTAGENA SUR LA PRÉVENTION DES RISQUES BIOTECHNOLOGIQUES</w:t>
      </w:r>
    </w:p>
    <w:p w14:paraId="42063A85" w14:textId="699EB1ED" w:rsidR="004569FB" w:rsidRPr="00115221" w:rsidRDefault="008029D4"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Cette partie propose une analyse comparative de l’état et des tendances dans </w:t>
      </w:r>
      <w:r w:rsidR="00997795">
        <w:rPr>
          <w:rFonts w:cs="Times New Roman"/>
          <w:snapToGrid w:val="0"/>
          <w:kern w:val="22"/>
          <w:szCs w:val="22"/>
          <w:lang w:val="fr-CA"/>
        </w:rPr>
        <w:t>l’application</w:t>
      </w:r>
      <w:r w:rsidRPr="00115221">
        <w:rPr>
          <w:rFonts w:cs="Times New Roman"/>
          <w:snapToGrid w:val="0"/>
          <w:kern w:val="22"/>
          <w:szCs w:val="22"/>
          <w:lang w:val="fr-CA"/>
        </w:rPr>
        <w:t xml:space="preserve"> du Protocole de Cartagena sur la prévention des risques biotechnologiques</w:t>
      </w:r>
      <w:r w:rsidR="004569FB" w:rsidRPr="00115221">
        <w:rPr>
          <w:rFonts w:cs="Times New Roman"/>
          <w:snapToGrid w:val="0"/>
          <w:kern w:val="22"/>
          <w:szCs w:val="22"/>
          <w:lang w:val="fr-CA"/>
        </w:rPr>
        <w:t xml:space="preserve">. </w:t>
      </w:r>
    </w:p>
    <w:p w14:paraId="0A6246AB" w14:textId="3016A455" w:rsidR="004569FB" w:rsidRPr="00115221" w:rsidRDefault="00E64E22"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Les objectifs </w:t>
      </w:r>
      <w:r w:rsidR="00624958" w:rsidRPr="00115221">
        <w:rPr>
          <w:rFonts w:cs="Times New Roman"/>
          <w:snapToGrid w:val="0"/>
          <w:kern w:val="22"/>
          <w:szCs w:val="22"/>
          <w:lang w:val="fr-CA"/>
        </w:rPr>
        <w:t xml:space="preserve">opérationnels connexes du Plan stratégique sont analysés et </w:t>
      </w:r>
      <w:r w:rsidR="00997795">
        <w:rPr>
          <w:rFonts w:cs="Times New Roman"/>
          <w:snapToGrid w:val="0"/>
          <w:kern w:val="22"/>
          <w:szCs w:val="22"/>
          <w:lang w:val="fr-CA"/>
        </w:rPr>
        <w:t>traités</w:t>
      </w:r>
      <w:r w:rsidR="00624958" w:rsidRPr="00115221">
        <w:rPr>
          <w:rFonts w:cs="Times New Roman"/>
          <w:snapToGrid w:val="0"/>
          <w:kern w:val="22"/>
          <w:szCs w:val="22"/>
          <w:lang w:val="fr-CA"/>
        </w:rPr>
        <w:t xml:space="preserve"> sous douze </w:t>
      </w:r>
      <w:r w:rsidR="00153A8B">
        <w:rPr>
          <w:rFonts w:cs="Times New Roman"/>
          <w:snapToGrid w:val="0"/>
          <w:kern w:val="22"/>
          <w:szCs w:val="22"/>
          <w:lang w:val="fr-CA"/>
        </w:rPr>
        <w:t>domaines thématiques</w:t>
      </w:r>
      <w:r w:rsidR="00624958" w:rsidRPr="00115221">
        <w:rPr>
          <w:rFonts w:cs="Times New Roman"/>
          <w:snapToGrid w:val="0"/>
          <w:kern w:val="22"/>
          <w:szCs w:val="22"/>
          <w:lang w:val="fr-CA"/>
        </w:rPr>
        <w:t xml:space="preserve"> afin de favoriser une évaluation intégrée des tendances émergentes dans l’application du Protocole de Cartagena sur la prévention des risques biotechnologiques et d’éviter la duplication de l’information. Ces thèmes sont : </w:t>
      </w:r>
      <w:r w:rsidR="0010764B" w:rsidRPr="00115221">
        <w:rPr>
          <w:rFonts w:cs="Times New Roman"/>
          <w:snapToGrid w:val="0"/>
          <w:kern w:val="22"/>
          <w:szCs w:val="22"/>
          <w:lang w:val="fr-CA"/>
        </w:rPr>
        <w:t>les cadres nationaux</w:t>
      </w:r>
      <w:r w:rsidR="00624958" w:rsidRPr="00115221">
        <w:rPr>
          <w:rFonts w:cs="Times New Roman"/>
          <w:snapToGrid w:val="0"/>
          <w:kern w:val="22"/>
          <w:szCs w:val="22"/>
          <w:lang w:val="fr-CA"/>
        </w:rPr>
        <w:t xml:space="preserve"> de prévention des risques biotechnologiques</w:t>
      </w:r>
      <w:r w:rsidR="0010764B" w:rsidRPr="00115221">
        <w:rPr>
          <w:rFonts w:cs="Times New Roman"/>
          <w:snapToGrid w:val="0"/>
          <w:kern w:val="22"/>
          <w:szCs w:val="22"/>
          <w:lang w:val="fr-CA"/>
        </w:rPr>
        <w:t>;</w:t>
      </w:r>
      <w:r w:rsidR="00624958" w:rsidRPr="00115221">
        <w:rPr>
          <w:rFonts w:cs="Times New Roman"/>
          <w:snapToGrid w:val="0"/>
          <w:kern w:val="22"/>
          <w:szCs w:val="22"/>
          <w:lang w:val="fr-CA"/>
        </w:rPr>
        <w:t xml:space="preserve"> la coordination et le soutien; l’évaluation des risques et la gestion des risques</w:t>
      </w:r>
      <w:r w:rsidR="0010764B" w:rsidRPr="00115221">
        <w:rPr>
          <w:rFonts w:cs="Times New Roman"/>
          <w:snapToGrid w:val="0"/>
          <w:kern w:val="22"/>
          <w:szCs w:val="22"/>
          <w:lang w:val="fr-CA"/>
        </w:rPr>
        <w:t>;</w:t>
      </w:r>
      <w:r w:rsidR="00624958" w:rsidRPr="00115221">
        <w:rPr>
          <w:rFonts w:cs="Times New Roman"/>
          <w:snapToGrid w:val="0"/>
          <w:kern w:val="22"/>
          <w:szCs w:val="22"/>
          <w:lang w:val="fr-CA"/>
        </w:rPr>
        <w:t xml:space="preserve"> les organismes vivants modifiés (OVM) </w:t>
      </w:r>
      <w:r w:rsidR="00E4533E">
        <w:rPr>
          <w:rFonts w:cs="Times New Roman"/>
          <w:snapToGrid w:val="0"/>
          <w:kern w:val="22"/>
          <w:szCs w:val="22"/>
          <w:lang w:val="fr-CA"/>
        </w:rPr>
        <w:t>et</w:t>
      </w:r>
      <w:r w:rsidR="00624958" w:rsidRPr="00115221">
        <w:rPr>
          <w:rFonts w:cs="Times New Roman"/>
          <w:snapToGrid w:val="0"/>
          <w:kern w:val="22"/>
          <w:szCs w:val="22"/>
          <w:lang w:val="fr-CA"/>
        </w:rPr>
        <w:t xml:space="preserve"> les </w:t>
      </w:r>
      <w:r w:rsidR="00E4533E">
        <w:rPr>
          <w:rFonts w:cs="Times New Roman"/>
          <w:snapToGrid w:val="0"/>
          <w:kern w:val="22"/>
          <w:szCs w:val="22"/>
          <w:lang w:val="fr-CA"/>
        </w:rPr>
        <w:t>caractéristiques</w:t>
      </w:r>
      <w:r w:rsidR="00624958" w:rsidRPr="00115221">
        <w:rPr>
          <w:rFonts w:cs="Times New Roman"/>
          <w:snapToGrid w:val="0"/>
          <w:kern w:val="22"/>
          <w:szCs w:val="22"/>
          <w:lang w:val="fr-CA"/>
        </w:rPr>
        <w:t xml:space="preserve"> pouvant avoir des </w:t>
      </w:r>
      <w:r w:rsidR="0010764B" w:rsidRPr="00115221">
        <w:rPr>
          <w:rFonts w:cs="Times New Roman"/>
          <w:snapToGrid w:val="0"/>
          <w:kern w:val="22"/>
          <w:szCs w:val="22"/>
          <w:lang w:val="fr-CA"/>
        </w:rPr>
        <w:t>effets n</w:t>
      </w:r>
      <w:r w:rsidR="00624958" w:rsidRPr="00115221">
        <w:rPr>
          <w:rFonts w:cs="Times New Roman"/>
          <w:snapToGrid w:val="0"/>
          <w:kern w:val="22"/>
          <w:szCs w:val="22"/>
          <w:lang w:val="fr-CA"/>
        </w:rPr>
        <w:t>uisibles</w:t>
      </w:r>
      <w:r w:rsidR="0010764B" w:rsidRPr="00115221">
        <w:rPr>
          <w:rFonts w:cs="Times New Roman"/>
          <w:snapToGrid w:val="0"/>
          <w:kern w:val="22"/>
          <w:szCs w:val="22"/>
          <w:lang w:val="fr-CA"/>
        </w:rPr>
        <w:t>;</w:t>
      </w:r>
      <w:r w:rsidR="00624958" w:rsidRPr="00115221">
        <w:rPr>
          <w:rFonts w:cs="Times New Roman"/>
          <w:snapToGrid w:val="0"/>
          <w:kern w:val="22"/>
          <w:szCs w:val="22"/>
          <w:lang w:val="fr-CA"/>
        </w:rPr>
        <w:t xml:space="preserve"> la responsabilité et la</w:t>
      </w:r>
      <w:r w:rsidR="0010764B" w:rsidRPr="00115221">
        <w:rPr>
          <w:rFonts w:cs="Times New Roman"/>
          <w:snapToGrid w:val="0"/>
          <w:kern w:val="22"/>
          <w:szCs w:val="22"/>
          <w:lang w:val="fr-CA"/>
        </w:rPr>
        <w:t xml:space="preserve"> réparation; la manipulation, le transport, l’emballage et l’identification; les facteurs socioéconomiques; l’acheminement, l’utilisation </w:t>
      </w:r>
      <w:r w:rsidR="004B3751" w:rsidRPr="00115221">
        <w:rPr>
          <w:rFonts w:cs="Times New Roman"/>
          <w:snapToGrid w:val="0"/>
          <w:kern w:val="22"/>
          <w:szCs w:val="22"/>
          <w:lang w:val="fr-CA"/>
        </w:rPr>
        <w:t>restreinte</w:t>
      </w:r>
      <w:r w:rsidR="0010764B" w:rsidRPr="00115221">
        <w:rPr>
          <w:rFonts w:cs="Times New Roman"/>
          <w:snapToGrid w:val="0"/>
          <w:kern w:val="22"/>
          <w:szCs w:val="22"/>
          <w:lang w:val="fr-CA"/>
        </w:rPr>
        <w:t xml:space="preserve">, les mouvements transfrontières </w:t>
      </w:r>
      <w:r w:rsidR="007A3F17" w:rsidRPr="00115221">
        <w:rPr>
          <w:rFonts w:cs="Times New Roman"/>
          <w:snapToGrid w:val="0"/>
          <w:kern w:val="22"/>
          <w:szCs w:val="22"/>
          <w:lang w:val="fr-CA"/>
        </w:rPr>
        <w:t>involontaires</w:t>
      </w:r>
      <w:r w:rsidR="0010764B" w:rsidRPr="00115221">
        <w:rPr>
          <w:rFonts w:cs="Times New Roman"/>
          <w:snapToGrid w:val="0"/>
          <w:kern w:val="22"/>
          <w:szCs w:val="22"/>
          <w:lang w:val="fr-CA"/>
        </w:rPr>
        <w:t xml:space="preserve"> et les mesures d’urgence; l’échange de renseignements; la conformité et l’examen</w:t>
      </w:r>
      <w:r w:rsidR="00187FFC" w:rsidRPr="00115221">
        <w:rPr>
          <w:rFonts w:cs="Times New Roman"/>
          <w:snapToGrid w:val="0"/>
          <w:kern w:val="22"/>
          <w:szCs w:val="22"/>
          <w:lang w:val="fr-CA"/>
        </w:rPr>
        <w:t>;</w:t>
      </w:r>
      <w:r w:rsidR="008E47C7" w:rsidRPr="00115221">
        <w:rPr>
          <w:rFonts w:cs="Times New Roman"/>
          <w:snapToGrid w:val="0"/>
          <w:kern w:val="22"/>
          <w:szCs w:val="22"/>
          <w:lang w:val="fr-CA"/>
        </w:rPr>
        <w:t xml:space="preserve"> la sensibilisation et la participation du public, l’éducation et la formation sur la prévention des risques biotechnologiques; et la vulgarisation et la </w:t>
      </w:r>
      <w:r w:rsidR="002B3E51" w:rsidRPr="00115221">
        <w:rPr>
          <w:rFonts w:cs="Times New Roman"/>
          <w:snapToGrid w:val="0"/>
          <w:kern w:val="22"/>
          <w:szCs w:val="22"/>
          <w:lang w:val="fr-CA"/>
        </w:rPr>
        <w:t>coopération</w:t>
      </w:r>
      <w:r w:rsidR="004569FB" w:rsidRPr="00115221">
        <w:rPr>
          <w:rFonts w:cs="Times New Roman"/>
          <w:snapToGrid w:val="0"/>
          <w:kern w:val="22"/>
          <w:szCs w:val="22"/>
          <w:lang w:val="fr-CA"/>
        </w:rPr>
        <w:t>.</w:t>
      </w:r>
    </w:p>
    <w:p w14:paraId="65B6FBA0" w14:textId="72DB11A5" w:rsidR="003354C8" w:rsidRPr="00115221" w:rsidRDefault="008E47C7"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Un court sommaire des progrès dans ces différents </w:t>
      </w:r>
      <w:r w:rsidR="00EC0972">
        <w:rPr>
          <w:rFonts w:cs="Times New Roman"/>
          <w:snapToGrid w:val="0"/>
          <w:kern w:val="22"/>
          <w:szCs w:val="22"/>
          <w:lang w:val="fr-CA"/>
        </w:rPr>
        <w:t>domaines thématiques</w:t>
      </w:r>
      <w:r w:rsidR="00C5741D">
        <w:rPr>
          <w:rFonts w:cs="Times New Roman"/>
          <w:snapToGrid w:val="0"/>
          <w:kern w:val="22"/>
          <w:szCs w:val="22"/>
          <w:lang w:val="fr-CA"/>
        </w:rPr>
        <w:t xml:space="preserve"> fondé sur l’</w:t>
      </w:r>
      <w:r w:rsidRPr="00115221">
        <w:rPr>
          <w:rFonts w:cs="Times New Roman"/>
          <w:snapToGrid w:val="0"/>
          <w:kern w:val="22"/>
          <w:szCs w:val="22"/>
          <w:lang w:val="fr-CA"/>
        </w:rPr>
        <w:t>analyse ci-dessous est présenté dans le document</w:t>
      </w:r>
      <w:r w:rsidR="00187F5E" w:rsidRPr="00115221">
        <w:rPr>
          <w:rFonts w:cs="Times New Roman"/>
          <w:snapToGrid w:val="0"/>
          <w:kern w:val="22"/>
          <w:szCs w:val="22"/>
          <w:lang w:val="fr-CA"/>
        </w:rPr>
        <w:t xml:space="preserve"> CBD/SBI/3/3.</w:t>
      </w:r>
    </w:p>
    <w:p w14:paraId="773DD36D" w14:textId="16EDED86" w:rsidR="004569FB" w:rsidRPr="00115221" w:rsidRDefault="008E47C7" w:rsidP="008C14BA">
      <w:pPr>
        <w:keepNext/>
        <w:numPr>
          <w:ilvl w:val="0"/>
          <w:numId w:val="17"/>
        </w:numPr>
        <w:suppressLineNumbers/>
        <w:tabs>
          <w:tab w:val="clear" w:pos="2070"/>
          <w:tab w:val="left" w:pos="2340"/>
        </w:tabs>
        <w:suppressAutoHyphens/>
        <w:spacing w:before="120" w:after="120"/>
        <w:ind w:left="2160" w:hanging="709"/>
        <w:jc w:val="left"/>
        <w:outlineLvl w:val="1"/>
        <w:rPr>
          <w:rFonts w:cs="Times New Roman"/>
          <w:b/>
          <w:iCs/>
          <w:snapToGrid w:val="0"/>
          <w:kern w:val="22"/>
          <w:szCs w:val="22"/>
          <w:lang w:val="fr-CA"/>
        </w:rPr>
      </w:pPr>
      <w:r w:rsidRPr="00115221">
        <w:rPr>
          <w:rFonts w:cs="Times New Roman"/>
          <w:b/>
          <w:iCs/>
          <w:snapToGrid w:val="0"/>
          <w:kern w:val="22"/>
          <w:szCs w:val="22"/>
          <w:lang w:val="fr-CA"/>
        </w:rPr>
        <w:t>Cadres nationaux de prévention des</w:t>
      </w:r>
      <w:r w:rsidR="008C14BA" w:rsidRPr="00115221">
        <w:rPr>
          <w:rFonts w:cs="Times New Roman"/>
          <w:b/>
          <w:iCs/>
          <w:snapToGrid w:val="0"/>
          <w:kern w:val="22"/>
          <w:szCs w:val="22"/>
          <w:lang w:val="fr-CA"/>
        </w:rPr>
        <w:t xml:space="preserve"> risques biotechnologiques</w:t>
      </w:r>
      <w:r w:rsidR="00C5741D">
        <w:rPr>
          <w:rFonts w:cs="Times New Roman"/>
          <w:b/>
          <w:iCs/>
          <w:snapToGrid w:val="0"/>
          <w:kern w:val="22"/>
          <w:szCs w:val="22"/>
          <w:lang w:val="fr-CA"/>
        </w:rPr>
        <w:br/>
      </w:r>
      <w:r w:rsidR="004569FB" w:rsidRPr="00115221">
        <w:rPr>
          <w:rFonts w:cs="Times New Roman"/>
          <w:b/>
          <w:iCs/>
          <w:snapToGrid w:val="0"/>
          <w:kern w:val="22"/>
          <w:szCs w:val="22"/>
          <w:lang w:val="fr-CA"/>
        </w:rPr>
        <w:t>(</w:t>
      </w:r>
      <w:r w:rsidR="008C14BA" w:rsidRPr="00115221">
        <w:rPr>
          <w:rFonts w:cs="Times New Roman"/>
          <w:b/>
          <w:iCs/>
          <w:snapToGrid w:val="0"/>
          <w:kern w:val="22"/>
          <w:szCs w:val="22"/>
          <w:lang w:val="fr-CA"/>
        </w:rPr>
        <w:t>objectifs opérationnels</w:t>
      </w:r>
      <w:r w:rsidR="004569FB" w:rsidRPr="00115221">
        <w:rPr>
          <w:rFonts w:cs="Times New Roman"/>
          <w:b/>
          <w:iCs/>
          <w:snapToGrid w:val="0"/>
          <w:kern w:val="22"/>
          <w:szCs w:val="22"/>
          <w:lang w:val="fr-CA"/>
        </w:rPr>
        <w:t xml:space="preserve"> 1.1 </w:t>
      </w:r>
      <w:r w:rsidR="000E4072" w:rsidRPr="00115221">
        <w:rPr>
          <w:rFonts w:cs="Times New Roman"/>
          <w:b/>
          <w:iCs/>
          <w:snapToGrid w:val="0"/>
          <w:kern w:val="22"/>
          <w:szCs w:val="22"/>
          <w:lang w:val="fr-CA"/>
        </w:rPr>
        <w:t>et</w:t>
      </w:r>
      <w:r w:rsidR="004569FB" w:rsidRPr="00115221">
        <w:rPr>
          <w:rFonts w:cs="Times New Roman"/>
          <w:b/>
          <w:iCs/>
          <w:snapToGrid w:val="0"/>
          <w:kern w:val="22"/>
          <w:szCs w:val="22"/>
          <w:lang w:val="fr-CA"/>
        </w:rPr>
        <w:t xml:space="preserve"> 2.1)</w:t>
      </w:r>
    </w:p>
    <w:p w14:paraId="19E4FD7A" w14:textId="49B952DA" w:rsidR="004569FB" w:rsidRPr="00115221" w:rsidRDefault="002B3E51" w:rsidP="000A5388">
      <w:pPr>
        <w:keepNext/>
        <w:suppressLineNumbers/>
        <w:suppressAutoHyphens/>
        <w:spacing w:before="120" w:after="120"/>
        <w:textAlignment w:val="baseline"/>
        <w:outlineLvl w:val="2"/>
        <w:rPr>
          <w:rFonts w:cs="Times New Roman"/>
          <w:b/>
          <w:iCs/>
          <w:snapToGrid w:val="0"/>
          <w:kern w:val="22"/>
          <w:szCs w:val="22"/>
          <w:lang w:val="fr-CA"/>
        </w:rPr>
      </w:pPr>
      <w:r w:rsidRPr="00115221">
        <w:rPr>
          <w:rFonts w:cs="Times New Roman"/>
          <w:b/>
          <w:iCs/>
          <w:snapToGrid w:val="0"/>
          <w:kern w:val="22"/>
          <w:szCs w:val="22"/>
          <w:lang w:val="fr-CA"/>
        </w:rPr>
        <w:t>Objectif opérationnel</w:t>
      </w:r>
      <w:r w:rsidR="004569FB" w:rsidRPr="00115221">
        <w:rPr>
          <w:rFonts w:cs="Times New Roman"/>
          <w:b/>
          <w:iCs/>
          <w:snapToGrid w:val="0"/>
          <w:kern w:val="22"/>
          <w:szCs w:val="22"/>
          <w:lang w:val="fr-CA"/>
        </w:rPr>
        <w:t xml:space="preserve"> 1.1</w:t>
      </w:r>
      <w:r w:rsidRPr="00115221">
        <w:rPr>
          <w:rFonts w:cs="Times New Roman"/>
          <w:b/>
          <w:iCs/>
          <w:snapToGrid w:val="0"/>
          <w:kern w:val="22"/>
          <w:szCs w:val="22"/>
          <w:lang w:val="fr-CA"/>
        </w:rPr>
        <w:t xml:space="preserve"> </w:t>
      </w:r>
      <w:r w:rsidR="004569FB" w:rsidRPr="00115221">
        <w:rPr>
          <w:rFonts w:cs="Times New Roman"/>
          <w:b/>
          <w:iCs/>
          <w:snapToGrid w:val="0"/>
          <w:kern w:val="22"/>
          <w:szCs w:val="22"/>
          <w:lang w:val="fr-CA"/>
        </w:rPr>
        <w:t xml:space="preserve">: </w:t>
      </w:r>
      <w:r w:rsidRPr="00115221">
        <w:rPr>
          <w:rFonts w:cs="Times New Roman"/>
          <w:b/>
          <w:iCs/>
          <w:snapToGrid w:val="0"/>
          <w:kern w:val="22"/>
          <w:szCs w:val="22"/>
          <w:lang w:val="fr-CA"/>
        </w:rPr>
        <w:t>Cadres nationaux de prévention des risques biotechnologiques</w:t>
      </w:r>
    </w:p>
    <w:p w14:paraId="00DCF4FC" w14:textId="4E900CB1" w:rsidR="004569FB" w:rsidRPr="00115221" w:rsidRDefault="002B3E51"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L’objectif opérationnel 1.1 </w:t>
      </w:r>
      <w:r w:rsidR="00C5741D">
        <w:rPr>
          <w:rFonts w:cs="Times New Roman"/>
          <w:snapToGrid w:val="0"/>
          <w:kern w:val="22"/>
          <w:szCs w:val="22"/>
          <w:lang w:val="fr-CA"/>
        </w:rPr>
        <w:t xml:space="preserve">a pour but que toutes les Parties aient en place </w:t>
      </w:r>
      <w:r w:rsidRPr="00115221">
        <w:rPr>
          <w:rFonts w:cs="Times New Roman"/>
          <w:snapToGrid w:val="0"/>
          <w:kern w:val="22"/>
          <w:szCs w:val="22"/>
          <w:lang w:val="fr-CA"/>
        </w:rPr>
        <w:t>des cadres nationaux de prévention des risques biotechnologiques pour l’application du Protocole. Cinq indicateurs ont été établis afin de mesurer les progrès accomplis dans la réalisation de cet objectif opérationnel</w:t>
      </w:r>
      <w:r w:rsidR="004569FB" w:rsidRPr="00115221">
        <w:rPr>
          <w:rFonts w:cs="Times New Roman"/>
          <w:snapToGrid w:val="0"/>
          <w:kern w:val="22"/>
          <w:szCs w:val="22"/>
          <w:lang w:val="fr-CA"/>
        </w:rPr>
        <w:t>.</w:t>
      </w:r>
    </w:p>
    <w:p w14:paraId="37AF1BD9" w14:textId="25A9E9A1" w:rsidR="004569FB" w:rsidRPr="00115221" w:rsidRDefault="00F679E4"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lastRenderedPageBreak/>
        <w:t>E</w:t>
      </w:r>
      <w:r w:rsidR="00156F30" w:rsidRPr="00115221">
        <w:rPr>
          <w:rFonts w:cs="Times New Roman"/>
          <w:snapToGrid w:val="0"/>
          <w:kern w:val="22"/>
          <w:szCs w:val="22"/>
          <w:lang w:val="fr-CA"/>
        </w:rPr>
        <w:t>n ce qui concerne</w:t>
      </w:r>
      <w:r w:rsidRPr="00115221">
        <w:rPr>
          <w:rFonts w:cs="Times New Roman"/>
          <w:snapToGrid w:val="0"/>
          <w:kern w:val="22"/>
          <w:szCs w:val="22"/>
          <w:lang w:val="fr-CA"/>
        </w:rPr>
        <w:t xml:space="preserve"> </w:t>
      </w:r>
      <w:r w:rsidRPr="00115221">
        <w:rPr>
          <w:rFonts w:cs="Times New Roman"/>
          <w:b/>
          <w:snapToGrid w:val="0"/>
          <w:kern w:val="22"/>
          <w:szCs w:val="22"/>
          <w:lang w:val="fr-CA"/>
        </w:rPr>
        <w:t>l’indicateur 1.1</w:t>
      </w:r>
      <w:r w:rsidRPr="00115221">
        <w:rPr>
          <w:rFonts w:cs="Times New Roman"/>
          <w:snapToGrid w:val="0"/>
          <w:kern w:val="22"/>
          <w:szCs w:val="22"/>
          <w:lang w:val="fr-CA"/>
        </w:rPr>
        <w:t xml:space="preserve"> (nombre de Parties, en particulier dans les centres d’origine, ayant adopté des lois sur la prévention des risques biotechnologiques et des directives d’application moins de six ans après l’adhésion au Protocole ou la ratification de celui-ci), 55 p. cent des Parties (51 Partie</w:t>
      </w:r>
      <w:r w:rsidR="00CD07DD" w:rsidRPr="00115221">
        <w:rPr>
          <w:rFonts w:cs="Times New Roman"/>
          <w:snapToGrid w:val="0"/>
          <w:kern w:val="22"/>
          <w:szCs w:val="22"/>
          <w:lang w:val="fr-CA"/>
        </w:rPr>
        <w:t>s</w:t>
      </w:r>
      <w:r w:rsidRPr="00115221">
        <w:rPr>
          <w:rFonts w:cs="Times New Roman"/>
          <w:snapToGrid w:val="0"/>
          <w:kern w:val="22"/>
          <w:szCs w:val="22"/>
          <w:lang w:val="fr-CA"/>
        </w:rPr>
        <w:t xml:space="preserve">) ont </w:t>
      </w:r>
      <w:r w:rsidR="003D13A4" w:rsidRPr="00115221">
        <w:rPr>
          <w:rFonts w:cs="Times New Roman"/>
          <w:snapToGrid w:val="0"/>
          <w:kern w:val="22"/>
          <w:szCs w:val="22"/>
          <w:lang w:val="fr-CA"/>
        </w:rPr>
        <w:t xml:space="preserve">déclaré avoir complètement mis en </w:t>
      </w:r>
      <w:r w:rsidR="00D60789">
        <w:rPr>
          <w:rFonts w:cs="Times New Roman"/>
          <w:snapToGrid w:val="0"/>
          <w:kern w:val="22"/>
          <w:szCs w:val="22"/>
          <w:lang w:val="fr-CA"/>
        </w:rPr>
        <w:t>place</w:t>
      </w:r>
      <w:r w:rsidR="003D13A4" w:rsidRPr="00115221">
        <w:rPr>
          <w:rFonts w:cs="Times New Roman"/>
          <w:snapToGrid w:val="0"/>
          <w:kern w:val="22"/>
          <w:szCs w:val="22"/>
          <w:lang w:val="fr-CA"/>
        </w:rPr>
        <w:t xml:space="preserve"> les mesures légales, administratives et autres mesures nécessaires à l’application du Protocole, ce qui représen</w:t>
      </w:r>
      <w:r w:rsidR="00D60789">
        <w:rPr>
          <w:rFonts w:cs="Times New Roman"/>
          <w:snapToGrid w:val="0"/>
          <w:kern w:val="22"/>
          <w:szCs w:val="22"/>
          <w:lang w:val="fr-CA"/>
        </w:rPr>
        <w:t>te une augmentation de 8 p. cent (7</w:t>
      </w:r>
      <w:r w:rsidR="003D13A4" w:rsidRPr="00115221">
        <w:rPr>
          <w:rFonts w:cs="Times New Roman"/>
          <w:snapToGrid w:val="0"/>
          <w:kern w:val="22"/>
          <w:szCs w:val="22"/>
          <w:lang w:val="fr-CA"/>
        </w:rPr>
        <w:t xml:space="preserve"> Parties) par rapport à la valeur de référence. Il y a toutefois des différences importantes au niveau régional</w:t>
      </w:r>
      <w:r w:rsidR="006A6DC3">
        <w:rPr>
          <w:rFonts w:cs="Times New Roman"/>
          <w:snapToGrid w:val="0"/>
          <w:kern w:val="22"/>
          <w:szCs w:val="22"/>
          <w:lang w:val="fr-CA"/>
        </w:rPr>
        <w:t> : toutes l</w:t>
      </w:r>
      <w:r w:rsidR="003D13A4" w:rsidRPr="00115221">
        <w:rPr>
          <w:rFonts w:cs="Times New Roman"/>
          <w:snapToGrid w:val="0"/>
          <w:kern w:val="22"/>
          <w:szCs w:val="22"/>
          <w:lang w:val="fr-CA"/>
        </w:rPr>
        <w:t>es Parties de l</w:t>
      </w:r>
      <w:r w:rsidR="0002160B" w:rsidRPr="00115221">
        <w:rPr>
          <w:rFonts w:cs="Times New Roman"/>
          <w:snapToGrid w:val="0"/>
          <w:kern w:val="22"/>
          <w:szCs w:val="22"/>
          <w:lang w:val="fr-CA"/>
        </w:rPr>
        <w:t>a région de l</w:t>
      </w:r>
      <w:r w:rsidR="003D13A4" w:rsidRPr="00115221">
        <w:rPr>
          <w:rFonts w:cs="Times New Roman"/>
          <w:snapToGrid w:val="0"/>
          <w:kern w:val="22"/>
          <w:szCs w:val="22"/>
          <w:lang w:val="fr-CA"/>
        </w:rPr>
        <w:t>’</w:t>
      </w:r>
      <w:r w:rsidR="0002160B" w:rsidRPr="00115221">
        <w:rPr>
          <w:rFonts w:cs="Times New Roman"/>
          <w:snapToGrid w:val="0"/>
          <w:kern w:val="22"/>
          <w:szCs w:val="22"/>
          <w:lang w:val="fr-CA"/>
        </w:rPr>
        <w:t>Europe de l’Ouest et autres (EOA) (</w:t>
      </w:r>
      <w:r w:rsidR="001D1076" w:rsidRPr="00115221">
        <w:rPr>
          <w:rFonts w:cs="Times New Roman"/>
          <w:snapToGrid w:val="0"/>
          <w:kern w:val="22"/>
          <w:szCs w:val="22"/>
          <w:lang w:val="fr-CA"/>
        </w:rPr>
        <w:t>+</w:t>
      </w:r>
      <w:r w:rsidR="0002160B" w:rsidRPr="00115221">
        <w:rPr>
          <w:rFonts w:cs="Times New Roman"/>
          <w:snapToGrid w:val="0"/>
          <w:kern w:val="22"/>
          <w:szCs w:val="22"/>
          <w:lang w:val="fr-CA"/>
        </w:rPr>
        <w:t>6 p. cent); 81 p. cent des Parties de la région de l’Europe centrale et de l’</w:t>
      </w:r>
      <w:r w:rsidR="00CD07DD" w:rsidRPr="00115221">
        <w:rPr>
          <w:rFonts w:cs="Times New Roman"/>
          <w:snapToGrid w:val="0"/>
          <w:kern w:val="22"/>
          <w:szCs w:val="22"/>
          <w:lang w:val="fr-CA"/>
        </w:rPr>
        <w:t>E</w:t>
      </w:r>
      <w:r w:rsidR="0002160B" w:rsidRPr="00115221">
        <w:rPr>
          <w:rFonts w:cs="Times New Roman"/>
          <w:snapToGrid w:val="0"/>
          <w:kern w:val="22"/>
          <w:szCs w:val="22"/>
          <w:lang w:val="fr-CA"/>
        </w:rPr>
        <w:t>st (ECE) (</w:t>
      </w:r>
      <w:r w:rsidR="001D1076" w:rsidRPr="00115221">
        <w:rPr>
          <w:rFonts w:cs="Times New Roman"/>
          <w:snapToGrid w:val="0"/>
          <w:kern w:val="22"/>
          <w:szCs w:val="22"/>
          <w:lang w:val="fr-CA"/>
        </w:rPr>
        <w:t>+</w:t>
      </w:r>
      <w:r w:rsidR="00CD07DD" w:rsidRPr="00115221">
        <w:rPr>
          <w:rFonts w:cs="Times New Roman"/>
          <w:snapToGrid w:val="0"/>
          <w:kern w:val="22"/>
          <w:szCs w:val="22"/>
          <w:lang w:val="fr-CA"/>
        </w:rPr>
        <w:t>6 p. cent); 63 p. cent des Parties de la région Asie-Pacifique (</w:t>
      </w:r>
      <w:r w:rsidR="001D1076" w:rsidRPr="00115221">
        <w:rPr>
          <w:rFonts w:cs="Times New Roman"/>
          <w:snapToGrid w:val="0"/>
          <w:kern w:val="22"/>
          <w:szCs w:val="22"/>
          <w:lang w:val="fr-CA"/>
        </w:rPr>
        <w:t>+</w:t>
      </w:r>
      <w:r w:rsidR="00CD07DD" w:rsidRPr="00115221">
        <w:rPr>
          <w:rFonts w:cs="Times New Roman"/>
          <w:snapToGrid w:val="0"/>
          <w:kern w:val="22"/>
          <w:szCs w:val="22"/>
          <w:lang w:val="fr-CA"/>
        </w:rPr>
        <w:t>6 p. cent); 30 p. cent des Parties de la région de l’Afrique (</w:t>
      </w:r>
      <w:r w:rsidR="001D1076" w:rsidRPr="00115221">
        <w:rPr>
          <w:rFonts w:cs="Times New Roman"/>
          <w:snapToGrid w:val="0"/>
          <w:kern w:val="22"/>
          <w:szCs w:val="22"/>
          <w:lang w:val="fr-CA"/>
        </w:rPr>
        <w:t>+</w:t>
      </w:r>
      <w:r w:rsidR="00CD07DD" w:rsidRPr="00115221">
        <w:rPr>
          <w:rFonts w:cs="Times New Roman"/>
          <w:snapToGrid w:val="0"/>
          <w:kern w:val="22"/>
          <w:szCs w:val="22"/>
          <w:lang w:val="fr-CA"/>
        </w:rPr>
        <w:t>10 p. cent) et 8 p. cent des Parties de l’Amérique latine et des Caraïbes (GALC) (</w:t>
      </w:r>
      <w:r w:rsidR="001D1076" w:rsidRPr="00115221">
        <w:rPr>
          <w:rFonts w:cs="Times New Roman"/>
          <w:snapToGrid w:val="0"/>
          <w:kern w:val="22"/>
          <w:szCs w:val="22"/>
          <w:lang w:val="fr-CA"/>
        </w:rPr>
        <w:t>+</w:t>
      </w:r>
      <w:r w:rsidR="00CD07DD" w:rsidRPr="00115221">
        <w:rPr>
          <w:rFonts w:cs="Times New Roman"/>
          <w:snapToGrid w:val="0"/>
          <w:kern w:val="22"/>
          <w:szCs w:val="22"/>
          <w:lang w:val="fr-CA"/>
        </w:rPr>
        <w:t>8 p. cent)</w:t>
      </w:r>
      <w:r w:rsidR="006A6DC3">
        <w:rPr>
          <w:rFonts w:cs="Times New Roman"/>
          <w:snapToGrid w:val="0"/>
          <w:kern w:val="22"/>
          <w:szCs w:val="22"/>
          <w:lang w:val="fr-CA"/>
        </w:rPr>
        <w:t xml:space="preserve"> ont déclaré avoir </w:t>
      </w:r>
      <w:r w:rsidR="00497745">
        <w:rPr>
          <w:rFonts w:cs="Times New Roman"/>
          <w:snapToGrid w:val="0"/>
          <w:kern w:val="22"/>
          <w:szCs w:val="22"/>
          <w:lang w:val="fr-CA"/>
        </w:rPr>
        <w:t>réalisé la mise en place complète des mesures</w:t>
      </w:r>
      <w:r w:rsidR="00CD07DD" w:rsidRPr="00115221">
        <w:rPr>
          <w:rFonts w:cs="Times New Roman"/>
          <w:snapToGrid w:val="0"/>
          <w:kern w:val="22"/>
          <w:szCs w:val="22"/>
          <w:lang w:val="fr-CA"/>
        </w:rPr>
        <w:t>.</w:t>
      </w:r>
    </w:p>
    <w:p w14:paraId="53CC256E" w14:textId="2B3340D3" w:rsidR="004569FB" w:rsidRPr="00115221" w:rsidRDefault="00D60789"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Pr>
          <w:rFonts w:cs="Times New Roman"/>
          <w:snapToGrid w:val="0"/>
          <w:kern w:val="22"/>
          <w:szCs w:val="22"/>
          <w:lang w:val="fr-CA"/>
        </w:rPr>
        <w:t>Trente-neuf</w:t>
      </w:r>
      <w:r w:rsidR="00CD07DD" w:rsidRPr="00115221">
        <w:rPr>
          <w:rFonts w:cs="Times New Roman"/>
          <w:snapToGrid w:val="0"/>
          <w:kern w:val="22"/>
          <w:szCs w:val="22"/>
          <w:lang w:val="fr-CA"/>
        </w:rPr>
        <w:t xml:space="preserve"> p. cent des Parties (36 Parties) ont déclaré la mise en place partielle de mesures nationales, une diminution de 1 p. cent par rapport à la valeur de référence. Par région, </w:t>
      </w:r>
      <w:r w:rsidR="00CB5BC6" w:rsidRPr="00115221">
        <w:rPr>
          <w:rFonts w:cs="Times New Roman"/>
          <w:snapToGrid w:val="0"/>
          <w:kern w:val="22"/>
          <w:szCs w:val="22"/>
          <w:lang w:val="fr-CA"/>
        </w:rPr>
        <w:t xml:space="preserve">77 p. cent des Parties de la région </w:t>
      </w:r>
      <w:r>
        <w:rPr>
          <w:rFonts w:cs="Times New Roman"/>
          <w:snapToGrid w:val="0"/>
          <w:kern w:val="22"/>
          <w:szCs w:val="22"/>
          <w:lang w:val="fr-CA"/>
        </w:rPr>
        <w:t>du GALC</w:t>
      </w:r>
      <w:r w:rsidR="00CB5BC6" w:rsidRPr="00115221">
        <w:rPr>
          <w:rFonts w:cs="Times New Roman"/>
          <w:snapToGrid w:val="0"/>
          <w:kern w:val="22"/>
          <w:szCs w:val="22"/>
          <w:lang w:val="fr-CA"/>
        </w:rPr>
        <w:t xml:space="preserve"> (</w:t>
      </w:r>
      <w:r w:rsidR="001D1076" w:rsidRPr="00115221">
        <w:rPr>
          <w:rFonts w:cs="Times New Roman"/>
          <w:snapToGrid w:val="0"/>
          <w:kern w:val="22"/>
          <w:szCs w:val="22"/>
          <w:lang w:val="fr-CA"/>
        </w:rPr>
        <w:t>+</w:t>
      </w:r>
      <w:r w:rsidR="00CB5BC6" w:rsidRPr="00115221">
        <w:rPr>
          <w:rFonts w:cs="Times New Roman"/>
          <w:snapToGrid w:val="0"/>
          <w:kern w:val="22"/>
          <w:szCs w:val="22"/>
          <w:lang w:val="fr-CA"/>
        </w:rPr>
        <w:t xml:space="preserve">8 p. cent), 57 p. cent des Parties de l’Afrique </w:t>
      </w:r>
      <w:r w:rsidR="00690B72">
        <w:rPr>
          <w:rFonts w:cs="Times New Roman"/>
          <w:snapToGrid w:val="0"/>
          <w:kern w:val="22"/>
          <w:szCs w:val="22"/>
          <w:lang w:val="fr-CA"/>
        </w:rPr>
        <w:t>(</w:t>
      </w:r>
      <w:r w:rsidR="00CB5BC6" w:rsidRPr="00115221">
        <w:rPr>
          <w:rFonts w:cs="Times New Roman"/>
          <w:snapToGrid w:val="0"/>
          <w:kern w:val="22"/>
          <w:szCs w:val="22"/>
          <w:lang w:val="fr-CA"/>
        </w:rPr>
        <w:t>aucun</w:t>
      </w:r>
      <w:r>
        <w:rPr>
          <w:rFonts w:cs="Times New Roman"/>
          <w:snapToGrid w:val="0"/>
          <w:kern w:val="22"/>
          <w:szCs w:val="22"/>
          <w:lang w:val="fr-CA"/>
        </w:rPr>
        <w:t>e</w:t>
      </w:r>
      <w:r w:rsidR="00CB5BC6" w:rsidRPr="00115221">
        <w:rPr>
          <w:rFonts w:cs="Times New Roman"/>
          <w:snapToGrid w:val="0"/>
          <w:kern w:val="22"/>
          <w:szCs w:val="22"/>
          <w:lang w:val="fr-CA"/>
        </w:rPr>
        <w:t xml:space="preserve"> </w:t>
      </w:r>
      <w:r>
        <w:rPr>
          <w:rFonts w:cs="Times New Roman"/>
          <w:snapToGrid w:val="0"/>
          <w:kern w:val="22"/>
          <w:szCs w:val="22"/>
          <w:lang w:val="fr-CA"/>
        </w:rPr>
        <w:t>différence</w:t>
      </w:r>
      <w:r w:rsidR="00CB5BC6" w:rsidRPr="00115221">
        <w:rPr>
          <w:rFonts w:cs="Times New Roman"/>
          <w:snapToGrid w:val="0"/>
          <w:kern w:val="22"/>
          <w:szCs w:val="22"/>
          <w:lang w:val="fr-CA"/>
        </w:rPr>
        <w:t xml:space="preserve"> par rapport à la </w:t>
      </w:r>
      <w:r w:rsidR="00B81CFE" w:rsidRPr="00115221">
        <w:rPr>
          <w:rFonts w:cs="Times New Roman"/>
          <w:snapToGrid w:val="0"/>
          <w:kern w:val="22"/>
          <w:szCs w:val="22"/>
          <w:lang w:val="fr-CA"/>
        </w:rPr>
        <w:t>valeur</w:t>
      </w:r>
      <w:r w:rsidR="00CB5BC6" w:rsidRPr="00115221">
        <w:rPr>
          <w:rFonts w:cs="Times New Roman"/>
          <w:snapToGrid w:val="0"/>
          <w:kern w:val="22"/>
          <w:szCs w:val="22"/>
          <w:lang w:val="fr-CA"/>
        </w:rPr>
        <w:t xml:space="preserve"> de référence), 38 </w:t>
      </w:r>
      <w:r>
        <w:rPr>
          <w:rFonts w:cs="Times New Roman"/>
          <w:snapToGrid w:val="0"/>
          <w:kern w:val="22"/>
          <w:szCs w:val="22"/>
          <w:lang w:val="fr-CA"/>
        </w:rPr>
        <w:t>p. cent des Parties de l’Asie</w:t>
      </w:r>
      <w:r w:rsidR="007A5E24">
        <w:rPr>
          <w:rFonts w:cs="Times New Roman"/>
          <w:snapToGrid w:val="0"/>
          <w:kern w:val="22"/>
          <w:szCs w:val="22"/>
          <w:lang w:val="fr-CA"/>
        </w:rPr>
        <w:t>-</w:t>
      </w:r>
      <w:r w:rsidR="00832D36">
        <w:rPr>
          <w:rFonts w:cs="Times New Roman"/>
          <w:snapToGrid w:val="0"/>
          <w:kern w:val="22"/>
          <w:szCs w:val="22"/>
          <w:lang w:val="fr-CA"/>
        </w:rPr>
        <w:t>Pacifique</w:t>
      </w:r>
      <w:r>
        <w:rPr>
          <w:rFonts w:cs="Times New Roman"/>
          <w:snapToGrid w:val="0"/>
          <w:kern w:val="22"/>
          <w:szCs w:val="22"/>
          <w:lang w:val="fr-CA"/>
        </w:rPr>
        <w:t xml:space="preserve"> (</w:t>
      </w:r>
      <w:r w:rsidR="00CB5BC6" w:rsidRPr="00115221">
        <w:rPr>
          <w:rFonts w:cs="Times New Roman"/>
          <w:snapToGrid w:val="0"/>
          <w:kern w:val="22"/>
          <w:szCs w:val="22"/>
          <w:lang w:val="fr-CA"/>
        </w:rPr>
        <w:t>-6 p. cent), 19 p. cent des Parties de l’ECE (aucun</w:t>
      </w:r>
      <w:r w:rsidR="00690B72">
        <w:rPr>
          <w:rFonts w:cs="Times New Roman"/>
          <w:snapToGrid w:val="0"/>
          <w:kern w:val="22"/>
          <w:szCs w:val="22"/>
          <w:lang w:val="fr-CA"/>
        </w:rPr>
        <w:t>e</w:t>
      </w:r>
      <w:r w:rsidR="00CB5BC6" w:rsidRPr="00115221">
        <w:rPr>
          <w:rFonts w:cs="Times New Roman"/>
          <w:snapToGrid w:val="0"/>
          <w:kern w:val="22"/>
          <w:szCs w:val="22"/>
          <w:lang w:val="fr-CA"/>
        </w:rPr>
        <w:t xml:space="preserve"> </w:t>
      </w:r>
      <w:r w:rsidR="00690B72">
        <w:rPr>
          <w:rFonts w:cs="Times New Roman"/>
          <w:snapToGrid w:val="0"/>
          <w:kern w:val="22"/>
          <w:szCs w:val="22"/>
          <w:lang w:val="fr-CA"/>
        </w:rPr>
        <w:t>différence</w:t>
      </w:r>
      <w:r w:rsidR="00CB5BC6" w:rsidRPr="00115221">
        <w:rPr>
          <w:rFonts w:cs="Times New Roman"/>
          <w:snapToGrid w:val="0"/>
          <w:kern w:val="22"/>
          <w:szCs w:val="22"/>
          <w:lang w:val="fr-CA"/>
        </w:rPr>
        <w:t xml:space="preserve"> par rapport à la valeur de référence) e</w:t>
      </w:r>
      <w:r w:rsidR="00690B72">
        <w:rPr>
          <w:rFonts w:cs="Times New Roman"/>
          <w:snapToGrid w:val="0"/>
          <w:kern w:val="22"/>
          <w:szCs w:val="22"/>
          <w:lang w:val="fr-CA"/>
        </w:rPr>
        <w:t>t aucune Partie de l’EOA (-</w:t>
      </w:r>
      <w:r w:rsidR="00CB5BC6" w:rsidRPr="00115221">
        <w:rPr>
          <w:rFonts w:cs="Times New Roman"/>
          <w:snapToGrid w:val="0"/>
          <w:kern w:val="22"/>
          <w:szCs w:val="22"/>
          <w:lang w:val="fr-CA"/>
        </w:rPr>
        <w:t>6 p. cent) ont déclaré la mise en place partielle de mesures</w:t>
      </w:r>
      <w:r w:rsidR="00700366" w:rsidRPr="00115221">
        <w:rPr>
          <w:rFonts w:cs="Times New Roman"/>
          <w:snapToGrid w:val="0"/>
          <w:kern w:val="22"/>
          <w:szCs w:val="22"/>
          <w:lang w:val="fr-CA"/>
        </w:rPr>
        <w:t>.</w:t>
      </w:r>
      <w:r w:rsidR="00B81CFE" w:rsidRPr="00115221">
        <w:rPr>
          <w:rFonts w:cs="Times New Roman"/>
          <w:snapToGrid w:val="0"/>
          <w:kern w:val="22"/>
          <w:szCs w:val="22"/>
          <w:lang w:val="fr-CA"/>
        </w:rPr>
        <w:t xml:space="preserve"> De plus amples détails sont fournis au point J (conformité), dans le contexte de l’indicateur 3.1.2,</w:t>
      </w:r>
      <w:r w:rsidR="00690B72">
        <w:rPr>
          <w:rFonts w:cs="Times New Roman"/>
          <w:snapToGrid w:val="0"/>
          <w:kern w:val="22"/>
          <w:szCs w:val="22"/>
          <w:lang w:val="fr-CA"/>
        </w:rPr>
        <w:t xml:space="preserve"> et</w:t>
      </w:r>
      <w:r w:rsidR="00B81CFE" w:rsidRPr="00115221">
        <w:rPr>
          <w:rFonts w:cs="Times New Roman"/>
          <w:snapToGrid w:val="0"/>
          <w:kern w:val="22"/>
          <w:szCs w:val="22"/>
          <w:lang w:val="fr-CA"/>
        </w:rPr>
        <w:t xml:space="preserve"> </w:t>
      </w:r>
      <w:r w:rsidR="00690B72">
        <w:rPr>
          <w:rFonts w:cs="Times New Roman"/>
          <w:snapToGrid w:val="0"/>
          <w:kern w:val="22"/>
          <w:szCs w:val="22"/>
          <w:lang w:val="fr-CA"/>
        </w:rPr>
        <w:t>jusqu’à</w:t>
      </w:r>
      <w:r w:rsidR="00B81CFE" w:rsidRPr="00115221">
        <w:rPr>
          <w:rFonts w:cs="Times New Roman"/>
          <w:snapToGrid w:val="0"/>
          <w:kern w:val="22"/>
          <w:szCs w:val="22"/>
          <w:lang w:val="fr-CA"/>
        </w:rPr>
        <w:t xml:space="preserve"> la figure 8.</w:t>
      </w:r>
    </w:p>
    <w:p w14:paraId="59C4CAD8" w14:textId="320A1551" w:rsidR="004569FB" w:rsidRPr="00115221" w:rsidRDefault="00156F30"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iCs/>
          <w:snapToGrid w:val="0"/>
          <w:kern w:val="22"/>
          <w:szCs w:val="22"/>
          <w:lang w:val="fr-CA"/>
        </w:rPr>
      </w:pPr>
      <w:r w:rsidRPr="00115221">
        <w:rPr>
          <w:rFonts w:cs="Times New Roman"/>
          <w:b/>
          <w:bCs/>
          <w:snapToGrid w:val="0"/>
          <w:kern w:val="22"/>
          <w:szCs w:val="22"/>
          <w:lang w:val="fr-CA"/>
        </w:rPr>
        <w:t xml:space="preserve">L’indicateur 1.1.1 </w:t>
      </w:r>
      <w:r w:rsidRPr="00115221">
        <w:rPr>
          <w:rFonts w:cs="Times New Roman"/>
          <w:bCs/>
          <w:snapToGrid w:val="0"/>
          <w:kern w:val="22"/>
          <w:szCs w:val="22"/>
          <w:lang w:val="fr-CA"/>
        </w:rPr>
        <w:t>concerne les Parties ayant mis des mesures en place moins de 6 ans après qu’elles soient devenues Parties au Protocole. Quatre pays sont devenus Parties au Protocole depuis décembre 2013</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13"/>
      </w:r>
      <w:r w:rsidR="004569FB" w:rsidRPr="00115221">
        <w:rPr>
          <w:rFonts w:cs="Times New Roman"/>
          <w:snapToGrid w:val="0"/>
          <w:kern w:val="22"/>
          <w:szCs w:val="22"/>
          <w:lang w:val="fr-CA"/>
        </w:rPr>
        <w:t xml:space="preserve"> </w:t>
      </w:r>
      <w:r w:rsidR="008339ED" w:rsidRPr="00115221">
        <w:rPr>
          <w:rFonts w:cs="Times New Roman"/>
          <w:snapToGrid w:val="0"/>
          <w:kern w:val="22"/>
          <w:szCs w:val="22"/>
          <w:lang w:val="fr-CA"/>
        </w:rPr>
        <w:t>Un autre État a déposé son instrument d’adhésion du Protocole et est devenu Partie le 23 janvier 2020</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14"/>
      </w:r>
      <w:r w:rsidR="004569FB" w:rsidRPr="00115221">
        <w:rPr>
          <w:rFonts w:cs="Times New Roman"/>
          <w:snapToGrid w:val="0"/>
          <w:kern w:val="22"/>
          <w:szCs w:val="22"/>
          <w:lang w:val="fr-CA"/>
        </w:rPr>
        <w:t xml:space="preserve"> </w:t>
      </w:r>
      <w:r w:rsidR="008339ED" w:rsidRPr="00115221">
        <w:rPr>
          <w:rFonts w:cs="Times New Roman"/>
          <w:snapToGrid w:val="0"/>
          <w:kern w:val="22"/>
          <w:szCs w:val="22"/>
          <w:lang w:val="fr-CA"/>
        </w:rPr>
        <w:t>L’analyse comparative ne tient pas compte des données fournies par ces Parties</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15"/>
      </w:r>
      <w:r w:rsidR="004569FB" w:rsidRPr="00115221">
        <w:rPr>
          <w:rFonts w:cs="Times New Roman"/>
          <w:snapToGrid w:val="0"/>
          <w:kern w:val="22"/>
          <w:szCs w:val="22"/>
          <w:lang w:val="fr-CA"/>
        </w:rPr>
        <w:t xml:space="preserve"> </w:t>
      </w:r>
    </w:p>
    <w:p w14:paraId="6DA6B129" w14:textId="018B9432" w:rsidR="004569FB" w:rsidRPr="00115221" w:rsidRDefault="008339ED"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
          <w:i/>
          <w:snapToGrid w:val="0"/>
          <w:kern w:val="22"/>
          <w:szCs w:val="22"/>
          <w:lang w:val="fr-CA"/>
        </w:rPr>
      </w:pPr>
      <w:r w:rsidRPr="00115221">
        <w:rPr>
          <w:rFonts w:cs="Times New Roman"/>
          <w:snapToGrid w:val="0"/>
          <w:kern w:val="22"/>
          <w:szCs w:val="22"/>
          <w:lang w:val="fr-CA"/>
        </w:rPr>
        <w:t>V</w:t>
      </w:r>
      <w:r w:rsidR="002E756C" w:rsidRPr="00115221">
        <w:rPr>
          <w:rFonts w:cs="Times New Roman"/>
          <w:snapToGrid w:val="0"/>
          <w:kern w:val="22"/>
          <w:szCs w:val="22"/>
          <w:lang w:val="fr-CA"/>
        </w:rPr>
        <w:t>i</w:t>
      </w:r>
      <w:r w:rsidRPr="00115221">
        <w:rPr>
          <w:rFonts w:cs="Times New Roman"/>
          <w:snapToGrid w:val="0"/>
          <w:kern w:val="22"/>
          <w:szCs w:val="22"/>
          <w:lang w:val="fr-CA"/>
        </w:rPr>
        <w:t>ngt-quatre Parties</w:t>
      </w:r>
      <w:r w:rsidR="002E756C" w:rsidRPr="00115221">
        <w:rPr>
          <w:rFonts w:cs="Times New Roman"/>
          <w:snapToGrid w:val="0"/>
          <w:kern w:val="22"/>
          <w:szCs w:val="22"/>
          <w:lang w:val="fr-CA"/>
        </w:rPr>
        <w:t xml:space="preserve"> ayant déclaré avoir complètement ou partiellement mis en place les mesures légales, administratives et autres pour l’application du Protocole sont des centres d’origine (aucun</w:t>
      </w:r>
      <w:r w:rsidR="00690B72">
        <w:rPr>
          <w:rFonts w:cs="Times New Roman"/>
          <w:snapToGrid w:val="0"/>
          <w:kern w:val="22"/>
          <w:szCs w:val="22"/>
          <w:lang w:val="fr-CA"/>
        </w:rPr>
        <w:t>e</w:t>
      </w:r>
      <w:r w:rsidR="002E756C" w:rsidRPr="00115221">
        <w:rPr>
          <w:rFonts w:cs="Times New Roman"/>
          <w:snapToGrid w:val="0"/>
          <w:kern w:val="22"/>
          <w:szCs w:val="22"/>
          <w:lang w:val="fr-CA"/>
        </w:rPr>
        <w:t xml:space="preserve"> </w:t>
      </w:r>
      <w:r w:rsidR="00690B72">
        <w:rPr>
          <w:rFonts w:cs="Times New Roman"/>
          <w:snapToGrid w:val="0"/>
          <w:kern w:val="22"/>
          <w:szCs w:val="22"/>
          <w:lang w:val="fr-CA"/>
        </w:rPr>
        <w:t>différence</w:t>
      </w:r>
      <w:r w:rsidR="002E756C" w:rsidRPr="00115221">
        <w:rPr>
          <w:rFonts w:cs="Times New Roman"/>
          <w:snapToGrid w:val="0"/>
          <w:kern w:val="22"/>
          <w:szCs w:val="22"/>
          <w:lang w:val="fr-CA"/>
        </w:rPr>
        <w:t xml:space="preserve"> par rapport à la valeur de référence).</w:t>
      </w:r>
      <w:r w:rsidR="002E756C" w:rsidRPr="00115221">
        <w:rPr>
          <w:rStyle w:val="FootnoteReference"/>
          <w:rFonts w:cs="Times New Roman"/>
          <w:snapToGrid w:val="0"/>
          <w:kern w:val="22"/>
          <w:szCs w:val="22"/>
        </w:rPr>
        <w:footnoteReference w:id="16"/>
      </w:r>
      <w:r w:rsidR="002E756C" w:rsidRPr="00115221">
        <w:rPr>
          <w:rFonts w:cs="Times New Roman"/>
          <w:snapToGrid w:val="0"/>
          <w:kern w:val="22"/>
          <w:szCs w:val="22"/>
          <w:lang w:val="fr-CA"/>
        </w:rPr>
        <w:t xml:space="preserve"> Treize de ces Parties ont déclaré avoir mis complètement les mesures en place, ce qui représente une Partie de plus par rapport à la valeur de référence</w:t>
      </w:r>
      <w:r w:rsidR="004569FB" w:rsidRPr="00115221">
        <w:rPr>
          <w:rFonts w:cs="Times New Roman"/>
          <w:snapToGrid w:val="0"/>
          <w:kern w:val="22"/>
          <w:szCs w:val="22"/>
          <w:lang w:val="fr-CA"/>
        </w:rPr>
        <w:t>.</w:t>
      </w:r>
      <w:r w:rsidR="00C3794D" w:rsidRPr="00115221" w:rsidDel="00C3794D">
        <w:rPr>
          <w:rStyle w:val="FootnoteReference"/>
          <w:rFonts w:cs="Times New Roman"/>
          <w:snapToGrid w:val="0"/>
          <w:kern w:val="22"/>
          <w:szCs w:val="22"/>
          <w:lang w:val="fr-CA"/>
        </w:rPr>
        <w:t xml:space="preserve"> </w:t>
      </w:r>
    </w:p>
    <w:p w14:paraId="2EE752EE" w14:textId="7017B2BC" w:rsidR="004569FB" w:rsidRPr="00115221" w:rsidRDefault="002E756C" w:rsidP="00E4709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En ce qui concerne le type</w:t>
      </w:r>
      <w:r w:rsidR="008970D5" w:rsidRPr="00115221">
        <w:rPr>
          <w:rFonts w:cs="Times New Roman"/>
          <w:snapToGrid w:val="0"/>
          <w:kern w:val="22"/>
          <w:szCs w:val="22"/>
          <w:lang w:val="fr-CA"/>
        </w:rPr>
        <w:t xml:space="preserve"> précis</w:t>
      </w:r>
      <w:r w:rsidRPr="00115221">
        <w:rPr>
          <w:rFonts w:cs="Times New Roman"/>
          <w:snapToGrid w:val="0"/>
          <w:kern w:val="22"/>
          <w:szCs w:val="22"/>
          <w:lang w:val="fr-CA"/>
        </w:rPr>
        <w:t xml:space="preserve"> d’instrument</w:t>
      </w:r>
      <w:r w:rsidR="007D5850">
        <w:rPr>
          <w:rFonts w:cs="Times New Roman"/>
          <w:snapToGrid w:val="0"/>
          <w:kern w:val="22"/>
          <w:szCs w:val="22"/>
          <w:lang w:val="fr-CA"/>
        </w:rPr>
        <w:t>s</w:t>
      </w:r>
      <w:r w:rsidR="008970D5" w:rsidRPr="00115221">
        <w:rPr>
          <w:rFonts w:cs="Times New Roman"/>
          <w:snapToGrid w:val="0"/>
          <w:kern w:val="22"/>
          <w:szCs w:val="22"/>
          <w:lang w:val="fr-CA"/>
        </w:rPr>
        <w:t xml:space="preserve"> mis en place par les Parties pour l’application du Protocole, 80 Parties ont indiqué avoir mis en place une ou plusieurs lois, réglementations ou directives sur la prévention des risques biotechnologiques. Dix Parties de plus que la valeur de référence ont indiqué a</w:t>
      </w:r>
      <w:r w:rsidR="00E4709B" w:rsidRPr="00115221">
        <w:rPr>
          <w:rFonts w:cs="Times New Roman"/>
          <w:snapToGrid w:val="0"/>
          <w:kern w:val="22"/>
          <w:szCs w:val="22"/>
          <w:lang w:val="fr-CA"/>
        </w:rPr>
        <w:t>voir mis en place une ou plusieurs lois sur la prévention des risques biotechnologiques, 12 Parties de plus ont déclaré avoir mis en place une ou plusieurs réglementations sur la prévention des risques biotechnologiques et 12 Parties de plus ont déclaré avoir mis en place une ou plusieurs séries de directives sur la prévention des risques biotechnologiques</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17"/>
      </w:r>
      <w:r w:rsidR="004569FB" w:rsidRPr="00115221">
        <w:rPr>
          <w:rFonts w:cs="Times New Roman"/>
          <w:snapToGrid w:val="0"/>
          <w:kern w:val="22"/>
          <w:szCs w:val="22"/>
          <w:lang w:val="fr-CA"/>
        </w:rPr>
        <w:t xml:space="preserve"> </w:t>
      </w:r>
      <w:r w:rsidR="00DC49B2">
        <w:rPr>
          <w:rFonts w:cs="Times New Roman"/>
          <w:snapToGrid w:val="0"/>
          <w:kern w:val="22"/>
          <w:szCs w:val="22"/>
          <w:lang w:val="fr-CA"/>
        </w:rPr>
        <w:t>Cinquante-cinq</w:t>
      </w:r>
      <w:r w:rsidR="002708D2" w:rsidRPr="00115221">
        <w:rPr>
          <w:rFonts w:cs="Times New Roman"/>
          <w:snapToGrid w:val="0"/>
          <w:kern w:val="22"/>
          <w:szCs w:val="22"/>
          <w:lang w:val="fr-CA"/>
        </w:rPr>
        <w:t xml:space="preserve"> P</w:t>
      </w:r>
      <w:r w:rsidR="00E4709B" w:rsidRPr="00115221">
        <w:rPr>
          <w:rFonts w:cs="Times New Roman"/>
          <w:snapToGrid w:val="0"/>
          <w:kern w:val="22"/>
          <w:szCs w:val="22"/>
          <w:lang w:val="fr-CA"/>
        </w:rPr>
        <w:t>arties ont déclaré avoir mis en place d’autres lois, réglementations ou directives concernant indirectement la pr</w:t>
      </w:r>
      <w:r w:rsidR="002708D2" w:rsidRPr="00115221">
        <w:rPr>
          <w:rFonts w:cs="Times New Roman"/>
          <w:snapToGrid w:val="0"/>
          <w:kern w:val="22"/>
          <w:szCs w:val="22"/>
          <w:lang w:val="fr-CA"/>
        </w:rPr>
        <w:t>é</w:t>
      </w:r>
      <w:r w:rsidR="00E4709B" w:rsidRPr="00115221">
        <w:rPr>
          <w:rFonts w:cs="Times New Roman"/>
          <w:snapToGrid w:val="0"/>
          <w:kern w:val="22"/>
          <w:szCs w:val="22"/>
          <w:lang w:val="fr-CA"/>
        </w:rPr>
        <w:t>vention d</w:t>
      </w:r>
      <w:r w:rsidR="007D5850">
        <w:rPr>
          <w:rFonts w:cs="Times New Roman"/>
          <w:snapToGrid w:val="0"/>
          <w:kern w:val="22"/>
          <w:szCs w:val="22"/>
          <w:lang w:val="fr-CA"/>
        </w:rPr>
        <w:t>es risques biotechnologiques (1 </w:t>
      </w:r>
      <w:r w:rsidR="00E4709B" w:rsidRPr="00115221">
        <w:rPr>
          <w:rFonts w:cs="Times New Roman"/>
          <w:snapToGrid w:val="0"/>
          <w:kern w:val="22"/>
          <w:szCs w:val="22"/>
          <w:lang w:val="fr-CA"/>
        </w:rPr>
        <w:t xml:space="preserve">Partie de moins par rapport </w:t>
      </w:r>
      <w:r w:rsidR="002708D2" w:rsidRPr="00115221">
        <w:rPr>
          <w:rFonts w:cs="Times New Roman"/>
          <w:snapToGrid w:val="0"/>
          <w:kern w:val="22"/>
          <w:szCs w:val="22"/>
          <w:lang w:val="fr-CA"/>
        </w:rPr>
        <w:t>à la valeur de réfé</w:t>
      </w:r>
      <w:r w:rsidR="00E4709B" w:rsidRPr="00115221">
        <w:rPr>
          <w:rFonts w:cs="Times New Roman"/>
          <w:snapToGrid w:val="0"/>
          <w:kern w:val="22"/>
          <w:szCs w:val="22"/>
          <w:lang w:val="fr-CA"/>
        </w:rPr>
        <w:t>rence). Cinq Parties ont déclaré n’avoir mis aucun instrument en place, ce qui ne présente aucun</w:t>
      </w:r>
      <w:r w:rsidR="00DC49B2">
        <w:rPr>
          <w:rFonts w:cs="Times New Roman"/>
          <w:snapToGrid w:val="0"/>
          <w:kern w:val="22"/>
          <w:szCs w:val="22"/>
          <w:lang w:val="fr-CA"/>
        </w:rPr>
        <w:t>e</w:t>
      </w:r>
      <w:r w:rsidR="00E4709B" w:rsidRPr="00115221">
        <w:rPr>
          <w:rFonts w:cs="Times New Roman"/>
          <w:snapToGrid w:val="0"/>
          <w:kern w:val="22"/>
          <w:szCs w:val="22"/>
          <w:lang w:val="fr-CA"/>
        </w:rPr>
        <w:t xml:space="preserve"> </w:t>
      </w:r>
      <w:r w:rsidR="00DC49B2">
        <w:rPr>
          <w:rFonts w:cs="Times New Roman"/>
          <w:snapToGrid w:val="0"/>
          <w:kern w:val="22"/>
          <w:szCs w:val="22"/>
          <w:lang w:val="fr-CA"/>
        </w:rPr>
        <w:t>différence</w:t>
      </w:r>
      <w:r w:rsidR="00E4709B" w:rsidRPr="00115221">
        <w:rPr>
          <w:rFonts w:cs="Times New Roman"/>
          <w:snapToGrid w:val="0"/>
          <w:kern w:val="22"/>
          <w:szCs w:val="22"/>
          <w:lang w:val="fr-CA"/>
        </w:rPr>
        <w:t xml:space="preserve"> par rapport à la </w:t>
      </w:r>
      <w:r w:rsidR="002708D2" w:rsidRPr="00115221">
        <w:rPr>
          <w:rFonts w:cs="Times New Roman"/>
          <w:snapToGrid w:val="0"/>
          <w:kern w:val="22"/>
          <w:szCs w:val="22"/>
          <w:lang w:val="fr-CA"/>
        </w:rPr>
        <w:t>valeur</w:t>
      </w:r>
      <w:r w:rsidR="00E4709B" w:rsidRPr="00115221">
        <w:rPr>
          <w:rFonts w:cs="Times New Roman"/>
          <w:snapToGrid w:val="0"/>
          <w:kern w:val="22"/>
          <w:szCs w:val="22"/>
          <w:lang w:val="fr-CA"/>
        </w:rPr>
        <w:t xml:space="preserve"> de référence. Plusieurs Parties ayant déclaré avoir mis en place des instruments propres à la prévention des risques biotechnologiques on</w:t>
      </w:r>
      <w:r w:rsidR="002708D2" w:rsidRPr="00115221">
        <w:rPr>
          <w:rFonts w:cs="Times New Roman"/>
          <w:snapToGrid w:val="0"/>
          <w:kern w:val="22"/>
          <w:szCs w:val="22"/>
          <w:lang w:val="fr-CA"/>
        </w:rPr>
        <w:t>t aussi déclaré avoir mis en place des m</w:t>
      </w:r>
      <w:r w:rsidR="00E4709B" w:rsidRPr="00115221">
        <w:rPr>
          <w:rFonts w:cs="Times New Roman"/>
          <w:snapToGrid w:val="0"/>
          <w:kern w:val="22"/>
          <w:szCs w:val="22"/>
          <w:lang w:val="fr-CA"/>
        </w:rPr>
        <w:t>esures concernant indirectement la prévention des risques biotechnologiques</w:t>
      </w:r>
      <w:r w:rsidR="004569FB" w:rsidRPr="00115221">
        <w:rPr>
          <w:rFonts w:cs="Times New Roman"/>
          <w:snapToGrid w:val="0"/>
          <w:kern w:val="22"/>
          <w:szCs w:val="22"/>
          <w:lang w:val="fr-CA"/>
        </w:rPr>
        <w:t>.</w:t>
      </w:r>
    </w:p>
    <w:p w14:paraId="740764DB" w14:textId="74FB90B8" w:rsidR="004569FB" w:rsidRPr="00115221" w:rsidRDefault="00C52817" w:rsidP="00296EA4">
      <w:pPr>
        <w:pStyle w:val="ListParagraph"/>
        <w:numPr>
          <w:ilvl w:val="0"/>
          <w:numId w:val="9"/>
        </w:numPr>
        <w:tabs>
          <w:tab w:val="clear" w:pos="3240"/>
        </w:tab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Plusieurs Parties ont expliqué dans leur exposé écrit les difficultés qu’elles avaient rencontré</w:t>
      </w:r>
      <w:r w:rsidR="00DC49B2">
        <w:rPr>
          <w:rFonts w:cs="Times New Roman"/>
          <w:snapToGrid w:val="0"/>
          <w:kern w:val="22"/>
          <w:szCs w:val="22"/>
          <w:lang w:val="fr-CA"/>
        </w:rPr>
        <w:t>es</w:t>
      </w:r>
      <w:r w:rsidRPr="00115221">
        <w:rPr>
          <w:rFonts w:cs="Times New Roman"/>
          <w:snapToGrid w:val="0"/>
          <w:kern w:val="22"/>
          <w:szCs w:val="22"/>
          <w:lang w:val="fr-CA"/>
        </w:rPr>
        <w:t xml:space="preserve"> lors de l’adoption des mesures légales, administratives et autres mesures d’application du Protocole. Plusieurs parties ont i</w:t>
      </w:r>
      <w:r w:rsidR="00296EA4" w:rsidRPr="00115221">
        <w:rPr>
          <w:rFonts w:cs="Times New Roman"/>
          <w:snapToGrid w:val="0"/>
          <w:kern w:val="22"/>
          <w:szCs w:val="22"/>
          <w:lang w:val="fr-CA"/>
        </w:rPr>
        <w:t>ndiqué que les instruments léga</w:t>
      </w:r>
      <w:r w:rsidRPr="00115221">
        <w:rPr>
          <w:rFonts w:cs="Times New Roman"/>
          <w:snapToGrid w:val="0"/>
          <w:kern w:val="22"/>
          <w:szCs w:val="22"/>
          <w:lang w:val="fr-CA"/>
        </w:rPr>
        <w:t xml:space="preserve">ux sont en voie d’élaboration ou ont été élaborés mais pas encore adoptés. Certaines de ces Parties ont indiqué que l’adoption de ces instruments devrait renforcer les </w:t>
      </w:r>
      <w:r w:rsidRPr="00115221">
        <w:rPr>
          <w:rFonts w:cs="Times New Roman"/>
          <w:snapToGrid w:val="0"/>
          <w:kern w:val="22"/>
          <w:szCs w:val="22"/>
          <w:lang w:val="fr-CA"/>
        </w:rPr>
        <w:lastRenderedPageBreak/>
        <w:t>struct</w:t>
      </w:r>
      <w:r w:rsidR="00296EA4" w:rsidRPr="00115221">
        <w:rPr>
          <w:rFonts w:cs="Times New Roman"/>
          <w:snapToGrid w:val="0"/>
          <w:kern w:val="22"/>
          <w:szCs w:val="22"/>
          <w:lang w:val="fr-CA"/>
        </w:rPr>
        <w:t>ures institutionnelles et améli</w:t>
      </w:r>
      <w:r w:rsidRPr="00115221">
        <w:rPr>
          <w:rFonts w:cs="Times New Roman"/>
          <w:snapToGrid w:val="0"/>
          <w:kern w:val="22"/>
          <w:szCs w:val="22"/>
          <w:lang w:val="fr-CA"/>
        </w:rPr>
        <w:t>orer la disponibilité des ressources. Certaines Parties ont mentionné l’importance d’intégrer la pr</w:t>
      </w:r>
      <w:r w:rsidR="00296EA4" w:rsidRPr="00115221">
        <w:rPr>
          <w:rFonts w:cs="Times New Roman"/>
          <w:snapToGrid w:val="0"/>
          <w:kern w:val="22"/>
          <w:szCs w:val="22"/>
          <w:lang w:val="fr-CA"/>
        </w:rPr>
        <w:t>évention des risques biotechnol</w:t>
      </w:r>
      <w:r w:rsidRPr="00115221">
        <w:rPr>
          <w:rFonts w:cs="Times New Roman"/>
          <w:snapToGrid w:val="0"/>
          <w:kern w:val="22"/>
          <w:szCs w:val="22"/>
          <w:lang w:val="fr-CA"/>
        </w:rPr>
        <w:t xml:space="preserve">ogiques </w:t>
      </w:r>
      <w:r w:rsidR="00DC49B2">
        <w:rPr>
          <w:rFonts w:cs="Times New Roman"/>
          <w:snapToGrid w:val="0"/>
          <w:kern w:val="22"/>
          <w:szCs w:val="22"/>
          <w:lang w:val="fr-CA"/>
        </w:rPr>
        <w:t>à</w:t>
      </w:r>
      <w:r w:rsidRPr="00115221">
        <w:rPr>
          <w:rFonts w:cs="Times New Roman"/>
          <w:snapToGrid w:val="0"/>
          <w:kern w:val="22"/>
          <w:szCs w:val="22"/>
          <w:lang w:val="fr-CA"/>
        </w:rPr>
        <w:t xml:space="preserve"> </w:t>
      </w:r>
      <w:r w:rsidR="00296EA4" w:rsidRPr="00115221">
        <w:rPr>
          <w:rFonts w:cs="Times New Roman"/>
          <w:snapToGrid w:val="0"/>
          <w:kern w:val="22"/>
          <w:szCs w:val="22"/>
          <w:lang w:val="fr-CA"/>
        </w:rPr>
        <w:t>plusieurs</w:t>
      </w:r>
      <w:r w:rsidRPr="00115221">
        <w:rPr>
          <w:rFonts w:cs="Times New Roman"/>
          <w:snapToGrid w:val="0"/>
          <w:kern w:val="22"/>
          <w:szCs w:val="22"/>
          <w:lang w:val="fr-CA"/>
        </w:rPr>
        <w:t xml:space="preserve"> polit</w:t>
      </w:r>
      <w:r w:rsidR="00296EA4" w:rsidRPr="00115221">
        <w:rPr>
          <w:rFonts w:cs="Times New Roman"/>
          <w:snapToGrid w:val="0"/>
          <w:kern w:val="22"/>
          <w:szCs w:val="22"/>
          <w:lang w:val="fr-CA"/>
        </w:rPr>
        <w:t>iques et instruments légaux se</w:t>
      </w:r>
      <w:r w:rsidRPr="00115221">
        <w:rPr>
          <w:rFonts w:cs="Times New Roman"/>
          <w:snapToGrid w:val="0"/>
          <w:kern w:val="22"/>
          <w:szCs w:val="22"/>
          <w:lang w:val="fr-CA"/>
        </w:rPr>
        <w:t>ctoriels et intersectoriels. Certaines Parties ont déclaré avoir</w:t>
      </w:r>
      <w:r w:rsidR="00296EA4" w:rsidRPr="00115221">
        <w:rPr>
          <w:rFonts w:cs="Times New Roman"/>
          <w:snapToGrid w:val="0"/>
          <w:kern w:val="22"/>
          <w:szCs w:val="22"/>
          <w:lang w:val="fr-CA"/>
        </w:rPr>
        <w:t xml:space="preserve"> abordé efficacement la question de la prévention des risques biotechnologiques dans les politiques et lois sectorielles et intersectorielles. Plusieurs Parties ont précisé que le manque de ressources et de capacités ont eu des conséquences négatives sur l’application du Protocole</w:t>
      </w:r>
      <w:r w:rsidR="004569FB" w:rsidRPr="00115221">
        <w:rPr>
          <w:rFonts w:cs="Times New Roman"/>
          <w:iCs/>
          <w:snapToGrid w:val="0"/>
          <w:kern w:val="22"/>
          <w:szCs w:val="22"/>
          <w:lang w:val="fr-CA"/>
        </w:rPr>
        <w:t>.</w:t>
      </w:r>
    </w:p>
    <w:p w14:paraId="6FC49A9F" w14:textId="23CE23D7" w:rsidR="004569FB" w:rsidRPr="00115221" w:rsidRDefault="00296EA4"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1.1.2</w:t>
      </w:r>
      <w:r w:rsidRPr="00115221">
        <w:rPr>
          <w:rFonts w:cs="Times New Roman"/>
          <w:snapToGrid w:val="0"/>
          <w:kern w:val="22"/>
          <w:szCs w:val="22"/>
          <w:lang w:val="fr-CA"/>
        </w:rPr>
        <w:t xml:space="preserve"> (pourcentage des Parties ayant mis en place des r</w:t>
      </w:r>
      <w:r w:rsidR="00890C37" w:rsidRPr="00115221">
        <w:rPr>
          <w:rFonts w:cs="Times New Roman"/>
          <w:snapToGrid w:val="0"/>
          <w:kern w:val="22"/>
          <w:szCs w:val="22"/>
          <w:lang w:val="fr-CA"/>
        </w:rPr>
        <w:t>ègles et des procédures de tr</w:t>
      </w:r>
      <w:r w:rsidRPr="00115221">
        <w:rPr>
          <w:rFonts w:cs="Times New Roman"/>
          <w:snapToGrid w:val="0"/>
          <w:kern w:val="22"/>
          <w:szCs w:val="22"/>
          <w:lang w:val="fr-CA"/>
        </w:rPr>
        <w:t xml:space="preserve">aitement des notifications et des demandes d’approbation pour l’importation des OVM destinés </w:t>
      </w:r>
      <w:r w:rsidR="00D43C48">
        <w:rPr>
          <w:rFonts w:cs="Times New Roman"/>
          <w:snapToGrid w:val="0"/>
          <w:kern w:val="22"/>
          <w:szCs w:val="22"/>
          <w:lang w:val="fr-CA"/>
        </w:rPr>
        <w:t xml:space="preserve">à </w:t>
      </w:r>
      <w:r w:rsidR="002076B0">
        <w:rPr>
          <w:rFonts w:cs="Times New Roman"/>
          <w:snapToGrid w:val="0"/>
          <w:kern w:val="22"/>
          <w:szCs w:val="22"/>
          <w:lang w:val="fr-CA"/>
        </w:rPr>
        <w:t xml:space="preserve">être </w:t>
      </w:r>
      <w:r w:rsidR="00D43C48">
        <w:rPr>
          <w:rFonts w:cs="Times New Roman"/>
          <w:snapToGrid w:val="0"/>
          <w:kern w:val="22"/>
          <w:szCs w:val="22"/>
          <w:lang w:val="fr-CA"/>
        </w:rPr>
        <w:t xml:space="preserve">utilisés </w:t>
      </w:r>
      <w:r w:rsidRPr="00115221">
        <w:rPr>
          <w:rFonts w:cs="Times New Roman"/>
          <w:snapToGrid w:val="0"/>
          <w:kern w:val="22"/>
          <w:szCs w:val="22"/>
          <w:lang w:val="fr-CA"/>
        </w:rPr>
        <w:t xml:space="preserve">directement </w:t>
      </w:r>
      <w:r w:rsidR="00D43C48">
        <w:rPr>
          <w:rFonts w:cs="Times New Roman"/>
          <w:snapToGrid w:val="0"/>
          <w:kern w:val="22"/>
          <w:szCs w:val="22"/>
          <w:lang w:val="fr-CA"/>
        </w:rPr>
        <w:t>pour</w:t>
      </w:r>
      <w:r w:rsidR="00890C37" w:rsidRPr="00115221">
        <w:rPr>
          <w:rFonts w:cs="Times New Roman"/>
          <w:snapToGrid w:val="0"/>
          <w:kern w:val="22"/>
          <w:szCs w:val="22"/>
          <w:lang w:val="fr-CA"/>
        </w:rPr>
        <w:t xml:space="preserve"> </w:t>
      </w:r>
      <w:r w:rsidR="00CB4A19">
        <w:rPr>
          <w:rFonts w:cs="Times New Roman"/>
          <w:snapToGrid w:val="0"/>
          <w:kern w:val="22"/>
          <w:szCs w:val="22"/>
          <w:lang w:val="fr-CA"/>
        </w:rPr>
        <w:t>l’alimentation</w:t>
      </w:r>
      <w:r w:rsidR="00890C37" w:rsidRPr="00115221">
        <w:rPr>
          <w:rFonts w:cs="Times New Roman"/>
          <w:snapToGrid w:val="0"/>
          <w:kern w:val="22"/>
          <w:szCs w:val="22"/>
          <w:lang w:val="fr-CA"/>
        </w:rPr>
        <w:t xml:space="preserve"> humaine ou animale ou </w:t>
      </w:r>
      <w:r w:rsidR="00D43C48">
        <w:rPr>
          <w:rFonts w:cs="Times New Roman"/>
          <w:snapToGrid w:val="0"/>
          <w:kern w:val="22"/>
          <w:szCs w:val="22"/>
          <w:lang w:val="fr-CA"/>
        </w:rPr>
        <w:t>la transformation</w:t>
      </w:r>
      <w:r w:rsidR="00890C37" w:rsidRPr="00115221">
        <w:rPr>
          <w:rFonts w:cs="Times New Roman"/>
          <w:snapToGrid w:val="0"/>
          <w:kern w:val="22"/>
          <w:szCs w:val="22"/>
          <w:lang w:val="fr-CA"/>
        </w:rPr>
        <w:t>, l’</w:t>
      </w:r>
      <w:r w:rsidR="00890C37" w:rsidRPr="00115221">
        <w:rPr>
          <w:rFonts w:eastAsia="Times New Roman" w:cs="Times New Roman"/>
          <w:snapToGrid w:val="0"/>
          <w:kern w:val="22"/>
          <w:szCs w:val="22"/>
          <w:lang w:val="fr-CA"/>
        </w:rPr>
        <w:t>utilisation</w:t>
      </w:r>
      <w:r w:rsidR="00890C37" w:rsidRPr="00115221">
        <w:rPr>
          <w:rFonts w:cs="Times New Roman"/>
          <w:snapToGrid w:val="0"/>
          <w:kern w:val="22"/>
          <w:szCs w:val="22"/>
          <w:lang w:val="fr-CA"/>
        </w:rPr>
        <w:t xml:space="preserve"> </w:t>
      </w:r>
      <w:r w:rsidR="00D43C48">
        <w:rPr>
          <w:rFonts w:cs="Times New Roman"/>
          <w:snapToGrid w:val="0"/>
          <w:kern w:val="22"/>
          <w:szCs w:val="22"/>
          <w:lang w:val="fr-CA"/>
        </w:rPr>
        <w:t>restreinte</w:t>
      </w:r>
      <w:r w:rsidR="00890C37" w:rsidRPr="00115221">
        <w:rPr>
          <w:rFonts w:cs="Times New Roman"/>
          <w:snapToGrid w:val="0"/>
          <w:kern w:val="22"/>
          <w:szCs w:val="22"/>
          <w:lang w:val="fr-CA"/>
        </w:rPr>
        <w:t xml:space="preserve"> et l’introduction dans l’environnement), 83 p. cent des Parties (77 Parties) ont déclaré avoir adopté des lois, des réglementations et des mesures administratives pour les décisions liées à l’importation des OVM destinés </w:t>
      </w:r>
      <w:r w:rsidR="00D43C48">
        <w:rPr>
          <w:rFonts w:cs="Times New Roman"/>
          <w:snapToGrid w:val="0"/>
          <w:kern w:val="22"/>
          <w:szCs w:val="22"/>
          <w:lang w:val="fr-CA"/>
        </w:rPr>
        <w:t xml:space="preserve">à être utilisés directement pour </w:t>
      </w:r>
      <w:r w:rsidR="00CB4A19">
        <w:rPr>
          <w:rFonts w:cs="Times New Roman"/>
          <w:snapToGrid w:val="0"/>
          <w:kern w:val="22"/>
          <w:szCs w:val="22"/>
          <w:lang w:val="fr-CA"/>
        </w:rPr>
        <w:t>l’alimentation</w:t>
      </w:r>
      <w:r w:rsidR="00890C37" w:rsidRPr="00115221">
        <w:rPr>
          <w:rFonts w:cs="Times New Roman"/>
          <w:snapToGrid w:val="0"/>
          <w:kern w:val="22"/>
          <w:szCs w:val="22"/>
          <w:lang w:val="fr-CA"/>
        </w:rPr>
        <w:t xml:space="preserve"> humaine ou animale ou la transformation</w:t>
      </w:r>
      <w:r w:rsidR="001D1076" w:rsidRPr="00115221">
        <w:rPr>
          <w:rFonts w:cs="Times New Roman"/>
          <w:snapToGrid w:val="0"/>
          <w:kern w:val="22"/>
          <w:szCs w:val="22"/>
          <w:lang w:val="fr-CA"/>
        </w:rPr>
        <w:t>, ce qui représente une augmentation de 13 p. cent par rapport à la valeur de référence. Des augmentation</w:t>
      </w:r>
      <w:r w:rsidR="00D325CD">
        <w:rPr>
          <w:rFonts w:cs="Times New Roman"/>
          <w:snapToGrid w:val="0"/>
          <w:kern w:val="22"/>
          <w:szCs w:val="22"/>
          <w:lang w:val="fr-CA"/>
        </w:rPr>
        <w:t>s</w:t>
      </w:r>
      <w:r w:rsidR="001D1076" w:rsidRPr="00115221">
        <w:rPr>
          <w:rFonts w:cs="Times New Roman"/>
          <w:snapToGrid w:val="0"/>
          <w:kern w:val="22"/>
          <w:szCs w:val="22"/>
          <w:lang w:val="fr-CA"/>
        </w:rPr>
        <w:t xml:space="preserve"> ont été déclarées dans </w:t>
      </w:r>
      <w:r w:rsidR="001D1076" w:rsidRPr="00115221">
        <w:rPr>
          <w:rFonts w:eastAsia="Times New Roman" w:cs="Times New Roman"/>
          <w:snapToGrid w:val="0"/>
          <w:kern w:val="22"/>
          <w:szCs w:val="22"/>
          <w:lang w:val="fr-CA"/>
        </w:rPr>
        <w:t>toutes</w:t>
      </w:r>
      <w:r w:rsidR="001D1076" w:rsidRPr="00115221">
        <w:rPr>
          <w:rFonts w:cs="Times New Roman"/>
          <w:snapToGrid w:val="0"/>
          <w:kern w:val="22"/>
          <w:szCs w:val="22"/>
          <w:lang w:val="fr-CA"/>
        </w:rPr>
        <w:t xml:space="preserve"> les régions (GALC</w:t>
      </w:r>
      <w:r w:rsidR="00D325CD">
        <w:rPr>
          <w:rFonts w:cs="Times New Roman"/>
          <w:snapToGrid w:val="0"/>
          <w:kern w:val="22"/>
          <w:szCs w:val="22"/>
          <w:lang w:val="fr-CA"/>
        </w:rPr>
        <w:t xml:space="preserve"> : </w:t>
      </w:r>
      <w:r w:rsidR="00832D36">
        <w:rPr>
          <w:rFonts w:cs="Times New Roman"/>
          <w:snapToGrid w:val="0"/>
          <w:kern w:val="22"/>
          <w:szCs w:val="22"/>
          <w:lang w:val="fr-CA"/>
        </w:rPr>
        <w:t>+31 p. c</w:t>
      </w:r>
      <w:r w:rsidR="00652E1F">
        <w:rPr>
          <w:rFonts w:cs="Times New Roman"/>
          <w:snapToGrid w:val="0"/>
          <w:kern w:val="22"/>
          <w:szCs w:val="22"/>
          <w:lang w:val="fr-CA"/>
        </w:rPr>
        <w:t>ent; Asie-</w:t>
      </w:r>
      <w:r w:rsidR="001D1076" w:rsidRPr="00115221">
        <w:rPr>
          <w:rFonts w:cs="Times New Roman"/>
          <w:snapToGrid w:val="0"/>
          <w:kern w:val="22"/>
          <w:szCs w:val="22"/>
          <w:lang w:val="fr-CA"/>
        </w:rPr>
        <w:t>Pacifique</w:t>
      </w:r>
      <w:r w:rsidR="00D325CD">
        <w:rPr>
          <w:rFonts w:cs="Times New Roman"/>
          <w:snapToGrid w:val="0"/>
          <w:kern w:val="22"/>
          <w:szCs w:val="22"/>
          <w:lang w:val="fr-CA"/>
        </w:rPr>
        <w:t xml:space="preserve"> : </w:t>
      </w:r>
      <w:r w:rsidR="001D1076" w:rsidRPr="00115221">
        <w:rPr>
          <w:rFonts w:cs="Times New Roman"/>
          <w:snapToGrid w:val="0"/>
          <w:kern w:val="22"/>
          <w:szCs w:val="22"/>
          <w:lang w:val="fr-CA"/>
        </w:rPr>
        <w:t>+19 p. cent; EOA</w:t>
      </w:r>
      <w:r w:rsidR="00D325CD">
        <w:rPr>
          <w:rFonts w:cs="Times New Roman"/>
          <w:snapToGrid w:val="0"/>
          <w:kern w:val="22"/>
          <w:szCs w:val="22"/>
          <w:lang w:val="fr-CA"/>
        </w:rPr>
        <w:t xml:space="preserve"> : </w:t>
      </w:r>
      <w:r w:rsidR="001D1076" w:rsidRPr="00115221">
        <w:rPr>
          <w:rFonts w:cs="Times New Roman"/>
          <w:snapToGrid w:val="0"/>
          <w:kern w:val="22"/>
          <w:szCs w:val="22"/>
          <w:lang w:val="fr-CA"/>
        </w:rPr>
        <w:t>+11 p. cent; Afrique</w:t>
      </w:r>
      <w:r w:rsidR="00D325CD">
        <w:rPr>
          <w:rFonts w:cs="Times New Roman"/>
          <w:snapToGrid w:val="0"/>
          <w:kern w:val="22"/>
          <w:szCs w:val="22"/>
          <w:lang w:val="fr-CA"/>
        </w:rPr>
        <w:t xml:space="preserve"> : </w:t>
      </w:r>
      <w:r w:rsidR="001D1076" w:rsidRPr="00115221">
        <w:rPr>
          <w:rFonts w:cs="Times New Roman"/>
          <w:snapToGrid w:val="0"/>
          <w:kern w:val="22"/>
          <w:szCs w:val="22"/>
          <w:lang w:val="fr-CA"/>
        </w:rPr>
        <w:t>+7 p. cent et ECE</w:t>
      </w:r>
      <w:r w:rsidR="00D325CD">
        <w:rPr>
          <w:rFonts w:cs="Times New Roman"/>
          <w:snapToGrid w:val="0"/>
          <w:kern w:val="22"/>
          <w:szCs w:val="22"/>
          <w:lang w:val="fr-CA"/>
        </w:rPr>
        <w:t xml:space="preserve"> : </w:t>
      </w:r>
      <w:r w:rsidR="001D1076" w:rsidRPr="00115221">
        <w:rPr>
          <w:rFonts w:cs="Times New Roman"/>
          <w:snapToGrid w:val="0"/>
          <w:kern w:val="22"/>
          <w:szCs w:val="22"/>
          <w:lang w:val="fr-CA"/>
        </w:rPr>
        <w:t>+6 p. cent)</w:t>
      </w:r>
      <w:r w:rsidR="004569FB" w:rsidRPr="00115221">
        <w:rPr>
          <w:rFonts w:cs="Times New Roman"/>
          <w:snapToGrid w:val="0"/>
          <w:kern w:val="22"/>
          <w:szCs w:val="22"/>
          <w:lang w:val="fr-CA"/>
        </w:rPr>
        <w:t>.</w:t>
      </w:r>
    </w:p>
    <w:p w14:paraId="3BAB89C9" w14:textId="5F5DEF1E" w:rsidR="004569FB" w:rsidRPr="00115221" w:rsidRDefault="006B50D6"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Pr>
          <w:rFonts w:cs="Times New Roman"/>
          <w:snapToGrid w:val="0"/>
          <w:kern w:val="22"/>
          <w:szCs w:val="22"/>
          <w:lang w:val="fr-CA"/>
        </w:rPr>
        <w:t>Quatre-vingts</w:t>
      </w:r>
      <w:r w:rsidR="001D1076" w:rsidRPr="00115221">
        <w:rPr>
          <w:rFonts w:cs="Times New Roman"/>
          <w:snapToGrid w:val="0"/>
          <w:kern w:val="22"/>
          <w:szCs w:val="22"/>
          <w:lang w:val="fr-CA"/>
        </w:rPr>
        <w:t xml:space="preserve"> p. </w:t>
      </w:r>
      <w:r w:rsidR="001368F7" w:rsidRPr="00115221">
        <w:rPr>
          <w:rFonts w:cs="Times New Roman"/>
          <w:snapToGrid w:val="0"/>
          <w:kern w:val="22"/>
          <w:szCs w:val="22"/>
          <w:lang w:val="fr-CA"/>
        </w:rPr>
        <w:t>cen</w:t>
      </w:r>
      <w:r w:rsidR="001D1076" w:rsidRPr="00115221">
        <w:rPr>
          <w:rFonts w:cs="Times New Roman"/>
          <w:snapToGrid w:val="0"/>
          <w:kern w:val="22"/>
          <w:szCs w:val="22"/>
          <w:lang w:val="fr-CA"/>
        </w:rPr>
        <w:t xml:space="preserve">t des Parties (74 Parties) </w:t>
      </w:r>
      <w:r>
        <w:rPr>
          <w:rFonts w:cs="Times New Roman"/>
          <w:snapToGrid w:val="0"/>
          <w:kern w:val="22"/>
          <w:szCs w:val="22"/>
          <w:lang w:val="fr-CA"/>
        </w:rPr>
        <w:t>réglemente</w:t>
      </w:r>
      <w:r w:rsidR="001368F7" w:rsidRPr="00115221">
        <w:rPr>
          <w:rFonts w:cs="Times New Roman"/>
          <w:snapToGrid w:val="0"/>
          <w:kern w:val="22"/>
          <w:szCs w:val="22"/>
          <w:lang w:val="fr-CA"/>
        </w:rPr>
        <w:t xml:space="preserve">nt l’utilisation </w:t>
      </w:r>
      <w:r w:rsidR="004B3751" w:rsidRPr="00115221">
        <w:rPr>
          <w:rFonts w:cs="Times New Roman"/>
          <w:snapToGrid w:val="0"/>
          <w:kern w:val="22"/>
          <w:szCs w:val="22"/>
          <w:lang w:val="fr-CA"/>
        </w:rPr>
        <w:t>restreinte</w:t>
      </w:r>
      <w:r>
        <w:rPr>
          <w:rFonts w:cs="Times New Roman"/>
          <w:snapToGrid w:val="0"/>
          <w:kern w:val="22"/>
          <w:szCs w:val="22"/>
          <w:lang w:val="fr-CA"/>
        </w:rPr>
        <w:t>, une augmentation de 7 p. c</w:t>
      </w:r>
      <w:r w:rsidR="001368F7" w:rsidRPr="00115221">
        <w:rPr>
          <w:rFonts w:cs="Times New Roman"/>
          <w:snapToGrid w:val="0"/>
          <w:kern w:val="22"/>
          <w:szCs w:val="22"/>
          <w:lang w:val="fr-CA"/>
        </w:rPr>
        <w:t>ent par rapport à la valeur de référence. Des augmentations ont été déclarées en Asie</w:t>
      </w:r>
      <w:r w:rsidR="00652E1F">
        <w:rPr>
          <w:rFonts w:cs="Times New Roman"/>
          <w:snapToGrid w:val="0"/>
          <w:kern w:val="22"/>
          <w:szCs w:val="22"/>
          <w:lang w:val="fr-CA"/>
        </w:rPr>
        <w:t>-</w:t>
      </w:r>
      <w:r w:rsidR="001368F7" w:rsidRPr="00115221">
        <w:rPr>
          <w:rFonts w:cs="Times New Roman"/>
          <w:snapToGrid w:val="0"/>
          <w:kern w:val="22"/>
          <w:szCs w:val="22"/>
          <w:lang w:val="fr-CA"/>
        </w:rPr>
        <w:t>Pacifique (+19 p. cent), en ECE (+13 p. cent) et pour le GALC (+7 p. cent), tandis qu’aucun</w:t>
      </w:r>
      <w:r>
        <w:rPr>
          <w:rFonts w:cs="Times New Roman"/>
          <w:snapToGrid w:val="0"/>
          <w:kern w:val="22"/>
          <w:szCs w:val="22"/>
          <w:lang w:val="fr-CA"/>
        </w:rPr>
        <w:t>e</w:t>
      </w:r>
      <w:r w:rsidR="001368F7" w:rsidRPr="00115221">
        <w:rPr>
          <w:rFonts w:cs="Times New Roman"/>
          <w:snapToGrid w:val="0"/>
          <w:kern w:val="22"/>
          <w:szCs w:val="22"/>
          <w:lang w:val="fr-CA"/>
        </w:rPr>
        <w:t xml:space="preserve"> </w:t>
      </w:r>
      <w:r>
        <w:rPr>
          <w:rFonts w:cs="Times New Roman"/>
          <w:snapToGrid w:val="0"/>
          <w:kern w:val="22"/>
          <w:szCs w:val="22"/>
          <w:lang w:val="fr-CA"/>
        </w:rPr>
        <w:t>différence</w:t>
      </w:r>
      <w:r w:rsidR="001368F7" w:rsidRPr="00115221">
        <w:rPr>
          <w:rFonts w:cs="Times New Roman"/>
          <w:snapToGrid w:val="0"/>
          <w:kern w:val="22"/>
          <w:szCs w:val="22"/>
          <w:lang w:val="fr-CA"/>
        </w:rPr>
        <w:t xml:space="preserve"> par rapport à la valeur de référence n’a été déclaré</w:t>
      </w:r>
      <w:r>
        <w:rPr>
          <w:rFonts w:cs="Times New Roman"/>
          <w:snapToGrid w:val="0"/>
          <w:kern w:val="22"/>
          <w:szCs w:val="22"/>
          <w:lang w:val="fr-CA"/>
        </w:rPr>
        <w:t>e</w:t>
      </w:r>
      <w:r w:rsidR="001368F7" w:rsidRPr="00115221">
        <w:rPr>
          <w:rFonts w:cs="Times New Roman"/>
          <w:snapToGrid w:val="0"/>
          <w:kern w:val="22"/>
          <w:szCs w:val="22"/>
          <w:lang w:val="fr-CA"/>
        </w:rPr>
        <w:t xml:space="preserve"> pour l’Afrique et l’EOA</w:t>
      </w:r>
      <w:r w:rsidR="004569FB" w:rsidRPr="00115221">
        <w:rPr>
          <w:rFonts w:cs="Times New Roman"/>
          <w:snapToGrid w:val="0"/>
          <w:kern w:val="22"/>
          <w:szCs w:val="22"/>
          <w:lang w:val="fr-CA"/>
        </w:rPr>
        <w:t xml:space="preserve">. </w:t>
      </w:r>
    </w:p>
    <w:p w14:paraId="0FA41024" w14:textId="3DF8C5F9" w:rsidR="004569FB" w:rsidRPr="00115221" w:rsidRDefault="00A70F3F"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Par ailleurs</w:t>
      </w:r>
      <w:r w:rsidR="001368F7" w:rsidRPr="00115221">
        <w:rPr>
          <w:rFonts w:cs="Times New Roman"/>
          <w:snapToGrid w:val="0"/>
          <w:kern w:val="22"/>
          <w:szCs w:val="22"/>
          <w:lang w:val="fr-CA"/>
        </w:rPr>
        <w:t xml:space="preserve">, 66 p. cent des Parties (61 Parties) ont déclaré </w:t>
      </w:r>
      <w:r w:rsidR="00EC3A15" w:rsidRPr="00115221">
        <w:rPr>
          <w:rFonts w:cs="Times New Roman"/>
          <w:snapToGrid w:val="0"/>
          <w:kern w:val="22"/>
          <w:szCs w:val="22"/>
          <w:lang w:val="fr-CA"/>
        </w:rPr>
        <w:t xml:space="preserve">que leur cadre national contient des </w:t>
      </w:r>
      <w:r w:rsidR="001368F7" w:rsidRPr="00115221">
        <w:rPr>
          <w:rFonts w:cs="Times New Roman"/>
          <w:snapToGrid w:val="0"/>
          <w:kern w:val="22"/>
          <w:szCs w:val="22"/>
          <w:lang w:val="fr-CA"/>
        </w:rPr>
        <w:t>exigences légale</w:t>
      </w:r>
      <w:r w:rsidR="00EC3A15" w:rsidRPr="00115221">
        <w:rPr>
          <w:rFonts w:cs="Times New Roman"/>
          <w:snapToGrid w:val="0"/>
          <w:kern w:val="22"/>
          <w:szCs w:val="22"/>
          <w:lang w:val="fr-CA"/>
        </w:rPr>
        <w:t>s</w:t>
      </w:r>
      <w:r w:rsidR="001368F7" w:rsidRPr="00115221">
        <w:rPr>
          <w:rFonts w:cs="Times New Roman"/>
          <w:snapToGrid w:val="0"/>
          <w:kern w:val="22"/>
          <w:szCs w:val="22"/>
          <w:lang w:val="fr-CA"/>
        </w:rPr>
        <w:t xml:space="preserve"> </w:t>
      </w:r>
      <w:r w:rsidRPr="00115221">
        <w:rPr>
          <w:rFonts w:cs="Times New Roman"/>
          <w:snapToGrid w:val="0"/>
          <w:kern w:val="22"/>
          <w:szCs w:val="22"/>
          <w:lang w:val="fr-CA"/>
        </w:rPr>
        <w:t>à l’intention d</w:t>
      </w:r>
      <w:r w:rsidR="00EC3A15" w:rsidRPr="00115221">
        <w:rPr>
          <w:rFonts w:cs="Times New Roman"/>
          <w:snapToGrid w:val="0"/>
          <w:kern w:val="22"/>
          <w:szCs w:val="22"/>
          <w:lang w:val="fr-CA"/>
        </w:rPr>
        <w:t>es exportateurs</w:t>
      </w:r>
      <w:r w:rsidRPr="00115221">
        <w:rPr>
          <w:rFonts w:cs="Times New Roman"/>
          <w:snapToGrid w:val="0"/>
          <w:kern w:val="22"/>
          <w:szCs w:val="22"/>
          <w:lang w:val="fr-CA"/>
        </w:rPr>
        <w:t>,</w:t>
      </w:r>
      <w:r w:rsidR="00EC3A15" w:rsidRPr="00115221">
        <w:rPr>
          <w:rFonts w:cs="Times New Roman"/>
          <w:snapToGrid w:val="0"/>
          <w:kern w:val="22"/>
          <w:szCs w:val="22"/>
          <w:lang w:val="fr-CA"/>
        </w:rPr>
        <w:t xml:space="preserve"> les obligeant à informer par écrit l’autorité nationale compétente de la Partie importatrice avant les mouvements transfrontière intentionnels des OVM </w:t>
      </w:r>
      <w:r w:rsidRPr="00115221">
        <w:rPr>
          <w:rFonts w:cs="Times New Roman"/>
          <w:snapToGrid w:val="0"/>
          <w:kern w:val="22"/>
          <w:szCs w:val="22"/>
          <w:lang w:val="fr-CA"/>
        </w:rPr>
        <w:t>visés par</w:t>
      </w:r>
      <w:r w:rsidR="00EC3A15" w:rsidRPr="00115221">
        <w:rPr>
          <w:rFonts w:cs="Times New Roman"/>
          <w:snapToGrid w:val="0"/>
          <w:kern w:val="22"/>
          <w:szCs w:val="22"/>
          <w:lang w:val="fr-CA"/>
        </w:rPr>
        <w:t xml:space="preserve"> la procédure de consentement préalable donné en connaissance de cause, une augmentation de 5 p. cent par rapport à la valeur de référence. </w:t>
      </w:r>
      <w:r w:rsidRPr="00115221">
        <w:rPr>
          <w:rFonts w:cs="Times New Roman"/>
          <w:snapToGrid w:val="0"/>
          <w:kern w:val="22"/>
          <w:szCs w:val="22"/>
          <w:lang w:val="fr-CA"/>
        </w:rPr>
        <w:t xml:space="preserve">De plus, 10 p. cent des Parties (9 Parties) ont indiqué avoir mis en place de telles </w:t>
      </w:r>
      <w:r w:rsidR="00410688">
        <w:rPr>
          <w:rFonts w:cs="Times New Roman"/>
          <w:snapToGrid w:val="0"/>
          <w:kern w:val="22"/>
          <w:szCs w:val="22"/>
          <w:lang w:val="fr-CA"/>
        </w:rPr>
        <w:t>exigences</w:t>
      </w:r>
      <w:r w:rsidRPr="00115221">
        <w:rPr>
          <w:rFonts w:cs="Times New Roman"/>
          <w:snapToGrid w:val="0"/>
          <w:kern w:val="22"/>
          <w:szCs w:val="22"/>
          <w:lang w:val="fr-CA"/>
        </w:rPr>
        <w:t xml:space="preserve"> pour les exportateurs, </w:t>
      </w:r>
      <w:r w:rsidR="006B50D6">
        <w:rPr>
          <w:rFonts w:cs="Times New Roman"/>
          <w:snapToGrid w:val="0"/>
          <w:kern w:val="22"/>
          <w:szCs w:val="22"/>
          <w:lang w:val="fr-CA"/>
        </w:rPr>
        <w:t>dans une certaine mesure</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18"/>
      </w:r>
      <w:r w:rsidR="004569FB" w:rsidRPr="00115221">
        <w:rPr>
          <w:rFonts w:cs="Times New Roman"/>
          <w:snapToGrid w:val="0"/>
          <w:kern w:val="22"/>
          <w:szCs w:val="22"/>
          <w:lang w:val="fr-CA"/>
        </w:rPr>
        <w:t xml:space="preserve"> </w:t>
      </w:r>
      <w:r w:rsidR="008064EE" w:rsidRPr="00115221">
        <w:rPr>
          <w:rFonts w:cs="Times New Roman"/>
          <w:snapToGrid w:val="0"/>
          <w:kern w:val="22"/>
          <w:szCs w:val="22"/>
          <w:lang w:val="fr-CA"/>
        </w:rPr>
        <w:t>Au total, 76 p. cent des Parties ont déclaré avoir mis en place de telles exigences légales, une augmentation de 14 p. cent</w:t>
      </w:r>
      <w:r w:rsidR="00303635" w:rsidRPr="00115221">
        <w:rPr>
          <w:rStyle w:val="FootnoteReference"/>
          <w:rFonts w:cs="Times New Roman"/>
          <w:snapToGrid w:val="0"/>
          <w:kern w:val="22"/>
          <w:szCs w:val="22"/>
          <w:lang w:val="fr-CA"/>
        </w:rPr>
        <w:footnoteReference w:id="19"/>
      </w:r>
      <w:r w:rsidR="004569FB" w:rsidRPr="00115221">
        <w:rPr>
          <w:rFonts w:cs="Times New Roman"/>
          <w:snapToGrid w:val="0"/>
          <w:kern w:val="22"/>
          <w:szCs w:val="22"/>
          <w:lang w:val="fr-CA"/>
        </w:rPr>
        <w:t xml:space="preserve"> </w:t>
      </w:r>
      <w:r w:rsidR="008064EE" w:rsidRPr="00115221">
        <w:rPr>
          <w:rFonts w:cs="Times New Roman"/>
          <w:snapToGrid w:val="0"/>
          <w:kern w:val="22"/>
          <w:szCs w:val="22"/>
          <w:lang w:val="fr-CA"/>
        </w:rPr>
        <w:t>par rapport à la v</w:t>
      </w:r>
      <w:r w:rsidR="00A557EC" w:rsidRPr="00115221">
        <w:rPr>
          <w:rFonts w:cs="Times New Roman"/>
          <w:snapToGrid w:val="0"/>
          <w:kern w:val="22"/>
          <w:szCs w:val="22"/>
          <w:lang w:val="fr-CA"/>
        </w:rPr>
        <w:t>a</w:t>
      </w:r>
      <w:r w:rsidR="008064EE" w:rsidRPr="00115221">
        <w:rPr>
          <w:rFonts w:cs="Times New Roman"/>
          <w:snapToGrid w:val="0"/>
          <w:kern w:val="22"/>
          <w:szCs w:val="22"/>
          <w:lang w:val="fr-CA"/>
        </w:rPr>
        <w:t xml:space="preserve">leur de référence (comprenant les </w:t>
      </w:r>
      <w:r w:rsidR="00264149" w:rsidRPr="00115221">
        <w:rPr>
          <w:rFonts w:cs="Times New Roman"/>
          <w:snapToGrid w:val="0"/>
          <w:kern w:val="22"/>
          <w:szCs w:val="22"/>
          <w:lang w:val="fr-CA"/>
        </w:rPr>
        <w:t>différences régionales suivantes</w:t>
      </w:r>
      <w:r w:rsidR="008064EE" w:rsidRPr="00115221">
        <w:rPr>
          <w:rFonts w:cs="Times New Roman"/>
          <w:snapToGrid w:val="0"/>
          <w:kern w:val="22"/>
          <w:szCs w:val="22"/>
          <w:lang w:val="fr-CA"/>
        </w:rPr>
        <w:t> : Asie</w:t>
      </w:r>
      <w:r w:rsidR="00652E1F">
        <w:rPr>
          <w:rFonts w:cs="Times New Roman"/>
          <w:snapToGrid w:val="0"/>
          <w:kern w:val="22"/>
          <w:szCs w:val="22"/>
          <w:lang w:val="fr-CA"/>
        </w:rPr>
        <w:t>-</w:t>
      </w:r>
      <w:r w:rsidR="008064EE" w:rsidRPr="00115221">
        <w:rPr>
          <w:rFonts w:cs="Times New Roman"/>
          <w:snapToGrid w:val="0"/>
          <w:kern w:val="22"/>
          <w:szCs w:val="22"/>
          <w:lang w:val="fr-CA"/>
        </w:rPr>
        <w:t>Pacifique</w:t>
      </w:r>
      <w:r w:rsidR="00D20BD5">
        <w:rPr>
          <w:rFonts w:cs="Times New Roman"/>
          <w:snapToGrid w:val="0"/>
          <w:kern w:val="22"/>
          <w:szCs w:val="22"/>
          <w:lang w:val="fr-CA"/>
        </w:rPr>
        <w:t> :</w:t>
      </w:r>
      <w:r w:rsidR="008064EE" w:rsidRPr="00115221">
        <w:rPr>
          <w:rFonts w:cs="Times New Roman"/>
          <w:snapToGrid w:val="0"/>
          <w:kern w:val="22"/>
          <w:szCs w:val="22"/>
          <w:lang w:val="fr-CA"/>
        </w:rPr>
        <w:t xml:space="preserve"> +38 p. cent; </w:t>
      </w:r>
      <w:r w:rsidR="00410688">
        <w:rPr>
          <w:rFonts w:cs="Times New Roman"/>
          <w:snapToGrid w:val="0"/>
          <w:kern w:val="22"/>
          <w:szCs w:val="22"/>
          <w:lang w:val="fr-CA"/>
        </w:rPr>
        <w:t>GALC</w:t>
      </w:r>
      <w:r w:rsidR="00D20BD5">
        <w:rPr>
          <w:rFonts w:cs="Times New Roman"/>
          <w:snapToGrid w:val="0"/>
          <w:kern w:val="22"/>
          <w:szCs w:val="22"/>
          <w:lang w:val="fr-CA"/>
        </w:rPr>
        <w:t xml:space="preserve"> : </w:t>
      </w:r>
      <w:r w:rsidR="008064EE" w:rsidRPr="00115221">
        <w:rPr>
          <w:rFonts w:cs="Times New Roman"/>
          <w:snapToGrid w:val="0"/>
          <w:kern w:val="22"/>
          <w:szCs w:val="22"/>
          <w:lang w:val="fr-CA"/>
        </w:rPr>
        <w:t>+31 p. cent; Afrique</w:t>
      </w:r>
      <w:r w:rsidR="00D20BD5">
        <w:rPr>
          <w:rFonts w:cs="Times New Roman"/>
          <w:snapToGrid w:val="0"/>
          <w:kern w:val="22"/>
          <w:szCs w:val="22"/>
          <w:lang w:val="fr-CA"/>
        </w:rPr>
        <w:t xml:space="preserve"> : </w:t>
      </w:r>
      <w:r w:rsidR="008064EE" w:rsidRPr="00115221">
        <w:rPr>
          <w:rFonts w:cs="Times New Roman"/>
          <w:snapToGrid w:val="0"/>
          <w:kern w:val="22"/>
          <w:szCs w:val="22"/>
          <w:lang w:val="fr-CA"/>
        </w:rPr>
        <w:t>+7 p. cent; EOA</w:t>
      </w:r>
      <w:r w:rsidR="00D20BD5">
        <w:rPr>
          <w:rFonts w:cs="Times New Roman"/>
          <w:snapToGrid w:val="0"/>
          <w:kern w:val="22"/>
          <w:szCs w:val="22"/>
          <w:lang w:val="fr-CA"/>
        </w:rPr>
        <w:t xml:space="preserve"> : </w:t>
      </w:r>
      <w:r w:rsidR="008064EE" w:rsidRPr="00115221">
        <w:rPr>
          <w:rFonts w:cs="Times New Roman"/>
          <w:snapToGrid w:val="0"/>
          <w:kern w:val="22"/>
          <w:szCs w:val="22"/>
          <w:lang w:val="fr-CA"/>
        </w:rPr>
        <w:t>+6 p. cent et aucun</w:t>
      </w:r>
      <w:r w:rsidR="00410688">
        <w:rPr>
          <w:rFonts w:cs="Times New Roman"/>
          <w:snapToGrid w:val="0"/>
          <w:kern w:val="22"/>
          <w:szCs w:val="22"/>
          <w:lang w:val="fr-CA"/>
        </w:rPr>
        <w:t>e</w:t>
      </w:r>
      <w:r w:rsidR="008064EE" w:rsidRPr="00115221">
        <w:rPr>
          <w:rFonts w:cs="Times New Roman"/>
          <w:snapToGrid w:val="0"/>
          <w:kern w:val="22"/>
          <w:szCs w:val="22"/>
          <w:lang w:val="fr-CA"/>
        </w:rPr>
        <w:t xml:space="preserve"> </w:t>
      </w:r>
      <w:r w:rsidR="00410688">
        <w:rPr>
          <w:rFonts w:cs="Times New Roman"/>
          <w:snapToGrid w:val="0"/>
          <w:kern w:val="22"/>
          <w:szCs w:val="22"/>
          <w:lang w:val="fr-CA"/>
        </w:rPr>
        <w:t>différence</w:t>
      </w:r>
      <w:r w:rsidR="008064EE" w:rsidRPr="00115221">
        <w:rPr>
          <w:rFonts w:cs="Times New Roman"/>
          <w:snapToGrid w:val="0"/>
          <w:kern w:val="22"/>
          <w:szCs w:val="22"/>
          <w:lang w:val="fr-CA"/>
        </w:rPr>
        <w:t xml:space="preserve"> par rapport à la valeur de référence pour l’ECE)</w:t>
      </w:r>
      <w:r w:rsidR="00410688">
        <w:rPr>
          <w:rFonts w:cs="Times New Roman"/>
          <w:snapToGrid w:val="0"/>
          <w:kern w:val="22"/>
          <w:szCs w:val="22"/>
          <w:lang w:val="fr-CA"/>
        </w:rPr>
        <w:t>.</w:t>
      </w:r>
      <w:r w:rsidR="008064EE" w:rsidRPr="00115221">
        <w:rPr>
          <w:rFonts w:cs="Times New Roman"/>
          <w:snapToGrid w:val="0"/>
          <w:kern w:val="22"/>
          <w:szCs w:val="22"/>
          <w:lang w:val="fr-CA"/>
        </w:rPr>
        <w:t xml:space="preserve"> </w:t>
      </w:r>
      <w:r w:rsidR="00410688">
        <w:rPr>
          <w:rFonts w:cs="Times New Roman"/>
          <w:snapToGrid w:val="0"/>
          <w:kern w:val="22"/>
          <w:szCs w:val="22"/>
          <w:lang w:val="fr-CA"/>
        </w:rPr>
        <w:t>Vingt-cinq</w:t>
      </w:r>
      <w:r w:rsidR="008064EE" w:rsidRPr="00115221">
        <w:rPr>
          <w:rFonts w:cs="Times New Roman"/>
          <w:snapToGrid w:val="0"/>
          <w:kern w:val="22"/>
          <w:szCs w:val="22"/>
          <w:lang w:val="fr-CA"/>
        </w:rPr>
        <w:t xml:space="preserve"> p. cent des Parties (23 Parties) ont déclaré n’avoir </w:t>
      </w:r>
      <w:r w:rsidR="00FF0AE0">
        <w:rPr>
          <w:rFonts w:cs="Times New Roman"/>
          <w:snapToGrid w:val="0"/>
          <w:kern w:val="22"/>
          <w:szCs w:val="22"/>
          <w:lang w:val="fr-CA"/>
        </w:rPr>
        <w:t xml:space="preserve">aucune </w:t>
      </w:r>
      <w:r w:rsidR="008064EE" w:rsidRPr="00115221">
        <w:rPr>
          <w:rFonts w:cs="Times New Roman"/>
          <w:snapToGrid w:val="0"/>
          <w:kern w:val="22"/>
          <w:szCs w:val="22"/>
          <w:lang w:val="fr-CA"/>
        </w:rPr>
        <w:t>mesure légale de ce genre, une diminution de 14 p. cent</w:t>
      </w:r>
      <w:r w:rsidR="004569FB" w:rsidRPr="00115221">
        <w:rPr>
          <w:rFonts w:cs="Times New Roman"/>
          <w:snapToGrid w:val="0"/>
          <w:kern w:val="22"/>
          <w:szCs w:val="22"/>
          <w:lang w:val="fr-CA"/>
        </w:rPr>
        <w:t>.</w:t>
      </w:r>
    </w:p>
    <w:p w14:paraId="240BE688" w14:textId="63248FB2" w:rsidR="004569FB" w:rsidRPr="00115221" w:rsidRDefault="00A557EC"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1.1.3</w:t>
      </w:r>
      <w:r w:rsidRPr="00115221">
        <w:rPr>
          <w:rFonts w:cs="Times New Roman"/>
          <w:snapToGrid w:val="0"/>
          <w:kern w:val="22"/>
          <w:szCs w:val="22"/>
          <w:lang w:val="fr-CA"/>
        </w:rPr>
        <w:t xml:space="preserve"> (pourcentage des Parties ayant désigné des correspondants nationaux et des autorités nationales compétentes</w:t>
      </w:r>
      <w:r w:rsidR="00122860" w:rsidRPr="00115221">
        <w:rPr>
          <w:rFonts w:cs="Times New Roman"/>
          <w:snapToGrid w:val="0"/>
          <w:kern w:val="22"/>
          <w:szCs w:val="22"/>
          <w:lang w:val="fr-CA"/>
        </w:rPr>
        <w:t>)</w:t>
      </w:r>
      <w:r w:rsidRPr="00115221">
        <w:rPr>
          <w:rFonts w:cs="Times New Roman"/>
          <w:snapToGrid w:val="0"/>
          <w:kern w:val="22"/>
          <w:szCs w:val="22"/>
          <w:lang w:val="fr-CA"/>
        </w:rPr>
        <w:t xml:space="preserve">, 98 p. cent </w:t>
      </w:r>
      <w:r w:rsidR="00FF0AE0">
        <w:rPr>
          <w:rFonts w:cs="Times New Roman"/>
          <w:snapToGrid w:val="0"/>
          <w:kern w:val="22"/>
          <w:szCs w:val="22"/>
          <w:lang w:val="fr-CA"/>
        </w:rPr>
        <w:t>d</w:t>
      </w:r>
      <w:r w:rsidRPr="00115221">
        <w:rPr>
          <w:rFonts w:cs="Times New Roman"/>
          <w:snapToGrid w:val="0"/>
          <w:kern w:val="22"/>
          <w:szCs w:val="22"/>
          <w:lang w:val="fr-CA"/>
        </w:rPr>
        <w:t>es Parties au Protocole (</w:t>
      </w:r>
      <w:r w:rsidR="00FF0AE0">
        <w:rPr>
          <w:rFonts w:cs="Times New Roman"/>
          <w:snapToGrid w:val="0"/>
          <w:kern w:val="22"/>
          <w:szCs w:val="22"/>
          <w:lang w:val="fr-CA"/>
        </w:rPr>
        <w:t>1</w:t>
      </w:r>
      <w:r w:rsidRPr="00115221">
        <w:rPr>
          <w:rFonts w:cs="Times New Roman"/>
          <w:snapToGrid w:val="0"/>
          <w:kern w:val="22"/>
          <w:szCs w:val="22"/>
          <w:lang w:val="fr-CA"/>
        </w:rPr>
        <w:t>68 des 171 Parties) ont désigné leur correspondant nati</w:t>
      </w:r>
      <w:r w:rsidR="00AA64F2" w:rsidRPr="00115221">
        <w:rPr>
          <w:rFonts w:cs="Times New Roman"/>
          <w:snapToGrid w:val="0"/>
          <w:kern w:val="22"/>
          <w:szCs w:val="22"/>
          <w:lang w:val="fr-CA"/>
        </w:rPr>
        <w:t>onal du Protocole de Cartagena, ce qui</w:t>
      </w:r>
      <w:r w:rsidR="00FF0AE0">
        <w:rPr>
          <w:rFonts w:cs="Times New Roman"/>
          <w:snapToGrid w:val="0"/>
          <w:kern w:val="22"/>
          <w:szCs w:val="22"/>
          <w:lang w:val="fr-CA"/>
        </w:rPr>
        <w:t xml:space="preserve"> représente une diminution de 1 p. </w:t>
      </w:r>
      <w:r w:rsidR="00AA64F2" w:rsidRPr="00115221">
        <w:rPr>
          <w:rFonts w:cs="Times New Roman"/>
          <w:snapToGrid w:val="0"/>
          <w:kern w:val="22"/>
          <w:szCs w:val="22"/>
          <w:lang w:val="fr-CA"/>
        </w:rPr>
        <w:t xml:space="preserve">cent par rapport à la valeur </w:t>
      </w:r>
      <w:r w:rsidR="00FF0AE0">
        <w:rPr>
          <w:rFonts w:cs="Times New Roman"/>
          <w:snapToGrid w:val="0"/>
          <w:kern w:val="22"/>
          <w:szCs w:val="22"/>
          <w:lang w:val="fr-CA"/>
        </w:rPr>
        <w:t>de référence</w:t>
      </w:r>
      <w:r w:rsidR="00AA64F2" w:rsidRPr="00115221">
        <w:rPr>
          <w:rFonts w:cs="Times New Roman"/>
          <w:snapToGrid w:val="0"/>
          <w:kern w:val="22"/>
          <w:szCs w:val="22"/>
          <w:lang w:val="fr-CA"/>
        </w:rPr>
        <w:t xml:space="preserve"> de 99 p. cent (159 des 161 Parties, à l’époque). </w:t>
      </w:r>
      <w:r w:rsidR="00FF0AE0">
        <w:rPr>
          <w:rFonts w:cs="Times New Roman"/>
          <w:snapToGrid w:val="0"/>
          <w:kern w:val="22"/>
          <w:szCs w:val="22"/>
          <w:lang w:val="fr-CA"/>
        </w:rPr>
        <w:t>Quatre-vingt-dix-neuf</w:t>
      </w:r>
      <w:r w:rsidR="00AA64F2" w:rsidRPr="00115221">
        <w:rPr>
          <w:rFonts w:cs="Times New Roman"/>
          <w:snapToGrid w:val="0"/>
          <w:kern w:val="22"/>
          <w:szCs w:val="22"/>
          <w:lang w:val="fr-CA"/>
        </w:rPr>
        <w:t xml:space="preserve"> p. cent des Parties </w:t>
      </w:r>
      <w:r w:rsidR="00FF0AE0">
        <w:rPr>
          <w:rFonts w:cs="Times New Roman"/>
          <w:snapToGrid w:val="0"/>
          <w:kern w:val="22"/>
          <w:szCs w:val="22"/>
          <w:lang w:val="fr-CA"/>
        </w:rPr>
        <w:t xml:space="preserve">au Protocole </w:t>
      </w:r>
      <w:r w:rsidR="00AA64F2" w:rsidRPr="00115221">
        <w:rPr>
          <w:rFonts w:cs="Times New Roman"/>
          <w:snapToGrid w:val="0"/>
          <w:kern w:val="22"/>
          <w:szCs w:val="22"/>
          <w:lang w:val="fr-CA"/>
        </w:rPr>
        <w:t xml:space="preserve">ont désigné leur correspondant national du </w:t>
      </w:r>
      <w:r w:rsidR="00B6412A">
        <w:rPr>
          <w:rFonts w:cs="Times New Roman"/>
          <w:snapToGrid w:val="0"/>
          <w:kern w:val="22"/>
          <w:szCs w:val="22"/>
          <w:lang w:val="fr-CA"/>
        </w:rPr>
        <w:t>centre d’échange</w:t>
      </w:r>
      <w:r w:rsidR="00AA64F2" w:rsidRPr="00115221">
        <w:rPr>
          <w:rFonts w:cs="Times New Roman"/>
          <w:snapToGrid w:val="0"/>
          <w:kern w:val="22"/>
          <w:szCs w:val="22"/>
          <w:lang w:val="fr-CA"/>
        </w:rPr>
        <w:t xml:space="preserve"> sur la prévention des risques biotechnologiques, ce qui ne représente aucun</w:t>
      </w:r>
      <w:r w:rsidR="00FF0AE0">
        <w:rPr>
          <w:rFonts w:cs="Times New Roman"/>
          <w:snapToGrid w:val="0"/>
          <w:kern w:val="22"/>
          <w:szCs w:val="22"/>
          <w:lang w:val="fr-CA"/>
        </w:rPr>
        <w:t>e</w:t>
      </w:r>
      <w:r w:rsidR="00AA64F2" w:rsidRPr="00115221">
        <w:rPr>
          <w:rFonts w:cs="Times New Roman"/>
          <w:snapToGrid w:val="0"/>
          <w:kern w:val="22"/>
          <w:szCs w:val="22"/>
          <w:lang w:val="fr-CA"/>
        </w:rPr>
        <w:t xml:space="preserve"> </w:t>
      </w:r>
      <w:r w:rsidR="00FF0AE0">
        <w:rPr>
          <w:rFonts w:cs="Times New Roman"/>
          <w:snapToGrid w:val="0"/>
          <w:kern w:val="22"/>
          <w:szCs w:val="22"/>
          <w:lang w:val="fr-CA"/>
        </w:rPr>
        <w:t>différence</w:t>
      </w:r>
      <w:r w:rsidR="00AA64F2" w:rsidRPr="00115221">
        <w:rPr>
          <w:rFonts w:cs="Times New Roman"/>
          <w:snapToGrid w:val="0"/>
          <w:kern w:val="22"/>
          <w:szCs w:val="22"/>
          <w:lang w:val="fr-CA"/>
        </w:rPr>
        <w:t xml:space="preserve"> par ra</w:t>
      </w:r>
      <w:r w:rsidR="00CC3467" w:rsidRPr="00115221">
        <w:rPr>
          <w:rFonts w:cs="Times New Roman"/>
          <w:snapToGrid w:val="0"/>
          <w:kern w:val="22"/>
          <w:szCs w:val="22"/>
          <w:lang w:val="fr-CA"/>
        </w:rPr>
        <w:t>p</w:t>
      </w:r>
      <w:r w:rsidR="00AA64F2" w:rsidRPr="00115221">
        <w:rPr>
          <w:rFonts w:cs="Times New Roman"/>
          <w:snapToGrid w:val="0"/>
          <w:kern w:val="22"/>
          <w:szCs w:val="22"/>
          <w:lang w:val="fr-CA"/>
        </w:rPr>
        <w:t xml:space="preserve">port à la valeur </w:t>
      </w:r>
      <w:r w:rsidR="00986CB1" w:rsidRPr="00115221">
        <w:rPr>
          <w:rFonts w:cs="Times New Roman"/>
          <w:snapToGrid w:val="0"/>
          <w:kern w:val="22"/>
          <w:szCs w:val="22"/>
          <w:lang w:val="fr-CA"/>
        </w:rPr>
        <w:t>de référence</w:t>
      </w:r>
      <w:r w:rsidR="00AA64F2" w:rsidRPr="00115221">
        <w:rPr>
          <w:rFonts w:cs="Times New Roman"/>
          <w:snapToGrid w:val="0"/>
          <w:kern w:val="22"/>
          <w:szCs w:val="22"/>
          <w:lang w:val="fr-CA"/>
        </w:rPr>
        <w:t xml:space="preserve"> de 99 p. cent (160 des 161 Parties, à l’époque). Quatre-vingt-neuf p. </w:t>
      </w:r>
      <w:r w:rsidR="00FF0AE0">
        <w:rPr>
          <w:rFonts w:cs="Times New Roman"/>
          <w:snapToGrid w:val="0"/>
          <w:kern w:val="22"/>
          <w:szCs w:val="22"/>
          <w:lang w:val="fr-CA"/>
        </w:rPr>
        <w:t xml:space="preserve">cent </w:t>
      </w:r>
      <w:r w:rsidR="00AA64F2" w:rsidRPr="00115221">
        <w:rPr>
          <w:rFonts w:cs="Times New Roman"/>
          <w:snapToGrid w:val="0"/>
          <w:kern w:val="22"/>
          <w:szCs w:val="22"/>
          <w:lang w:val="fr-CA"/>
        </w:rPr>
        <w:t xml:space="preserve">de </w:t>
      </w:r>
      <w:r w:rsidR="00CC3467" w:rsidRPr="00115221">
        <w:rPr>
          <w:rFonts w:cs="Times New Roman"/>
          <w:snapToGrid w:val="0"/>
          <w:kern w:val="22"/>
          <w:szCs w:val="22"/>
          <w:lang w:val="fr-CA"/>
        </w:rPr>
        <w:t>toutes</w:t>
      </w:r>
      <w:r w:rsidR="00AA64F2" w:rsidRPr="00115221">
        <w:rPr>
          <w:rFonts w:cs="Times New Roman"/>
          <w:snapToGrid w:val="0"/>
          <w:kern w:val="22"/>
          <w:szCs w:val="22"/>
          <w:lang w:val="fr-CA"/>
        </w:rPr>
        <w:t xml:space="preserve"> les Parties au Protocole (152 Parties) ont désigné une ou plusieurs autorités nationales compétentes, </w:t>
      </w:r>
      <w:r w:rsidR="00CC3467" w:rsidRPr="00115221">
        <w:rPr>
          <w:rFonts w:cs="Times New Roman"/>
          <w:snapToGrid w:val="0"/>
          <w:kern w:val="22"/>
          <w:szCs w:val="22"/>
          <w:lang w:val="fr-CA"/>
        </w:rPr>
        <w:t>ce qui représente une augmentati</w:t>
      </w:r>
      <w:r w:rsidR="00AA64F2" w:rsidRPr="00115221">
        <w:rPr>
          <w:rFonts w:cs="Times New Roman"/>
          <w:snapToGrid w:val="0"/>
          <w:kern w:val="22"/>
          <w:szCs w:val="22"/>
          <w:lang w:val="fr-CA"/>
        </w:rPr>
        <w:t>on de 1 p. cent par rap</w:t>
      </w:r>
      <w:r w:rsidR="00CC3467" w:rsidRPr="00115221">
        <w:rPr>
          <w:rFonts w:cs="Times New Roman"/>
          <w:snapToGrid w:val="0"/>
          <w:kern w:val="22"/>
          <w:szCs w:val="22"/>
          <w:lang w:val="fr-CA"/>
        </w:rPr>
        <w:t>p</w:t>
      </w:r>
      <w:r w:rsidR="00AA64F2" w:rsidRPr="00115221">
        <w:rPr>
          <w:rFonts w:cs="Times New Roman"/>
          <w:snapToGrid w:val="0"/>
          <w:kern w:val="22"/>
          <w:szCs w:val="22"/>
          <w:lang w:val="fr-CA"/>
        </w:rPr>
        <w:t xml:space="preserve">ort </w:t>
      </w:r>
      <w:r w:rsidR="00CC3467" w:rsidRPr="00115221">
        <w:rPr>
          <w:rFonts w:cs="Times New Roman"/>
          <w:snapToGrid w:val="0"/>
          <w:kern w:val="22"/>
          <w:szCs w:val="22"/>
          <w:lang w:val="fr-CA"/>
        </w:rPr>
        <w:t xml:space="preserve">à la valeur </w:t>
      </w:r>
      <w:r w:rsidR="00FF0AE0">
        <w:rPr>
          <w:rFonts w:cs="Times New Roman"/>
          <w:snapToGrid w:val="0"/>
          <w:kern w:val="22"/>
          <w:szCs w:val="22"/>
          <w:lang w:val="fr-CA"/>
        </w:rPr>
        <w:t xml:space="preserve">de référence </w:t>
      </w:r>
      <w:r w:rsidR="00CC3467" w:rsidRPr="00115221">
        <w:rPr>
          <w:rFonts w:cs="Times New Roman"/>
          <w:snapToGrid w:val="0"/>
          <w:kern w:val="22"/>
          <w:szCs w:val="22"/>
          <w:lang w:val="fr-CA"/>
        </w:rPr>
        <w:t>de 88 p. cent (142 des 161</w:t>
      </w:r>
      <w:r w:rsidR="00FF0AE0">
        <w:rPr>
          <w:rFonts w:cs="Times New Roman"/>
          <w:snapToGrid w:val="0"/>
          <w:kern w:val="22"/>
          <w:szCs w:val="22"/>
          <w:lang w:val="fr-CA"/>
        </w:rPr>
        <w:t xml:space="preserve"> </w:t>
      </w:r>
      <w:r w:rsidR="00CC3467" w:rsidRPr="00115221">
        <w:rPr>
          <w:rFonts w:cs="Times New Roman"/>
          <w:snapToGrid w:val="0"/>
          <w:kern w:val="22"/>
          <w:szCs w:val="22"/>
          <w:lang w:val="fr-CA"/>
        </w:rPr>
        <w:t xml:space="preserve">Parties, à l’époque). De plus, 78 p. cent </w:t>
      </w:r>
      <w:r w:rsidR="00FF0AE0">
        <w:rPr>
          <w:rFonts w:cs="Times New Roman"/>
          <w:snapToGrid w:val="0"/>
          <w:kern w:val="22"/>
          <w:szCs w:val="22"/>
          <w:lang w:val="fr-CA"/>
        </w:rPr>
        <w:t>d</w:t>
      </w:r>
      <w:r w:rsidR="00CC3467" w:rsidRPr="00115221">
        <w:rPr>
          <w:rFonts w:cs="Times New Roman"/>
          <w:snapToGrid w:val="0"/>
          <w:kern w:val="22"/>
          <w:szCs w:val="22"/>
          <w:lang w:val="fr-CA"/>
        </w:rPr>
        <w:t xml:space="preserve">es Parties au Protocole (133 Parties) ont transmis au </w:t>
      </w:r>
      <w:r w:rsidR="00B6412A">
        <w:rPr>
          <w:rFonts w:cs="Times New Roman"/>
          <w:snapToGrid w:val="0"/>
          <w:kern w:val="22"/>
          <w:szCs w:val="22"/>
          <w:lang w:val="fr-CA"/>
        </w:rPr>
        <w:t>centre d’échange</w:t>
      </w:r>
      <w:r w:rsidR="00CC3467" w:rsidRPr="00115221">
        <w:rPr>
          <w:rFonts w:cs="Times New Roman"/>
          <w:snapToGrid w:val="0"/>
          <w:kern w:val="22"/>
          <w:szCs w:val="22"/>
          <w:lang w:val="fr-CA"/>
        </w:rPr>
        <w:t xml:space="preserve"> sur la prévention des risques biotechnologiques des informations concernant leur correspondant national pour ce qui a trait </w:t>
      </w:r>
      <w:r w:rsidR="00986CB1" w:rsidRPr="00115221">
        <w:rPr>
          <w:rFonts w:cs="Times New Roman"/>
          <w:snapToGrid w:val="0"/>
          <w:kern w:val="22"/>
          <w:szCs w:val="22"/>
          <w:lang w:val="fr-CA"/>
        </w:rPr>
        <w:t>à la réception des notificatio</w:t>
      </w:r>
      <w:r w:rsidR="00CC3467" w:rsidRPr="00115221">
        <w:rPr>
          <w:rFonts w:cs="Times New Roman"/>
          <w:snapToGrid w:val="0"/>
          <w:kern w:val="22"/>
          <w:szCs w:val="22"/>
          <w:lang w:val="fr-CA"/>
        </w:rPr>
        <w:t>ns au titre de l’article 17, ce qui représente une augmentation de 34 p. cent par rapport à la valeur</w:t>
      </w:r>
      <w:r w:rsidR="00986CB1" w:rsidRPr="00115221">
        <w:rPr>
          <w:rFonts w:cs="Times New Roman"/>
          <w:snapToGrid w:val="0"/>
          <w:kern w:val="22"/>
          <w:szCs w:val="22"/>
          <w:lang w:val="fr-CA"/>
        </w:rPr>
        <w:t xml:space="preserve"> de référence de 44 p. cent (71 des 161 Parties, à l’époque)</w:t>
      </w:r>
      <w:r w:rsidR="003B5E9D" w:rsidRPr="00115221">
        <w:rPr>
          <w:rFonts w:cs="Times New Roman"/>
          <w:snapToGrid w:val="0"/>
          <w:kern w:val="22"/>
          <w:szCs w:val="22"/>
          <w:lang w:val="fr-CA"/>
        </w:rPr>
        <w:t xml:space="preserve">. </w:t>
      </w:r>
    </w:p>
    <w:p w14:paraId="1463CF52" w14:textId="2826996D" w:rsidR="004569FB" w:rsidRPr="00115221" w:rsidRDefault="00832A39"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Pr>
          <w:rFonts w:cs="Times New Roman"/>
          <w:snapToGrid w:val="0"/>
          <w:kern w:val="22"/>
          <w:szCs w:val="22"/>
          <w:lang w:val="fr-CA"/>
        </w:rPr>
        <w:t>Pour ce qui est de</w:t>
      </w:r>
      <w:r w:rsidR="00986CB1" w:rsidRPr="00115221">
        <w:rPr>
          <w:rFonts w:cs="Times New Roman"/>
          <w:snapToGrid w:val="0"/>
          <w:kern w:val="22"/>
          <w:szCs w:val="22"/>
          <w:lang w:val="fr-CA"/>
        </w:rPr>
        <w:t xml:space="preserve"> </w:t>
      </w:r>
      <w:r w:rsidR="00986CB1" w:rsidRPr="00115221">
        <w:rPr>
          <w:rFonts w:cs="Times New Roman"/>
          <w:b/>
          <w:snapToGrid w:val="0"/>
          <w:kern w:val="22"/>
          <w:szCs w:val="22"/>
          <w:lang w:val="fr-CA"/>
        </w:rPr>
        <w:t>l’indicateur 1.1.4</w:t>
      </w:r>
      <w:r w:rsidR="00986CB1" w:rsidRPr="00115221">
        <w:rPr>
          <w:rFonts w:cs="Times New Roman"/>
          <w:snapToGrid w:val="0"/>
          <w:kern w:val="22"/>
          <w:szCs w:val="22"/>
          <w:lang w:val="fr-CA"/>
        </w:rPr>
        <w:t xml:space="preserve"> (pourcentage des Parties ayant reçu des notifications conformément à l’article 8 du Protocole ou </w:t>
      </w:r>
      <w:r w:rsidR="00DC7CC9">
        <w:rPr>
          <w:rFonts w:cs="Times New Roman"/>
          <w:snapToGrid w:val="0"/>
          <w:kern w:val="22"/>
          <w:szCs w:val="22"/>
          <w:lang w:val="fr-CA"/>
        </w:rPr>
        <w:t>à</w:t>
      </w:r>
      <w:r w:rsidR="00986CB1" w:rsidRPr="00115221">
        <w:rPr>
          <w:rFonts w:cs="Times New Roman"/>
          <w:snapToGrid w:val="0"/>
          <w:kern w:val="22"/>
          <w:szCs w:val="22"/>
          <w:lang w:val="fr-CA"/>
        </w:rPr>
        <w:t xml:space="preserve"> la loi nationale concernée), 21 p. cent des Parties (19 Parties) ont déclaré avoir reçu une notification concernant les mouvements transfrontière</w:t>
      </w:r>
      <w:r w:rsidR="00DC7CC9">
        <w:rPr>
          <w:rFonts w:cs="Times New Roman"/>
          <w:snapToGrid w:val="0"/>
          <w:kern w:val="22"/>
          <w:szCs w:val="22"/>
          <w:lang w:val="fr-CA"/>
        </w:rPr>
        <w:t>s</w:t>
      </w:r>
      <w:r w:rsidR="00986CB1" w:rsidRPr="00115221">
        <w:rPr>
          <w:rFonts w:cs="Times New Roman"/>
          <w:snapToGrid w:val="0"/>
          <w:kern w:val="22"/>
          <w:szCs w:val="22"/>
          <w:lang w:val="fr-CA"/>
        </w:rPr>
        <w:t xml:space="preserve"> intentionnels d’OVM destinés à une introduction intentionnelle dans l’environnement</w:t>
      </w:r>
      <w:r w:rsidR="00676629" w:rsidRPr="00115221">
        <w:rPr>
          <w:rFonts w:cs="Times New Roman"/>
          <w:snapToGrid w:val="0"/>
          <w:kern w:val="22"/>
          <w:szCs w:val="22"/>
          <w:lang w:val="fr-CA"/>
        </w:rPr>
        <w:t xml:space="preserve">, ce qui représente une diminution de 13 p. </w:t>
      </w:r>
      <w:r w:rsidR="00676629" w:rsidRPr="00115221">
        <w:rPr>
          <w:rFonts w:cs="Times New Roman"/>
          <w:snapToGrid w:val="0"/>
          <w:kern w:val="22"/>
          <w:szCs w:val="22"/>
          <w:lang w:val="fr-CA"/>
        </w:rPr>
        <w:lastRenderedPageBreak/>
        <w:t>cent par rapport à la valeur de référence (</w:t>
      </w:r>
      <w:r w:rsidR="00DC7CC9">
        <w:rPr>
          <w:rFonts w:cs="Times New Roman"/>
          <w:snapToGrid w:val="0"/>
          <w:kern w:val="22"/>
          <w:szCs w:val="22"/>
          <w:lang w:val="fr-CA"/>
        </w:rPr>
        <w:t xml:space="preserve">les différences régionales sont réparties comme suit </w:t>
      </w:r>
      <w:r w:rsidR="0009276E">
        <w:rPr>
          <w:rFonts w:cs="Times New Roman"/>
          <w:snapToGrid w:val="0"/>
          <w:kern w:val="22"/>
          <w:szCs w:val="22"/>
          <w:lang w:val="fr-CA"/>
        </w:rPr>
        <w:t>: EOA : -44 </w:t>
      </w:r>
      <w:r w:rsidR="00676629" w:rsidRPr="00115221">
        <w:rPr>
          <w:rFonts w:cs="Times New Roman"/>
          <w:snapToGrid w:val="0"/>
          <w:kern w:val="22"/>
          <w:szCs w:val="22"/>
          <w:lang w:val="fr-CA"/>
        </w:rPr>
        <w:t>p. cent; ECE</w:t>
      </w:r>
      <w:r w:rsidR="0009276E">
        <w:rPr>
          <w:rFonts w:cs="Times New Roman"/>
          <w:snapToGrid w:val="0"/>
          <w:kern w:val="22"/>
          <w:szCs w:val="22"/>
          <w:lang w:val="fr-CA"/>
        </w:rPr>
        <w:t xml:space="preserve"> : </w:t>
      </w:r>
      <w:r w:rsidR="00676629" w:rsidRPr="00115221">
        <w:rPr>
          <w:rFonts w:cs="Times New Roman"/>
          <w:snapToGrid w:val="0"/>
          <w:kern w:val="22"/>
          <w:szCs w:val="22"/>
          <w:lang w:val="fr-CA"/>
        </w:rPr>
        <w:t>-19 p. cent; GALC</w:t>
      </w:r>
      <w:r w:rsidR="0009276E">
        <w:rPr>
          <w:rFonts w:cs="Times New Roman"/>
          <w:snapToGrid w:val="0"/>
          <w:kern w:val="22"/>
          <w:szCs w:val="22"/>
          <w:lang w:val="fr-CA"/>
        </w:rPr>
        <w:t xml:space="preserve"> : </w:t>
      </w:r>
      <w:r w:rsidR="00652E1F">
        <w:rPr>
          <w:rFonts w:cs="Times New Roman"/>
          <w:snapToGrid w:val="0"/>
          <w:kern w:val="22"/>
          <w:szCs w:val="22"/>
          <w:lang w:val="fr-CA"/>
        </w:rPr>
        <w:t>-8 p. cent; Afrique et Asie-</w:t>
      </w:r>
      <w:r w:rsidR="00676629" w:rsidRPr="00115221">
        <w:rPr>
          <w:rFonts w:cs="Times New Roman"/>
          <w:snapToGrid w:val="0"/>
          <w:kern w:val="22"/>
          <w:szCs w:val="22"/>
          <w:lang w:val="fr-CA"/>
        </w:rPr>
        <w:t>Pacifique aucun</w:t>
      </w:r>
      <w:r w:rsidR="00DC7CC9">
        <w:rPr>
          <w:rFonts w:cs="Times New Roman"/>
          <w:snapToGrid w:val="0"/>
          <w:kern w:val="22"/>
          <w:szCs w:val="22"/>
          <w:lang w:val="fr-CA"/>
        </w:rPr>
        <w:t>e</w:t>
      </w:r>
      <w:r w:rsidR="00676629" w:rsidRPr="00115221">
        <w:rPr>
          <w:rFonts w:cs="Times New Roman"/>
          <w:snapToGrid w:val="0"/>
          <w:kern w:val="22"/>
          <w:szCs w:val="22"/>
          <w:lang w:val="fr-CA"/>
        </w:rPr>
        <w:t xml:space="preserve"> </w:t>
      </w:r>
      <w:r w:rsidR="00DC7CC9">
        <w:rPr>
          <w:rFonts w:cs="Times New Roman"/>
          <w:snapToGrid w:val="0"/>
          <w:kern w:val="22"/>
          <w:szCs w:val="22"/>
          <w:lang w:val="fr-CA"/>
        </w:rPr>
        <w:t>différence</w:t>
      </w:r>
      <w:r w:rsidR="00676629" w:rsidRPr="00115221">
        <w:rPr>
          <w:rFonts w:cs="Times New Roman"/>
          <w:snapToGrid w:val="0"/>
          <w:kern w:val="22"/>
          <w:szCs w:val="22"/>
          <w:lang w:val="fr-CA"/>
        </w:rPr>
        <w:t xml:space="preserve"> par rapport à la valeur de référence). Certains de ces changements peuvent être </w:t>
      </w:r>
      <w:r w:rsidR="00DC7CC9">
        <w:rPr>
          <w:rFonts w:cs="Times New Roman"/>
          <w:snapToGrid w:val="0"/>
          <w:kern w:val="22"/>
          <w:szCs w:val="22"/>
          <w:lang w:val="fr-CA"/>
        </w:rPr>
        <w:t>attribuables</w:t>
      </w:r>
      <w:r w:rsidR="00676629" w:rsidRPr="00115221">
        <w:rPr>
          <w:rFonts w:cs="Times New Roman"/>
          <w:snapToGrid w:val="0"/>
          <w:kern w:val="22"/>
          <w:szCs w:val="22"/>
          <w:lang w:val="fr-CA"/>
        </w:rPr>
        <w:t xml:space="preserve"> à la révision de la question dans </w:t>
      </w:r>
      <w:r>
        <w:rPr>
          <w:rFonts w:cs="Times New Roman"/>
          <w:snapToGrid w:val="0"/>
          <w:kern w:val="22"/>
          <w:szCs w:val="22"/>
          <w:lang w:val="fr-CA"/>
        </w:rPr>
        <w:t>le quatrième rapport national, qui ne portait que sur</w:t>
      </w:r>
      <w:r w:rsidR="00676629" w:rsidRPr="00115221">
        <w:rPr>
          <w:rFonts w:cs="Times New Roman"/>
          <w:snapToGrid w:val="0"/>
          <w:kern w:val="22"/>
          <w:szCs w:val="22"/>
          <w:lang w:val="fr-CA"/>
        </w:rPr>
        <w:t xml:space="preserve"> la période visée par le rapport</w:t>
      </w:r>
      <w:r>
        <w:rPr>
          <w:rFonts w:cs="Times New Roman"/>
          <w:snapToGrid w:val="0"/>
          <w:kern w:val="22"/>
          <w:szCs w:val="22"/>
          <w:lang w:val="fr-CA"/>
        </w:rPr>
        <w:t>,</w:t>
      </w:r>
      <w:r w:rsidR="00676629" w:rsidRPr="00115221">
        <w:rPr>
          <w:rFonts w:cs="Times New Roman"/>
          <w:snapToGrid w:val="0"/>
          <w:kern w:val="22"/>
          <w:szCs w:val="22"/>
          <w:lang w:val="fr-CA"/>
        </w:rPr>
        <w:t xml:space="preserve"> </w:t>
      </w:r>
      <w:r>
        <w:rPr>
          <w:rFonts w:cs="Times New Roman"/>
          <w:snapToGrid w:val="0"/>
          <w:kern w:val="22"/>
          <w:szCs w:val="22"/>
          <w:lang w:val="fr-CA"/>
        </w:rPr>
        <w:t>mais qui était</w:t>
      </w:r>
      <w:r w:rsidR="00676629" w:rsidRPr="00115221">
        <w:rPr>
          <w:rFonts w:cs="Times New Roman"/>
          <w:snapToGrid w:val="0"/>
          <w:kern w:val="22"/>
          <w:szCs w:val="22"/>
          <w:lang w:val="fr-CA"/>
        </w:rPr>
        <w:t xml:space="preserve"> ouverte dans le deuxième rapport national</w:t>
      </w:r>
      <w:r w:rsidR="004569FB" w:rsidRPr="00115221">
        <w:rPr>
          <w:rFonts w:cs="Times New Roman"/>
          <w:snapToGrid w:val="0"/>
          <w:kern w:val="22"/>
          <w:szCs w:val="22"/>
          <w:lang w:val="fr-CA"/>
        </w:rPr>
        <w:t xml:space="preserve">. </w:t>
      </w:r>
    </w:p>
    <w:p w14:paraId="5415410C" w14:textId="39FDAC58" w:rsidR="004569FB" w:rsidRPr="00115221" w:rsidRDefault="00676629"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dernier lieu, en ce qui concerne </w:t>
      </w:r>
      <w:r w:rsidRPr="00115221">
        <w:rPr>
          <w:rFonts w:cs="Times New Roman"/>
          <w:b/>
          <w:snapToGrid w:val="0"/>
          <w:kern w:val="22"/>
          <w:szCs w:val="22"/>
          <w:lang w:val="fr-CA"/>
        </w:rPr>
        <w:t>l’indicateur 1.1.5</w:t>
      </w:r>
      <w:r w:rsidRPr="00115221">
        <w:rPr>
          <w:rFonts w:cs="Times New Roman"/>
          <w:snapToGrid w:val="0"/>
          <w:kern w:val="22"/>
          <w:szCs w:val="22"/>
          <w:lang w:val="fr-CA"/>
        </w:rPr>
        <w:t xml:space="preserve"> (pourcentage des Parties </w:t>
      </w:r>
      <w:r w:rsidR="00EE2F01" w:rsidRPr="00115221">
        <w:rPr>
          <w:rFonts w:cs="Times New Roman"/>
          <w:snapToGrid w:val="0"/>
          <w:kern w:val="22"/>
          <w:szCs w:val="22"/>
          <w:lang w:val="fr-CA"/>
        </w:rPr>
        <w:t xml:space="preserve">ayant pris des décisions concernant l’importation conformément à l’article 10 du Protocole ou les lois intérieures concernées), 19 p. cent des Parties (15 Parties) ont déclaré avoir pris des décisions en réponse à la notification concernant les mouvements transfrontières intentionnels d’OVM destinés à l’introduction intentionnelle </w:t>
      </w:r>
      <w:r w:rsidR="00600B4A" w:rsidRPr="00115221">
        <w:rPr>
          <w:rFonts w:cs="Times New Roman"/>
          <w:snapToGrid w:val="0"/>
          <w:kern w:val="22"/>
          <w:szCs w:val="22"/>
          <w:lang w:val="fr-CA"/>
        </w:rPr>
        <w:t>au cours de la période visée par le rapport</w:t>
      </w:r>
      <w:r w:rsidR="00EE2F01" w:rsidRPr="00115221">
        <w:rPr>
          <w:rFonts w:cs="Times New Roman"/>
          <w:snapToGrid w:val="0"/>
          <w:kern w:val="22"/>
          <w:szCs w:val="22"/>
          <w:lang w:val="fr-CA"/>
        </w:rPr>
        <w:t>, ce qui représente une di</w:t>
      </w:r>
      <w:r w:rsidR="00600B4A" w:rsidRPr="00115221">
        <w:rPr>
          <w:rFonts w:cs="Times New Roman"/>
          <w:snapToGrid w:val="0"/>
          <w:kern w:val="22"/>
          <w:szCs w:val="22"/>
          <w:lang w:val="fr-CA"/>
        </w:rPr>
        <w:t>minution de 14</w:t>
      </w:r>
      <w:r w:rsidR="00EE2F01" w:rsidRPr="00115221">
        <w:rPr>
          <w:rFonts w:cs="Times New Roman"/>
          <w:snapToGrid w:val="0"/>
          <w:kern w:val="22"/>
          <w:szCs w:val="22"/>
          <w:lang w:val="fr-CA"/>
        </w:rPr>
        <w:t xml:space="preserve"> p. cent  (</w:t>
      </w:r>
      <w:r w:rsidR="00832A39">
        <w:rPr>
          <w:rFonts w:cs="Times New Roman"/>
          <w:snapToGrid w:val="0"/>
          <w:kern w:val="22"/>
          <w:szCs w:val="22"/>
          <w:lang w:val="fr-CA"/>
        </w:rPr>
        <w:t xml:space="preserve">les différences régionales sont réparties comme suit </w:t>
      </w:r>
      <w:r w:rsidR="00EE2F01" w:rsidRPr="00115221">
        <w:rPr>
          <w:rFonts w:cs="Times New Roman"/>
          <w:snapToGrid w:val="0"/>
          <w:kern w:val="22"/>
          <w:szCs w:val="22"/>
          <w:lang w:val="fr-CA"/>
        </w:rPr>
        <w:t>:</w:t>
      </w:r>
      <w:r w:rsidR="00600B4A" w:rsidRPr="00115221">
        <w:rPr>
          <w:rFonts w:cs="Times New Roman"/>
          <w:snapToGrid w:val="0"/>
          <w:kern w:val="22"/>
          <w:szCs w:val="22"/>
          <w:lang w:val="fr-CA"/>
        </w:rPr>
        <w:t xml:space="preserve"> EOA</w:t>
      </w:r>
      <w:r w:rsidR="0009276E">
        <w:rPr>
          <w:rFonts w:cs="Times New Roman"/>
          <w:snapToGrid w:val="0"/>
          <w:kern w:val="22"/>
          <w:szCs w:val="22"/>
          <w:lang w:val="fr-CA"/>
        </w:rPr>
        <w:t xml:space="preserve"> : </w:t>
      </w:r>
      <w:r w:rsidR="00600B4A" w:rsidRPr="00115221">
        <w:rPr>
          <w:rFonts w:cs="Times New Roman"/>
          <w:snapToGrid w:val="0"/>
          <w:kern w:val="22"/>
          <w:szCs w:val="22"/>
          <w:lang w:val="fr-CA"/>
        </w:rPr>
        <w:t>-41</w:t>
      </w:r>
      <w:r w:rsidR="00EE2F01" w:rsidRPr="00115221">
        <w:rPr>
          <w:rFonts w:cs="Times New Roman"/>
          <w:snapToGrid w:val="0"/>
          <w:kern w:val="22"/>
          <w:szCs w:val="22"/>
          <w:lang w:val="fr-CA"/>
        </w:rPr>
        <w:t xml:space="preserve"> p. </w:t>
      </w:r>
      <w:r w:rsidR="00600B4A" w:rsidRPr="00115221">
        <w:rPr>
          <w:rFonts w:cs="Times New Roman"/>
          <w:snapToGrid w:val="0"/>
          <w:kern w:val="22"/>
          <w:szCs w:val="22"/>
          <w:lang w:val="fr-CA"/>
        </w:rPr>
        <w:t>cent; ECE</w:t>
      </w:r>
      <w:r w:rsidR="0009276E">
        <w:rPr>
          <w:rFonts w:cs="Times New Roman"/>
          <w:snapToGrid w:val="0"/>
          <w:kern w:val="22"/>
          <w:szCs w:val="22"/>
          <w:lang w:val="fr-CA"/>
        </w:rPr>
        <w:t xml:space="preserve"> : </w:t>
      </w:r>
      <w:r w:rsidR="00600B4A" w:rsidRPr="00115221">
        <w:rPr>
          <w:rFonts w:cs="Times New Roman"/>
          <w:snapToGrid w:val="0"/>
          <w:kern w:val="22"/>
          <w:szCs w:val="22"/>
          <w:lang w:val="fr-CA"/>
        </w:rPr>
        <w:t>-20 p. cent; GALC</w:t>
      </w:r>
      <w:r w:rsidR="0009276E">
        <w:rPr>
          <w:rFonts w:cs="Times New Roman"/>
          <w:snapToGrid w:val="0"/>
          <w:kern w:val="22"/>
          <w:szCs w:val="22"/>
          <w:lang w:val="fr-CA"/>
        </w:rPr>
        <w:t xml:space="preserve"> : </w:t>
      </w:r>
      <w:r w:rsidR="00652E1F">
        <w:rPr>
          <w:rFonts w:cs="Times New Roman"/>
          <w:snapToGrid w:val="0"/>
          <w:kern w:val="22"/>
          <w:szCs w:val="22"/>
          <w:lang w:val="fr-CA"/>
        </w:rPr>
        <w:t>-10 p. cent; Asie-</w:t>
      </w:r>
      <w:r w:rsidR="00600B4A" w:rsidRPr="00115221">
        <w:rPr>
          <w:rFonts w:cs="Times New Roman"/>
          <w:snapToGrid w:val="0"/>
          <w:kern w:val="22"/>
          <w:szCs w:val="22"/>
          <w:lang w:val="fr-CA"/>
        </w:rPr>
        <w:t>Pacifique</w:t>
      </w:r>
      <w:r w:rsidR="0009276E">
        <w:rPr>
          <w:rFonts w:cs="Times New Roman"/>
          <w:snapToGrid w:val="0"/>
          <w:kern w:val="22"/>
          <w:szCs w:val="22"/>
          <w:lang w:val="fr-CA"/>
        </w:rPr>
        <w:t xml:space="preserve"> : </w:t>
      </w:r>
      <w:r w:rsidR="00600B4A" w:rsidRPr="00115221">
        <w:rPr>
          <w:rFonts w:cs="Times New Roman"/>
          <w:snapToGrid w:val="0"/>
          <w:kern w:val="22"/>
          <w:szCs w:val="22"/>
          <w:lang w:val="fr-CA"/>
        </w:rPr>
        <w:t>-8 p. cent et Afrique, aucun</w:t>
      </w:r>
      <w:r w:rsidR="006326EA">
        <w:rPr>
          <w:rFonts w:cs="Times New Roman"/>
          <w:snapToGrid w:val="0"/>
          <w:kern w:val="22"/>
          <w:szCs w:val="22"/>
          <w:lang w:val="fr-CA"/>
        </w:rPr>
        <w:t>e</w:t>
      </w:r>
      <w:r w:rsidR="00600B4A" w:rsidRPr="00115221">
        <w:rPr>
          <w:rFonts w:cs="Times New Roman"/>
          <w:snapToGrid w:val="0"/>
          <w:kern w:val="22"/>
          <w:szCs w:val="22"/>
          <w:lang w:val="fr-CA"/>
        </w:rPr>
        <w:t xml:space="preserve"> </w:t>
      </w:r>
      <w:r w:rsidR="006326EA">
        <w:rPr>
          <w:rFonts w:cs="Times New Roman"/>
          <w:snapToGrid w:val="0"/>
          <w:kern w:val="22"/>
          <w:szCs w:val="22"/>
          <w:lang w:val="fr-CA"/>
        </w:rPr>
        <w:t>différence</w:t>
      </w:r>
      <w:r w:rsidR="00600B4A" w:rsidRPr="00115221">
        <w:rPr>
          <w:rFonts w:cs="Times New Roman"/>
          <w:snapToGrid w:val="0"/>
          <w:kern w:val="22"/>
          <w:szCs w:val="22"/>
          <w:lang w:val="fr-CA"/>
        </w:rPr>
        <w:t xml:space="preserve"> par rapport à la valeur de référence). Sept Parties ayant pris une telle décision ont déclaré que la décision </w:t>
      </w:r>
      <w:r w:rsidR="006326EA">
        <w:rPr>
          <w:rFonts w:cs="Times New Roman"/>
          <w:snapToGrid w:val="0"/>
          <w:kern w:val="22"/>
          <w:szCs w:val="22"/>
          <w:lang w:val="fr-CA"/>
        </w:rPr>
        <w:t xml:space="preserve">prévoyait </w:t>
      </w:r>
      <w:r w:rsidR="00D218AE" w:rsidRPr="00115221">
        <w:rPr>
          <w:rFonts w:cs="Times New Roman"/>
          <w:snapToGrid w:val="0"/>
          <w:kern w:val="22"/>
          <w:szCs w:val="22"/>
          <w:lang w:val="fr-CA"/>
        </w:rPr>
        <w:t>une approbation sans conditions et d</w:t>
      </w:r>
      <w:r w:rsidR="00600B4A" w:rsidRPr="00115221">
        <w:rPr>
          <w:rFonts w:cs="Times New Roman"/>
          <w:snapToGrid w:val="0"/>
          <w:kern w:val="22"/>
          <w:szCs w:val="22"/>
          <w:lang w:val="fr-CA"/>
        </w:rPr>
        <w:t>eux Parties ont précisé que la décision concernait une interdiction d’importer</w:t>
      </w:r>
      <w:r w:rsidR="004569FB" w:rsidRPr="00115221">
        <w:rPr>
          <w:rFonts w:cs="Times New Roman"/>
          <w:snapToGrid w:val="0"/>
          <w:kern w:val="22"/>
          <w:szCs w:val="22"/>
          <w:lang w:val="fr-CA"/>
        </w:rPr>
        <w:t xml:space="preserve">. </w:t>
      </w:r>
    </w:p>
    <w:p w14:paraId="234884DF" w14:textId="53D02E72" w:rsidR="004569FB" w:rsidRPr="00115221" w:rsidRDefault="00AE4FC2" w:rsidP="000A5388">
      <w:pPr>
        <w:pStyle w:val="ListParagraph"/>
        <w:suppressLineNumbers/>
        <w:suppressAutoHyphens/>
        <w:snapToGrid w:val="0"/>
        <w:spacing w:before="120" w:after="120"/>
        <w:ind w:left="0"/>
        <w:contextualSpacing w:val="0"/>
        <w:outlineLvl w:val="2"/>
        <w:rPr>
          <w:rFonts w:cs="Times New Roman"/>
          <w:snapToGrid w:val="0"/>
          <w:kern w:val="22"/>
          <w:szCs w:val="22"/>
          <w:lang w:val="fr-CA"/>
        </w:rPr>
      </w:pPr>
      <w:r>
        <w:rPr>
          <w:rFonts w:cs="Times New Roman"/>
          <w:b/>
          <w:iCs/>
          <w:snapToGrid w:val="0"/>
          <w:kern w:val="22"/>
          <w:szCs w:val="22"/>
          <w:lang w:val="fr-CA"/>
        </w:rPr>
        <w:t>Objectif opérationnel 2</w:t>
      </w:r>
      <w:r w:rsidR="00BE3D88" w:rsidRPr="00115221">
        <w:rPr>
          <w:rFonts w:cs="Times New Roman"/>
          <w:b/>
          <w:iCs/>
          <w:snapToGrid w:val="0"/>
          <w:kern w:val="22"/>
          <w:szCs w:val="22"/>
          <w:lang w:val="fr-CA"/>
        </w:rPr>
        <w:t>.1 : Cadres nationaux de prévention des risques biotechnologiques</w:t>
      </w:r>
    </w:p>
    <w:p w14:paraId="301E1F00" w14:textId="3AB1EB14" w:rsidR="004569FB" w:rsidRPr="00115221" w:rsidRDefault="00BE3D88"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Selon l’objectif opérationnel 2.1, les Parties doivent tenter de soutenir davantage l’élaboration et la mise en place de programmes nationaux de réglementation et administratifs. Les renseignements sur </w:t>
      </w:r>
      <w:r w:rsidR="000E4285" w:rsidRPr="00AE4FC2">
        <w:rPr>
          <w:rFonts w:cs="Times New Roman"/>
          <w:b/>
          <w:snapToGrid w:val="0"/>
          <w:kern w:val="22"/>
          <w:szCs w:val="22"/>
          <w:lang w:val="fr-CA"/>
        </w:rPr>
        <w:t>l’indicateur</w:t>
      </w:r>
      <w:r w:rsidRPr="00AE4FC2">
        <w:rPr>
          <w:rFonts w:cs="Times New Roman"/>
          <w:b/>
          <w:snapToGrid w:val="0"/>
          <w:kern w:val="22"/>
          <w:szCs w:val="22"/>
          <w:lang w:val="fr-CA"/>
        </w:rPr>
        <w:t xml:space="preserve"> 2.1.1</w:t>
      </w:r>
      <w:r w:rsidRPr="00115221">
        <w:rPr>
          <w:rFonts w:cs="Times New Roman"/>
          <w:snapToGrid w:val="0"/>
          <w:kern w:val="22"/>
          <w:szCs w:val="22"/>
          <w:lang w:val="fr-CA"/>
        </w:rPr>
        <w:t xml:space="preserve"> (nombre de Parties ayant mis en place un cadre de réglementation opérationnelle) </w:t>
      </w:r>
      <w:r w:rsidR="000E4285" w:rsidRPr="00115221">
        <w:rPr>
          <w:rFonts w:cs="Times New Roman"/>
          <w:snapToGrid w:val="0"/>
          <w:kern w:val="22"/>
          <w:szCs w:val="22"/>
          <w:lang w:val="fr-CA"/>
        </w:rPr>
        <w:t>sont fournis ci-dessus dans le contexte de l’objectif opérationnel 1</w:t>
      </w:r>
      <w:r w:rsidR="00AE4FC2">
        <w:rPr>
          <w:rFonts w:cs="Times New Roman"/>
          <w:snapToGrid w:val="0"/>
          <w:kern w:val="22"/>
          <w:szCs w:val="22"/>
          <w:lang w:val="fr-CA"/>
        </w:rPr>
        <w:t>.</w:t>
      </w:r>
      <w:r w:rsidR="000E4285" w:rsidRPr="00115221">
        <w:rPr>
          <w:rFonts w:cs="Times New Roman"/>
          <w:snapToGrid w:val="0"/>
          <w:kern w:val="22"/>
          <w:szCs w:val="22"/>
          <w:lang w:val="fr-CA"/>
        </w:rPr>
        <w:t>1</w:t>
      </w:r>
      <w:r w:rsidR="004569FB" w:rsidRPr="00115221">
        <w:rPr>
          <w:rFonts w:cs="Times New Roman"/>
          <w:snapToGrid w:val="0"/>
          <w:kern w:val="22"/>
          <w:szCs w:val="22"/>
          <w:lang w:val="fr-CA"/>
        </w:rPr>
        <w:t>.</w:t>
      </w:r>
    </w:p>
    <w:p w14:paraId="0E98217D" w14:textId="5DF94174" w:rsidR="004569FB" w:rsidRPr="00115221" w:rsidRDefault="000E4285"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2.1.2</w:t>
      </w:r>
      <w:r w:rsidRPr="00115221">
        <w:rPr>
          <w:rFonts w:cs="Times New Roman"/>
          <w:snapToGrid w:val="0"/>
          <w:kern w:val="22"/>
          <w:szCs w:val="22"/>
          <w:lang w:val="fr-CA"/>
        </w:rPr>
        <w:t xml:space="preserve"> (nombre de Parties </w:t>
      </w:r>
      <w:r w:rsidR="00AE4FC2">
        <w:rPr>
          <w:rFonts w:cs="Times New Roman"/>
          <w:snapToGrid w:val="0"/>
          <w:kern w:val="22"/>
          <w:szCs w:val="22"/>
          <w:lang w:val="fr-CA"/>
        </w:rPr>
        <w:t>profitant d’</w:t>
      </w:r>
      <w:r w:rsidRPr="00115221">
        <w:rPr>
          <w:rFonts w:cs="Times New Roman"/>
          <w:snapToGrid w:val="0"/>
          <w:kern w:val="22"/>
          <w:szCs w:val="22"/>
          <w:lang w:val="fr-CA"/>
        </w:rPr>
        <w:t>arrangements administratifs fonctionnels), le modèle du quatrième rapport national comprend plusieurs questions pertinentes</w:t>
      </w:r>
      <w:r w:rsidR="004569FB" w:rsidRPr="00115221">
        <w:rPr>
          <w:rFonts w:cs="Times New Roman"/>
          <w:snapToGrid w:val="0"/>
          <w:kern w:val="22"/>
          <w:szCs w:val="22"/>
          <w:lang w:val="fr-CA"/>
        </w:rPr>
        <w:t>,</w:t>
      </w:r>
      <w:r w:rsidR="004569FB" w:rsidRPr="00115221">
        <w:rPr>
          <w:rFonts w:cs="Times New Roman"/>
          <w:snapToGrid w:val="0"/>
          <w:kern w:val="22"/>
          <w:szCs w:val="22"/>
          <w:vertAlign w:val="superscript"/>
          <w:lang w:val="fr-CA"/>
        </w:rPr>
        <w:footnoteReference w:id="20"/>
      </w:r>
      <w:r w:rsidR="004569FB" w:rsidRPr="00115221">
        <w:rPr>
          <w:rFonts w:cs="Times New Roman"/>
          <w:snapToGrid w:val="0"/>
          <w:kern w:val="22"/>
          <w:szCs w:val="22"/>
          <w:lang w:val="fr-CA"/>
        </w:rPr>
        <w:t xml:space="preserve"> </w:t>
      </w:r>
      <w:r w:rsidRPr="00115221">
        <w:rPr>
          <w:rFonts w:cs="Times New Roman"/>
          <w:snapToGrid w:val="0"/>
          <w:kern w:val="22"/>
          <w:szCs w:val="22"/>
          <w:lang w:val="fr-CA"/>
        </w:rPr>
        <w:t>mais aucune question qui n’aborde directement l</w:t>
      </w:r>
      <w:r w:rsidR="00A43192" w:rsidRPr="00115221">
        <w:rPr>
          <w:rFonts w:cs="Times New Roman"/>
          <w:snapToGrid w:val="0"/>
          <w:kern w:val="22"/>
          <w:szCs w:val="22"/>
          <w:lang w:val="fr-CA"/>
        </w:rPr>
        <w:t>a fonctionnalité des arrangement</w:t>
      </w:r>
      <w:r w:rsidRPr="00115221">
        <w:rPr>
          <w:rFonts w:cs="Times New Roman"/>
          <w:snapToGrid w:val="0"/>
          <w:kern w:val="22"/>
          <w:szCs w:val="22"/>
          <w:lang w:val="fr-CA"/>
        </w:rPr>
        <w:t>s administratifs</w:t>
      </w:r>
      <w:r w:rsidR="004569FB" w:rsidRPr="00115221">
        <w:rPr>
          <w:rFonts w:cs="Times New Roman"/>
          <w:bCs/>
          <w:snapToGrid w:val="0"/>
          <w:kern w:val="22"/>
          <w:szCs w:val="22"/>
          <w:lang w:val="fr-CA"/>
        </w:rPr>
        <w:t xml:space="preserve">. </w:t>
      </w:r>
    </w:p>
    <w:p w14:paraId="7D496DC1" w14:textId="27E7C035" w:rsidR="004569FB" w:rsidRPr="00115221" w:rsidRDefault="00A43192"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Cinquante-huit p. cent des Parties (53 Parties) ont déclaré avoir mis en place un mécanisme créé pour les affectations budgétaires pour le fonctionnement de leurs mesures nationales de prévention des risques biotechnologiques (une </w:t>
      </w:r>
      <w:r w:rsidR="00F40B1F" w:rsidRPr="00115221">
        <w:rPr>
          <w:rFonts w:cs="Times New Roman"/>
          <w:snapToGrid w:val="0"/>
          <w:kern w:val="22"/>
          <w:szCs w:val="22"/>
          <w:lang w:val="fr-CA"/>
        </w:rPr>
        <w:t>di</w:t>
      </w:r>
      <w:r w:rsidRPr="00115221">
        <w:rPr>
          <w:rFonts w:cs="Times New Roman"/>
          <w:snapToGrid w:val="0"/>
          <w:kern w:val="22"/>
          <w:szCs w:val="22"/>
          <w:lang w:val="fr-CA"/>
        </w:rPr>
        <w:t>minution de 10 p. cent par rapp</w:t>
      </w:r>
      <w:r w:rsidR="00F40B1F" w:rsidRPr="00115221">
        <w:rPr>
          <w:rFonts w:cs="Times New Roman"/>
          <w:snapToGrid w:val="0"/>
          <w:kern w:val="22"/>
          <w:szCs w:val="22"/>
          <w:lang w:val="fr-CA"/>
        </w:rPr>
        <w:t>o</w:t>
      </w:r>
      <w:r w:rsidRPr="00115221">
        <w:rPr>
          <w:rFonts w:cs="Times New Roman"/>
          <w:snapToGrid w:val="0"/>
          <w:kern w:val="22"/>
          <w:szCs w:val="22"/>
          <w:lang w:val="fr-CA"/>
        </w:rPr>
        <w:t>rt à la v</w:t>
      </w:r>
      <w:r w:rsidR="00F40B1F" w:rsidRPr="00115221">
        <w:rPr>
          <w:rFonts w:cs="Times New Roman"/>
          <w:snapToGrid w:val="0"/>
          <w:kern w:val="22"/>
          <w:szCs w:val="22"/>
          <w:lang w:val="fr-CA"/>
        </w:rPr>
        <w:t>a</w:t>
      </w:r>
      <w:r w:rsidRPr="00115221">
        <w:rPr>
          <w:rFonts w:cs="Times New Roman"/>
          <w:snapToGrid w:val="0"/>
          <w:kern w:val="22"/>
          <w:szCs w:val="22"/>
          <w:lang w:val="fr-CA"/>
        </w:rPr>
        <w:t>le</w:t>
      </w:r>
      <w:r w:rsidR="00AE4FC2">
        <w:rPr>
          <w:rFonts w:cs="Times New Roman"/>
          <w:snapToGrid w:val="0"/>
          <w:kern w:val="22"/>
          <w:szCs w:val="22"/>
          <w:lang w:val="fr-CA"/>
        </w:rPr>
        <w:t>ur de référence), tandis que 23 </w:t>
      </w:r>
      <w:r w:rsidRPr="00115221">
        <w:rPr>
          <w:rFonts w:cs="Times New Roman"/>
          <w:snapToGrid w:val="0"/>
          <w:kern w:val="22"/>
          <w:szCs w:val="22"/>
          <w:lang w:val="fr-CA"/>
        </w:rPr>
        <w:t xml:space="preserve">p. cent des Parties (21 Parties) ont déclaré avoir mis en </w:t>
      </w:r>
      <w:r w:rsidR="00F40B1F" w:rsidRPr="00115221">
        <w:rPr>
          <w:rFonts w:cs="Times New Roman"/>
          <w:snapToGrid w:val="0"/>
          <w:kern w:val="22"/>
          <w:szCs w:val="22"/>
          <w:lang w:val="fr-CA"/>
        </w:rPr>
        <w:t>pl</w:t>
      </w:r>
      <w:r w:rsidRPr="00115221">
        <w:rPr>
          <w:rFonts w:cs="Times New Roman"/>
          <w:snapToGrid w:val="0"/>
          <w:kern w:val="22"/>
          <w:szCs w:val="22"/>
          <w:lang w:val="fr-CA"/>
        </w:rPr>
        <w:t xml:space="preserve">ace </w:t>
      </w:r>
      <w:r w:rsidR="00AE4FC2">
        <w:rPr>
          <w:rFonts w:cs="Times New Roman"/>
          <w:snapToGrid w:val="0"/>
          <w:kern w:val="22"/>
          <w:szCs w:val="22"/>
          <w:lang w:val="fr-CA"/>
        </w:rPr>
        <w:t>un tel mécanisme</w:t>
      </w:r>
      <w:r w:rsidRPr="00115221">
        <w:rPr>
          <w:rFonts w:cs="Times New Roman"/>
          <w:snapToGrid w:val="0"/>
          <w:kern w:val="22"/>
          <w:szCs w:val="22"/>
          <w:lang w:val="fr-CA"/>
        </w:rPr>
        <w:t xml:space="preserve">, </w:t>
      </w:r>
      <w:r w:rsidR="00410688">
        <w:rPr>
          <w:rFonts w:cs="Times New Roman"/>
          <w:snapToGrid w:val="0"/>
          <w:kern w:val="22"/>
          <w:szCs w:val="22"/>
          <w:lang w:val="fr-CA"/>
        </w:rPr>
        <w:t>dans une certaine mesure</w:t>
      </w:r>
      <w:r w:rsidR="00F40B1F" w:rsidRPr="00115221">
        <w:rPr>
          <w:rFonts w:cs="Times New Roman"/>
          <w:snapToGrid w:val="0"/>
          <w:kern w:val="22"/>
          <w:szCs w:val="22"/>
          <w:lang w:val="fr-CA"/>
        </w:rPr>
        <w:t xml:space="preserve">. </w:t>
      </w:r>
      <w:r w:rsidR="00AE4FC2">
        <w:rPr>
          <w:rFonts w:cs="Times New Roman"/>
          <w:snapToGrid w:val="0"/>
          <w:kern w:val="22"/>
          <w:szCs w:val="22"/>
          <w:lang w:val="fr-CA"/>
        </w:rPr>
        <w:t>Ces résultats réunis</w:t>
      </w:r>
      <w:r w:rsidR="00F40B1F" w:rsidRPr="00115221">
        <w:rPr>
          <w:rFonts w:cs="Times New Roman"/>
          <w:snapToGrid w:val="0"/>
          <w:kern w:val="22"/>
          <w:szCs w:val="22"/>
          <w:lang w:val="fr-CA"/>
        </w:rPr>
        <w:t xml:space="preserve"> représentent une augmentation de 13 p. cent (12 Parties) par rapport à la valeur de référence (</w:t>
      </w:r>
      <w:r w:rsidR="00AE4FC2">
        <w:rPr>
          <w:rFonts w:cs="Times New Roman"/>
          <w:snapToGrid w:val="0"/>
          <w:kern w:val="22"/>
          <w:szCs w:val="22"/>
          <w:lang w:val="fr-CA"/>
        </w:rPr>
        <w:t xml:space="preserve">les différences régionales sont réparties comme suit </w:t>
      </w:r>
      <w:r w:rsidR="00652E1F">
        <w:rPr>
          <w:rFonts w:cs="Times New Roman"/>
          <w:snapToGrid w:val="0"/>
          <w:kern w:val="22"/>
          <w:szCs w:val="22"/>
          <w:lang w:val="fr-CA"/>
        </w:rPr>
        <w:t>: Asie-</w:t>
      </w:r>
      <w:r w:rsidR="00F40B1F" w:rsidRPr="00115221">
        <w:rPr>
          <w:rFonts w:cs="Times New Roman"/>
          <w:snapToGrid w:val="0"/>
          <w:kern w:val="22"/>
          <w:szCs w:val="22"/>
          <w:lang w:val="fr-CA"/>
        </w:rPr>
        <w:t>Pacifique</w:t>
      </w:r>
      <w:r w:rsidR="00AE4FC2">
        <w:rPr>
          <w:rFonts w:cs="Times New Roman"/>
          <w:snapToGrid w:val="0"/>
          <w:kern w:val="22"/>
          <w:szCs w:val="22"/>
          <w:lang w:val="fr-CA"/>
        </w:rPr>
        <w:t> :</w:t>
      </w:r>
      <w:r w:rsidR="00F40B1F" w:rsidRPr="00115221">
        <w:rPr>
          <w:rFonts w:cs="Times New Roman"/>
          <w:snapToGrid w:val="0"/>
          <w:kern w:val="22"/>
          <w:szCs w:val="22"/>
          <w:lang w:val="fr-CA"/>
        </w:rPr>
        <w:t xml:space="preserve"> +25 p. cent; ECE</w:t>
      </w:r>
      <w:r w:rsidR="00AE4FC2">
        <w:rPr>
          <w:rFonts w:cs="Times New Roman"/>
          <w:snapToGrid w:val="0"/>
          <w:kern w:val="22"/>
          <w:szCs w:val="22"/>
          <w:lang w:val="fr-CA"/>
        </w:rPr>
        <w:t> :</w:t>
      </w:r>
      <w:r w:rsidR="00F40B1F" w:rsidRPr="00115221">
        <w:rPr>
          <w:rFonts w:cs="Times New Roman"/>
          <w:snapToGrid w:val="0"/>
          <w:kern w:val="22"/>
          <w:szCs w:val="22"/>
          <w:lang w:val="fr-CA"/>
        </w:rPr>
        <w:t xml:space="preserve"> +24 p</w:t>
      </w:r>
      <w:r w:rsidR="00AE4FC2">
        <w:rPr>
          <w:rFonts w:cs="Times New Roman"/>
          <w:snapToGrid w:val="0"/>
          <w:kern w:val="22"/>
          <w:szCs w:val="22"/>
          <w:lang w:val="fr-CA"/>
        </w:rPr>
        <w:t>. cent; Afrique : +13 p. cent; GAL</w:t>
      </w:r>
      <w:r w:rsidR="00F40B1F" w:rsidRPr="00115221">
        <w:rPr>
          <w:rFonts w:cs="Times New Roman"/>
          <w:snapToGrid w:val="0"/>
          <w:kern w:val="22"/>
          <w:szCs w:val="22"/>
          <w:lang w:val="fr-CA"/>
        </w:rPr>
        <w:t>C</w:t>
      </w:r>
      <w:r w:rsidR="00AE4FC2">
        <w:rPr>
          <w:rFonts w:cs="Times New Roman"/>
          <w:snapToGrid w:val="0"/>
          <w:kern w:val="22"/>
          <w:szCs w:val="22"/>
          <w:lang w:val="fr-CA"/>
        </w:rPr>
        <w:t> :</w:t>
      </w:r>
      <w:r w:rsidR="00F40B1F" w:rsidRPr="00115221">
        <w:rPr>
          <w:rFonts w:cs="Times New Roman"/>
          <w:snapToGrid w:val="0"/>
          <w:kern w:val="22"/>
          <w:szCs w:val="22"/>
          <w:lang w:val="fr-CA"/>
        </w:rPr>
        <w:t xml:space="preserve"> -1 p. cent et EOA aucun</w:t>
      </w:r>
      <w:r w:rsidR="006326EA">
        <w:rPr>
          <w:rFonts w:cs="Times New Roman"/>
          <w:snapToGrid w:val="0"/>
          <w:kern w:val="22"/>
          <w:szCs w:val="22"/>
          <w:lang w:val="fr-CA"/>
        </w:rPr>
        <w:t>e</w:t>
      </w:r>
      <w:r w:rsidR="00F40B1F" w:rsidRPr="00115221">
        <w:rPr>
          <w:rFonts w:cs="Times New Roman"/>
          <w:snapToGrid w:val="0"/>
          <w:kern w:val="22"/>
          <w:szCs w:val="22"/>
          <w:lang w:val="fr-CA"/>
        </w:rPr>
        <w:t xml:space="preserve"> </w:t>
      </w:r>
      <w:r w:rsidR="006326EA">
        <w:rPr>
          <w:rFonts w:cs="Times New Roman"/>
          <w:snapToGrid w:val="0"/>
          <w:kern w:val="22"/>
          <w:szCs w:val="22"/>
          <w:lang w:val="fr-CA"/>
        </w:rPr>
        <w:t>différence</w:t>
      </w:r>
      <w:r w:rsidR="00F40B1F" w:rsidRPr="00115221">
        <w:rPr>
          <w:rFonts w:cs="Times New Roman"/>
          <w:snapToGrid w:val="0"/>
          <w:kern w:val="22"/>
          <w:szCs w:val="22"/>
          <w:lang w:val="fr-CA"/>
        </w:rPr>
        <w:t>)</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21"/>
      </w:r>
      <w:r w:rsidR="004569FB" w:rsidRPr="00115221">
        <w:rPr>
          <w:rFonts w:cs="Times New Roman"/>
          <w:snapToGrid w:val="0"/>
          <w:kern w:val="22"/>
          <w:szCs w:val="22"/>
          <w:lang w:val="fr-CA"/>
        </w:rPr>
        <w:t xml:space="preserve">  </w:t>
      </w:r>
    </w:p>
    <w:p w14:paraId="050491E8" w14:textId="338F3E21" w:rsidR="004569FB" w:rsidRPr="00115221" w:rsidRDefault="00F40B1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Quatre-vingt-quatorze p. cent des Parties (87 Parties) ont déclaré </w:t>
      </w:r>
      <w:r w:rsidR="001B46D6" w:rsidRPr="00115221">
        <w:rPr>
          <w:rFonts w:cs="Times New Roman"/>
          <w:snapToGrid w:val="0"/>
          <w:kern w:val="22"/>
          <w:szCs w:val="22"/>
          <w:lang w:val="fr-CA"/>
        </w:rPr>
        <w:t>avoir en place un effectif</w:t>
      </w:r>
      <w:r w:rsidRPr="00115221">
        <w:rPr>
          <w:rFonts w:cs="Times New Roman"/>
          <w:snapToGrid w:val="0"/>
          <w:kern w:val="22"/>
          <w:szCs w:val="22"/>
          <w:lang w:val="fr-CA"/>
        </w:rPr>
        <w:t xml:space="preserve"> permanent chargé d’administrer les fonctions liées à la prévention des risques biotechnologiques, ce qui rep</w:t>
      </w:r>
      <w:r w:rsidR="001B46D6" w:rsidRPr="00115221">
        <w:rPr>
          <w:rFonts w:cs="Times New Roman"/>
          <w:snapToGrid w:val="0"/>
          <w:kern w:val="22"/>
          <w:szCs w:val="22"/>
          <w:lang w:val="fr-CA"/>
        </w:rPr>
        <w:t>résente une augmentati</w:t>
      </w:r>
      <w:r w:rsidRPr="00115221">
        <w:rPr>
          <w:rFonts w:cs="Times New Roman"/>
          <w:snapToGrid w:val="0"/>
          <w:kern w:val="22"/>
          <w:szCs w:val="22"/>
          <w:lang w:val="fr-CA"/>
        </w:rPr>
        <w:t>on de 8 p. cent par rapport à la valeur de référence (</w:t>
      </w:r>
      <w:r w:rsidR="00BA57D9">
        <w:rPr>
          <w:rFonts w:cs="Times New Roman"/>
          <w:snapToGrid w:val="0"/>
          <w:kern w:val="22"/>
          <w:szCs w:val="22"/>
          <w:lang w:val="fr-CA"/>
        </w:rPr>
        <w:t xml:space="preserve">les différences régionales sont réparties comme suit </w:t>
      </w:r>
      <w:r w:rsidRPr="00115221">
        <w:rPr>
          <w:rFonts w:cs="Times New Roman"/>
          <w:snapToGrid w:val="0"/>
          <w:kern w:val="22"/>
          <w:szCs w:val="22"/>
          <w:lang w:val="fr-CA"/>
        </w:rPr>
        <w:t>: Afrique</w:t>
      </w:r>
      <w:r w:rsidR="00BA57D9">
        <w:rPr>
          <w:rFonts w:cs="Times New Roman"/>
          <w:snapToGrid w:val="0"/>
          <w:kern w:val="22"/>
          <w:szCs w:val="22"/>
          <w:lang w:val="fr-CA"/>
        </w:rPr>
        <w:t> : +17 p. cent;</w:t>
      </w:r>
      <w:r w:rsidRPr="00115221">
        <w:rPr>
          <w:rFonts w:cs="Times New Roman"/>
          <w:snapToGrid w:val="0"/>
          <w:kern w:val="22"/>
          <w:szCs w:val="22"/>
          <w:lang w:val="fr-CA"/>
        </w:rPr>
        <w:t xml:space="preserve"> GALC</w:t>
      </w:r>
      <w:r w:rsidR="00BA57D9">
        <w:rPr>
          <w:rFonts w:cs="Times New Roman"/>
          <w:snapToGrid w:val="0"/>
          <w:kern w:val="22"/>
          <w:szCs w:val="22"/>
          <w:lang w:val="fr-CA"/>
        </w:rPr>
        <w:t> :</w:t>
      </w:r>
      <w:r w:rsidRPr="00115221">
        <w:rPr>
          <w:rFonts w:cs="Times New Roman"/>
          <w:snapToGrid w:val="0"/>
          <w:kern w:val="22"/>
          <w:szCs w:val="22"/>
          <w:lang w:val="fr-CA"/>
        </w:rPr>
        <w:t xml:space="preserve"> +7 p. cent; ECE</w:t>
      </w:r>
      <w:r w:rsidR="00BA57D9">
        <w:rPr>
          <w:rFonts w:cs="Times New Roman"/>
          <w:snapToGrid w:val="0"/>
          <w:kern w:val="22"/>
          <w:szCs w:val="22"/>
          <w:lang w:val="fr-CA"/>
        </w:rPr>
        <w:t xml:space="preserve"> : </w:t>
      </w:r>
      <w:r w:rsidRPr="00115221">
        <w:rPr>
          <w:rFonts w:cs="Times New Roman"/>
          <w:snapToGrid w:val="0"/>
          <w:kern w:val="22"/>
          <w:szCs w:val="22"/>
          <w:lang w:val="fr-CA"/>
        </w:rPr>
        <w:t>+6 p. cent; Asie</w:t>
      </w:r>
      <w:r w:rsidR="00652E1F">
        <w:rPr>
          <w:rFonts w:cs="Times New Roman"/>
          <w:snapToGrid w:val="0"/>
          <w:kern w:val="22"/>
          <w:szCs w:val="22"/>
          <w:lang w:val="fr-CA"/>
        </w:rPr>
        <w:t>-</w:t>
      </w:r>
      <w:r w:rsidRPr="00115221">
        <w:rPr>
          <w:rFonts w:cs="Times New Roman"/>
          <w:snapToGrid w:val="0"/>
          <w:kern w:val="22"/>
          <w:szCs w:val="22"/>
          <w:lang w:val="fr-CA"/>
        </w:rPr>
        <w:t>Pac</w:t>
      </w:r>
      <w:r w:rsidR="001B46D6" w:rsidRPr="00115221">
        <w:rPr>
          <w:rFonts w:cs="Times New Roman"/>
          <w:snapToGrid w:val="0"/>
          <w:kern w:val="22"/>
          <w:szCs w:val="22"/>
          <w:lang w:val="fr-CA"/>
        </w:rPr>
        <w:t>ifique et EOA</w:t>
      </w:r>
      <w:r w:rsidRPr="00115221">
        <w:rPr>
          <w:rFonts w:cs="Times New Roman"/>
          <w:snapToGrid w:val="0"/>
          <w:kern w:val="22"/>
          <w:szCs w:val="22"/>
          <w:lang w:val="fr-CA"/>
        </w:rPr>
        <w:t> : a</w:t>
      </w:r>
      <w:r w:rsidR="001B46D6" w:rsidRPr="00115221">
        <w:rPr>
          <w:rFonts w:cs="Times New Roman"/>
          <w:snapToGrid w:val="0"/>
          <w:kern w:val="22"/>
          <w:szCs w:val="22"/>
          <w:lang w:val="fr-CA"/>
        </w:rPr>
        <w:t>u</w:t>
      </w:r>
      <w:r w:rsidRPr="00115221">
        <w:rPr>
          <w:rFonts w:cs="Times New Roman"/>
          <w:snapToGrid w:val="0"/>
          <w:kern w:val="22"/>
          <w:szCs w:val="22"/>
          <w:lang w:val="fr-CA"/>
        </w:rPr>
        <w:t>cun</w:t>
      </w:r>
      <w:r w:rsidR="006326EA">
        <w:rPr>
          <w:rFonts w:cs="Times New Roman"/>
          <w:snapToGrid w:val="0"/>
          <w:kern w:val="22"/>
          <w:szCs w:val="22"/>
          <w:lang w:val="fr-CA"/>
        </w:rPr>
        <w:t>e</w:t>
      </w:r>
      <w:r w:rsidRPr="00115221">
        <w:rPr>
          <w:rFonts w:cs="Times New Roman"/>
          <w:snapToGrid w:val="0"/>
          <w:kern w:val="22"/>
          <w:szCs w:val="22"/>
          <w:lang w:val="fr-CA"/>
        </w:rPr>
        <w:t xml:space="preserve"> </w:t>
      </w:r>
      <w:r w:rsidR="006326EA">
        <w:rPr>
          <w:rFonts w:cs="Times New Roman"/>
          <w:snapToGrid w:val="0"/>
          <w:kern w:val="22"/>
          <w:szCs w:val="22"/>
          <w:lang w:val="fr-CA"/>
        </w:rPr>
        <w:t>différence</w:t>
      </w:r>
      <w:r w:rsidRPr="00115221">
        <w:rPr>
          <w:rFonts w:cs="Times New Roman"/>
          <w:snapToGrid w:val="0"/>
          <w:kern w:val="22"/>
          <w:szCs w:val="22"/>
          <w:lang w:val="fr-CA"/>
        </w:rPr>
        <w:t xml:space="preserve"> par ra</w:t>
      </w:r>
      <w:r w:rsidR="001B46D6" w:rsidRPr="00115221">
        <w:rPr>
          <w:rFonts w:cs="Times New Roman"/>
          <w:snapToGrid w:val="0"/>
          <w:kern w:val="22"/>
          <w:szCs w:val="22"/>
          <w:lang w:val="fr-CA"/>
        </w:rPr>
        <w:t>p</w:t>
      </w:r>
      <w:r w:rsidRPr="00115221">
        <w:rPr>
          <w:rFonts w:cs="Times New Roman"/>
          <w:snapToGrid w:val="0"/>
          <w:kern w:val="22"/>
          <w:szCs w:val="22"/>
          <w:lang w:val="fr-CA"/>
        </w:rPr>
        <w:t>port à la v</w:t>
      </w:r>
      <w:r w:rsidR="001B46D6" w:rsidRPr="00115221">
        <w:rPr>
          <w:rFonts w:cs="Times New Roman"/>
          <w:snapToGrid w:val="0"/>
          <w:kern w:val="22"/>
          <w:szCs w:val="22"/>
          <w:lang w:val="fr-CA"/>
        </w:rPr>
        <w:t>a</w:t>
      </w:r>
      <w:r w:rsidRPr="00115221">
        <w:rPr>
          <w:rFonts w:cs="Times New Roman"/>
          <w:snapToGrid w:val="0"/>
          <w:kern w:val="22"/>
          <w:szCs w:val="22"/>
          <w:lang w:val="fr-CA"/>
        </w:rPr>
        <w:t xml:space="preserve">leur de référence). </w:t>
      </w:r>
      <w:r w:rsidR="001B46D6" w:rsidRPr="00115221">
        <w:rPr>
          <w:rFonts w:cs="Times New Roman"/>
          <w:snapToGrid w:val="0"/>
          <w:kern w:val="22"/>
          <w:szCs w:val="22"/>
          <w:lang w:val="fr-CA"/>
        </w:rPr>
        <w:t xml:space="preserve">Quarante-sept p. cent des Parties ont indiqué </w:t>
      </w:r>
      <w:r w:rsidR="00BA57D9" w:rsidRPr="00115221">
        <w:rPr>
          <w:rFonts w:cs="Times New Roman"/>
          <w:snapToGrid w:val="0"/>
          <w:kern w:val="22"/>
          <w:szCs w:val="22"/>
          <w:lang w:val="fr-CA"/>
        </w:rPr>
        <w:t>dans leur quatrième rapport national</w:t>
      </w:r>
      <w:r w:rsidR="00BA57D9">
        <w:rPr>
          <w:rFonts w:cs="Times New Roman"/>
          <w:snapToGrid w:val="0"/>
          <w:kern w:val="22"/>
          <w:szCs w:val="22"/>
          <w:lang w:val="fr-CA"/>
        </w:rPr>
        <w:t xml:space="preserve"> </w:t>
      </w:r>
      <w:r w:rsidR="001B46D6" w:rsidRPr="00115221">
        <w:rPr>
          <w:rFonts w:cs="Times New Roman"/>
          <w:snapToGrid w:val="0"/>
          <w:kern w:val="22"/>
          <w:szCs w:val="22"/>
          <w:lang w:val="fr-CA"/>
        </w:rPr>
        <w:t>que le nombre d’employés affectés était adéquat</w:t>
      </w:r>
      <w:r w:rsidR="004569FB" w:rsidRPr="00115221">
        <w:rPr>
          <w:rFonts w:cs="Times New Roman"/>
          <w:bCs/>
          <w:snapToGrid w:val="0"/>
          <w:kern w:val="22"/>
          <w:szCs w:val="22"/>
          <w:lang w:val="fr-CA"/>
        </w:rPr>
        <w:t>.</w:t>
      </w:r>
      <w:r w:rsidR="00270B17" w:rsidRPr="00115221">
        <w:rPr>
          <w:rStyle w:val="FootnoteReference"/>
          <w:rFonts w:cs="Times New Roman"/>
          <w:bCs/>
          <w:snapToGrid w:val="0"/>
          <w:kern w:val="22"/>
          <w:szCs w:val="22"/>
          <w:lang w:val="fr-CA"/>
        </w:rPr>
        <w:footnoteReference w:id="22"/>
      </w:r>
    </w:p>
    <w:p w14:paraId="1B5E3073" w14:textId="58C994A4" w:rsidR="004569FB" w:rsidRPr="00115221" w:rsidRDefault="00870542"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Soixante-cinq p. cent des Parties (60 Parties) ont indiqué avoir créé des capacités institutionnelles adéquates afin de permettre à l’autorité nationale compétente d’exécuter les fonctions administratives requises</w:t>
      </w:r>
      <w:r w:rsidR="002410DD" w:rsidRPr="00115221">
        <w:rPr>
          <w:rFonts w:cs="Times New Roman"/>
          <w:snapToGrid w:val="0"/>
          <w:kern w:val="22"/>
          <w:szCs w:val="22"/>
          <w:lang w:val="fr-CA"/>
        </w:rPr>
        <w:t xml:space="preserve"> au titre du Protocole de Cartagena (une augmentation de 20 p. cent par rapport à la valeur de référence), tandis que 26 p. cent des Parties (24 Parties) ont déclaré avoir créé une capacité institutionnelle adéquate, </w:t>
      </w:r>
      <w:r w:rsidR="00410688">
        <w:rPr>
          <w:rFonts w:cs="Times New Roman"/>
          <w:snapToGrid w:val="0"/>
          <w:kern w:val="22"/>
          <w:szCs w:val="22"/>
          <w:lang w:val="fr-CA"/>
        </w:rPr>
        <w:t>dans une certaine mesure</w:t>
      </w:r>
      <w:r w:rsidR="002410DD" w:rsidRPr="00115221">
        <w:rPr>
          <w:rFonts w:cs="Times New Roman"/>
          <w:snapToGrid w:val="0"/>
          <w:kern w:val="22"/>
          <w:szCs w:val="22"/>
          <w:lang w:val="fr-CA"/>
        </w:rPr>
        <w:t xml:space="preserve"> (une diminution de 14 p. cent par rapport à la valeur de référence</w:t>
      </w:r>
      <w:r w:rsidR="004569FB" w:rsidRPr="00115221">
        <w:rPr>
          <w:rFonts w:cs="Times New Roman"/>
          <w:snapToGrid w:val="0"/>
          <w:kern w:val="22"/>
          <w:szCs w:val="22"/>
          <w:lang w:val="fr-CA"/>
        </w:rPr>
        <w:t>).</w:t>
      </w:r>
    </w:p>
    <w:p w14:paraId="077563FA" w14:textId="4DAF9664" w:rsidR="004569FB" w:rsidRPr="00115221" w:rsidRDefault="000E4072"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Plusieurs pays ont mentionné dans leur exposé écrit que malgré la mise en place de cadres institutionnels, les capacités nécessaires et le personnel affecté demeurent insuffisants. Certaines Parties ont </w:t>
      </w:r>
      <w:r w:rsidRPr="00115221">
        <w:rPr>
          <w:rFonts w:cs="Times New Roman"/>
          <w:snapToGrid w:val="0"/>
          <w:kern w:val="22"/>
          <w:szCs w:val="22"/>
          <w:lang w:val="fr-CA"/>
        </w:rPr>
        <w:lastRenderedPageBreak/>
        <w:t>indiqué qu’une amélioration de la coopération interagences s’impose</w:t>
      </w:r>
      <w:r w:rsidR="004569FB" w:rsidRPr="00115221">
        <w:rPr>
          <w:rFonts w:cs="Times New Roman"/>
          <w:snapToGrid w:val="0"/>
          <w:kern w:val="22"/>
          <w:szCs w:val="22"/>
          <w:lang w:val="fr-CA"/>
        </w:rPr>
        <w:t xml:space="preserve">. </w:t>
      </w:r>
      <w:r w:rsidRPr="00115221">
        <w:rPr>
          <w:rFonts w:cs="Times New Roman"/>
          <w:snapToGrid w:val="0"/>
          <w:kern w:val="22"/>
          <w:szCs w:val="22"/>
          <w:lang w:val="fr-CA"/>
        </w:rPr>
        <w:t>D’autres Parties ont mentionné qu’il faut renforcer davantage le mandat par le biais de lois.</w:t>
      </w:r>
    </w:p>
    <w:p w14:paraId="52226305" w14:textId="210DDEE4" w:rsidR="004569FB" w:rsidRPr="00115221" w:rsidRDefault="008C14BA" w:rsidP="000A5388">
      <w:pPr>
        <w:keepNext/>
        <w:numPr>
          <w:ilvl w:val="0"/>
          <w:numId w:val="17"/>
        </w:numPr>
        <w:suppressLineNumbers/>
        <w:tabs>
          <w:tab w:val="clear" w:pos="2070"/>
          <w:tab w:val="left" w:pos="2552"/>
        </w:tabs>
        <w:suppressAutoHyphens/>
        <w:spacing w:before="120" w:after="120"/>
        <w:ind w:left="2552" w:hanging="709"/>
        <w:jc w:val="left"/>
        <w:outlineLvl w:val="1"/>
        <w:rPr>
          <w:rFonts w:cs="Times New Roman"/>
          <w:b/>
          <w:iCs/>
          <w:snapToGrid w:val="0"/>
          <w:kern w:val="22"/>
          <w:szCs w:val="22"/>
          <w:lang w:val="fr-CA"/>
        </w:rPr>
      </w:pPr>
      <w:r w:rsidRPr="00115221">
        <w:rPr>
          <w:rFonts w:cs="Times New Roman"/>
          <w:b/>
          <w:iCs/>
          <w:snapToGrid w:val="0"/>
          <w:kern w:val="22"/>
          <w:szCs w:val="22"/>
          <w:lang w:val="fr-CA"/>
        </w:rPr>
        <w:t>Coordination et soutien</w:t>
      </w:r>
      <w:r w:rsidR="004569FB" w:rsidRPr="00115221">
        <w:rPr>
          <w:rFonts w:cs="Times New Roman"/>
          <w:b/>
          <w:iCs/>
          <w:snapToGrid w:val="0"/>
          <w:kern w:val="22"/>
          <w:szCs w:val="22"/>
          <w:lang w:val="fr-CA"/>
        </w:rPr>
        <w:t xml:space="preserve"> (</w:t>
      </w:r>
      <w:r w:rsidRPr="00115221">
        <w:rPr>
          <w:rFonts w:cs="Times New Roman"/>
          <w:b/>
          <w:iCs/>
          <w:snapToGrid w:val="0"/>
          <w:kern w:val="22"/>
          <w:szCs w:val="22"/>
          <w:lang w:val="fr-CA"/>
        </w:rPr>
        <w:t>objectif opérationnel</w:t>
      </w:r>
      <w:r w:rsidR="004569FB" w:rsidRPr="00115221">
        <w:rPr>
          <w:rFonts w:cs="Times New Roman"/>
          <w:b/>
          <w:iCs/>
          <w:snapToGrid w:val="0"/>
          <w:kern w:val="22"/>
          <w:szCs w:val="22"/>
          <w:lang w:val="fr-CA"/>
        </w:rPr>
        <w:t xml:space="preserve"> 1.2)</w:t>
      </w:r>
    </w:p>
    <w:p w14:paraId="0C3D9CA6" w14:textId="50B1501C" w:rsidR="004569FB" w:rsidRPr="00115221" w:rsidRDefault="00622AA8"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w:t>
      </w:r>
      <w:r w:rsidR="007F1A27" w:rsidRPr="00115221">
        <w:rPr>
          <w:rFonts w:cs="Times New Roman"/>
          <w:snapToGrid w:val="0"/>
          <w:kern w:val="22"/>
          <w:szCs w:val="22"/>
          <w:lang w:val="fr-CA"/>
        </w:rPr>
        <w:t>o</w:t>
      </w:r>
      <w:r w:rsidRPr="00115221">
        <w:rPr>
          <w:rFonts w:cs="Times New Roman"/>
          <w:snapToGrid w:val="0"/>
          <w:kern w:val="22"/>
          <w:szCs w:val="22"/>
          <w:lang w:val="fr-CA"/>
        </w:rPr>
        <w:t xml:space="preserve">bjectif opérationnel 1.2 concerne la mise en place de mécanismes efficaces d’établissement de </w:t>
      </w:r>
      <w:r w:rsidR="00B907F9">
        <w:rPr>
          <w:rFonts w:cs="Times New Roman"/>
          <w:snapToGrid w:val="0"/>
          <w:kern w:val="22"/>
          <w:szCs w:val="22"/>
          <w:lang w:val="fr-CA"/>
        </w:rPr>
        <w:t>programmes</w:t>
      </w:r>
      <w:r w:rsidRPr="00115221">
        <w:rPr>
          <w:rFonts w:cs="Times New Roman"/>
          <w:snapToGrid w:val="0"/>
          <w:kern w:val="22"/>
          <w:szCs w:val="22"/>
          <w:lang w:val="fr-CA"/>
        </w:rPr>
        <w:t xml:space="preserve"> de prévention des risques biotechnologiques</w:t>
      </w:r>
      <w:r w:rsidR="00AF582F" w:rsidRPr="00115221">
        <w:rPr>
          <w:rFonts w:cs="Times New Roman"/>
          <w:snapToGrid w:val="0"/>
          <w:kern w:val="22"/>
          <w:szCs w:val="22"/>
          <w:lang w:val="fr-CA"/>
        </w:rPr>
        <w:t xml:space="preserve"> </w:t>
      </w:r>
      <w:r w:rsidR="00B907F9">
        <w:rPr>
          <w:rFonts w:cs="Times New Roman"/>
          <w:snapToGrid w:val="0"/>
          <w:kern w:val="22"/>
          <w:szCs w:val="22"/>
          <w:lang w:val="fr-CA"/>
        </w:rPr>
        <w:t>recevant le</w:t>
      </w:r>
      <w:r w:rsidR="00AF582F" w:rsidRPr="00115221">
        <w:rPr>
          <w:rFonts w:cs="Times New Roman"/>
          <w:snapToGrid w:val="0"/>
          <w:kern w:val="22"/>
          <w:szCs w:val="22"/>
          <w:lang w:val="fr-CA"/>
        </w:rPr>
        <w:t xml:space="preserve"> soutien nécessaire pour la coordination, le financement et le suivi</w:t>
      </w:r>
      <w:r w:rsidR="004569FB" w:rsidRPr="00115221">
        <w:rPr>
          <w:rFonts w:cs="Times New Roman"/>
          <w:snapToGrid w:val="0"/>
          <w:kern w:val="22"/>
          <w:szCs w:val="22"/>
          <w:lang w:val="fr-CA"/>
        </w:rPr>
        <w:t>.</w:t>
      </w:r>
      <w:r w:rsidR="00AF582F" w:rsidRPr="00115221">
        <w:rPr>
          <w:rFonts w:cs="Times New Roman"/>
          <w:snapToGrid w:val="0"/>
          <w:kern w:val="22"/>
          <w:szCs w:val="22"/>
          <w:lang w:val="fr-CA"/>
        </w:rPr>
        <w:t xml:space="preserve"> Huit indicateurs ont été </w:t>
      </w:r>
      <w:r w:rsidR="00B907F9">
        <w:rPr>
          <w:rFonts w:cs="Times New Roman"/>
          <w:snapToGrid w:val="0"/>
          <w:kern w:val="22"/>
          <w:szCs w:val="22"/>
          <w:lang w:val="fr-CA"/>
        </w:rPr>
        <w:t>établis</w:t>
      </w:r>
      <w:r w:rsidR="00AF582F" w:rsidRPr="00115221">
        <w:rPr>
          <w:rFonts w:cs="Times New Roman"/>
          <w:snapToGrid w:val="0"/>
          <w:kern w:val="22"/>
          <w:szCs w:val="22"/>
          <w:lang w:val="fr-CA"/>
        </w:rPr>
        <w:t xml:space="preserve"> afin de mesurer le progrès accompli dans la réalisation de cet objectif opérationnel.</w:t>
      </w:r>
    </w:p>
    <w:p w14:paraId="32AF3A03" w14:textId="0BA75A2C" w:rsidR="004569FB" w:rsidRPr="00115221" w:rsidRDefault="00AF582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w:t>
      </w:r>
      <w:r w:rsidR="007F1A27" w:rsidRPr="00115221">
        <w:rPr>
          <w:rFonts w:cs="Times New Roman"/>
          <w:b/>
          <w:snapToGrid w:val="0"/>
          <w:kern w:val="22"/>
          <w:szCs w:val="22"/>
          <w:lang w:val="fr-CA"/>
        </w:rPr>
        <w:t xml:space="preserve"> 1.2.1</w:t>
      </w:r>
      <w:r w:rsidR="007F1A27" w:rsidRPr="00115221">
        <w:rPr>
          <w:rFonts w:cs="Times New Roman"/>
          <w:snapToGrid w:val="0"/>
          <w:kern w:val="22"/>
          <w:szCs w:val="22"/>
          <w:lang w:val="fr-CA"/>
        </w:rPr>
        <w:t xml:space="preserve"> (nombre de Parties ayant évalué leur</w:t>
      </w:r>
      <w:r w:rsidR="00CF056F">
        <w:rPr>
          <w:rFonts w:cs="Times New Roman"/>
          <w:snapToGrid w:val="0"/>
          <w:kern w:val="22"/>
          <w:szCs w:val="22"/>
          <w:lang w:val="fr-CA"/>
        </w:rPr>
        <w:t>s</w:t>
      </w:r>
      <w:r w:rsidR="007F1A27" w:rsidRPr="00115221">
        <w:rPr>
          <w:rFonts w:cs="Times New Roman"/>
          <w:snapToGrid w:val="0"/>
          <w:kern w:val="22"/>
          <w:szCs w:val="22"/>
          <w:lang w:val="fr-CA"/>
        </w:rPr>
        <w:t xml:space="preserve"> besoins de renforcement des capacités, y compris les besoins de formation et institutionnels, et communiqué l’information au </w:t>
      </w:r>
      <w:r w:rsidR="00B6412A">
        <w:rPr>
          <w:rFonts w:cs="Times New Roman"/>
          <w:snapToGrid w:val="0"/>
          <w:kern w:val="22"/>
          <w:szCs w:val="22"/>
          <w:lang w:val="fr-CA"/>
        </w:rPr>
        <w:t>centre d’échange</w:t>
      </w:r>
      <w:r w:rsidR="007F1A27" w:rsidRPr="00115221">
        <w:rPr>
          <w:rFonts w:cs="Times New Roman"/>
          <w:snapToGrid w:val="0"/>
          <w:kern w:val="22"/>
          <w:szCs w:val="22"/>
          <w:lang w:val="fr-CA"/>
        </w:rPr>
        <w:t xml:space="preserve"> sur la prévention des risques biotechnologiques), 45 p. cent des Parties (42 Parties) ont indiqué avoir mené une évaluation des besoins de renforcement des capacités, </w:t>
      </w:r>
      <w:r w:rsidR="00B907F9">
        <w:rPr>
          <w:rFonts w:cs="Times New Roman"/>
          <w:snapToGrid w:val="0"/>
          <w:kern w:val="22"/>
          <w:szCs w:val="22"/>
          <w:lang w:val="fr-CA"/>
        </w:rPr>
        <w:t xml:space="preserve">une diminution de </w:t>
      </w:r>
      <w:r w:rsidR="007F1A27" w:rsidRPr="00115221">
        <w:rPr>
          <w:rFonts w:cs="Times New Roman"/>
          <w:snapToGrid w:val="0"/>
          <w:kern w:val="22"/>
          <w:szCs w:val="22"/>
          <w:lang w:val="fr-CA"/>
        </w:rPr>
        <w:t xml:space="preserve">4 p. cent </w:t>
      </w:r>
      <w:r w:rsidR="00B907F9">
        <w:rPr>
          <w:rFonts w:cs="Times New Roman"/>
          <w:snapToGrid w:val="0"/>
          <w:kern w:val="22"/>
          <w:szCs w:val="22"/>
          <w:lang w:val="fr-CA"/>
        </w:rPr>
        <w:t>par rapport à</w:t>
      </w:r>
      <w:r w:rsidR="007F1A27" w:rsidRPr="00115221">
        <w:rPr>
          <w:rFonts w:cs="Times New Roman"/>
          <w:snapToGrid w:val="0"/>
          <w:kern w:val="22"/>
          <w:szCs w:val="22"/>
          <w:lang w:val="fr-CA"/>
        </w:rPr>
        <w:t xml:space="preserve"> la valeur de référence. Les chiffres pour les régions sont les suivants : 69 p. cent </w:t>
      </w:r>
      <w:r w:rsidR="001B40FC" w:rsidRPr="00115221">
        <w:rPr>
          <w:rFonts w:cs="Times New Roman"/>
          <w:snapToGrid w:val="0"/>
          <w:kern w:val="22"/>
          <w:szCs w:val="22"/>
          <w:lang w:val="fr-CA"/>
        </w:rPr>
        <w:t>en Asie-Pacifique (+19 p. </w:t>
      </w:r>
      <w:r w:rsidR="007F1A27" w:rsidRPr="00115221">
        <w:rPr>
          <w:rFonts w:cs="Times New Roman"/>
          <w:snapToGrid w:val="0"/>
          <w:kern w:val="22"/>
          <w:szCs w:val="22"/>
          <w:lang w:val="fr-CA"/>
        </w:rPr>
        <w:t xml:space="preserve">cent); </w:t>
      </w:r>
      <w:r w:rsidR="001B40FC" w:rsidRPr="00115221">
        <w:rPr>
          <w:rFonts w:cs="Times New Roman"/>
          <w:snapToGrid w:val="0"/>
          <w:kern w:val="22"/>
          <w:szCs w:val="22"/>
          <w:lang w:val="fr-CA"/>
        </w:rPr>
        <w:t xml:space="preserve">63 p. cent en Afrique (+7 p. cent); 54 p. cent pour le </w:t>
      </w:r>
      <w:r w:rsidR="00B907F9">
        <w:rPr>
          <w:rFonts w:cs="Times New Roman"/>
          <w:snapToGrid w:val="0"/>
          <w:kern w:val="22"/>
          <w:szCs w:val="22"/>
          <w:lang w:val="fr-CA"/>
        </w:rPr>
        <w:t>GALC</w:t>
      </w:r>
      <w:r w:rsidR="00CF056F">
        <w:rPr>
          <w:rFonts w:cs="Times New Roman"/>
          <w:snapToGrid w:val="0"/>
          <w:kern w:val="22"/>
          <w:szCs w:val="22"/>
          <w:lang w:val="fr-CA"/>
        </w:rPr>
        <w:t> (-8 </w:t>
      </w:r>
      <w:r w:rsidR="001B40FC" w:rsidRPr="00115221">
        <w:rPr>
          <w:rFonts w:cs="Times New Roman"/>
          <w:snapToGrid w:val="0"/>
          <w:kern w:val="22"/>
          <w:szCs w:val="22"/>
          <w:lang w:val="fr-CA"/>
        </w:rPr>
        <w:t>p. cent); 19 p. cent en ECE (-44 p. cent) et 11 p. cent en EOA (-6 p. cent).</w:t>
      </w:r>
      <w:r w:rsidR="004569FB" w:rsidRPr="00115221">
        <w:rPr>
          <w:rFonts w:cs="Times New Roman"/>
          <w:bCs/>
          <w:snapToGrid w:val="0"/>
          <w:kern w:val="22"/>
          <w:szCs w:val="22"/>
          <w:lang w:val="fr-CA"/>
        </w:rPr>
        <w:t xml:space="preserve"> </w:t>
      </w:r>
    </w:p>
    <w:p w14:paraId="0751574A" w14:textId="075F46CF" w:rsidR="004569FB" w:rsidRPr="00115221" w:rsidRDefault="001B40FC"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E</w:t>
      </w:r>
      <w:r w:rsidR="004276BE" w:rsidRPr="00115221">
        <w:rPr>
          <w:rFonts w:cs="Times New Roman"/>
          <w:snapToGrid w:val="0"/>
          <w:kern w:val="22"/>
          <w:szCs w:val="22"/>
          <w:lang w:val="fr-CA"/>
        </w:rPr>
        <w:t>n</w:t>
      </w:r>
      <w:r w:rsidRPr="00115221">
        <w:rPr>
          <w:rFonts w:cs="Times New Roman"/>
          <w:snapToGrid w:val="0"/>
          <w:kern w:val="22"/>
          <w:szCs w:val="22"/>
          <w:lang w:val="fr-CA"/>
        </w:rPr>
        <w:t xml:space="preserve"> ce qui a trait à </w:t>
      </w:r>
      <w:r w:rsidRPr="00115221">
        <w:rPr>
          <w:rFonts w:cs="Times New Roman"/>
          <w:b/>
          <w:snapToGrid w:val="0"/>
          <w:kern w:val="22"/>
          <w:szCs w:val="22"/>
          <w:lang w:val="fr-CA"/>
        </w:rPr>
        <w:t>l’</w:t>
      </w:r>
      <w:r w:rsidR="004276BE" w:rsidRPr="00115221">
        <w:rPr>
          <w:rFonts w:cs="Times New Roman"/>
          <w:b/>
          <w:snapToGrid w:val="0"/>
          <w:kern w:val="22"/>
          <w:szCs w:val="22"/>
          <w:lang w:val="fr-CA"/>
        </w:rPr>
        <w:t>indicateur 1.2.</w:t>
      </w:r>
      <w:r w:rsidRPr="00115221">
        <w:rPr>
          <w:rFonts w:cs="Times New Roman"/>
          <w:b/>
          <w:snapToGrid w:val="0"/>
          <w:kern w:val="22"/>
          <w:szCs w:val="22"/>
          <w:lang w:val="fr-CA"/>
        </w:rPr>
        <w:t>2</w:t>
      </w:r>
      <w:r w:rsidRPr="00115221">
        <w:rPr>
          <w:rFonts w:cs="Times New Roman"/>
          <w:snapToGrid w:val="0"/>
          <w:kern w:val="22"/>
          <w:szCs w:val="22"/>
          <w:lang w:val="fr-CA"/>
        </w:rPr>
        <w:t xml:space="preserve"> (pourcentage des P</w:t>
      </w:r>
      <w:r w:rsidR="004276BE" w:rsidRPr="00115221">
        <w:rPr>
          <w:rFonts w:cs="Times New Roman"/>
          <w:snapToGrid w:val="0"/>
          <w:kern w:val="22"/>
          <w:szCs w:val="22"/>
          <w:lang w:val="fr-CA"/>
        </w:rPr>
        <w:t>a</w:t>
      </w:r>
      <w:r w:rsidRPr="00115221">
        <w:rPr>
          <w:rFonts w:cs="Times New Roman"/>
          <w:snapToGrid w:val="0"/>
          <w:kern w:val="22"/>
          <w:szCs w:val="22"/>
          <w:lang w:val="fr-CA"/>
        </w:rPr>
        <w:t>rties ayant élaboré des plans d’</w:t>
      </w:r>
      <w:r w:rsidR="004276BE" w:rsidRPr="00115221">
        <w:rPr>
          <w:rFonts w:cs="Times New Roman"/>
          <w:snapToGrid w:val="0"/>
          <w:kern w:val="22"/>
          <w:szCs w:val="22"/>
          <w:lang w:val="fr-CA"/>
        </w:rPr>
        <w:t>acti</w:t>
      </w:r>
      <w:r w:rsidRPr="00115221">
        <w:rPr>
          <w:rFonts w:cs="Times New Roman"/>
          <w:snapToGrid w:val="0"/>
          <w:kern w:val="22"/>
          <w:szCs w:val="22"/>
          <w:lang w:val="fr-CA"/>
        </w:rPr>
        <w:t xml:space="preserve">on  </w:t>
      </w:r>
      <w:r w:rsidRPr="00115221">
        <w:rPr>
          <w:rFonts w:eastAsia="Times New Roman" w:cs="Times New Roman"/>
          <w:snapToGrid w:val="0"/>
          <w:kern w:val="22"/>
          <w:szCs w:val="22"/>
          <w:lang w:val="fr-CA"/>
        </w:rPr>
        <w:t>nationaux</w:t>
      </w:r>
      <w:r w:rsidRPr="00115221">
        <w:rPr>
          <w:rFonts w:cs="Times New Roman"/>
          <w:snapToGrid w:val="0"/>
          <w:kern w:val="22"/>
          <w:szCs w:val="22"/>
          <w:lang w:val="fr-CA"/>
        </w:rPr>
        <w:t xml:space="preserve"> de pré</w:t>
      </w:r>
      <w:r w:rsidR="00511C27" w:rsidRPr="00115221">
        <w:rPr>
          <w:rFonts w:cs="Times New Roman"/>
          <w:snapToGrid w:val="0"/>
          <w:kern w:val="22"/>
          <w:szCs w:val="22"/>
          <w:lang w:val="fr-CA"/>
        </w:rPr>
        <w:t>vention des risques biotechnolog</w:t>
      </w:r>
      <w:r w:rsidRPr="00115221">
        <w:rPr>
          <w:rFonts w:cs="Times New Roman"/>
          <w:snapToGrid w:val="0"/>
          <w:kern w:val="22"/>
          <w:szCs w:val="22"/>
          <w:lang w:val="fr-CA"/>
        </w:rPr>
        <w:t xml:space="preserve">iques pour l’application du Protocole), </w:t>
      </w:r>
      <w:r w:rsidR="00511C27" w:rsidRPr="00115221">
        <w:rPr>
          <w:rFonts w:cs="Times New Roman"/>
          <w:bCs/>
          <w:snapToGrid w:val="0"/>
          <w:kern w:val="22"/>
          <w:szCs w:val="22"/>
          <w:lang w:val="fr-CA"/>
        </w:rPr>
        <w:t xml:space="preserve">33 p. cent </w:t>
      </w:r>
      <w:r w:rsidR="00B907F9">
        <w:rPr>
          <w:rFonts w:cs="Times New Roman"/>
          <w:bCs/>
          <w:snapToGrid w:val="0"/>
          <w:kern w:val="22"/>
          <w:szCs w:val="22"/>
          <w:lang w:val="fr-CA"/>
        </w:rPr>
        <w:t>des Parties (31 Parties) ont déc</w:t>
      </w:r>
      <w:r w:rsidR="00511C27" w:rsidRPr="00115221">
        <w:rPr>
          <w:rFonts w:cs="Times New Roman"/>
          <w:bCs/>
          <w:snapToGrid w:val="0"/>
          <w:kern w:val="22"/>
          <w:szCs w:val="22"/>
          <w:lang w:val="fr-CA"/>
        </w:rPr>
        <w:t xml:space="preserve">laré avoir élaboré une stratégie ou un plan d’action de renforcement des capacités, </w:t>
      </w:r>
      <w:r w:rsidR="00B907F9">
        <w:rPr>
          <w:rFonts w:cs="Times New Roman"/>
          <w:bCs/>
          <w:snapToGrid w:val="0"/>
          <w:kern w:val="22"/>
          <w:szCs w:val="22"/>
          <w:lang w:val="fr-CA"/>
        </w:rPr>
        <w:t>une augmentation de</w:t>
      </w:r>
      <w:r w:rsidR="00511C27" w:rsidRPr="00115221">
        <w:rPr>
          <w:rFonts w:cs="Times New Roman"/>
          <w:bCs/>
          <w:snapToGrid w:val="0"/>
          <w:kern w:val="22"/>
          <w:szCs w:val="22"/>
          <w:lang w:val="fr-CA"/>
        </w:rPr>
        <w:t xml:space="preserve"> 2 p. cent </w:t>
      </w:r>
      <w:r w:rsidR="00B907F9">
        <w:rPr>
          <w:rFonts w:cs="Times New Roman"/>
          <w:bCs/>
          <w:snapToGrid w:val="0"/>
          <w:kern w:val="22"/>
          <w:szCs w:val="22"/>
          <w:lang w:val="fr-CA"/>
        </w:rPr>
        <w:t>par rapport à la</w:t>
      </w:r>
      <w:r w:rsidR="00511C27" w:rsidRPr="00115221">
        <w:rPr>
          <w:rFonts w:cs="Times New Roman"/>
          <w:bCs/>
          <w:snapToGrid w:val="0"/>
          <w:kern w:val="22"/>
          <w:szCs w:val="22"/>
          <w:lang w:val="fr-CA"/>
        </w:rPr>
        <w:t xml:space="preserve"> valeur de référence. </w:t>
      </w:r>
      <w:r w:rsidR="00B907F9">
        <w:rPr>
          <w:rFonts w:cs="Times New Roman"/>
          <w:bCs/>
          <w:snapToGrid w:val="0"/>
          <w:kern w:val="22"/>
          <w:szCs w:val="22"/>
          <w:lang w:val="fr-CA"/>
        </w:rPr>
        <w:t>Les différences régionales sont réparties comme suit</w:t>
      </w:r>
      <w:r w:rsidR="00511C27" w:rsidRPr="00115221">
        <w:rPr>
          <w:rFonts w:cs="Times New Roman"/>
          <w:bCs/>
          <w:snapToGrid w:val="0"/>
          <w:kern w:val="22"/>
          <w:szCs w:val="22"/>
          <w:lang w:val="fr-CA"/>
        </w:rPr>
        <w:t xml:space="preserve"> : Asie-Pacifique : 75 p. cent (+31 p</w:t>
      </w:r>
      <w:r w:rsidR="00805C0F">
        <w:rPr>
          <w:rFonts w:cs="Times New Roman"/>
          <w:bCs/>
          <w:snapToGrid w:val="0"/>
          <w:kern w:val="22"/>
          <w:szCs w:val="22"/>
          <w:lang w:val="fr-CA"/>
        </w:rPr>
        <w:t>. cent); Afrique : 33 p. cent (+</w:t>
      </w:r>
      <w:r w:rsidR="00511C27" w:rsidRPr="00115221">
        <w:rPr>
          <w:rFonts w:cs="Times New Roman"/>
          <w:bCs/>
          <w:snapToGrid w:val="0"/>
          <w:kern w:val="22"/>
          <w:szCs w:val="22"/>
          <w:lang w:val="fr-CA"/>
        </w:rPr>
        <w:t xml:space="preserve">3 p. cent) et ECE : 13 p. cent (-25 p. cent). Les pourcentages déclarés pour le GALC (38 p. cent) et l’EOA (11 p. cent) </w:t>
      </w:r>
      <w:r w:rsidR="00805C0F">
        <w:rPr>
          <w:rFonts w:cs="Times New Roman"/>
          <w:bCs/>
          <w:snapToGrid w:val="0"/>
          <w:kern w:val="22"/>
          <w:szCs w:val="22"/>
          <w:lang w:val="fr-CA"/>
        </w:rPr>
        <w:t>ne présentent aucune différence par rapport</w:t>
      </w:r>
      <w:r w:rsidR="00511C27" w:rsidRPr="00115221">
        <w:rPr>
          <w:rFonts w:cs="Times New Roman"/>
          <w:bCs/>
          <w:snapToGrid w:val="0"/>
          <w:kern w:val="22"/>
          <w:szCs w:val="22"/>
          <w:lang w:val="fr-CA"/>
        </w:rPr>
        <w:t xml:space="preserve"> à la valeur de référence.</w:t>
      </w:r>
    </w:p>
    <w:p w14:paraId="568E6F53" w14:textId="47D31EF8" w:rsidR="004569FB" w:rsidRPr="00115221" w:rsidRDefault="00511C27"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1.2.3</w:t>
      </w:r>
      <w:r w:rsidRPr="00115221">
        <w:rPr>
          <w:rFonts w:cs="Times New Roman"/>
          <w:snapToGrid w:val="0"/>
          <w:kern w:val="22"/>
          <w:szCs w:val="22"/>
          <w:lang w:val="fr-CA"/>
        </w:rPr>
        <w:t xml:space="preserve"> (pourcentage des Parties ayant mis en place des programmes de formation du personnel </w:t>
      </w:r>
      <w:r w:rsidR="00805C0F">
        <w:rPr>
          <w:rFonts w:cs="Times New Roman"/>
          <w:snapToGrid w:val="0"/>
          <w:kern w:val="22"/>
          <w:szCs w:val="22"/>
          <w:lang w:val="fr-CA"/>
        </w:rPr>
        <w:t>pour traiter d</w:t>
      </w:r>
      <w:r w:rsidRPr="00115221">
        <w:rPr>
          <w:rFonts w:cs="Times New Roman"/>
          <w:snapToGrid w:val="0"/>
          <w:kern w:val="22"/>
          <w:szCs w:val="22"/>
          <w:lang w:val="fr-CA"/>
        </w:rPr>
        <w:t>es enjeux liés à la p</w:t>
      </w:r>
      <w:r w:rsidR="00D218AE" w:rsidRPr="00115221">
        <w:rPr>
          <w:rFonts w:cs="Times New Roman"/>
          <w:snapToGrid w:val="0"/>
          <w:kern w:val="22"/>
          <w:szCs w:val="22"/>
          <w:lang w:val="fr-CA"/>
        </w:rPr>
        <w:t>rév</w:t>
      </w:r>
      <w:r w:rsidRPr="00115221">
        <w:rPr>
          <w:rFonts w:cs="Times New Roman"/>
          <w:snapToGrid w:val="0"/>
          <w:kern w:val="22"/>
          <w:szCs w:val="22"/>
          <w:lang w:val="fr-CA"/>
        </w:rPr>
        <w:t xml:space="preserve">ention des risques biotechnologiques et </w:t>
      </w:r>
      <w:r w:rsidR="00805C0F">
        <w:rPr>
          <w:rFonts w:cs="Times New Roman"/>
          <w:snapToGrid w:val="0"/>
          <w:kern w:val="22"/>
          <w:szCs w:val="22"/>
          <w:lang w:val="fr-CA"/>
        </w:rPr>
        <w:t>pour la</w:t>
      </w:r>
      <w:r w:rsidRPr="00115221">
        <w:rPr>
          <w:rFonts w:cs="Times New Roman"/>
          <w:snapToGrid w:val="0"/>
          <w:kern w:val="22"/>
          <w:szCs w:val="22"/>
          <w:lang w:val="fr-CA"/>
        </w:rPr>
        <w:t xml:space="preserve"> formation à long terme des professionnels en prévention des risques biotechnologiques), le quatrième rapport </w:t>
      </w:r>
      <w:r w:rsidRPr="00115221">
        <w:rPr>
          <w:rFonts w:eastAsia="Times New Roman" w:cs="Times New Roman"/>
          <w:snapToGrid w:val="0"/>
          <w:kern w:val="22"/>
          <w:szCs w:val="22"/>
          <w:lang w:val="fr-CA"/>
        </w:rPr>
        <w:t>national</w:t>
      </w:r>
      <w:r w:rsidRPr="00115221">
        <w:rPr>
          <w:rFonts w:cs="Times New Roman"/>
          <w:snapToGrid w:val="0"/>
          <w:kern w:val="22"/>
          <w:szCs w:val="22"/>
          <w:lang w:val="fr-CA"/>
        </w:rPr>
        <w:t xml:space="preserve"> ne contient pas de question portant exactement sur cet indicateur. Toutefois, 86 p. cent des Parties (61 Parties) ont déclaré que les établissements d’enseignement de</w:t>
      </w:r>
      <w:r w:rsidR="00D218AE" w:rsidRPr="00115221">
        <w:rPr>
          <w:rFonts w:cs="Times New Roman"/>
          <w:snapToGrid w:val="0"/>
          <w:kern w:val="22"/>
          <w:szCs w:val="22"/>
          <w:lang w:val="fr-CA"/>
        </w:rPr>
        <w:t xml:space="preserve"> leur pays offrent une instructi</w:t>
      </w:r>
      <w:r w:rsidRPr="00115221">
        <w:rPr>
          <w:rFonts w:cs="Times New Roman"/>
          <w:snapToGrid w:val="0"/>
          <w:kern w:val="22"/>
          <w:szCs w:val="22"/>
          <w:lang w:val="fr-CA"/>
        </w:rPr>
        <w:t>on</w:t>
      </w:r>
      <w:r w:rsidR="00D218AE" w:rsidRPr="00115221">
        <w:rPr>
          <w:rFonts w:cs="Times New Roman"/>
          <w:snapToGrid w:val="0"/>
          <w:kern w:val="22"/>
          <w:szCs w:val="22"/>
          <w:lang w:val="fr-CA"/>
        </w:rPr>
        <w:t xml:space="preserve"> et des cours de formation</w:t>
      </w:r>
      <w:r w:rsidRPr="00115221">
        <w:rPr>
          <w:rFonts w:cs="Times New Roman"/>
          <w:snapToGrid w:val="0"/>
          <w:kern w:val="22"/>
          <w:szCs w:val="22"/>
          <w:lang w:val="fr-CA"/>
        </w:rPr>
        <w:t xml:space="preserve"> en prévention des risques biotechnologiques</w:t>
      </w:r>
      <w:r w:rsidR="00D218AE" w:rsidRPr="00115221">
        <w:rPr>
          <w:rFonts w:cs="Times New Roman"/>
          <w:snapToGrid w:val="0"/>
          <w:kern w:val="22"/>
          <w:szCs w:val="22"/>
          <w:lang w:val="fr-CA"/>
        </w:rPr>
        <w:t xml:space="preserve">, ce qui constitue une augmentation de 11 p. cent par rapport à la valeur de référence. Plusieurs Parties ont indiqué </w:t>
      </w:r>
      <w:r w:rsidR="00977ADC" w:rsidRPr="00115221">
        <w:rPr>
          <w:rFonts w:cs="Times New Roman"/>
          <w:snapToGrid w:val="0"/>
          <w:kern w:val="22"/>
          <w:szCs w:val="22"/>
          <w:lang w:val="fr-CA"/>
        </w:rPr>
        <w:t>dans leur exposé écrit qu’elles ont</w:t>
      </w:r>
      <w:r w:rsidR="00D218AE" w:rsidRPr="00115221">
        <w:rPr>
          <w:rFonts w:cs="Times New Roman"/>
          <w:snapToGrid w:val="0"/>
          <w:kern w:val="22"/>
          <w:szCs w:val="22"/>
          <w:lang w:val="fr-CA"/>
        </w:rPr>
        <w:t xml:space="preserve"> également organisé des séminaires et ateliers de formation à l’intention des décideurs, des experts et du personnel concerné</w:t>
      </w:r>
      <w:r w:rsidR="004569FB" w:rsidRPr="00115221">
        <w:rPr>
          <w:rFonts w:cs="Times New Roman"/>
          <w:snapToGrid w:val="0"/>
          <w:kern w:val="22"/>
          <w:szCs w:val="22"/>
          <w:lang w:val="fr-CA"/>
        </w:rPr>
        <w:t>.</w:t>
      </w:r>
    </w:p>
    <w:p w14:paraId="31519AE5" w14:textId="305F373F" w:rsidR="004569FB" w:rsidRPr="00115221" w:rsidRDefault="00977ADC"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bCs/>
          <w:snapToGrid w:val="0"/>
          <w:kern w:val="22"/>
          <w:szCs w:val="22"/>
          <w:lang w:val="fr-CA"/>
        </w:rPr>
        <w:t xml:space="preserve">Quant à </w:t>
      </w:r>
      <w:r w:rsidRPr="00805C0F">
        <w:rPr>
          <w:rFonts w:cs="Times New Roman"/>
          <w:b/>
          <w:bCs/>
          <w:snapToGrid w:val="0"/>
          <w:kern w:val="22"/>
          <w:szCs w:val="22"/>
          <w:lang w:val="fr-CA"/>
        </w:rPr>
        <w:t>l’indicateur</w:t>
      </w:r>
      <w:r w:rsidR="005C6948">
        <w:rPr>
          <w:rFonts w:cs="Times New Roman"/>
          <w:b/>
          <w:bCs/>
          <w:snapToGrid w:val="0"/>
          <w:kern w:val="22"/>
          <w:szCs w:val="22"/>
          <w:lang w:val="fr-CA"/>
        </w:rPr>
        <w:t xml:space="preserve"> </w:t>
      </w:r>
      <w:r w:rsidRPr="00805C0F">
        <w:rPr>
          <w:rFonts w:cs="Times New Roman"/>
          <w:b/>
          <w:bCs/>
          <w:snapToGrid w:val="0"/>
          <w:kern w:val="22"/>
          <w:szCs w:val="22"/>
          <w:lang w:val="fr-CA"/>
        </w:rPr>
        <w:t>1.2.4</w:t>
      </w:r>
      <w:r w:rsidRPr="00115221">
        <w:rPr>
          <w:rFonts w:cs="Times New Roman"/>
          <w:bCs/>
          <w:snapToGrid w:val="0"/>
          <w:kern w:val="22"/>
          <w:szCs w:val="22"/>
          <w:lang w:val="fr-CA"/>
        </w:rPr>
        <w:t xml:space="preserve"> (pourcentage des Parties ayant mis en place des mécanismes de coordination </w:t>
      </w:r>
      <w:r w:rsidRPr="00115221">
        <w:rPr>
          <w:rFonts w:eastAsia="Times New Roman" w:cs="Times New Roman"/>
          <w:bCs/>
          <w:snapToGrid w:val="0"/>
          <w:kern w:val="22"/>
          <w:szCs w:val="22"/>
          <w:lang w:val="fr-CA"/>
        </w:rPr>
        <w:t>nationaux</w:t>
      </w:r>
      <w:r w:rsidRPr="00115221">
        <w:rPr>
          <w:rFonts w:cs="Times New Roman"/>
          <w:bCs/>
          <w:snapToGrid w:val="0"/>
          <w:kern w:val="22"/>
          <w:szCs w:val="22"/>
          <w:lang w:val="fr-CA"/>
        </w:rPr>
        <w:t xml:space="preserve"> pour les projets</w:t>
      </w:r>
      <w:r w:rsidR="00805C0F">
        <w:rPr>
          <w:rFonts w:cs="Times New Roman"/>
          <w:bCs/>
          <w:snapToGrid w:val="0"/>
          <w:kern w:val="22"/>
          <w:szCs w:val="22"/>
          <w:lang w:val="fr-CA"/>
        </w:rPr>
        <w:t xml:space="preserve"> de renforcement des capacités pour la</w:t>
      </w:r>
      <w:r w:rsidRPr="00115221">
        <w:rPr>
          <w:rFonts w:cs="Times New Roman"/>
          <w:bCs/>
          <w:snapToGrid w:val="0"/>
          <w:kern w:val="22"/>
          <w:szCs w:val="22"/>
          <w:lang w:val="fr-CA"/>
        </w:rPr>
        <w:t xml:space="preserve"> prévention des risques biotechnologiques), 44 p. cent des Parties (31 Parties) ont indiqué avoir en place un mécanisme national fonctionnel de coordination des projets de renforcement des capacités </w:t>
      </w:r>
      <w:r w:rsidR="00805C0F">
        <w:rPr>
          <w:rFonts w:cs="Times New Roman"/>
          <w:bCs/>
          <w:snapToGrid w:val="0"/>
          <w:kern w:val="22"/>
          <w:szCs w:val="22"/>
          <w:lang w:val="fr-CA"/>
        </w:rPr>
        <w:t>pour la</w:t>
      </w:r>
      <w:r w:rsidRPr="00115221">
        <w:rPr>
          <w:rFonts w:cs="Times New Roman"/>
          <w:bCs/>
          <w:snapToGrid w:val="0"/>
          <w:kern w:val="22"/>
          <w:szCs w:val="22"/>
          <w:lang w:val="fr-CA"/>
        </w:rPr>
        <w:t xml:space="preserve"> prévention des risques biotechnologiques, ce qui représente une diminution de 10 p. cent par rapport à la valeur de référence. </w:t>
      </w:r>
      <w:r w:rsidR="00DE300E" w:rsidRPr="00115221">
        <w:rPr>
          <w:rFonts w:cs="Times New Roman"/>
          <w:bCs/>
          <w:snapToGrid w:val="0"/>
          <w:kern w:val="22"/>
          <w:szCs w:val="22"/>
          <w:lang w:val="fr-CA"/>
        </w:rPr>
        <w:t xml:space="preserve">Par région, Afrique : 42 p. cent (+5 p. cent); Asie-Pacifique : 78 p. cent (+22 p. cent); ECE : </w:t>
      </w:r>
      <w:r w:rsidR="00D729BF">
        <w:rPr>
          <w:rFonts w:cs="Times New Roman"/>
          <w:bCs/>
          <w:snapToGrid w:val="0"/>
          <w:kern w:val="22"/>
          <w:szCs w:val="22"/>
          <w:lang w:val="fr-CA"/>
        </w:rPr>
        <w:t>43 p. cent (+7 </w:t>
      </w:r>
      <w:r w:rsidR="00DE300E" w:rsidRPr="00115221">
        <w:rPr>
          <w:rFonts w:cs="Times New Roman"/>
          <w:bCs/>
          <w:snapToGrid w:val="0"/>
          <w:kern w:val="22"/>
          <w:szCs w:val="22"/>
          <w:lang w:val="fr-CA"/>
        </w:rPr>
        <w:t>p. cent); EOA : 38 p. c</w:t>
      </w:r>
      <w:r w:rsidR="00DE300E" w:rsidRPr="00115221">
        <w:rPr>
          <w:rFonts w:cs="Times New Roman"/>
          <w:snapToGrid w:val="0"/>
          <w:kern w:val="22"/>
          <w:szCs w:val="22"/>
          <w:lang w:val="fr-CA"/>
        </w:rPr>
        <w:t>ent (-31 p. cent) et GALC : 31 p. cent (-46 p. cent). Plusieurs pays ont indiqué dans leur exposé écrit que la coordination et la mise en œuvre des projets de renforcement des capacités de prévention des risques biotechnologiques de leur pays relève</w:t>
      </w:r>
      <w:r w:rsidR="00D729BF">
        <w:rPr>
          <w:rFonts w:cs="Times New Roman"/>
          <w:snapToGrid w:val="0"/>
          <w:kern w:val="22"/>
          <w:szCs w:val="22"/>
          <w:lang w:val="fr-CA"/>
        </w:rPr>
        <w:t>nt</w:t>
      </w:r>
      <w:r w:rsidR="00DE300E" w:rsidRPr="00115221">
        <w:rPr>
          <w:rFonts w:cs="Times New Roman"/>
          <w:snapToGrid w:val="0"/>
          <w:kern w:val="22"/>
          <w:szCs w:val="22"/>
          <w:lang w:val="fr-CA"/>
        </w:rPr>
        <w:t xml:space="preserve"> des autorités nationales compétentes.</w:t>
      </w:r>
    </w:p>
    <w:p w14:paraId="22B01192" w14:textId="0E632ED4" w:rsidR="004569FB" w:rsidRPr="00115221" w:rsidRDefault="0096659D"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1.2.5</w:t>
      </w:r>
      <w:r w:rsidRPr="00115221">
        <w:rPr>
          <w:rFonts w:cs="Times New Roman"/>
          <w:snapToGrid w:val="0"/>
          <w:kern w:val="22"/>
          <w:szCs w:val="22"/>
          <w:lang w:val="fr-CA"/>
        </w:rPr>
        <w:t xml:space="preserve"> (le montant de nouvelles ressources et de ressources financières supplémentaires mobilisées pour l’</w:t>
      </w:r>
      <w:r w:rsidR="001976F9" w:rsidRPr="00115221">
        <w:rPr>
          <w:rFonts w:cs="Times New Roman"/>
          <w:snapToGrid w:val="0"/>
          <w:kern w:val="22"/>
          <w:szCs w:val="22"/>
          <w:lang w:val="fr-CA"/>
        </w:rPr>
        <w:t>appli</w:t>
      </w:r>
      <w:r w:rsidRPr="00115221">
        <w:rPr>
          <w:rFonts w:cs="Times New Roman"/>
          <w:snapToGrid w:val="0"/>
          <w:kern w:val="22"/>
          <w:szCs w:val="22"/>
          <w:lang w:val="fr-CA"/>
        </w:rPr>
        <w:t xml:space="preserve">cation du Protocole), 31 Parties ont déclaré avoir mobilisé des ressources financières supplémentaires en sus de leur affectation budgétaire </w:t>
      </w:r>
      <w:r w:rsidRPr="00115221">
        <w:rPr>
          <w:rFonts w:eastAsia="Times New Roman" w:cs="Times New Roman"/>
          <w:snapToGrid w:val="0"/>
          <w:kern w:val="22"/>
          <w:szCs w:val="22"/>
          <w:lang w:val="fr-CA"/>
        </w:rPr>
        <w:t>nationale</w:t>
      </w:r>
      <w:r w:rsidRPr="00115221">
        <w:rPr>
          <w:rFonts w:cs="Times New Roman"/>
          <w:snapToGrid w:val="0"/>
          <w:kern w:val="22"/>
          <w:szCs w:val="22"/>
          <w:lang w:val="fr-CA"/>
        </w:rPr>
        <w:t xml:space="preserve"> courante, ce qui représente 13 Parties de moins par rapport à la valeur de r</w:t>
      </w:r>
      <w:r w:rsidR="00D729BF">
        <w:rPr>
          <w:rFonts w:cs="Times New Roman"/>
          <w:snapToGrid w:val="0"/>
          <w:kern w:val="22"/>
          <w:szCs w:val="22"/>
          <w:lang w:val="fr-CA"/>
        </w:rPr>
        <w:t>éférence. Parmi ces Parties, 35 p. </w:t>
      </w:r>
      <w:r w:rsidRPr="00115221">
        <w:rPr>
          <w:rFonts w:cs="Times New Roman"/>
          <w:snapToGrid w:val="0"/>
          <w:kern w:val="22"/>
          <w:szCs w:val="22"/>
          <w:lang w:val="fr-CA"/>
        </w:rPr>
        <w:t>cent ont déclaré avoir reçu de 5</w:t>
      </w:r>
      <w:r w:rsidR="005C6948">
        <w:rPr>
          <w:rFonts w:cs="Times New Roman"/>
          <w:snapToGrid w:val="0"/>
          <w:kern w:val="22"/>
          <w:szCs w:val="22"/>
          <w:lang w:val="fr-CA"/>
        </w:rPr>
        <w:t> </w:t>
      </w:r>
      <w:r w:rsidRPr="00115221">
        <w:rPr>
          <w:rFonts w:cs="Times New Roman"/>
          <w:snapToGrid w:val="0"/>
          <w:kern w:val="22"/>
          <w:szCs w:val="22"/>
          <w:lang w:val="fr-CA"/>
        </w:rPr>
        <w:t>000</w:t>
      </w:r>
      <w:r w:rsidR="005C6948">
        <w:rPr>
          <w:rFonts w:cs="Times New Roman"/>
          <w:snapToGrid w:val="0"/>
          <w:kern w:val="22"/>
          <w:szCs w:val="22"/>
          <w:lang w:val="fr-CA"/>
        </w:rPr>
        <w:t> $US</w:t>
      </w:r>
      <w:r w:rsidRPr="00115221">
        <w:rPr>
          <w:rFonts w:cs="Times New Roman"/>
          <w:snapToGrid w:val="0"/>
          <w:kern w:val="22"/>
          <w:szCs w:val="22"/>
          <w:lang w:val="fr-CA"/>
        </w:rPr>
        <w:t xml:space="preserve"> à 49 999 $US, 16 p. cent de 50</w:t>
      </w:r>
      <w:r w:rsidR="005C6948">
        <w:rPr>
          <w:rFonts w:cs="Times New Roman"/>
          <w:snapToGrid w:val="0"/>
          <w:kern w:val="22"/>
          <w:szCs w:val="22"/>
          <w:lang w:val="fr-CA"/>
        </w:rPr>
        <w:t> </w:t>
      </w:r>
      <w:r w:rsidRPr="00115221">
        <w:rPr>
          <w:rFonts w:cs="Times New Roman"/>
          <w:snapToGrid w:val="0"/>
          <w:kern w:val="22"/>
          <w:szCs w:val="22"/>
          <w:lang w:val="fr-CA"/>
        </w:rPr>
        <w:t>000</w:t>
      </w:r>
      <w:r w:rsidR="005C6948">
        <w:rPr>
          <w:rFonts w:cs="Times New Roman"/>
          <w:snapToGrid w:val="0"/>
          <w:kern w:val="22"/>
          <w:szCs w:val="22"/>
          <w:lang w:val="fr-CA"/>
        </w:rPr>
        <w:t> $US</w:t>
      </w:r>
      <w:r w:rsidRPr="00115221">
        <w:rPr>
          <w:rFonts w:cs="Times New Roman"/>
          <w:snapToGrid w:val="0"/>
          <w:kern w:val="22"/>
          <w:szCs w:val="22"/>
          <w:lang w:val="fr-CA"/>
        </w:rPr>
        <w:t xml:space="preserve"> à 99 999 $US; 23</w:t>
      </w:r>
      <w:r w:rsidR="005C6948">
        <w:rPr>
          <w:rFonts w:cs="Times New Roman"/>
          <w:snapToGrid w:val="0"/>
          <w:kern w:val="22"/>
          <w:szCs w:val="22"/>
          <w:lang w:val="fr-CA"/>
        </w:rPr>
        <w:t>  </w:t>
      </w:r>
      <w:r w:rsidRPr="00115221">
        <w:rPr>
          <w:rFonts w:cs="Times New Roman"/>
          <w:snapToGrid w:val="0"/>
          <w:kern w:val="22"/>
          <w:szCs w:val="22"/>
          <w:lang w:val="fr-CA"/>
        </w:rPr>
        <w:t>p. cent de 100</w:t>
      </w:r>
      <w:r w:rsidR="005C6948">
        <w:rPr>
          <w:rFonts w:cs="Times New Roman"/>
          <w:snapToGrid w:val="0"/>
          <w:kern w:val="22"/>
          <w:szCs w:val="22"/>
          <w:lang w:val="fr-CA"/>
        </w:rPr>
        <w:t> </w:t>
      </w:r>
      <w:r w:rsidRPr="00115221">
        <w:rPr>
          <w:rFonts w:cs="Times New Roman"/>
          <w:snapToGrid w:val="0"/>
          <w:kern w:val="22"/>
          <w:szCs w:val="22"/>
          <w:lang w:val="fr-CA"/>
        </w:rPr>
        <w:t>000</w:t>
      </w:r>
      <w:r w:rsidR="005C6948">
        <w:rPr>
          <w:rFonts w:cs="Times New Roman"/>
          <w:snapToGrid w:val="0"/>
          <w:kern w:val="22"/>
          <w:szCs w:val="22"/>
          <w:lang w:val="fr-CA"/>
        </w:rPr>
        <w:t> $US</w:t>
      </w:r>
      <w:r w:rsidRPr="00115221">
        <w:rPr>
          <w:rFonts w:cs="Times New Roman"/>
          <w:snapToGrid w:val="0"/>
          <w:kern w:val="22"/>
          <w:szCs w:val="22"/>
          <w:lang w:val="fr-CA"/>
        </w:rPr>
        <w:t xml:space="preserve"> à 499 999 $US et 23 p. cent plus que 500 000 $US. </w:t>
      </w:r>
      <w:r w:rsidR="001976F9" w:rsidRPr="00115221">
        <w:rPr>
          <w:rFonts w:cs="Times New Roman"/>
          <w:snapToGrid w:val="0"/>
          <w:kern w:val="22"/>
          <w:szCs w:val="22"/>
          <w:lang w:val="fr-CA"/>
        </w:rPr>
        <w:t xml:space="preserve">Les diminutions des sommes reçues par rapport à la valeur de référence ont été déclarées, comme expliqué dans les données fournies au titre de </w:t>
      </w:r>
      <w:r w:rsidR="001976F9" w:rsidRPr="00115221">
        <w:rPr>
          <w:rFonts w:cs="Times New Roman"/>
          <w:b/>
          <w:snapToGrid w:val="0"/>
          <w:kern w:val="22"/>
          <w:szCs w:val="22"/>
          <w:lang w:val="fr-CA"/>
        </w:rPr>
        <w:t>l’indicateur 3.1.8</w:t>
      </w:r>
      <w:r w:rsidR="001976F9" w:rsidRPr="00115221">
        <w:rPr>
          <w:rFonts w:cs="Times New Roman"/>
          <w:snapToGrid w:val="0"/>
          <w:kern w:val="22"/>
          <w:szCs w:val="22"/>
          <w:lang w:val="fr-CA"/>
        </w:rPr>
        <w:t>, ci-dessous</w:t>
      </w:r>
      <w:r w:rsidR="004569FB" w:rsidRPr="00115221">
        <w:rPr>
          <w:rFonts w:cs="Times New Roman"/>
          <w:snapToGrid w:val="0"/>
          <w:kern w:val="22"/>
          <w:szCs w:val="22"/>
          <w:lang w:val="fr-CA"/>
        </w:rPr>
        <w:t xml:space="preserve">. </w:t>
      </w:r>
    </w:p>
    <w:p w14:paraId="579EC15D" w14:textId="4CB03CFA" w:rsidR="004569FB" w:rsidRPr="00115221" w:rsidRDefault="001976F9"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1.2.6</w:t>
      </w:r>
      <w:r w:rsidRPr="00115221">
        <w:rPr>
          <w:rFonts w:cs="Times New Roman"/>
          <w:snapToGrid w:val="0"/>
          <w:kern w:val="22"/>
          <w:szCs w:val="22"/>
          <w:lang w:val="fr-CA"/>
        </w:rPr>
        <w:t xml:space="preserve"> (nombre de Parties profitant d’un financement prévisible et fiable pour le renforcement de leurs capaci</w:t>
      </w:r>
      <w:r w:rsidR="00D729BF">
        <w:rPr>
          <w:rFonts w:cs="Times New Roman"/>
          <w:snapToGrid w:val="0"/>
          <w:kern w:val="22"/>
          <w:szCs w:val="22"/>
          <w:lang w:val="fr-CA"/>
        </w:rPr>
        <w:t>tés d’application du Protocole),</w:t>
      </w:r>
      <w:r w:rsidRPr="00115221">
        <w:rPr>
          <w:rFonts w:cs="Times New Roman"/>
          <w:snapToGrid w:val="0"/>
          <w:kern w:val="22"/>
          <w:szCs w:val="22"/>
          <w:lang w:val="fr-CA"/>
        </w:rPr>
        <w:t xml:space="preserve"> 35 p. cent des Parties (25 Parties) </w:t>
      </w:r>
      <w:r w:rsidRPr="00115221">
        <w:rPr>
          <w:rFonts w:cs="Times New Roman"/>
          <w:snapToGrid w:val="0"/>
          <w:kern w:val="22"/>
          <w:szCs w:val="22"/>
          <w:lang w:val="fr-CA"/>
        </w:rPr>
        <w:lastRenderedPageBreak/>
        <w:t>ont déclaré profiter d’</w:t>
      </w:r>
      <w:r w:rsidR="00CF0F91" w:rsidRPr="00115221">
        <w:rPr>
          <w:rFonts w:cs="Times New Roman"/>
          <w:snapToGrid w:val="0"/>
          <w:kern w:val="22"/>
          <w:szCs w:val="22"/>
          <w:lang w:val="fr-CA"/>
        </w:rPr>
        <w:t>un financemen</w:t>
      </w:r>
      <w:r w:rsidRPr="00115221">
        <w:rPr>
          <w:rFonts w:cs="Times New Roman"/>
          <w:snapToGrid w:val="0"/>
          <w:kern w:val="22"/>
          <w:szCs w:val="22"/>
          <w:lang w:val="fr-CA"/>
        </w:rPr>
        <w:t xml:space="preserve">t prévisible et fiable (une diminution de 7 p. cent par rapport à la valeur de </w:t>
      </w:r>
      <w:r w:rsidR="00CF0F91" w:rsidRPr="00115221">
        <w:rPr>
          <w:rFonts w:cs="Times New Roman"/>
          <w:snapToGrid w:val="0"/>
          <w:kern w:val="22"/>
          <w:szCs w:val="22"/>
          <w:lang w:val="fr-CA"/>
        </w:rPr>
        <w:t>réfé</w:t>
      </w:r>
      <w:r w:rsidRPr="00115221">
        <w:rPr>
          <w:rFonts w:cs="Times New Roman"/>
          <w:snapToGrid w:val="0"/>
          <w:kern w:val="22"/>
          <w:szCs w:val="22"/>
          <w:lang w:val="fr-CA"/>
        </w:rPr>
        <w:t>rence)</w:t>
      </w:r>
      <w:r w:rsidR="00CF0F91" w:rsidRPr="00115221">
        <w:rPr>
          <w:rFonts w:cs="Times New Roman"/>
          <w:snapToGrid w:val="0"/>
          <w:kern w:val="22"/>
          <w:szCs w:val="22"/>
          <w:lang w:val="fr-CA"/>
        </w:rPr>
        <w:t>, tandis que 14 p. cen</w:t>
      </w:r>
      <w:r w:rsidRPr="00115221">
        <w:rPr>
          <w:rFonts w:cs="Times New Roman"/>
          <w:snapToGrid w:val="0"/>
          <w:kern w:val="22"/>
          <w:szCs w:val="22"/>
          <w:lang w:val="fr-CA"/>
        </w:rPr>
        <w:t>t des Parties (10 Parties) ont indiqu</w:t>
      </w:r>
      <w:r w:rsidR="00CF0F91" w:rsidRPr="00115221">
        <w:rPr>
          <w:rFonts w:cs="Times New Roman"/>
          <w:snapToGrid w:val="0"/>
          <w:kern w:val="22"/>
          <w:szCs w:val="22"/>
          <w:lang w:val="fr-CA"/>
        </w:rPr>
        <w:t xml:space="preserve">é profiter d’un financement prévisible et fiable dans une certaine mesure (une augmentation de 14 p. cent par rapport à la valeur de référence). </w:t>
      </w:r>
      <w:r w:rsidR="00EC1184" w:rsidRPr="00115221">
        <w:rPr>
          <w:rFonts w:cs="Times New Roman"/>
          <w:snapToGrid w:val="0"/>
          <w:kern w:val="22"/>
          <w:szCs w:val="22"/>
          <w:lang w:val="fr-CA"/>
        </w:rPr>
        <w:t>En réunissant ces résultats, 49 p. cent des Parties (35 Parties) ont indiqué profiter d’un financement prévisible et fiable, dans une certaine mesure, ce qui rep</w:t>
      </w:r>
      <w:r w:rsidR="00A05668" w:rsidRPr="00115221">
        <w:rPr>
          <w:rFonts w:cs="Times New Roman"/>
          <w:snapToGrid w:val="0"/>
          <w:kern w:val="22"/>
          <w:szCs w:val="22"/>
          <w:lang w:val="fr-CA"/>
        </w:rPr>
        <w:t>ré</w:t>
      </w:r>
      <w:r w:rsidR="00EC1184" w:rsidRPr="00115221">
        <w:rPr>
          <w:rFonts w:cs="Times New Roman"/>
          <w:snapToGrid w:val="0"/>
          <w:kern w:val="22"/>
          <w:szCs w:val="22"/>
          <w:lang w:val="fr-CA"/>
        </w:rPr>
        <w:t xml:space="preserve">sente 7 p. cent de plus que la valeur de référence. Par </w:t>
      </w:r>
      <w:r w:rsidR="00A05668" w:rsidRPr="00115221">
        <w:rPr>
          <w:rFonts w:cs="Times New Roman"/>
          <w:snapToGrid w:val="0"/>
          <w:kern w:val="22"/>
          <w:szCs w:val="22"/>
          <w:lang w:val="fr-CA"/>
        </w:rPr>
        <w:t>ré</w:t>
      </w:r>
      <w:r w:rsidR="00EC1184" w:rsidRPr="00115221">
        <w:rPr>
          <w:rFonts w:cs="Times New Roman"/>
          <w:snapToGrid w:val="0"/>
          <w:kern w:val="22"/>
          <w:szCs w:val="22"/>
          <w:lang w:val="fr-CA"/>
        </w:rPr>
        <w:t>gion, des augmentations ont été déclarées pour l’Afrique (+21 p. cent), l’Asie-Pacifique (+11 p. cent) et le GALC (+8 p. cent)</w:t>
      </w:r>
      <w:r w:rsidR="00267DFB">
        <w:rPr>
          <w:rFonts w:cs="Times New Roman"/>
          <w:snapToGrid w:val="0"/>
          <w:kern w:val="22"/>
          <w:szCs w:val="22"/>
          <w:lang w:val="fr-CA"/>
        </w:rPr>
        <w:t>,</w:t>
      </w:r>
      <w:r w:rsidR="00EC1184" w:rsidRPr="00115221">
        <w:rPr>
          <w:rFonts w:cs="Times New Roman"/>
          <w:snapToGrid w:val="0"/>
          <w:kern w:val="22"/>
          <w:szCs w:val="22"/>
          <w:lang w:val="fr-CA"/>
        </w:rPr>
        <w:t xml:space="preserve"> des diminutions ont été déclarées pour l’ECE (-7 p. cent)</w:t>
      </w:r>
      <w:r w:rsidR="00267DFB">
        <w:rPr>
          <w:rFonts w:cs="Times New Roman"/>
          <w:snapToGrid w:val="0"/>
          <w:kern w:val="22"/>
          <w:szCs w:val="22"/>
          <w:lang w:val="fr-CA"/>
        </w:rPr>
        <w:t xml:space="preserve"> et l’EOA ne présente </w:t>
      </w:r>
      <w:r w:rsidR="00AC30F6" w:rsidRPr="00115221">
        <w:rPr>
          <w:rFonts w:cs="Times New Roman"/>
          <w:snapToGrid w:val="0"/>
          <w:kern w:val="22"/>
          <w:szCs w:val="22"/>
          <w:lang w:val="fr-CA"/>
        </w:rPr>
        <w:t>aucune différence</w:t>
      </w:r>
      <w:r w:rsidR="00EC1184" w:rsidRPr="00115221">
        <w:rPr>
          <w:rFonts w:cs="Times New Roman"/>
          <w:snapToGrid w:val="0"/>
          <w:kern w:val="22"/>
          <w:szCs w:val="22"/>
          <w:lang w:val="fr-CA"/>
        </w:rPr>
        <w:t xml:space="preserve"> par ra</w:t>
      </w:r>
      <w:r w:rsidR="00A05668" w:rsidRPr="00115221">
        <w:rPr>
          <w:rFonts w:cs="Times New Roman"/>
          <w:snapToGrid w:val="0"/>
          <w:kern w:val="22"/>
          <w:szCs w:val="22"/>
          <w:lang w:val="fr-CA"/>
        </w:rPr>
        <w:t>p</w:t>
      </w:r>
      <w:r w:rsidR="00EC1184" w:rsidRPr="00115221">
        <w:rPr>
          <w:rFonts w:cs="Times New Roman"/>
          <w:snapToGrid w:val="0"/>
          <w:kern w:val="22"/>
          <w:szCs w:val="22"/>
          <w:lang w:val="fr-CA"/>
        </w:rPr>
        <w:t>p</w:t>
      </w:r>
      <w:r w:rsidR="00267DFB">
        <w:rPr>
          <w:rFonts w:cs="Times New Roman"/>
          <w:snapToGrid w:val="0"/>
          <w:kern w:val="22"/>
          <w:szCs w:val="22"/>
          <w:lang w:val="fr-CA"/>
        </w:rPr>
        <w:t>ort à la valeur de référence</w:t>
      </w:r>
      <w:r w:rsidR="00EC1184" w:rsidRPr="00115221">
        <w:rPr>
          <w:rFonts w:cs="Times New Roman"/>
          <w:snapToGrid w:val="0"/>
          <w:kern w:val="22"/>
          <w:szCs w:val="22"/>
          <w:lang w:val="fr-CA"/>
        </w:rPr>
        <w:t xml:space="preserve">. </w:t>
      </w:r>
      <w:r w:rsidR="00A05668" w:rsidRPr="00115221">
        <w:rPr>
          <w:rFonts w:cs="Times New Roman"/>
          <w:snapToGrid w:val="0"/>
          <w:kern w:val="22"/>
          <w:szCs w:val="22"/>
          <w:lang w:val="fr-CA"/>
        </w:rPr>
        <w:t xml:space="preserve">Les </w:t>
      </w:r>
      <w:r w:rsidR="00267DFB">
        <w:rPr>
          <w:rFonts w:cs="Times New Roman"/>
          <w:snapToGrid w:val="0"/>
          <w:kern w:val="22"/>
          <w:szCs w:val="22"/>
          <w:lang w:val="fr-CA"/>
        </w:rPr>
        <w:t>différences</w:t>
      </w:r>
      <w:r w:rsidR="00A05668" w:rsidRPr="00115221">
        <w:rPr>
          <w:rFonts w:cs="Times New Roman"/>
          <w:snapToGrid w:val="0"/>
          <w:kern w:val="22"/>
          <w:szCs w:val="22"/>
          <w:lang w:val="fr-CA"/>
        </w:rPr>
        <w:t xml:space="preserve"> par rapport à la valeur de référence peuvent être lié</w:t>
      </w:r>
      <w:r w:rsidR="00267DFB">
        <w:rPr>
          <w:rFonts w:cs="Times New Roman"/>
          <w:snapToGrid w:val="0"/>
          <w:kern w:val="22"/>
          <w:szCs w:val="22"/>
          <w:lang w:val="fr-CA"/>
        </w:rPr>
        <w:t>e</w:t>
      </w:r>
      <w:r w:rsidR="00A05668" w:rsidRPr="00115221">
        <w:rPr>
          <w:rFonts w:cs="Times New Roman"/>
          <w:snapToGrid w:val="0"/>
          <w:kern w:val="22"/>
          <w:szCs w:val="22"/>
          <w:lang w:val="fr-CA"/>
        </w:rPr>
        <w:t xml:space="preserve">s aux </w:t>
      </w:r>
      <w:r w:rsidR="00A05668" w:rsidRPr="00115221">
        <w:rPr>
          <w:rFonts w:eastAsia="Times New Roman" w:cs="Times New Roman"/>
          <w:snapToGrid w:val="0"/>
          <w:kern w:val="22"/>
          <w:szCs w:val="22"/>
          <w:lang w:val="fr-CA"/>
        </w:rPr>
        <w:t>changements</w:t>
      </w:r>
      <w:r w:rsidR="00A05668" w:rsidRPr="00115221">
        <w:rPr>
          <w:rFonts w:cs="Times New Roman"/>
          <w:snapToGrid w:val="0"/>
          <w:kern w:val="22"/>
          <w:szCs w:val="22"/>
          <w:lang w:val="fr-CA"/>
        </w:rPr>
        <w:t xml:space="preserve"> apportés au modèle de rapport pour le quatrième rapport </w:t>
      </w:r>
      <w:r w:rsidR="00A05668" w:rsidRPr="00115221">
        <w:rPr>
          <w:rFonts w:eastAsia="Times New Roman" w:cs="Times New Roman"/>
          <w:snapToGrid w:val="0"/>
          <w:kern w:val="22"/>
          <w:szCs w:val="22"/>
          <w:lang w:val="fr-CA"/>
        </w:rPr>
        <w:t>national</w:t>
      </w:r>
      <w:r w:rsidR="00A05668" w:rsidRPr="00115221">
        <w:rPr>
          <w:rFonts w:cs="Times New Roman"/>
          <w:snapToGrid w:val="0"/>
          <w:kern w:val="22"/>
          <w:szCs w:val="22"/>
          <w:lang w:val="fr-CA"/>
        </w:rPr>
        <w:t>, dans une certaine mesure</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23"/>
      </w:r>
      <w:r w:rsidR="004569FB" w:rsidRPr="00115221">
        <w:rPr>
          <w:rFonts w:cs="Times New Roman"/>
          <w:snapToGrid w:val="0"/>
          <w:kern w:val="22"/>
          <w:szCs w:val="22"/>
          <w:lang w:val="fr-CA"/>
        </w:rPr>
        <w:t xml:space="preserve"> </w:t>
      </w:r>
    </w:p>
    <w:p w14:paraId="006CF6E3" w14:textId="12077FDD" w:rsidR="004569FB" w:rsidRPr="00115221" w:rsidRDefault="00A05668"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a trait à </w:t>
      </w:r>
      <w:r w:rsidRPr="00115221">
        <w:rPr>
          <w:rFonts w:cs="Times New Roman"/>
          <w:b/>
          <w:snapToGrid w:val="0"/>
          <w:kern w:val="22"/>
          <w:szCs w:val="22"/>
          <w:lang w:val="fr-CA"/>
        </w:rPr>
        <w:t>l’indicateur 1.2.7</w:t>
      </w:r>
      <w:r w:rsidRPr="00115221">
        <w:rPr>
          <w:rFonts w:cs="Times New Roman"/>
          <w:snapToGrid w:val="0"/>
          <w:kern w:val="22"/>
          <w:szCs w:val="22"/>
          <w:lang w:val="fr-CA"/>
        </w:rPr>
        <w:t xml:space="preserve"> (nombre de Parties ayant déclaré que le</w:t>
      </w:r>
      <w:r w:rsidR="00407664">
        <w:rPr>
          <w:rFonts w:cs="Times New Roman"/>
          <w:snapToGrid w:val="0"/>
          <w:kern w:val="22"/>
          <w:szCs w:val="22"/>
          <w:lang w:val="fr-CA"/>
        </w:rPr>
        <w:t>s</w:t>
      </w:r>
      <w:r w:rsidRPr="00115221">
        <w:rPr>
          <w:rFonts w:cs="Times New Roman"/>
          <w:snapToGrid w:val="0"/>
          <w:kern w:val="22"/>
          <w:szCs w:val="22"/>
          <w:lang w:val="fr-CA"/>
        </w:rPr>
        <w:t xml:space="preserve"> besoins de renforcement des capacités ont été satisfaits), 20 p. cent des Parties (19 Parties) ont déclaré ne pas avoir</w:t>
      </w:r>
      <w:r w:rsidR="004B42A0" w:rsidRPr="00115221">
        <w:rPr>
          <w:rFonts w:cs="Times New Roman"/>
          <w:snapToGrid w:val="0"/>
          <w:kern w:val="22"/>
          <w:szCs w:val="22"/>
          <w:lang w:val="fr-CA"/>
        </w:rPr>
        <w:t xml:space="preserve"> d</w:t>
      </w:r>
      <w:r w:rsidRPr="00115221">
        <w:rPr>
          <w:rFonts w:cs="Times New Roman"/>
          <w:snapToGrid w:val="0"/>
          <w:kern w:val="22"/>
          <w:szCs w:val="22"/>
          <w:lang w:val="fr-CA"/>
        </w:rPr>
        <w:t>e besoin de renforcement des capacités, ce qui représente une l</w:t>
      </w:r>
      <w:r w:rsidR="004B42A0" w:rsidRPr="00115221">
        <w:rPr>
          <w:rFonts w:cs="Times New Roman"/>
          <w:snapToGrid w:val="0"/>
          <w:kern w:val="22"/>
          <w:szCs w:val="22"/>
          <w:lang w:val="fr-CA"/>
        </w:rPr>
        <w:t>é</w:t>
      </w:r>
      <w:r w:rsidRPr="00115221">
        <w:rPr>
          <w:rFonts w:cs="Times New Roman"/>
          <w:snapToGrid w:val="0"/>
          <w:kern w:val="22"/>
          <w:szCs w:val="22"/>
          <w:lang w:val="fr-CA"/>
        </w:rPr>
        <w:t xml:space="preserve">gère augmentation de 2 p. cent. </w:t>
      </w:r>
      <w:r w:rsidR="004B42A0" w:rsidRPr="00115221">
        <w:rPr>
          <w:rFonts w:cs="Times New Roman"/>
          <w:snapToGrid w:val="0"/>
          <w:kern w:val="22"/>
          <w:szCs w:val="22"/>
          <w:lang w:val="fr-CA"/>
        </w:rPr>
        <w:t xml:space="preserve">Quatre-vingt-trois p. cent des Parties de la région de l’EOA ont indiqué que leurs besoins de renforcement des capacités ont été satisfaits (-4 p. cent), mais les pourcentages sont beaucoup plus faibles dans les autres régions. </w:t>
      </w:r>
      <w:r w:rsidR="00267DFB">
        <w:rPr>
          <w:rFonts w:cs="Times New Roman"/>
          <w:snapToGrid w:val="0"/>
          <w:kern w:val="22"/>
          <w:szCs w:val="22"/>
          <w:lang w:val="fr-CA"/>
        </w:rPr>
        <w:t>T</w:t>
      </w:r>
      <w:r w:rsidR="004B42A0" w:rsidRPr="00115221">
        <w:rPr>
          <w:rFonts w:cs="Times New Roman"/>
          <w:snapToGrid w:val="0"/>
          <w:kern w:val="22"/>
          <w:szCs w:val="22"/>
          <w:lang w:val="fr-CA"/>
        </w:rPr>
        <w:t>rois régions</w:t>
      </w:r>
      <w:r w:rsidR="00267DFB">
        <w:rPr>
          <w:rFonts w:cs="Times New Roman"/>
          <w:snapToGrid w:val="0"/>
          <w:kern w:val="22"/>
          <w:szCs w:val="22"/>
          <w:lang w:val="fr-CA"/>
        </w:rPr>
        <w:t xml:space="preserve"> ont indiqué qu’il n’y avait pas de différence par rapport à la valeur de référence. Leurs pourcentages sont</w:t>
      </w:r>
      <w:r w:rsidR="004B42A0" w:rsidRPr="00115221">
        <w:rPr>
          <w:rFonts w:cs="Times New Roman"/>
          <w:snapToGrid w:val="0"/>
          <w:kern w:val="22"/>
          <w:szCs w:val="22"/>
          <w:lang w:val="fr-CA"/>
        </w:rPr>
        <w:t xml:space="preserve"> les suivants : Afrique : 0 p. cent, GALC : 0 p. cent et Asie-Pacifique : 13 p. cent. L’ECE est la seule région où le nombre de Parties</w:t>
      </w:r>
      <w:r w:rsidR="00087A62" w:rsidRPr="00115221">
        <w:rPr>
          <w:rFonts w:cs="Times New Roman"/>
          <w:snapToGrid w:val="0"/>
          <w:kern w:val="22"/>
          <w:szCs w:val="22"/>
          <w:lang w:val="fr-CA"/>
        </w:rPr>
        <w:t xml:space="preserve"> ayant déclaré que leurs besoins de renforcement des capacités ont été satisfaits est à la hausse, à savoir de 13 p. cent, de sorte que le pourcentage p</w:t>
      </w:r>
      <w:r w:rsidR="005824A9">
        <w:rPr>
          <w:rFonts w:cs="Times New Roman"/>
          <w:snapToGrid w:val="0"/>
          <w:kern w:val="22"/>
          <w:szCs w:val="22"/>
          <w:lang w:val="fr-CA"/>
        </w:rPr>
        <w:t>o</w:t>
      </w:r>
      <w:r w:rsidR="00087A62" w:rsidRPr="00115221">
        <w:rPr>
          <w:rFonts w:cs="Times New Roman"/>
          <w:snapToGrid w:val="0"/>
          <w:kern w:val="22"/>
          <w:szCs w:val="22"/>
          <w:lang w:val="fr-CA"/>
        </w:rPr>
        <w:t>ur cette région est de 13 p. cent</w:t>
      </w:r>
      <w:r w:rsidR="004569FB" w:rsidRPr="00115221">
        <w:rPr>
          <w:rFonts w:cs="Times New Roman"/>
          <w:snapToGrid w:val="0"/>
          <w:kern w:val="22"/>
          <w:szCs w:val="22"/>
          <w:lang w:val="fr-CA"/>
        </w:rPr>
        <w:t>.</w:t>
      </w:r>
    </w:p>
    <w:p w14:paraId="6F481DBB" w14:textId="3CB3A965" w:rsidR="004569FB" w:rsidRPr="00115221" w:rsidRDefault="00087A62"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Plusieurs Parties ont indiqué dans leur exposé écrit que les sommes destinées au renforcement des capacités sont souvent limitées et insuffisantes pour répondre à tous leurs besoins de renforcement des capacités. Plusieurs Parties ont précisé avoir reçu des sommes du Fonds pour l’environnement mondial (FEM)</w:t>
      </w:r>
      <w:r w:rsidR="00406D32" w:rsidRPr="00115221">
        <w:rPr>
          <w:rFonts w:cs="Times New Roman"/>
          <w:snapToGrid w:val="0"/>
          <w:kern w:val="22"/>
          <w:szCs w:val="22"/>
          <w:lang w:val="fr-CA"/>
        </w:rPr>
        <w:t xml:space="preserve"> et parmi celles-ci, plusie</w:t>
      </w:r>
      <w:r w:rsidR="00407664">
        <w:rPr>
          <w:rFonts w:cs="Times New Roman"/>
          <w:snapToGrid w:val="0"/>
          <w:kern w:val="22"/>
          <w:szCs w:val="22"/>
          <w:lang w:val="fr-CA"/>
        </w:rPr>
        <w:t>urs ont indiqué que ces sommes s</w:t>
      </w:r>
      <w:r w:rsidR="00406D32" w:rsidRPr="00115221">
        <w:rPr>
          <w:rFonts w:cs="Times New Roman"/>
          <w:snapToGrid w:val="0"/>
          <w:kern w:val="22"/>
          <w:szCs w:val="22"/>
          <w:lang w:val="fr-CA"/>
        </w:rPr>
        <w:t xml:space="preserve">ont difficiles d’accès et que les délais de préparation de projet </w:t>
      </w:r>
      <w:r w:rsidR="005824A9">
        <w:rPr>
          <w:rFonts w:cs="Times New Roman"/>
          <w:snapToGrid w:val="0"/>
          <w:kern w:val="22"/>
          <w:szCs w:val="22"/>
          <w:lang w:val="fr-CA"/>
        </w:rPr>
        <w:t>sont</w:t>
      </w:r>
      <w:r w:rsidR="00406D32" w:rsidRPr="00115221">
        <w:rPr>
          <w:rFonts w:cs="Times New Roman"/>
          <w:snapToGrid w:val="0"/>
          <w:kern w:val="22"/>
          <w:szCs w:val="22"/>
          <w:lang w:val="fr-CA"/>
        </w:rPr>
        <w:t xml:space="preserve"> longs et complexes. D’autres Parties ont mentionné qu’elles n’ont pas été capables d’avoir accès au soutien du FEM pour les activités liées à la prévention des risques biotechnologiques. Plusieurs Parties ont indiqué qu’elles ont reçu des sommes de leur gouvernement ou que le gouvernement offre du cofinancement pour les projets de renforcement des capacités de prévention des risques biotechnologiques. Quelques Parties ont mentionné que les voies bilatérales et multilatérales </w:t>
      </w:r>
      <w:r w:rsidR="005824A9">
        <w:rPr>
          <w:rFonts w:cs="Times New Roman"/>
          <w:snapToGrid w:val="0"/>
          <w:kern w:val="22"/>
          <w:szCs w:val="22"/>
          <w:lang w:val="fr-CA"/>
        </w:rPr>
        <w:t>peuvent aussi permettre</w:t>
      </w:r>
      <w:r w:rsidR="00406D32" w:rsidRPr="00115221">
        <w:rPr>
          <w:rFonts w:cs="Times New Roman"/>
          <w:snapToGrid w:val="0"/>
          <w:kern w:val="22"/>
          <w:szCs w:val="22"/>
          <w:lang w:val="fr-CA"/>
        </w:rPr>
        <w:t xml:space="preserve"> d’obtenir un soutien technique et financier pour le renforcement des capacités pour l’application du Protocole.</w:t>
      </w:r>
    </w:p>
    <w:p w14:paraId="3CA982C6" w14:textId="53F9F6B5" w:rsidR="004569FB" w:rsidRPr="00115221" w:rsidRDefault="00406D32"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5824A9">
        <w:rPr>
          <w:rFonts w:cs="Times New Roman"/>
          <w:b/>
          <w:snapToGrid w:val="0"/>
          <w:kern w:val="22"/>
          <w:szCs w:val="22"/>
          <w:lang w:val="fr-CA"/>
        </w:rPr>
        <w:t>l’indicateur 1.2.8</w:t>
      </w:r>
      <w:r w:rsidRPr="00115221">
        <w:rPr>
          <w:rFonts w:cs="Times New Roman"/>
          <w:snapToGrid w:val="0"/>
          <w:kern w:val="22"/>
          <w:szCs w:val="22"/>
          <w:lang w:val="fr-CA"/>
        </w:rPr>
        <w:t xml:space="preserve"> (nombre d’arrangements de coopération </w:t>
      </w:r>
      <w:r w:rsidR="005824A9">
        <w:rPr>
          <w:rFonts w:cs="Times New Roman"/>
          <w:snapToGrid w:val="0"/>
          <w:kern w:val="22"/>
          <w:szCs w:val="22"/>
          <w:lang w:val="fr-CA"/>
        </w:rPr>
        <w:t>auxquels participent l</w:t>
      </w:r>
      <w:r w:rsidR="000E62A4" w:rsidRPr="00115221">
        <w:rPr>
          <w:rFonts w:cs="Times New Roman"/>
          <w:snapToGrid w:val="0"/>
          <w:kern w:val="22"/>
          <w:szCs w:val="22"/>
          <w:lang w:val="fr-CA"/>
        </w:rPr>
        <w:t xml:space="preserve">es Parties importatrices et exportatrices d’OVM), le quatrième rapport </w:t>
      </w:r>
      <w:r w:rsidR="000E62A4" w:rsidRPr="00115221">
        <w:rPr>
          <w:rFonts w:eastAsia="Times New Roman" w:cs="Times New Roman"/>
          <w:snapToGrid w:val="0"/>
          <w:kern w:val="22"/>
          <w:szCs w:val="22"/>
          <w:lang w:val="fr-CA"/>
        </w:rPr>
        <w:t>national</w:t>
      </w:r>
      <w:r w:rsidR="000E62A4" w:rsidRPr="00115221">
        <w:rPr>
          <w:rFonts w:cs="Times New Roman"/>
          <w:snapToGrid w:val="0"/>
          <w:kern w:val="22"/>
          <w:szCs w:val="22"/>
          <w:lang w:val="fr-CA"/>
        </w:rPr>
        <w:t xml:space="preserve"> et le </w:t>
      </w:r>
      <w:r w:rsidR="00B6412A">
        <w:rPr>
          <w:rFonts w:cs="Times New Roman"/>
          <w:snapToGrid w:val="0"/>
          <w:kern w:val="22"/>
          <w:szCs w:val="22"/>
          <w:lang w:val="fr-CA"/>
        </w:rPr>
        <w:t>centre d’échange</w:t>
      </w:r>
      <w:r w:rsidR="008B3996" w:rsidRPr="00115221">
        <w:rPr>
          <w:rFonts w:cs="Times New Roman"/>
          <w:snapToGrid w:val="0"/>
          <w:kern w:val="22"/>
          <w:szCs w:val="22"/>
          <w:lang w:val="fr-CA"/>
        </w:rPr>
        <w:t xml:space="preserve"> sur la prévention des risques biotechnologiques </w:t>
      </w:r>
      <w:r w:rsidR="000E62A4" w:rsidRPr="00115221">
        <w:rPr>
          <w:rFonts w:cs="Times New Roman"/>
          <w:snapToGrid w:val="0"/>
          <w:kern w:val="22"/>
          <w:szCs w:val="22"/>
          <w:lang w:val="fr-CA"/>
        </w:rPr>
        <w:t xml:space="preserve">n’offrent aucun renseignement sur les arrangements de coopération </w:t>
      </w:r>
      <w:r w:rsidR="005824A9">
        <w:rPr>
          <w:rFonts w:cs="Times New Roman"/>
          <w:snapToGrid w:val="0"/>
          <w:kern w:val="22"/>
          <w:szCs w:val="22"/>
          <w:lang w:val="fr-CA"/>
        </w:rPr>
        <w:t>concernant</w:t>
      </w:r>
      <w:r w:rsidR="000E62A4" w:rsidRPr="00115221">
        <w:rPr>
          <w:rFonts w:cs="Times New Roman"/>
          <w:snapToGrid w:val="0"/>
          <w:kern w:val="22"/>
          <w:szCs w:val="22"/>
          <w:lang w:val="fr-CA"/>
        </w:rPr>
        <w:t xml:space="preserve"> spécifiquement les Parties importatrices et exportatrices d’OVM. </w:t>
      </w:r>
      <w:r w:rsidR="008B3996" w:rsidRPr="00115221">
        <w:rPr>
          <w:rFonts w:cs="Times New Roman"/>
          <w:snapToGrid w:val="0"/>
          <w:kern w:val="22"/>
          <w:szCs w:val="22"/>
          <w:lang w:val="fr-CA"/>
        </w:rPr>
        <w:t>Cependant, des informati</w:t>
      </w:r>
      <w:r w:rsidR="000E62A4" w:rsidRPr="00115221">
        <w:rPr>
          <w:rFonts w:cs="Times New Roman"/>
          <w:snapToGrid w:val="0"/>
          <w:kern w:val="22"/>
          <w:szCs w:val="22"/>
          <w:lang w:val="fr-CA"/>
        </w:rPr>
        <w:t xml:space="preserve">ons ont été </w:t>
      </w:r>
      <w:r w:rsidR="008B3996" w:rsidRPr="00115221">
        <w:rPr>
          <w:rFonts w:cs="Times New Roman"/>
          <w:snapToGrid w:val="0"/>
          <w:kern w:val="22"/>
          <w:szCs w:val="22"/>
          <w:lang w:val="fr-CA"/>
        </w:rPr>
        <w:t>fournies</w:t>
      </w:r>
      <w:r w:rsidR="000E62A4" w:rsidRPr="00115221">
        <w:rPr>
          <w:rFonts w:cs="Times New Roman"/>
          <w:snapToGrid w:val="0"/>
          <w:kern w:val="22"/>
          <w:szCs w:val="22"/>
          <w:lang w:val="fr-CA"/>
        </w:rPr>
        <w:t xml:space="preserve"> sur les accords et arrangements bilatéraux, régionau</w:t>
      </w:r>
      <w:r w:rsidR="008B3996" w:rsidRPr="00115221">
        <w:rPr>
          <w:rFonts w:cs="Times New Roman"/>
          <w:snapToGrid w:val="0"/>
          <w:kern w:val="22"/>
          <w:szCs w:val="22"/>
          <w:lang w:val="fr-CA"/>
        </w:rPr>
        <w:t>x</w:t>
      </w:r>
      <w:r w:rsidR="000E62A4" w:rsidRPr="00115221">
        <w:rPr>
          <w:rFonts w:cs="Times New Roman"/>
          <w:snapToGrid w:val="0"/>
          <w:kern w:val="22"/>
          <w:szCs w:val="22"/>
          <w:lang w:val="fr-CA"/>
        </w:rPr>
        <w:t xml:space="preserve"> </w:t>
      </w:r>
      <w:r w:rsidR="00821275">
        <w:rPr>
          <w:rFonts w:cs="Times New Roman"/>
          <w:snapToGrid w:val="0"/>
          <w:kern w:val="22"/>
          <w:szCs w:val="22"/>
          <w:lang w:val="fr-CA"/>
        </w:rPr>
        <w:t>et multilatéraux en lien avec la</w:t>
      </w:r>
      <w:r w:rsidR="000E62A4" w:rsidRPr="00115221">
        <w:rPr>
          <w:rFonts w:cs="Times New Roman"/>
          <w:snapToGrid w:val="0"/>
          <w:kern w:val="22"/>
          <w:szCs w:val="22"/>
          <w:lang w:val="fr-CA"/>
        </w:rPr>
        <w:t xml:space="preserve"> prévention des risques biotechnologiques. </w:t>
      </w:r>
      <w:r w:rsidR="005824A9">
        <w:rPr>
          <w:rFonts w:cs="Times New Roman"/>
          <w:snapToGrid w:val="0"/>
          <w:kern w:val="22"/>
          <w:szCs w:val="22"/>
          <w:lang w:val="fr-CA"/>
        </w:rPr>
        <w:t>Vingt-sept</w:t>
      </w:r>
      <w:r w:rsidR="000E62A4" w:rsidRPr="00115221">
        <w:rPr>
          <w:rFonts w:cs="Times New Roman"/>
          <w:snapToGrid w:val="0"/>
          <w:kern w:val="22"/>
          <w:szCs w:val="22"/>
          <w:lang w:val="fr-CA"/>
        </w:rPr>
        <w:t xml:space="preserve"> p. cent des Parties (20 Parties) ont </w:t>
      </w:r>
      <w:r w:rsidR="00C605DA">
        <w:rPr>
          <w:rFonts w:cs="Times New Roman"/>
          <w:snapToGrid w:val="0"/>
          <w:kern w:val="22"/>
          <w:szCs w:val="22"/>
          <w:lang w:val="fr-CA"/>
        </w:rPr>
        <w:t>déclaré</w:t>
      </w:r>
      <w:r w:rsidR="000E62A4" w:rsidRPr="00115221">
        <w:rPr>
          <w:rFonts w:cs="Times New Roman"/>
          <w:snapToGrid w:val="0"/>
          <w:kern w:val="22"/>
          <w:szCs w:val="22"/>
          <w:lang w:val="fr-CA"/>
        </w:rPr>
        <w:t xml:space="preserve"> avoir conclu un ou plusieurs de ces accords ou participé à de tels arrangements</w:t>
      </w:r>
      <w:r w:rsidR="008B3996" w:rsidRPr="00115221">
        <w:rPr>
          <w:rFonts w:cs="Times New Roman"/>
          <w:snapToGrid w:val="0"/>
          <w:kern w:val="22"/>
          <w:szCs w:val="22"/>
          <w:lang w:val="fr-CA"/>
        </w:rPr>
        <w:t>, une augmentation de 6 p. cen</w:t>
      </w:r>
      <w:r w:rsidR="00EA4FED" w:rsidRPr="00115221">
        <w:rPr>
          <w:rFonts w:cs="Times New Roman"/>
          <w:snapToGrid w:val="0"/>
          <w:kern w:val="22"/>
          <w:szCs w:val="22"/>
          <w:lang w:val="fr-CA"/>
        </w:rPr>
        <w:t xml:space="preserve">t par rapport à la valeur de référence. </w:t>
      </w:r>
      <w:r w:rsidR="00C605DA">
        <w:rPr>
          <w:rFonts w:cs="Times New Roman"/>
          <w:bCs/>
          <w:snapToGrid w:val="0"/>
          <w:kern w:val="22"/>
          <w:szCs w:val="22"/>
          <w:lang w:val="fr-CA"/>
        </w:rPr>
        <w:t>Les différences régionales par rapport à la valeur de référence sont réparties comme suit</w:t>
      </w:r>
      <w:r w:rsidR="00EA4FED" w:rsidRPr="00115221">
        <w:rPr>
          <w:rFonts w:cs="Times New Roman"/>
          <w:snapToGrid w:val="0"/>
          <w:kern w:val="22"/>
          <w:szCs w:val="22"/>
          <w:lang w:val="fr-CA"/>
        </w:rPr>
        <w:t> : Asie-Pacifique : +33 p. cent; GALC : +16 p. cent; Af</w:t>
      </w:r>
      <w:r w:rsidR="00C605DA">
        <w:rPr>
          <w:rFonts w:cs="Times New Roman"/>
          <w:snapToGrid w:val="0"/>
          <w:kern w:val="22"/>
          <w:szCs w:val="22"/>
          <w:lang w:val="fr-CA"/>
        </w:rPr>
        <w:t>rique : + 13 p. cent; ECE : - 2 </w:t>
      </w:r>
      <w:r w:rsidR="00EA4FED" w:rsidRPr="00115221">
        <w:rPr>
          <w:rFonts w:cs="Times New Roman"/>
          <w:snapToGrid w:val="0"/>
          <w:kern w:val="22"/>
          <w:szCs w:val="22"/>
          <w:lang w:val="fr-CA"/>
        </w:rPr>
        <w:t xml:space="preserve">p. cent et EOA : - 21 p. cent. Parmi ces Parties, 18 ont déclaré avoir conclu ou participé à de </w:t>
      </w:r>
      <w:r w:rsidR="00821275">
        <w:rPr>
          <w:rFonts w:cs="Times New Roman"/>
          <w:snapToGrid w:val="0"/>
          <w:kern w:val="22"/>
          <w:szCs w:val="22"/>
          <w:lang w:val="fr-CA"/>
        </w:rPr>
        <w:t>1 à 4 accords ou arrangements; une</w:t>
      </w:r>
      <w:r w:rsidR="00EA4FED" w:rsidRPr="00115221">
        <w:rPr>
          <w:rFonts w:cs="Times New Roman"/>
          <w:snapToGrid w:val="0"/>
          <w:kern w:val="22"/>
          <w:szCs w:val="22"/>
          <w:lang w:val="fr-CA"/>
        </w:rPr>
        <w:t xml:space="preserve"> Partie a déclaré avoir participé à de 5 à 9 de ces accords, tandis qu’une Partie a précisé avoir participé à 10 ou plus de ces arrangements ou accords</w:t>
      </w:r>
      <w:r w:rsidR="004569FB" w:rsidRPr="00115221">
        <w:rPr>
          <w:rFonts w:cs="Times New Roman"/>
          <w:snapToGrid w:val="0"/>
          <w:kern w:val="22"/>
          <w:szCs w:val="22"/>
          <w:lang w:val="fr-CA"/>
        </w:rPr>
        <w:t>.</w:t>
      </w:r>
    </w:p>
    <w:p w14:paraId="515560FD" w14:textId="1410BBF9" w:rsidR="004569FB" w:rsidRPr="00115221" w:rsidRDefault="008C14BA" w:rsidP="000A5388">
      <w:pPr>
        <w:numPr>
          <w:ilvl w:val="0"/>
          <w:numId w:val="17"/>
        </w:numPr>
        <w:suppressLineNumbers/>
        <w:tabs>
          <w:tab w:val="clear" w:pos="2070"/>
          <w:tab w:val="num" w:pos="1530"/>
        </w:tabs>
        <w:suppressAutoHyphens/>
        <w:spacing w:before="120" w:after="120"/>
        <w:ind w:left="1531" w:hanging="629"/>
        <w:jc w:val="left"/>
        <w:outlineLvl w:val="1"/>
        <w:rPr>
          <w:rFonts w:cs="Times New Roman"/>
          <w:b/>
          <w:iCs/>
          <w:snapToGrid w:val="0"/>
          <w:kern w:val="22"/>
          <w:szCs w:val="22"/>
          <w:lang w:val="fr-CA"/>
        </w:rPr>
      </w:pPr>
      <w:bookmarkStart w:id="3" w:name="_Hlk30686166"/>
      <w:r w:rsidRPr="00115221">
        <w:rPr>
          <w:rFonts w:cs="Times New Roman"/>
          <w:b/>
          <w:iCs/>
          <w:snapToGrid w:val="0"/>
          <w:kern w:val="22"/>
          <w:szCs w:val="22"/>
          <w:lang w:val="fr-CA"/>
        </w:rPr>
        <w:t>Évaluation des risques et gestion des risques</w:t>
      </w:r>
      <w:r w:rsidR="004569FB" w:rsidRPr="00115221">
        <w:rPr>
          <w:rFonts w:cs="Times New Roman"/>
          <w:b/>
          <w:iCs/>
          <w:snapToGrid w:val="0"/>
          <w:kern w:val="22"/>
          <w:szCs w:val="22"/>
          <w:lang w:val="fr-CA"/>
        </w:rPr>
        <w:t xml:space="preserve"> (</w:t>
      </w:r>
      <w:r w:rsidRPr="00115221">
        <w:rPr>
          <w:rFonts w:cs="Times New Roman"/>
          <w:b/>
          <w:iCs/>
          <w:snapToGrid w:val="0"/>
          <w:kern w:val="22"/>
          <w:szCs w:val="22"/>
          <w:lang w:val="fr-CA"/>
        </w:rPr>
        <w:t>objectifs opérationnels</w:t>
      </w:r>
      <w:r w:rsidR="004569FB" w:rsidRPr="00115221">
        <w:rPr>
          <w:rFonts w:cs="Times New Roman"/>
          <w:b/>
          <w:iCs/>
          <w:snapToGrid w:val="0"/>
          <w:kern w:val="22"/>
          <w:szCs w:val="22"/>
          <w:lang w:val="fr-CA"/>
        </w:rPr>
        <w:t xml:space="preserve"> 1.3 </w:t>
      </w:r>
      <w:r w:rsidRPr="00115221">
        <w:rPr>
          <w:rFonts w:cs="Times New Roman"/>
          <w:b/>
          <w:iCs/>
          <w:snapToGrid w:val="0"/>
          <w:kern w:val="22"/>
          <w:szCs w:val="22"/>
          <w:lang w:val="fr-CA"/>
        </w:rPr>
        <w:t>et</w:t>
      </w:r>
      <w:r w:rsidR="004569FB" w:rsidRPr="00115221">
        <w:rPr>
          <w:rFonts w:cs="Times New Roman"/>
          <w:b/>
          <w:iCs/>
          <w:snapToGrid w:val="0"/>
          <w:kern w:val="22"/>
          <w:szCs w:val="22"/>
          <w:lang w:val="fr-CA"/>
        </w:rPr>
        <w:t xml:space="preserve"> 2.2)</w:t>
      </w:r>
    </w:p>
    <w:p w14:paraId="5376AE9D" w14:textId="6290CDD0" w:rsidR="004569FB" w:rsidRPr="00115221" w:rsidRDefault="008B3996" w:rsidP="004569FB">
      <w:pPr>
        <w:suppressLineNumbers/>
        <w:suppressAutoHyphens/>
        <w:spacing w:before="120" w:after="120"/>
        <w:textAlignment w:val="baseline"/>
        <w:rPr>
          <w:rFonts w:cs="Times New Roman"/>
          <w:b/>
          <w:snapToGrid w:val="0"/>
          <w:kern w:val="22"/>
          <w:szCs w:val="22"/>
          <w:lang w:val="fr-CA"/>
        </w:rPr>
      </w:pPr>
      <w:r w:rsidRPr="00115221">
        <w:rPr>
          <w:rFonts w:cs="Times New Roman"/>
          <w:b/>
          <w:snapToGrid w:val="0"/>
          <w:kern w:val="22"/>
          <w:szCs w:val="22"/>
          <w:lang w:val="fr-CA"/>
        </w:rPr>
        <w:t>Objectif opérationnel 1.3 : Évaluation des risques et gestion des risques</w:t>
      </w:r>
    </w:p>
    <w:bookmarkEnd w:id="3"/>
    <w:p w14:paraId="0B159BAC" w14:textId="567A3F70" w:rsidR="004569FB" w:rsidRPr="00115221" w:rsidRDefault="008734BC"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L’objectif opérationnel 1.3 porte sur le développement et le soutien plus poussés pour </w:t>
      </w:r>
      <w:r w:rsidR="00190008">
        <w:rPr>
          <w:rFonts w:cs="Times New Roman"/>
          <w:snapToGrid w:val="0"/>
          <w:kern w:val="22"/>
          <w:szCs w:val="22"/>
          <w:lang w:val="fr-CA"/>
        </w:rPr>
        <w:t>l’adoption</w:t>
      </w:r>
      <w:r w:rsidRPr="00115221">
        <w:rPr>
          <w:rFonts w:cs="Times New Roman"/>
          <w:snapToGrid w:val="0"/>
          <w:kern w:val="22"/>
          <w:szCs w:val="22"/>
          <w:lang w:val="fr-CA"/>
        </w:rPr>
        <w:t xml:space="preserve">  d’outils scientifiques sur les a</w:t>
      </w:r>
      <w:r w:rsidR="007B76D0" w:rsidRPr="00115221">
        <w:rPr>
          <w:rFonts w:cs="Times New Roman"/>
          <w:snapToGrid w:val="0"/>
          <w:kern w:val="22"/>
          <w:szCs w:val="22"/>
          <w:lang w:val="fr-CA"/>
        </w:rPr>
        <w:t>pproches courantes en matière d</w:t>
      </w:r>
      <w:r w:rsidRPr="00115221">
        <w:rPr>
          <w:rFonts w:cs="Times New Roman"/>
          <w:snapToGrid w:val="0"/>
          <w:kern w:val="22"/>
          <w:szCs w:val="22"/>
          <w:lang w:val="fr-CA"/>
        </w:rPr>
        <w:t xml:space="preserve">’évaluation des risques et de gestion des </w:t>
      </w:r>
      <w:r w:rsidRPr="00115221">
        <w:rPr>
          <w:rFonts w:cs="Times New Roman"/>
          <w:snapToGrid w:val="0"/>
          <w:kern w:val="22"/>
          <w:szCs w:val="22"/>
          <w:lang w:val="fr-CA"/>
        </w:rPr>
        <w:lastRenderedPageBreak/>
        <w:t>risques. Quatre indicateurs ont été utilisés pour mesurer les progrès en vue de la réalisation de cet objectif opérationnel</w:t>
      </w:r>
      <w:r w:rsidR="004569FB" w:rsidRPr="00115221">
        <w:rPr>
          <w:rFonts w:cs="Times New Roman"/>
          <w:snapToGrid w:val="0"/>
          <w:kern w:val="22"/>
          <w:szCs w:val="22"/>
          <w:lang w:val="fr-CA"/>
        </w:rPr>
        <w:t xml:space="preserve">. </w:t>
      </w:r>
    </w:p>
    <w:p w14:paraId="38BD26E2" w14:textId="33992044" w:rsidR="008B6256" w:rsidRPr="00115221" w:rsidRDefault="007B76D0"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1.3.1 a)</w:t>
      </w:r>
      <w:r w:rsidRPr="00115221">
        <w:rPr>
          <w:rFonts w:cs="Times New Roman"/>
          <w:snapToGrid w:val="0"/>
          <w:kern w:val="22"/>
          <w:szCs w:val="22"/>
          <w:lang w:val="fr-CA"/>
        </w:rPr>
        <w:t xml:space="preserve"> (pourcentage de Parties ayant adopté et utilisant les documents d’orientation dans le but de mener leur propre évalua</w:t>
      </w:r>
      <w:r w:rsidR="00D127CB" w:rsidRPr="00115221">
        <w:rPr>
          <w:rFonts w:cs="Times New Roman"/>
          <w:snapToGrid w:val="0"/>
          <w:kern w:val="22"/>
          <w:szCs w:val="22"/>
          <w:lang w:val="fr-CA"/>
        </w:rPr>
        <w:t>ti</w:t>
      </w:r>
      <w:r w:rsidRPr="00115221">
        <w:rPr>
          <w:rFonts w:cs="Times New Roman"/>
          <w:snapToGrid w:val="0"/>
          <w:kern w:val="22"/>
          <w:szCs w:val="22"/>
          <w:lang w:val="fr-CA"/>
        </w:rPr>
        <w:t xml:space="preserve">on des risques et d’effectuer leur propre gestion des risques) et </w:t>
      </w:r>
      <w:r w:rsidRPr="00115221">
        <w:rPr>
          <w:rFonts w:cs="Times New Roman"/>
          <w:b/>
          <w:snapToGrid w:val="0"/>
          <w:kern w:val="22"/>
          <w:szCs w:val="22"/>
          <w:lang w:val="fr-CA"/>
        </w:rPr>
        <w:t>l’indicateur 1.3.1.b)</w:t>
      </w:r>
      <w:r w:rsidRPr="00115221">
        <w:rPr>
          <w:rFonts w:cs="Times New Roman"/>
          <w:snapToGrid w:val="0"/>
          <w:kern w:val="22"/>
          <w:szCs w:val="22"/>
          <w:lang w:val="fr-CA"/>
        </w:rPr>
        <w:t xml:space="preserve"> (pourcentage des Parties ayant adopté et utilisant des documents d’orientation afin d’évaluer les rapports d’évalua</w:t>
      </w:r>
      <w:r w:rsidR="00D127CB" w:rsidRPr="00115221">
        <w:rPr>
          <w:rFonts w:cs="Times New Roman"/>
          <w:snapToGrid w:val="0"/>
          <w:kern w:val="22"/>
          <w:szCs w:val="22"/>
          <w:lang w:val="fr-CA"/>
        </w:rPr>
        <w:t>ti</w:t>
      </w:r>
      <w:r w:rsidRPr="00115221">
        <w:rPr>
          <w:rFonts w:cs="Times New Roman"/>
          <w:snapToGrid w:val="0"/>
          <w:kern w:val="22"/>
          <w:szCs w:val="22"/>
          <w:lang w:val="fr-CA"/>
        </w:rPr>
        <w:t xml:space="preserve">on des risques proposés par les déclarants), l’information </w:t>
      </w:r>
      <w:r w:rsidR="00D127CB" w:rsidRPr="00115221">
        <w:rPr>
          <w:rFonts w:cs="Times New Roman"/>
          <w:snapToGrid w:val="0"/>
          <w:kern w:val="22"/>
          <w:szCs w:val="22"/>
          <w:lang w:val="fr-CA"/>
        </w:rPr>
        <w:t>fournie</w:t>
      </w:r>
      <w:r w:rsidRPr="00115221">
        <w:rPr>
          <w:rFonts w:cs="Times New Roman"/>
          <w:snapToGrid w:val="0"/>
          <w:kern w:val="22"/>
          <w:szCs w:val="22"/>
          <w:lang w:val="fr-CA"/>
        </w:rPr>
        <w:t xml:space="preserve"> dans les rapports nationaux ne permet pas de faire la distinction entre l’orientation</w:t>
      </w:r>
      <w:r w:rsidR="00D127CB" w:rsidRPr="00115221">
        <w:rPr>
          <w:rFonts w:cs="Times New Roman"/>
          <w:snapToGrid w:val="0"/>
          <w:kern w:val="22"/>
          <w:szCs w:val="22"/>
          <w:lang w:val="fr-CA"/>
        </w:rPr>
        <w:t xml:space="preserve"> pour la tenue de l’évaluation des risques et l’orientation pour </w:t>
      </w:r>
      <w:r w:rsidR="00CD7E0D">
        <w:rPr>
          <w:rFonts w:cs="Times New Roman"/>
          <w:snapToGrid w:val="0"/>
          <w:kern w:val="22"/>
          <w:szCs w:val="22"/>
          <w:lang w:val="fr-CA"/>
        </w:rPr>
        <w:t>l’analyse des</w:t>
      </w:r>
      <w:r w:rsidR="00D127CB" w:rsidRPr="00115221">
        <w:rPr>
          <w:rFonts w:cs="Times New Roman"/>
          <w:snapToGrid w:val="0"/>
          <w:kern w:val="22"/>
          <w:szCs w:val="22"/>
          <w:lang w:val="fr-CA"/>
        </w:rPr>
        <w:t xml:space="preserve"> évaluations des risques proposées par les déclarants. Les informations fournies dans les quatrièmes rapports nationaux contiennent des données pertinentes, résumées dans les deux prochains paragraphes, pouva</w:t>
      </w:r>
      <w:r w:rsidR="000A0E54">
        <w:rPr>
          <w:rFonts w:cs="Times New Roman"/>
          <w:snapToGrid w:val="0"/>
          <w:kern w:val="22"/>
          <w:szCs w:val="22"/>
          <w:lang w:val="fr-CA"/>
        </w:rPr>
        <w:t>n</w:t>
      </w:r>
      <w:r w:rsidR="00D127CB" w:rsidRPr="00115221">
        <w:rPr>
          <w:rFonts w:cs="Times New Roman"/>
          <w:snapToGrid w:val="0"/>
          <w:kern w:val="22"/>
          <w:szCs w:val="22"/>
          <w:lang w:val="fr-CA"/>
        </w:rPr>
        <w:t>t aider à mesurer ces indicateurs</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24"/>
      </w:r>
      <w:r w:rsidR="004569FB" w:rsidRPr="00115221">
        <w:rPr>
          <w:rFonts w:cs="Times New Roman"/>
          <w:snapToGrid w:val="0"/>
          <w:kern w:val="22"/>
          <w:szCs w:val="22"/>
          <w:lang w:val="fr-CA"/>
        </w:rPr>
        <w:t xml:space="preserve"> </w:t>
      </w:r>
      <w:bookmarkStart w:id="4" w:name="_Hlk33700693"/>
    </w:p>
    <w:bookmarkEnd w:id="4"/>
    <w:p w14:paraId="5701D8C5" w14:textId="62FA8900" w:rsidR="004569FB" w:rsidRPr="00115221" w:rsidRDefault="00D127CB"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En ce qui concerne la gesti</w:t>
      </w:r>
      <w:r w:rsidR="0054504F" w:rsidRPr="00115221">
        <w:rPr>
          <w:rFonts w:cs="Times New Roman"/>
          <w:snapToGrid w:val="0"/>
          <w:kern w:val="22"/>
          <w:szCs w:val="22"/>
          <w:lang w:val="fr-CA"/>
        </w:rPr>
        <w:t>on des risques, 72</w:t>
      </w:r>
      <w:r w:rsidRPr="00115221">
        <w:rPr>
          <w:rFonts w:cs="Times New Roman"/>
          <w:snapToGrid w:val="0"/>
          <w:kern w:val="22"/>
          <w:szCs w:val="22"/>
          <w:lang w:val="fr-CA"/>
        </w:rPr>
        <w:t xml:space="preserve"> p. cent </w:t>
      </w:r>
      <w:r w:rsidR="0054504F" w:rsidRPr="00115221">
        <w:rPr>
          <w:rFonts w:cs="Times New Roman"/>
          <w:snapToGrid w:val="0"/>
          <w:kern w:val="22"/>
          <w:szCs w:val="22"/>
          <w:lang w:val="fr-CA"/>
        </w:rPr>
        <w:t>des Parties (51</w:t>
      </w:r>
      <w:r w:rsidRPr="00115221">
        <w:rPr>
          <w:rFonts w:cs="Times New Roman"/>
          <w:snapToGrid w:val="0"/>
          <w:kern w:val="22"/>
          <w:szCs w:val="22"/>
          <w:lang w:val="fr-CA"/>
        </w:rPr>
        <w:t xml:space="preserve"> Parties) ont déclaré avoir adopté ou utilisé des documents d’orientation</w:t>
      </w:r>
      <w:r w:rsidR="00E24DF9" w:rsidRPr="00115221">
        <w:rPr>
          <w:rFonts w:cs="Times New Roman"/>
          <w:snapToGrid w:val="0"/>
          <w:kern w:val="22"/>
          <w:szCs w:val="22"/>
          <w:lang w:val="fr-CA"/>
        </w:rPr>
        <w:t xml:space="preserve"> pour gérer les risques ou pour analyser les rapports d’évaluation des risques proposés par les déclarants, ce qui représente une augmentation modeste de 4 p. cent par rapport à la valeur de référence. Plusieurs </w:t>
      </w:r>
      <w:r w:rsidR="00CD7E0D">
        <w:rPr>
          <w:rFonts w:cs="Times New Roman"/>
          <w:snapToGrid w:val="0"/>
          <w:kern w:val="22"/>
          <w:szCs w:val="22"/>
          <w:lang w:val="fr-CA"/>
        </w:rPr>
        <w:t>différences</w:t>
      </w:r>
      <w:r w:rsidR="00E24DF9" w:rsidRPr="00115221">
        <w:rPr>
          <w:rFonts w:cs="Times New Roman"/>
          <w:snapToGrid w:val="0"/>
          <w:kern w:val="22"/>
          <w:szCs w:val="22"/>
          <w:lang w:val="fr-CA"/>
        </w:rPr>
        <w:t xml:space="preserve"> considérables sont constaté</w:t>
      </w:r>
      <w:r w:rsidR="00CD7E0D">
        <w:rPr>
          <w:rFonts w:cs="Times New Roman"/>
          <w:snapToGrid w:val="0"/>
          <w:kern w:val="22"/>
          <w:szCs w:val="22"/>
          <w:lang w:val="fr-CA"/>
        </w:rPr>
        <w:t>e</w:t>
      </w:r>
      <w:r w:rsidR="00E24DF9" w:rsidRPr="00115221">
        <w:rPr>
          <w:rFonts w:cs="Times New Roman"/>
          <w:snapToGrid w:val="0"/>
          <w:kern w:val="22"/>
          <w:szCs w:val="22"/>
          <w:lang w:val="fr-CA"/>
        </w:rPr>
        <w:t>s dans les régions : EOA : 100</w:t>
      </w:r>
      <w:r w:rsidR="00CD7E0D">
        <w:rPr>
          <w:rFonts w:cs="Times New Roman"/>
          <w:snapToGrid w:val="0"/>
          <w:kern w:val="22"/>
          <w:szCs w:val="22"/>
          <w:lang w:val="fr-CA"/>
        </w:rPr>
        <w:t xml:space="preserve"> p. cent; Asie-Pacifique : 89 p</w:t>
      </w:r>
      <w:r w:rsidR="00E24DF9" w:rsidRPr="00115221">
        <w:rPr>
          <w:rFonts w:cs="Times New Roman"/>
          <w:snapToGrid w:val="0"/>
          <w:kern w:val="22"/>
          <w:szCs w:val="22"/>
          <w:lang w:val="fr-CA"/>
        </w:rPr>
        <w:t xml:space="preserve">. cent; </w:t>
      </w:r>
      <w:r w:rsidR="00955815" w:rsidRPr="00115221">
        <w:rPr>
          <w:rFonts w:cs="Times New Roman"/>
          <w:snapToGrid w:val="0"/>
          <w:kern w:val="22"/>
          <w:szCs w:val="22"/>
          <w:lang w:val="fr-CA"/>
        </w:rPr>
        <w:t xml:space="preserve">ECE : 86 p. cent; </w:t>
      </w:r>
      <w:r w:rsidR="00E24DF9" w:rsidRPr="00115221">
        <w:rPr>
          <w:rFonts w:cs="Times New Roman"/>
          <w:snapToGrid w:val="0"/>
          <w:kern w:val="22"/>
          <w:szCs w:val="22"/>
          <w:lang w:val="fr-CA"/>
        </w:rPr>
        <w:t>Afrique : 58 p. cent; GALC : 31 p. cent</w:t>
      </w:r>
      <w:r w:rsidR="0054504F" w:rsidRPr="00115221">
        <w:rPr>
          <w:rFonts w:cs="Times New Roman"/>
          <w:snapToGrid w:val="0"/>
          <w:kern w:val="22"/>
          <w:szCs w:val="22"/>
          <w:lang w:val="fr-CA"/>
        </w:rPr>
        <w:t xml:space="preserve">. Des </w:t>
      </w:r>
      <w:r w:rsidR="00CD7E0D">
        <w:rPr>
          <w:rFonts w:eastAsia="Times New Roman" w:cs="Times New Roman"/>
          <w:snapToGrid w:val="0"/>
          <w:kern w:val="22"/>
          <w:szCs w:val="22"/>
          <w:lang w:val="fr-CA"/>
        </w:rPr>
        <w:t>différences</w:t>
      </w:r>
      <w:r w:rsidR="0054504F" w:rsidRPr="00115221">
        <w:rPr>
          <w:rFonts w:cs="Times New Roman"/>
          <w:snapToGrid w:val="0"/>
          <w:kern w:val="22"/>
          <w:szCs w:val="22"/>
          <w:lang w:val="fr-CA"/>
        </w:rPr>
        <w:t xml:space="preserve"> ont été déclaré</w:t>
      </w:r>
      <w:r w:rsidR="00CD7E0D">
        <w:rPr>
          <w:rFonts w:cs="Times New Roman"/>
          <w:snapToGrid w:val="0"/>
          <w:kern w:val="22"/>
          <w:szCs w:val="22"/>
          <w:lang w:val="fr-CA"/>
        </w:rPr>
        <w:t>e</w:t>
      </w:r>
      <w:r w:rsidR="0054504F" w:rsidRPr="00115221">
        <w:rPr>
          <w:rFonts w:cs="Times New Roman"/>
          <w:snapToGrid w:val="0"/>
          <w:kern w:val="22"/>
          <w:szCs w:val="22"/>
          <w:lang w:val="fr-CA"/>
        </w:rPr>
        <w:t>s dans deux régions : Afrique (+11 p. cent) et ECE (+7 p. cent)</w:t>
      </w:r>
      <w:r w:rsidR="004569FB" w:rsidRPr="00115221">
        <w:rPr>
          <w:rFonts w:cs="Times New Roman"/>
          <w:snapToGrid w:val="0"/>
          <w:kern w:val="22"/>
          <w:szCs w:val="22"/>
          <w:lang w:val="fr-CA"/>
        </w:rPr>
        <w:t xml:space="preserve">. </w:t>
      </w:r>
    </w:p>
    <w:p w14:paraId="7CE5DBBF" w14:textId="2FE60D28" w:rsidR="004569FB" w:rsidRPr="00115221" w:rsidRDefault="0054504F"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la gestion des risques, 71 p. cent des Parties (50 Parties) ont déclaré avoir adopté ou utilisé des documents d’orientation pour gérer les risques, ce qui représente une augmentation de 5 p. cent par rapport à la valeur de référence. </w:t>
      </w:r>
      <w:r w:rsidR="00955815" w:rsidRPr="00115221">
        <w:rPr>
          <w:rFonts w:cs="Times New Roman"/>
          <w:snapToGrid w:val="0"/>
          <w:kern w:val="22"/>
          <w:szCs w:val="22"/>
          <w:lang w:val="fr-CA"/>
        </w:rPr>
        <w:t xml:space="preserve">Plusieurs </w:t>
      </w:r>
      <w:r w:rsidR="00C46E5B">
        <w:rPr>
          <w:rFonts w:cs="Times New Roman"/>
          <w:snapToGrid w:val="0"/>
          <w:kern w:val="22"/>
          <w:szCs w:val="22"/>
          <w:lang w:val="fr-CA"/>
        </w:rPr>
        <w:t>différences</w:t>
      </w:r>
      <w:r w:rsidR="00955815" w:rsidRPr="00115221">
        <w:rPr>
          <w:rFonts w:cs="Times New Roman"/>
          <w:snapToGrid w:val="0"/>
          <w:kern w:val="22"/>
          <w:szCs w:val="22"/>
          <w:lang w:val="fr-CA"/>
        </w:rPr>
        <w:t xml:space="preserve"> considérables </w:t>
      </w:r>
      <w:r w:rsidR="000A0E54">
        <w:rPr>
          <w:rFonts w:cs="Times New Roman"/>
          <w:snapToGrid w:val="0"/>
          <w:kern w:val="22"/>
          <w:szCs w:val="22"/>
          <w:lang w:val="fr-CA"/>
        </w:rPr>
        <w:t>ont été</w:t>
      </w:r>
      <w:r w:rsidR="00955815" w:rsidRPr="00115221">
        <w:rPr>
          <w:rFonts w:cs="Times New Roman"/>
          <w:snapToGrid w:val="0"/>
          <w:kern w:val="22"/>
          <w:szCs w:val="22"/>
          <w:lang w:val="fr-CA"/>
        </w:rPr>
        <w:t xml:space="preserve"> constaté</w:t>
      </w:r>
      <w:r w:rsidR="00C46E5B">
        <w:rPr>
          <w:rFonts w:cs="Times New Roman"/>
          <w:snapToGrid w:val="0"/>
          <w:kern w:val="22"/>
          <w:szCs w:val="22"/>
          <w:lang w:val="fr-CA"/>
        </w:rPr>
        <w:t>e</w:t>
      </w:r>
      <w:r w:rsidR="00955815" w:rsidRPr="00115221">
        <w:rPr>
          <w:rFonts w:cs="Times New Roman"/>
          <w:snapToGrid w:val="0"/>
          <w:kern w:val="22"/>
          <w:szCs w:val="22"/>
          <w:lang w:val="fr-CA"/>
        </w:rPr>
        <w:t xml:space="preserve">s dans les régions : EOA : 100 </w:t>
      </w:r>
      <w:r w:rsidR="000A0E54">
        <w:rPr>
          <w:rFonts w:cs="Times New Roman"/>
          <w:snapToGrid w:val="0"/>
          <w:kern w:val="22"/>
          <w:szCs w:val="22"/>
          <w:lang w:val="fr-CA"/>
        </w:rPr>
        <w:t>p. cent; Asie-Pacifique : 88 p.</w:t>
      </w:r>
      <w:r w:rsidR="00955815" w:rsidRPr="00115221">
        <w:rPr>
          <w:rFonts w:cs="Times New Roman"/>
          <w:snapToGrid w:val="0"/>
          <w:kern w:val="22"/>
          <w:szCs w:val="22"/>
          <w:lang w:val="fr-CA"/>
        </w:rPr>
        <w:t xml:space="preserve"> cent; ECE : 86 p. cent; </w:t>
      </w:r>
      <w:r w:rsidR="00C46E5B">
        <w:rPr>
          <w:rFonts w:cs="Times New Roman"/>
          <w:snapToGrid w:val="0"/>
          <w:kern w:val="22"/>
          <w:szCs w:val="22"/>
          <w:lang w:val="fr-CA"/>
        </w:rPr>
        <w:t>Afrique : 58 p. cent; GALC : 31 </w:t>
      </w:r>
      <w:r w:rsidR="00955815" w:rsidRPr="00115221">
        <w:rPr>
          <w:rFonts w:cs="Times New Roman"/>
          <w:snapToGrid w:val="0"/>
          <w:kern w:val="22"/>
          <w:szCs w:val="22"/>
          <w:lang w:val="fr-CA"/>
        </w:rPr>
        <w:t xml:space="preserve">p. cent. </w:t>
      </w:r>
      <w:r w:rsidR="00C46E5B">
        <w:rPr>
          <w:rFonts w:cs="Times New Roman"/>
          <w:snapToGrid w:val="0"/>
          <w:kern w:val="22"/>
          <w:szCs w:val="22"/>
          <w:lang w:val="fr-CA"/>
        </w:rPr>
        <w:t xml:space="preserve">Les augmentations régionales sont ventilées comme suit </w:t>
      </w:r>
      <w:r w:rsidR="00955815" w:rsidRPr="00115221">
        <w:rPr>
          <w:rFonts w:cs="Times New Roman"/>
          <w:snapToGrid w:val="0"/>
          <w:kern w:val="22"/>
          <w:szCs w:val="22"/>
          <w:lang w:val="fr-CA"/>
        </w:rPr>
        <w:t>: Asie</w:t>
      </w:r>
      <w:r w:rsidR="008126C9">
        <w:rPr>
          <w:rFonts w:cs="Times New Roman"/>
          <w:snapToGrid w:val="0"/>
          <w:kern w:val="22"/>
          <w:szCs w:val="22"/>
          <w:lang w:val="fr-CA"/>
        </w:rPr>
        <w:t>-Pacifique</w:t>
      </w:r>
      <w:r w:rsidR="00955815" w:rsidRPr="00115221">
        <w:rPr>
          <w:rFonts w:cs="Times New Roman"/>
          <w:snapToGrid w:val="0"/>
          <w:kern w:val="22"/>
          <w:szCs w:val="22"/>
          <w:lang w:val="fr-CA"/>
        </w:rPr>
        <w:t xml:space="preserve"> (+13 p. cent), Afrique </w:t>
      </w:r>
      <w:r w:rsidR="000A0E54">
        <w:rPr>
          <w:rFonts w:cs="Times New Roman"/>
          <w:snapToGrid w:val="0"/>
          <w:kern w:val="22"/>
          <w:szCs w:val="22"/>
          <w:lang w:val="fr-CA"/>
        </w:rPr>
        <w:t>(+11 p. cent), ECE (+7 p. cent) (v</w:t>
      </w:r>
      <w:r w:rsidR="00955815" w:rsidRPr="00115221">
        <w:rPr>
          <w:rFonts w:cs="Times New Roman"/>
          <w:snapToGrid w:val="0"/>
          <w:kern w:val="22"/>
          <w:szCs w:val="22"/>
          <w:lang w:val="fr-CA"/>
        </w:rPr>
        <w:t>oir la figure 1</w:t>
      </w:r>
      <w:r w:rsidR="004569FB" w:rsidRPr="00115221">
        <w:rPr>
          <w:rFonts w:cs="Times New Roman"/>
          <w:snapToGrid w:val="0"/>
          <w:kern w:val="22"/>
          <w:szCs w:val="22"/>
          <w:lang w:val="fr-CA"/>
        </w:rPr>
        <w:t>).</w:t>
      </w:r>
    </w:p>
    <w:p w14:paraId="192C3AF4" w14:textId="4A29BEBE" w:rsidR="004569FB" w:rsidRPr="00115221" w:rsidRDefault="000753B8"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Quarante et un p. cent des Parties (29 Parties) ayant déclaré </w:t>
      </w:r>
      <w:r w:rsidR="00C46E5B">
        <w:rPr>
          <w:rFonts w:cs="Times New Roman"/>
          <w:snapToGrid w:val="0"/>
          <w:kern w:val="22"/>
          <w:szCs w:val="22"/>
          <w:lang w:val="fr-CA"/>
        </w:rPr>
        <w:t xml:space="preserve">qu’elles ont adopté ou qu’elles utilisent </w:t>
      </w:r>
      <w:r w:rsidRPr="00115221">
        <w:rPr>
          <w:rFonts w:cs="Times New Roman"/>
          <w:snapToGrid w:val="0"/>
          <w:kern w:val="22"/>
          <w:szCs w:val="22"/>
          <w:lang w:val="fr-CA"/>
        </w:rPr>
        <w:t>des documents d’orientation sur l’évaluation des risques ou la gestion des risques ont indiqué utiliser l’Orient</w:t>
      </w:r>
      <w:r w:rsidR="007C6FF8" w:rsidRPr="00115221">
        <w:rPr>
          <w:rFonts w:cs="Times New Roman"/>
          <w:snapToGrid w:val="0"/>
          <w:kern w:val="22"/>
          <w:szCs w:val="22"/>
          <w:lang w:val="fr-CA"/>
        </w:rPr>
        <w:t>ati</w:t>
      </w:r>
      <w:r w:rsidRPr="00115221">
        <w:rPr>
          <w:rFonts w:cs="Times New Roman"/>
          <w:snapToGrid w:val="0"/>
          <w:kern w:val="22"/>
          <w:szCs w:val="22"/>
          <w:lang w:val="fr-CA"/>
        </w:rPr>
        <w:t>on sur l’évaluation des risques des OVM (élaboré</w:t>
      </w:r>
      <w:r w:rsidR="000A0E54">
        <w:rPr>
          <w:rFonts w:cs="Times New Roman"/>
          <w:snapToGrid w:val="0"/>
          <w:kern w:val="22"/>
          <w:szCs w:val="22"/>
          <w:lang w:val="fr-CA"/>
        </w:rPr>
        <w:t>e</w:t>
      </w:r>
      <w:r w:rsidRPr="00115221">
        <w:rPr>
          <w:rFonts w:cs="Times New Roman"/>
          <w:snapToGrid w:val="0"/>
          <w:kern w:val="22"/>
          <w:szCs w:val="22"/>
          <w:lang w:val="fr-CA"/>
        </w:rPr>
        <w:t xml:space="preserve"> par </w:t>
      </w:r>
      <w:r w:rsidR="00145DED" w:rsidRPr="00115221">
        <w:rPr>
          <w:rFonts w:cs="Times New Roman"/>
          <w:snapToGrid w:val="0"/>
          <w:kern w:val="22"/>
          <w:szCs w:val="22"/>
          <w:lang w:val="fr-CA"/>
        </w:rPr>
        <w:t>le forum</w:t>
      </w:r>
      <w:r w:rsidRPr="00115221">
        <w:rPr>
          <w:rFonts w:cs="Times New Roman"/>
          <w:snapToGrid w:val="0"/>
          <w:kern w:val="22"/>
          <w:szCs w:val="22"/>
          <w:lang w:val="fr-CA"/>
        </w:rPr>
        <w:t xml:space="preserve"> en ligne et le </w:t>
      </w:r>
      <w:r w:rsidR="007C6FF8" w:rsidRPr="00115221">
        <w:rPr>
          <w:rFonts w:cs="Times New Roman"/>
          <w:snapToGrid w:val="0"/>
          <w:kern w:val="22"/>
          <w:szCs w:val="22"/>
          <w:lang w:val="fr-CA"/>
        </w:rPr>
        <w:t>Groupe spécial d’experts techniques sur l’évaluation des risques et la gestion des risques), ce qui représente une augmentation de 5 p. cent (35 Parties) par rapport à l’évaluation de mi-mandat</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25"/>
      </w:r>
      <w:r w:rsidR="004569FB" w:rsidRPr="00115221">
        <w:rPr>
          <w:rFonts w:cs="Times New Roman"/>
          <w:snapToGrid w:val="0"/>
          <w:kern w:val="22"/>
          <w:szCs w:val="22"/>
          <w:lang w:val="fr-CA"/>
        </w:rPr>
        <w:t xml:space="preserve"> </w:t>
      </w:r>
      <w:r w:rsidR="007C6FF8" w:rsidRPr="00115221">
        <w:rPr>
          <w:rFonts w:cs="Times New Roman"/>
          <w:snapToGrid w:val="0"/>
          <w:kern w:val="22"/>
          <w:szCs w:val="22"/>
          <w:lang w:val="fr-CA"/>
        </w:rPr>
        <w:t xml:space="preserve">La région de l’Afrique a déclaré </w:t>
      </w:r>
      <w:r w:rsidR="00C46E5B">
        <w:rPr>
          <w:rFonts w:cs="Times New Roman"/>
          <w:snapToGrid w:val="0"/>
          <w:kern w:val="22"/>
          <w:szCs w:val="22"/>
          <w:lang w:val="fr-CA"/>
        </w:rPr>
        <w:t>la différence la plus marquée</w:t>
      </w:r>
      <w:r w:rsidR="007C6FF8" w:rsidRPr="00115221">
        <w:rPr>
          <w:rFonts w:cs="Times New Roman"/>
          <w:snapToGrid w:val="0"/>
          <w:kern w:val="22"/>
          <w:szCs w:val="22"/>
          <w:lang w:val="fr-CA"/>
        </w:rPr>
        <w:t xml:space="preserve"> (+28 p. cent), suivie de l’Asie-Pacifique (-6 p. </w:t>
      </w:r>
      <w:r w:rsidR="00BC65BC">
        <w:rPr>
          <w:rFonts w:cs="Times New Roman"/>
          <w:snapToGrid w:val="0"/>
          <w:kern w:val="22"/>
          <w:szCs w:val="22"/>
          <w:lang w:val="fr-CA"/>
        </w:rPr>
        <w:t>cent) et de l’ECE (-8 p. cent), et le GAL</w:t>
      </w:r>
      <w:r w:rsidR="007C6FF8" w:rsidRPr="00115221">
        <w:rPr>
          <w:rFonts w:cs="Times New Roman"/>
          <w:snapToGrid w:val="0"/>
          <w:kern w:val="22"/>
          <w:szCs w:val="22"/>
          <w:lang w:val="fr-CA"/>
        </w:rPr>
        <w:t xml:space="preserve">C et l’EOA n’ont signalé </w:t>
      </w:r>
      <w:r w:rsidR="00AC30F6" w:rsidRPr="00115221">
        <w:rPr>
          <w:rFonts w:cs="Times New Roman"/>
          <w:snapToGrid w:val="0"/>
          <w:kern w:val="22"/>
          <w:szCs w:val="22"/>
          <w:lang w:val="fr-CA"/>
        </w:rPr>
        <w:t>aucune différence</w:t>
      </w:r>
      <w:r w:rsidR="007C6FF8" w:rsidRPr="00115221">
        <w:rPr>
          <w:rFonts w:cs="Times New Roman"/>
          <w:snapToGrid w:val="0"/>
          <w:kern w:val="22"/>
          <w:szCs w:val="22"/>
          <w:lang w:val="fr-CA"/>
        </w:rPr>
        <w:t xml:space="preserve"> par rapport à la valeur de référence</w:t>
      </w:r>
      <w:r w:rsidR="004569FB" w:rsidRPr="00115221">
        <w:rPr>
          <w:rFonts w:cs="Times New Roman"/>
          <w:snapToGrid w:val="0"/>
          <w:kern w:val="22"/>
          <w:szCs w:val="22"/>
          <w:lang w:val="fr-CA"/>
        </w:rPr>
        <w:t>.</w:t>
      </w:r>
    </w:p>
    <w:p w14:paraId="50DE7330" w14:textId="416FF4AE" w:rsidR="004569FB" w:rsidRPr="00115221" w:rsidRDefault="00127EF9"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1.3.2</w:t>
      </w:r>
      <w:r w:rsidRPr="00115221">
        <w:rPr>
          <w:rFonts w:cs="Times New Roman"/>
          <w:snapToGrid w:val="0"/>
          <w:kern w:val="22"/>
          <w:szCs w:val="22"/>
          <w:lang w:val="fr-CA"/>
        </w:rPr>
        <w:t xml:space="preserve"> (pourcentage des Parties ayant adopté des approches communes en matière d’évaluation des risques et de gestion des risques), 58 p. cent (41 Parties) ont déclaré avoir adopté des approches ou méthodologies communes en matière d’évaluation des risques, en coordination avec d’autres pays, une augmentation de 13 p. cen</w:t>
      </w:r>
      <w:r w:rsidR="006C0018" w:rsidRPr="00115221">
        <w:rPr>
          <w:rFonts w:cs="Times New Roman"/>
          <w:snapToGrid w:val="0"/>
          <w:kern w:val="22"/>
          <w:szCs w:val="22"/>
          <w:lang w:val="fr-CA"/>
        </w:rPr>
        <w:t>t par rappor</w:t>
      </w:r>
      <w:r w:rsidRPr="00115221">
        <w:rPr>
          <w:rFonts w:cs="Times New Roman"/>
          <w:snapToGrid w:val="0"/>
          <w:kern w:val="22"/>
          <w:szCs w:val="22"/>
          <w:lang w:val="fr-CA"/>
        </w:rPr>
        <w:t>t à la valeur de référence. Toutes les régions ont déclaré des augmentations, la plus forte par le GALC (+23 p. cent)</w:t>
      </w:r>
      <w:r w:rsidR="00BC65BC">
        <w:rPr>
          <w:rFonts w:cs="Times New Roman"/>
          <w:snapToGrid w:val="0"/>
          <w:kern w:val="22"/>
          <w:szCs w:val="22"/>
          <w:lang w:val="fr-CA"/>
        </w:rPr>
        <w:t>, suivi de l’ECE (+14 p. cent),</w:t>
      </w:r>
      <w:r w:rsidRPr="00115221">
        <w:rPr>
          <w:rFonts w:cs="Times New Roman"/>
          <w:snapToGrid w:val="0"/>
          <w:kern w:val="22"/>
          <w:szCs w:val="22"/>
          <w:lang w:val="fr-CA"/>
        </w:rPr>
        <w:t xml:space="preserve"> de l’EOA (+13 p. cent), de l’Asie-Pacifique (+11 p. cent) et de l’Afrique (+5 p. cent)</w:t>
      </w:r>
      <w:r w:rsidR="004569FB" w:rsidRPr="00115221">
        <w:rPr>
          <w:rFonts w:cs="Times New Roman"/>
          <w:snapToGrid w:val="0"/>
          <w:kern w:val="22"/>
          <w:szCs w:val="22"/>
          <w:lang w:val="fr-CA"/>
        </w:rPr>
        <w:t>.</w:t>
      </w:r>
    </w:p>
    <w:p w14:paraId="388BCFDD" w14:textId="1D1DA71D" w:rsidR="00267650" w:rsidRPr="00770532" w:rsidRDefault="00702B88" w:rsidP="00770532">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highlight w:val="lightGray"/>
          <w:lang w:val="fr-CA"/>
        </w:rPr>
      </w:pPr>
      <w:r w:rsidRPr="00EC7752">
        <w:rPr>
          <w:rFonts w:cs="Times New Roman"/>
          <w:snapToGrid w:val="0"/>
          <w:kern w:val="22"/>
          <w:szCs w:val="22"/>
          <w:lang w:val="fr-CA"/>
        </w:rPr>
        <w:t xml:space="preserve">En ce qui a trait à </w:t>
      </w:r>
      <w:r w:rsidRPr="00EC7752">
        <w:rPr>
          <w:rFonts w:cs="Times New Roman"/>
          <w:b/>
          <w:snapToGrid w:val="0"/>
          <w:kern w:val="22"/>
          <w:szCs w:val="22"/>
          <w:lang w:val="fr-CA"/>
        </w:rPr>
        <w:t>l’indicateur 1.3.3</w:t>
      </w:r>
      <w:r w:rsidRPr="00EC7752">
        <w:rPr>
          <w:rFonts w:cs="Times New Roman"/>
          <w:snapToGrid w:val="0"/>
          <w:kern w:val="22"/>
          <w:szCs w:val="22"/>
          <w:lang w:val="fr-CA"/>
        </w:rPr>
        <w:t xml:space="preserve"> (pourcentage des Parties effectuant des évaluations des risques au titre du Protocole), 61 p. cent des Parties (43 Parties) ont déclaré avoir effect</w:t>
      </w:r>
      <w:r w:rsidR="00DD78EF" w:rsidRPr="00EC7752">
        <w:rPr>
          <w:rFonts w:cs="Times New Roman"/>
          <w:snapToGrid w:val="0"/>
          <w:kern w:val="22"/>
          <w:szCs w:val="22"/>
          <w:lang w:val="fr-CA"/>
        </w:rPr>
        <w:t>u</w:t>
      </w:r>
      <w:r w:rsidRPr="00EC7752">
        <w:rPr>
          <w:rFonts w:cs="Times New Roman"/>
          <w:snapToGrid w:val="0"/>
          <w:kern w:val="22"/>
          <w:szCs w:val="22"/>
          <w:lang w:val="fr-CA"/>
        </w:rPr>
        <w:t>é des évaluations des risques des OVM au titre du Protocole au cours de la période visée par ce rapport, 9 p. cent de plus que la valeur de référence. Par r</w:t>
      </w:r>
      <w:r w:rsidR="00DD78EF" w:rsidRPr="00EC7752">
        <w:rPr>
          <w:rFonts w:cs="Times New Roman"/>
          <w:snapToGrid w:val="0"/>
          <w:kern w:val="22"/>
          <w:szCs w:val="22"/>
          <w:lang w:val="fr-CA"/>
        </w:rPr>
        <w:t>é</w:t>
      </w:r>
      <w:r w:rsidRPr="00EC7752">
        <w:rPr>
          <w:rFonts w:cs="Times New Roman"/>
          <w:snapToGrid w:val="0"/>
          <w:kern w:val="22"/>
          <w:szCs w:val="22"/>
          <w:lang w:val="fr-CA"/>
        </w:rPr>
        <w:t>gion, des augmentations ont été déclarées en EC</w:t>
      </w:r>
      <w:r w:rsidR="00BC65BC" w:rsidRPr="00EC7752">
        <w:rPr>
          <w:rFonts w:cs="Times New Roman"/>
          <w:snapToGrid w:val="0"/>
          <w:kern w:val="22"/>
          <w:szCs w:val="22"/>
          <w:lang w:val="fr-CA"/>
        </w:rPr>
        <w:t>E (+36 p. cent),</w:t>
      </w:r>
      <w:r w:rsidRPr="00EC7752">
        <w:rPr>
          <w:rFonts w:cs="Times New Roman"/>
          <w:snapToGrid w:val="0"/>
          <w:kern w:val="22"/>
          <w:szCs w:val="22"/>
          <w:lang w:val="fr-CA"/>
        </w:rPr>
        <w:t xml:space="preserve"> en A</w:t>
      </w:r>
      <w:r w:rsidR="00DD78EF" w:rsidRPr="00EC7752">
        <w:rPr>
          <w:rFonts w:cs="Times New Roman"/>
          <w:snapToGrid w:val="0"/>
          <w:kern w:val="22"/>
          <w:szCs w:val="22"/>
          <w:lang w:val="fr-CA"/>
        </w:rPr>
        <w:t>sie-Pa</w:t>
      </w:r>
      <w:r w:rsidRPr="00EC7752">
        <w:rPr>
          <w:rFonts w:cs="Times New Roman"/>
          <w:snapToGrid w:val="0"/>
          <w:kern w:val="22"/>
          <w:szCs w:val="22"/>
          <w:lang w:val="fr-CA"/>
        </w:rPr>
        <w:t>ci</w:t>
      </w:r>
      <w:r w:rsidR="00DD78EF" w:rsidRPr="00EC7752">
        <w:rPr>
          <w:rFonts w:cs="Times New Roman"/>
          <w:snapToGrid w:val="0"/>
          <w:kern w:val="22"/>
          <w:szCs w:val="22"/>
          <w:lang w:val="fr-CA"/>
        </w:rPr>
        <w:t>fi</w:t>
      </w:r>
      <w:r w:rsidRPr="00EC7752">
        <w:rPr>
          <w:rFonts w:cs="Times New Roman"/>
          <w:snapToGrid w:val="0"/>
          <w:kern w:val="22"/>
          <w:szCs w:val="22"/>
          <w:lang w:val="fr-CA"/>
        </w:rPr>
        <w:t>que (+22 p. cent) et en EOA (+6 p. cent). La r</w:t>
      </w:r>
      <w:r w:rsidR="00DD78EF" w:rsidRPr="00EC7752">
        <w:rPr>
          <w:rFonts w:cs="Times New Roman"/>
          <w:snapToGrid w:val="0"/>
          <w:kern w:val="22"/>
          <w:szCs w:val="22"/>
          <w:lang w:val="fr-CA"/>
        </w:rPr>
        <w:t>é</w:t>
      </w:r>
      <w:r w:rsidRPr="00EC7752">
        <w:rPr>
          <w:rFonts w:cs="Times New Roman"/>
          <w:snapToGrid w:val="0"/>
          <w:kern w:val="22"/>
          <w:szCs w:val="22"/>
          <w:lang w:val="fr-CA"/>
        </w:rPr>
        <w:t xml:space="preserve">gion du GALC affiche une diminution (-15 p. cent) tandis que la région de l’Afrique n’indique </w:t>
      </w:r>
      <w:r w:rsidR="00AC30F6" w:rsidRPr="00EC7752">
        <w:rPr>
          <w:rFonts w:cs="Times New Roman"/>
          <w:snapToGrid w:val="0"/>
          <w:kern w:val="22"/>
          <w:szCs w:val="22"/>
          <w:lang w:val="fr-CA"/>
        </w:rPr>
        <w:t>aucune différence</w:t>
      </w:r>
      <w:r w:rsidRPr="00EC7752">
        <w:rPr>
          <w:rFonts w:cs="Times New Roman"/>
          <w:snapToGrid w:val="0"/>
          <w:kern w:val="22"/>
          <w:szCs w:val="22"/>
          <w:lang w:val="fr-CA"/>
        </w:rPr>
        <w:t xml:space="preserve"> par rapp</w:t>
      </w:r>
      <w:r w:rsidR="00DD78EF" w:rsidRPr="00EC7752">
        <w:rPr>
          <w:rFonts w:cs="Times New Roman"/>
          <w:snapToGrid w:val="0"/>
          <w:kern w:val="22"/>
          <w:szCs w:val="22"/>
          <w:lang w:val="fr-CA"/>
        </w:rPr>
        <w:t>ort à la valeur de référence</w:t>
      </w:r>
      <w:r w:rsidR="00BC65BC" w:rsidRPr="00EC7752">
        <w:rPr>
          <w:rFonts w:cs="Times New Roman"/>
          <w:snapToGrid w:val="0"/>
          <w:kern w:val="22"/>
          <w:szCs w:val="22"/>
          <w:lang w:val="fr-CA"/>
        </w:rPr>
        <w:t xml:space="preserve"> Vingt-cinq p. cent des Parties ayant effectué une évaluation des risques ont déclar</w:t>
      </w:r>
      <w:r w:rsidR="00684399" w:rsidRPr="00EC7752">
        <w:rPr>
          <w:rFonts w:cs="Times New Roman"/>
          <w:snapToGrid w:val="0"/>
          <w:kern w:val="22"/>
          <w:szCs w:val="22"/>
          <w:lang w:val="fr-CA"/>
        </w:rPr>
        <w:t xml:space="preserve">é en avoir effectué 100 ou plus pendant la période visée par le rapport, 15p. cent ont déclaré avoir effectué de 50 à 99 évaluations des risques, 31 p. cent ont </w:t>
      </w:r>
      <w:r w:rsidR="00684399" w:rsidRPr="00EC7752">
        <w:rPr>
          <w:rFonts w:cs="Times New Roman"/>
          <w:snapToGrid w:val="0"/>
          <w:kern w:val="22"/>
          <w:szCs w:val="22"/>
          <w:lang w:val="fr-CA"/>
        </w:rPr>
        <w:lastRenderedPageBreak/>
        <w:t>déclaré avoir réalisé de 10 à 49 évaluations des risques et 29 p. cent ont déclaré avoir effectué de 1 à 9 évaluations des risques</w:t>
      </w:r>
      <w:r w:rsidR="004569FB" w:rsidRPr="00EC7752">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26"/>
      </w:r>
      <w:r w:rsidR="004569FB" w:rsidRPr="00EC7752">
        <w:rPr>
          <w:rFonts w:cs="Times New Roman"/>
          <w:snapToGrid w:val="0"/>
          <w:kern w:val="22"/>
          <w:szCs w:val="22"/>
          <w:lang w:val="fr-CA"/>
        </w:rPr>
        <w:t xml:space="preserve"> </w:t>
      </w:r>
    </w:p>
    <w:p w14:paraId="7784518A" w14:textId="02AC176F" w:rsidR="00EC7752" w:rsidRPr="00115221" w:rsidRDefault="00EC7752" w:rsidP="004569FB">
      <w:pPr>
        <w:pStyle w:val="ListParagraph"/>
        <w:suppressLineNumbers/>
        <w:suppressAutoHyphens/>
        <w:snapToGrid w:val="0"/>
        <w:spacing w:before="120" w:after="120"/>
        <w:ind w:left="0"/>
        <w:contextualSpacing w:val="0"/>
        <w:rPr>
          <w:rFonts w:cs="Times New Roman"/>
          <w:snapToGrid w:val="0"/>
          <w:kern w:val="22"/>
          <w:szCs w:val="22"/>
          <w:highlight w:val="lightGray"/>
          <w:lang w:val="en-US"/>
        </w:rPr>
      </w:pPr>
      <w:r>
        <w:rPr>
          <w:rFonts w:cs="Times New Roman"/>
          <w:noProof/>
          <w:snapToGrid w:val="0"/>
          <w:kern w:val="22"/>
          <w:szCs w:val="22"/>
          <w:highlight w:val="lightGray"/>
          <w:lang w:val="en-US"/>
        </w:rPr>
        <w:drawing>
          <wp:inline distT="0" distB="0" distL="0" distR="0" wp14:anchorId="0AB709CB" wp14:editId="66BCF891">
            <wp:extent cx="5993296" cy="3350380"/>
            <wp:effectExtent l="0" t="0" r="762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33688" cy="3372960"/>
                    </a:xfrm>
                    <a:prstGeom prst="rect">
                      <a:avLst/>
                    </a:prstGeom>
                    <a:noFill/>
                  </pic:spPr>
                </pic:pic>
              </a:graphicData>
            </a:graphic>
          </wp:inline>
        </w:drawing>
      </w:r>
    </w:p>
    <w:p w14:paraId="002FE8DD" w14:textId="2AD9F2E4" w:rsidR="004569FB" w:rsidRPr="00115221" w:rsidRDefault="00F44385" w:rsidP="004569FB">
      <w:pPr>
        <w:keepNext/>
        <w:suppressLineNumbers/>
        <w:suppressAutoHyphens/>
        <w:spacing w:before="120" w:after="120"/>
        <w:textAlignment w:val="baseline"/>
        <w:rPr>
          <w:rFonts w:cs="Times New Roman"/>
          <w:snapToGrid w:val="0"/>
          <w:kern w:val="22"/>
          <w:lang w:val="fr-CA"/>
        </w:rPr>
      </w:pPr>
      <w:r w:rsidRPr="00115221">
        <w:rPr>
          <w:rFonts w:cs="Times New Roman"/>
          <w:b/>
          <w:snapToGrid w:val="0"/>
          <w:kern w:val="22"/>
          <w:lang w:val="fr-CA"/>
        </w:rPr>
        <w:t>Objectif opérationnel 2.2 : Évaluation des risques et gestion des risques</w:t>
      </w:r>
    </w:p>
    <w:p w14:paraId="658BCA8F" w14:textId="2D047AF8" w:rsidR="004569FB" w:rsidRPr="00115221" w:rsidRDefault="00F44385"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w:t>
      </w:r>
      <w:r w:rsidR="009B79AE" w:rsidRPr="00115221">
        <w:rPr>
          <w:rFonts w:cs="Times New Roman"/>
          <w:snapToGrid w:val="0"/>
          <w:kern w:val="22"/>
          <w:szCs w:val="22"/>
          <w:lang w:val="fr-CA"/>
        </w:rPr>
        <w:t xml:space="preserve">objectif opérationnel 2.2, sous le </w:t>
      </w:r>
      <w:r w:rsidR="00111FAB">
        <w:rPr>
          <w:rFonts w:cs="Times New Roman"/>
          <w:snapToGrid w:val="0"/>
          <w:kern w:val="22"/>
          <w:szCs w:val="22"/>
          <w:lang w:val="fr-CA"/>
        </w:rPr>
        <w:t>domaine d’intervention</w:t>
      </w:r>
      <w:r w:rsidRPr="00115221">
        <w:rPr>
          <w:rFonts w:cs="Times New Roman"/>
          <w:snapToGrid w:val="0"/>
          <w:kern w:val="22"/>
          <w:szCs w:val="22"/>
          <w:lang w:val="fr-CA"/>
        </w:rPr>
        <w:t xml:space="preserve"> 2, « renforcement des capacités », a pour but d’</w:t>
      </w:r>
      <w:r w:rsidR="009B79AE" w:rsidRPr="00115221">
        <w:rPr>
          <w:rFonts w:cs="Times New Roman"/>
          <w:snapToGrid w:val="0"/>
          <w:kern w:val="22"/>
          <w:szCs w:val="22"/>
          <w:lang w:val="fr-CA"/>
        </w:rPr>
        <w:t>aider l</w:t>
      </w:r>
      <w:r w:rsidRPr="00115221">
        <w:rPr>
          <w:rFonts w:cs="Times New Roman"/>
          <w:snapToGrid w:val="0"/>
          <w:kern w:val="22"/>
          <w:szCs w:val="22"/>
          <w:lang w:val="fr-CA"/>
        </w:rPr>
        <w:t xml:space="preserve">es Parties à évaluer, appliquer, partager et </w:t>
      </w:r>
      <w:r w:rsidR="00E974F2">
        <w:rPr>
          <w:rFonts w:cs="Times New Roman"/>
          <w:snapToGrid w:val="0"/>
          <w:kern w:val="22"/>
          <w:szCs w:val="22"/>
          <w:lang w:val="fr-CA"/>
        </w:rPr>
        <w:t>réaliser</w:t>
      </w:r>
      <w:r w:rsidRPr="00115221">
        <w:rPr>
          <w:rFonts w:cs="Times New Roman"/>
          <w:snapToGrid w:val="0"/>
          <w:kern w:val="22"/>
          <w:szCs w:val="22"/>
          <w:lang w:val="fr-CA"/>
        </w:rPr>
        <w:t xml:space="preserve"> les éva</w:t>
      </w:r>
      <w:r w:rsidR="009B79AE" w:rsidRPr="00115221">
        <w:rPr>
          <w:rFonts w:cs="Times New Roman"/>
          <w:snapToGrid w:val="0"/>
          <w:kern w:val="22"/>
          <w:szCs w:val="22"/>
          <w:lang w:val="fr-CA"/>
        </w:rPr>
        <w:t>luati</w:t>
      </w:r>
      <w:r w:rsidRPr="00115221">
        <w:rPr>
          <w:rFonts w:cs="Times New Roman"/>
          <w:snapToGrid w:val="0"/>
          <w:kern w:val="22"/>
          <w:szCs w:val="22"/>
          <w:lang w:val="fr-CA"/>
        </w:rPr>
        <w:t xml:space="preserve">on des risques, et d’établir des capacités scientifiques locales afin de </w:t>
      </w:r>
      <w:r w:rsidR="00111FAB">
        <w:rPr>
          <w:rFonts w:cs="Times New Roman"/>
          <w:snapToGrid w:val="0"/>
          <w:kern w:val="22"/>
          <w:szCs w:val="22"/>
          <w:lang w:val="fr-CA"/>
        </w:rPr>
        <w:t>régir</w:t>
      </w:r>
      <w:r w:rsidRPr="00115221">
        <w:rPr>
          <w:rFonts w:cs="Times New Roman"/>
          <w:snapToGrid w:val="0"/>
          <w:kern w:val="22"/>
          <w:szCs w:val="22"/>
          <w:lang w:val="fr-CA"/>
        </w:rPr>
        <w:t xml:space="preserve">, gérer, suivre et contrôler les risques des OVM. </w:t>
      </w:r>
      <w:r w:rsidR="009B79AE" w:rsidRPr="00115221">
        <w:rPr>
          <w:rFonts w:cs="Times New Roman"/>
          <w:snapToGrid w:val="0"/>
          <w:kern w:val="22"/>
          <w:szCs w:val="22"/>
          <w:lang w:val="fr-CA"/>
        </w:rPr>
        <w:t>Cet objectif opérationnel comprend six indicateurs pour mesurer les progrès (figure 2</w:t>
      </w:r>
      <w:r w:rsidR="004569FB" w:rsidRPr="00115221">
        <w:rPr>
          <w:rFonts w:cs="Times New Roman"/>
          <w:snapToGrid w:val="0"/>
          <w:kern w:val="22"/>
          <w:szCs w:val="22"/>
          <w:lang w:val="fr-CA"/>
        </w:rPr>
        <w:t xml:space="preserve">). </w:t>
      </w:r>
    </w:p>
    <w:p w14:paraId="3792BC6D" w14:textId="1FEE5230" w:rsidR="004569FB" w:rsidRPr="00115221" w:rsidRDefault="009B79AE"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iCs/>
          <w:snapToGrid w:val="0"/>
          <w:kern w:val="22"/>
          <w:szCs w:val="22"/>
          <w:lang w:val="fr-CA"/>
        </w:rPr>
      </w:pPr>
      <w:bookmarkStart w:id="5" w:name="_Hlk33701240"/>
      <w:bookmarkStart w:id="6" w:name="_Hlk31037408"/>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2.2.1</w:t>
      </w:r>
      <w:r w:rsidRPr="00115221">
        <w:rPr>
          <w:rFonts w:cs="Times New Roman"/>
          <w:snapToGrid w:val="0"/>
          <w:kern w:val="22"/>
          <w:szCs w:val="22"/>
          <w:lang w:val="fr-CA"/>
        </w:rPr>
        <w:t xml:space="preserve"> (</w:t>
      </w:r>
      <w:r w:rsidR="00111FAB">
        <w:rPr>
          <w:rFonts w:cs="Times New Roman"/>
          <w:snapToGrid w:val="0"/>
          <w:kern w:val="22"/>
          <w:szCs w:val="22"/>
          <w:lang w:val="fr-CA"/>
        </w:rPr>
        <w:t>nombre</w:t>
      </w:r>
      <w:r w:rsidRPr="00115221">
        <w:rPr>
          <w:rFonts w:cs="Times New Roman"/>
          <w:snapToGrid w:val="0"/>
          <w:kern w:val="22"/>
          <w:szCs w:val="22"/>
          <w:lang w:val="fr-CA"/>
        </w:rPr>
        <w:t xml:space="preserve"> de rapports sommaires d’évaluation des risques par rapport au nombre de décisions sur les OVM dans le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le </w:t>
      </w:r>
      <w:r w:rsidR="00111FAB">
        <w:rPr>
          <w:rFonts w:cs="Times New Roman"/>
          <w:snapToGrid w:val="0"/>
          <w:kern w:val="22"/>
          <w:szCs w:val="22"/>
          <w:lang w:val="fr-CA"/>
        </w:rPr>
        <w:t>nombre</w:t>
      </w:r>
      <w:r w:rsidRPr="00115221">
        <w:rPr>
          <w:rFonts w:cs="Times New Roman"/>
          <w:snapToGrid w:val="0"/>
          <w:kern w:val="22"/>
          <w:szCs w:val="22"/>
          <w:lang w:val="fr-CA"/>
        </w:rPr>
        <w:t xml:space="preserve"> de rapports d’évaluation des risques par rapport au nombre de décisions sur les OVM</w:t>
      </w:r>
      <w:r w:rsidR="004569FB" w:rsidRPr="00115221">
        <w:rPr>
          <w:rStyle w:val="FootnoteReference"/>
          <w:rFonts w:cs="Times New Roman"/>
          <w:snapToGrid w:val="0"/>
          <w:kern w:val="22"/>
          <w:szCs w:val="22"/>
          <w:lang w:val="fr-CA"/>
        </w:rPr>
        <w:footnoteReference w:id="27"/>
      </w:r>
      <w:r w:rsidR="004569FB" w:rsidRPr="00115221">
        <w:rPr>
          <w:rFonts w:cs="Times New Roman"/>
          <w:snapToGrid w:val="0"/>
          <w:kern w:val="22"/>
          <w:szCs w:val="22"/>
          <w:lang w:val="fr-CA"/>
        </w:rPr>
        <w:t xml:space="preserve"> </w:t>
      </w:r>
      <w:bookmarkEnd w:id="5"/>
      <w:r w:rsidR="00CA5291" w:rsidRPr="00115221">
        <w:rPr>
          <w:rFonts w:cs="Times New Roman"/>
          <w:snapToGrid w:val="0"/>
          <w:kern w:val="22"/>
          <w:szCs w:val="22"/>
          <w:lang w:val="fr-CA"/>
        </w:rPr>
        <w:t xml:space="preserve">dans le </w:t>
      </w:r>
      <w:r w:rsidR="00B6412A">
        <w:rPr>
          <w:rFonts w:cs="Times New Roman"/>
          <w:snapToGrid w:val="0"/>
          <w:kern w:val="22"/>
          <w:szCs w:val="22"/>
          <w:lang w:val="fr-CA"/>
        </w:rPr>
        <w:t>centre d’échange</w:t>
      </w:r>
      <w:r w:rsidR="00CA5291" w:rsidRPr="00115221">
        <w:rPr>
          <w:rFonts w:cs="Times New Roman"/>
          <w:snapToGrid w:val="0"/>
          <w:kern w:val="22"/>
          <w:szCs w:val="22"/>
          <w:lang w:val="fr-CA"/>
        </w:rPr>
        <w:t xml:space="preserve"> sur la prévention des risques biotechnologiques a augmenté de 79 p. cent (514 évaluation des risques pour 650 décisions) </w:t>
      </w:r>
      <w:r w:rsidR="00085162">
        <w:rPr>
          <w:rFonts w:cs="Times New Roman"/>
          <w:snapToGrid w:val="0"/>
          <w:kern w:val="22"/>
          <w:szCs w:val="22"/>
          <w:lang w:val="fr-CA"/>
        </w:rPr>
        <w:t>en</w:t>
      </w:r>
      <w:r w:rsidR="00CA5291" w:rsidRPr="00115221">
        <w:rPr>
          <w:rFonts w:cs="Times New Roman"/>
          <w:snapToGrid w:val="0"/>
          <w:kern w:val="22"/>
          <w:szCs w:val="22"/>
          <w:lang w:val="fr-CA"/>
        </w:rPr>
        <w:t xml:space="preserve"> janvier 2012, et </w:t>
      </w:r>
      <w:r w:rsidR="00E974F2">
        <w:rPr>
          <w:rFonts w:cs="Times New Roman"/>
          <w:snapToGrid w:val="0"/>
          <w:kern w:val="22"/>
          <w:szCs w:val="22"/>
          <w:lang w:val="fr-CA"/>
        </w:rPr>
        <w:t xml:space="preserve">de </w:t>
      </w:r>
      <w:r w:rsidR="00CA5291" w:rsidRPr="00115221">
        <w:rPr>
          <w:rFonts w:cs="Times New Roman"/>
          <w:snapToGrid w:val="0"/>
          <w:kern w:val="22"/>
          <w:szCs w:val="22"/>
          <w:lang w:val="fr-CA"/>
        </w:rPr>
        <w:t>92 p. cent (1 198 évaluations des risques pour 1 299 décision</w:t>
      </w:r>
      <w:r w:rsidR="00085162">
        <w:rPr>
          <w:rFonts w:cs="Times New Roman"/>
          <w:snapToGrid w:val="0"/>
          <w:kern w:val="22"/>
          <w:szCs w:val="22"/>
          <w:lang w:val="fr-CA"/>
        </w:rPr>
        <w:t>s</w:t>
      </w:r>
      <w:r w:rsidR="00CA5291" w:rsidRPr="00115221">
        <w:rPr>
          <w:rFonts w:cs="Times New Roman"/>
          <w:snapToGrid w:val="0"/>
          <w:kern w:val="22"/>
          <w:szCs w:val="22"/>
          <w:lang w:val="fr-CA"/>
        </w:rPr>
        <w:t>) en janvier 2016</w:t>
      </w:r>
      <w:r w:rsidR="00085162">
        <w:rPr>
          <w:rFonts w:cs="Times New Roman"/>
          <w:snapToGrid w:val="0"/>
          <w:kern w:val="22"/>
          <w:szCs w:val="22"/>
          <w:lang w:val="fr-CA"/>
        </w:rPr>
        <w:t>,</w:t>
      </w:r>
      <w:r w:rsidR="00CA5291" w:rsidRPr="00115221">
        <w:rPr>
          <w:rFonts w:cs="Times New Roman"/>
          <w:snapToGrid w:val="0"/>
          <w:kern w:val="22"/>
          <w:szCs w:val="22"/>
          <w:lang w:val="fr-CA"/>
        </w:rPr>
        <w:t xml:space="preserve"> à 96 p. cent (2</w:t>
      </w:r>
      <w:r w:rsidR="00085162">
        <w:rPr>
          <w:rFonts w:cs="Times New Roman"/>
          <w:snapToGrid w:val="0"/>
          <w:kern w:val="22"/>
          <w:szCs w:val="22"/>
          <w:lang w:val="fr-CA"/>
        </w:rPr>
        <w:t xml:space="preserve"> </w:t>
      </w:r>
      <w:r w:rsidR="00CA5291" w:rsidRPr="00115221">
        <w:rPr>
          <w:rFonts w:cs="Times New Roman"/>
          <w:snapToGrid w:val="0"/>
          <w:kern w:val="22"/>
          <w:szCs w:val="22"/>
          <w:lang w:val="fr-CA"/>
        </w:rPr>
        <w:t>055 évaluations des r</w:t>
      </w:r>
      <w:r w:rsidR="00085162">
        <w:rPr>
          <w:rFonts w:cs="Times New Roman"/>
          <w:snapToGrid w:val="0"/>
          <w:kern w:val="22"/>
          <w:szCs w:val="22"/>
          <w:lang w:val="fr-CA"/>
        </w:rPr>
        <w:t>isques pour 2 134 </w:t>
      </w:r>
      <w:r w:rsidR="00CA5291" w:rsidRPr="00115221">
        <w:rPr>
          <w:rFonts w:cs="Times New Roman"/>
          <w:snapToGrid w:val="0"/>
          <w:kern w:val="22"/>
          <w:szCs w:val="22"/>
          <w:lang w:val="fr-CA"/>
        </w:rPr>
        <w:t>décisions) en janvier 2020, une augmentation de 17 p. cent par rapport à la valeur de référence</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t xml:space="preserve"> </w:t>
      </w:r>
      <w:r w:rsidR="004569FB" w:rsidRPr="00115221">
        <w:rPr>
          <w:rStyle w:val="FootnoteReference"/>
          <w:rFonts w:cs="Times New Roman"/>
          <w:snapToGrid w:val="0"/>
          <w:kern w:val="22"/>
          <w:szCs w:val="22"/>
          <w:lang w:val="fr-CA"/>
        </w:rPr>
        <w:footnoteReference w:id="28"/>
      </w:r>
      <w:bookmarkEnd w:id="6"/>
    </w:p>
    <w:p w14:paraId="135380AF" w14:textId="67E93816" w:rsidR="004569FB" w:rsidRPr="00115221" w:rsidRDefault="008E0BF3"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2.2.3</w:t>
      </w:r>
      <w:r w:rsidRPr="00115221">
        <w:rPr>
          <w:rFonts w:cs="Times New Roman"/>
          <w:snapToGrid w:val="0"/>
          <w:kern w:val="22"/>
          <w:szCs w:val="22"/>
          <w:lang w:val="fr-CA"/>
        </w:rPr>
        <w:t xml:space="preserve"> (nombre de personnes ayant reçu une formation en évaluation des risques, ainsi qu’en suivi, gestion et contrôle des OVM), les Parties ont déclaré le nombre de personnes dans leur pays </w:t>
      </w:r>
      <w:r w:rsidR="00085162">
        <w:rPr>
          <w:rFonts w:cs="Times New Roman"/>
          <w:snapToGrid w:val="0"/>
          <w:kern w:val="22"/>
          <w:szCs w:val="22"/>
          <w:lang w:val="fr-CA"/>
        </w:rPr>
        <w:t>formées</w:t>
      </w:r>
      <w:r w:rsidRPr="00115221">
        <w:rPr>
          <w:rFonts w:cs="Times New Roman"/>
          <w:snapToGrid w:val="0"/>
          <w:kern w:val="22"/>
          <w:szCs w:val="22"/>
          <w:lang w:val="fr-CA"/>
        </w:rPr>
        <w:t xml:space="preserve"> en évaluation des risques, gestion des risques et contrôle des OVM comme suit </w:t>
      </w:r>
      <w:r w:rsidR="004569FB" w:rsidRPr="00115221">
        <w:rPr>
          <w:rFonts w:cs="Times New Roman"/>
          <w:snapToGrid w:val="0"/>
          <w:kern w:val="22"/>
          <w:szCs w:val="22"/>
          <w:lang w:val="fr-CA"/>
        </w:rPr>
        <w:t>:</w:t>
      </w:r>
    </w:p>
    <w:p w14:paraId="3596D208" w14:textId="0FF99F41" w:rsidR="00FA23BA" w:rsidRPr="00115221" w:rsidRDefault="008E0BF3" w:rsidP="008E0BF3">
      <w:pPr>
        <w:pStyle w:val="ListParagraph"/>
        <w:numPr>
          <w:ilvl w:val="0"/>
          <w:numId w:val="59"/>
        </w:numPr>
        <w:suppressLineNumbers/>
        <w:suppressAutoHyphens/>
        <w:snapToGrid w:val="0"/>
        <w:spacing w:before="120" w:after="120"/>
        <w:ind w:left="0" w:firstLine="630"/>
        <w:rPr>
          <w:rFonts w:cs="Times New Roman"/>
          <w:snapToGrid w:val="0"/>
          <w:kern w:val="22"/>
          <w:szCs w:val="22"/>
          <w:lang w:val="fr-CA"/>
        </w:rPr>
      </w:pPr>
      <w:r w:rsidRPr="00115221">
        <w:rPr>
          <w:rFonts w:cs="Times New Roman"/>
          <w:snapToGrid w:val="0"/>
          <w:kern w:val="22"/>
          <w:szCs w:val="22"/>
          <w:lang w:val="fr-CA"/>
        </w:rPr>
        <w:lastRenderedPageBreak/>
        <w:t xml:space="preserve">Personnes </w:t>
      </w:r>
      <w:r w:rsidR="00613EAD">
        <w:rPr>
          <w:rFonts w:cs="Times New Roman"/>
          <w:snapToGrid w:val="0"/>
          <w:kern w:val="22"/>
          <w:szCs w:val="22"/>
          <w:lang w:val="fr-CA"/>
        </w:rPr>
        <w:t>formées</w:t>
      </w:r>
      <w:r w:rsidRPr="00115221">
        <w:rPr>
          <w:rFonts w:cs="Times New Roman"/>
          <w:snapToGrid w:val="0"/>
          <w:kern w:val="22"/>
          <w:szCs w:val="22"/>
          <w:lang w:val="fr-CA"/>
        </w:rPr>
        <w:t xml:space="preserve"> en évaluation des risques :</w:t>
      </w:r>
      <w:r w:rsidR="001B5B4B" w:rsidRPr="00115221">
        <w:rPr>
          <w:rFonts w:cs="Times New Roman"/>
          <w:snapToGrid w:val="0"/>
          <w:kern w:val="22"/>
          <w:szCs w:val="22"/>
          <w:lang w:val="fr-CA"/>
        </w:rPr>
        <w:t xml:space="preserve"> 93 p. c</w:t>
      </w:r>
      <w:r w:rsidRPr="00115221">
        <w:rPr>
          <w:rFonts w:cs="Times New Roman"/>
          <w:snapToGrid w:val="0"/>
          <w:kern w:val="22"/>
          <w:szCs w:val="22"/>
          <w:lang w:val="fr-CA"/>
        </w:rPr>
        <w:t xml:space="preserve">ent des Parties ont </w:t>
      </w:r>
      <w:r w:rsidR="00834806" w:rsidRPr="00115221">
        <w:rPr>
          <w:rFonts w:cs="Times New Roman"/>
          <w:snapToGrid w:val="0"/>
          <w:kern w:val="22"/>
          <w:szCs w:val="22"/>
          <w:lang w:val="fr-CA"/>
        </w:rPr>
        <w:t xml:space="preserve">déclaré que des personnes avaient </w:t>
      </w:r>
      <w:r w:rsidR="001B5B4B" w:rsidRPr="00115221">
        <w:rPr>
          <w:rFonts w:cs="Times New Roman"/>
          <w:snapToGrid w:val="0"/>
          <w:kern w:val="22"/>
          <w:szCs w:val="22"/>
          <w:lang w:val="fr-CA"/>
        </w:rPr>
        <w:t xml:space="preserve">reçu une formation en évaluation des risques dans leur pays </w:t>
      </w:r>
      <w:r w:rsidR="00FA23BA" w:rsidRPr="00115221">
        <w:rPr>
          <w:rFonts w:cs="Times New Roman"/>
          <w:snapToGrid w:val="0"/>
          <w:kern w:val="22"/>
          <w:szCs w:val="22"/>
          <w:lang w:val="fr-CA"/>
        </w:rPr>
        <w:t>:</w:t>
      </w:r>
      <w:r w:rsidR="004569FB" w:rsidRPr="00115221">
        <w:rPr>
          <w:rFonts w:cs="Times New Roman"/>
          <w:snapToGrid w:val="0"/>
          <w:kern w:val="22"/>
          <w:szCs w:val="22"/>
          <w:lang w:val="fr-CA"/>
        </w:rPr>
        <w:t xml:space="preserve"> </w:t>
      </w:r>
    </w:p>
    <w:p w14:paraId="207DA3AE" w14:textId="6B2A2DF8" w:rsidR="00FA23BA" w:rsidRPr="00115221" w:rsidRDefault="004569FB" w:rsidP="001B5B4B">
      <w:pPr>
        <w:pStyle w:val="ListParagraph"/>
        <w:numPr>
          <w:ilvl w:val="1"/>
          <w:numId w:val="59"/>
        </w:numPr>
        <w:suppressLineNumbers/>
        <w:suppressAutoHyphens/>
        <w:snapToGrid w:val="0"/>
        <w:spacing w:before="120" w:after="120"/>
        <w:ind w:left="1710"/>
        <w:rPr>
          <w:rFonts w:cs="Times New Roman"/>
          <w:snapToGrid w:val="0"/>
          <w:kern w:val="22"/>
          <w:szCs w:val="22"/>
          <w:lang w:val="fr-CA"/>
        </w:rPr>
      </w:pPr>
      <w:r w:rsidRPr="00115221">
        <w:rPr>
          <w:rFonts w:cs="Times New Roman"/>
          <w:snapToGrid w:val="0"/>
          <w:kern w:val="22"/>
          <w:szCs w:val="22"/>
          <w:lang w:val="fr-CA"/>
        </w:rPr>
        <w:t>3</w:t>
      </w:r>
      <w:r w:rsidR="001B5B4B" w:rsidRPr="00115221">
        <w:rPr>
          <w:rFonts w:cs="Times New Roman"/>
          <w:snapToGrid w:val="0"/>
          <w:kern w:val="22"/>
          <w:szCs w:val="22"/>
          <w:lang w:val="fr-CA"/>
        </w:rPr>
        <w:t xml:space="preserve">1 p. cent des Parties (22 Parties) ont </w:t>
      </w:r>
      <w:r w:rsidR="00A843AD">
        <w:rPr>
          <w:rFonts w:cs="Times New Roman"/>
          <w:snapToGrid w:val="0"/>
          <w:kern w:val="22"/>
          <w:szCs w:val="22"/>
          <w:lang w:val="fr-CA"/>
        </w:rPr>
        <w:t>répondu</w:t>
      </w:r>
      <w:r w:rsidR="001B5B4B" w:rsidRPr="00115221">
        <w:rPr>
          <w:rFonts w:cs="Times New Roman"/>
          <w:snapToGrid w:val="0"/>
          <w:kern w:val="22"/>
          <w:szCs w:val="22"/>
          <w:lang w:val="fr-CA"/>
        </w:rPr>
        <w:t xml:space="preserve"> 1 à 9 personnes (</w:t>
      </w:r>
      <w:r w:rsidR="00AC30F6" w:rsidRPr="00115221">
        <w:rPr>
          <w:rFonts w:cs="Times New Roman"/>
          <w:snapToGrid w:val="0"/>
          <w:kern w:val="22"/>
          <w:szCs w:val="22"/>
          <w:lang w:val="fr-CA"/>
        </w:rPr>
        <w:t>aucune différence</w:t>
      </w:r>
      <w:r w:rsidR="001B5B4B" w:rsidRPr="00115221">
        <w:rPr>
          <w:rFonts w:cs="Times New Roman"/>
          <w:snapToGrid w:val="0"/>
          <w:kern w:val="22"/>
          <w:szCs w:val="22"/>
          <w:lang w:val="fr-CA"/>
        </w:rPr>
        <w:t xml:space="preserve"> par rapport à la valeur de référence</w:t>
      </w:r>
      <w:r w:rsidRPr="00115221">
        <w:rPr>
          <w:rFonts w:cs="Times New Roman"/>
          <w:snapToGrid w:val="0"/>
          <w:kern w:val="22"/>
          <w:szCs w:val="22"/>
          <w:lang w:val="fr-CA"/>
        </w:rPr>
        <w:t xml:space="preserve">); </w:t>
      </w:r>
    </w:p>
    <w:p w14:paraId="1DB676EB" w14:textId="1B050CA9" w:rsidR="00FA23BA" w:rsidRPr="00115221" w:rsidRDefault="001B5B4B" w:rsidP="008E0BF3">
      <w:pPr>
        <w:pStyle w:val="ListParagraph"/>
        <w:numPr>
          <w:ilvl w:val="1"/>
          <w:numId w:val="59"/>
        </w:numPr>
        <w:suppressLineNumbers/>
        <w:suppressAutoHyphens/>
        <w:snapToGrid w:val="0"/>
        <w:spacing w:before="120" w:after="120"/>
        <w:ind w:left="1710"/>
        <w:rPr>
          <w:rFonts w:cs="Times New Roman"/>
          <w:snapToGrid w:val="0"/>
          <w:kern w:val="22"/>
          <w:szCs w:val="22"/>
          <w:lang w:val="fr-CA"/>
        </w:rPr>
      </w:pPr>
      <w:r w:rsidRPr="00115221">
        <w:rPr>
          <w:rFonts w:cs="Times New Roman"/>
          <w:snapToGrid w:val="0"/>
          <w:kern w:val="22"/>
          <w:szCs w:val="22"/>
          <w:lang w:val="fr-CA"/>
        </w:rPr>
        <w:t>35 p. cent des Parties (25 Parties) on</w:t>
      </w:r>
      <w:r w:rsidR="00613EAD">
        <w:rPr>
          <w:rFonts w:cs="Times New Roman"/>
          <w:snapToGrid w:val="0"/>
          <w:kern w:val="22"/>
          <w:szCs w:val="22"/>
          <w:lang w:val="fr-CA"/>
        </w:rPr>
        <w:t xml:space="preserve">t </w:t>
      </w:r>
      <w:r w:rsidR="00A843AD">
        <w:rPr>
          <w:rFonts w:cs="Times New Roman"/>
          <w:snapToGrid w:val="0"/>
          <w:kern w:val="22"/>
          <w:szCs w:val="22"/>
          <w:lang w:val="fr-CA"/>
        </w:rPr>
        <w:t>répondu</w:t>
      </w:r>
      <w:r w:rsidR="00613EAD">
        <w:rPr>
          <w:rFonts w:cs="Times New Roman"/>
          <w:snapToGrid w:val="0"/>
          <w:kern w:val="22"/>
          <w:szCs w:val="22"/>
          <w:lang w:val="fr-CA"/>
        </w:rPr>
        <w:t xml:space="preserve"> de 10 à 49 personnes (</w:t>
      </w:r>
      <w:r w:rsidRPr="00115221">
        <w:rPr>
          <w:rFonts w:cs="Times New Roman"/>
          <w:snapToGrid w:val="0"/>
          <w:kern w:val="22"/>
          <w:szCs w:val="22"/>
          <w:lang w:val="fr-CA"/>
        </w:rPr>
        <w:t>+4 p. cent)</w:t>
      </w:r>
      <w:r w:rsidR="004569FB" w:rsidRPr="00115221">
        <w:rPr>
          <w:rFonts w:cs="Times New Roman"/>
          <w:snapToGrid w:val="0"/>
          <w:kern w:val="22"/>
          <w:szCs w:val="22"/>
          <w:lang w:val="fr-CA"/>
        </w:rPr>
        <w:t xml:space="preserve">; </w:t>
      </w:r>
    </w:p>
    <w:p w14:paraId="2DA62801" w14:textId="059792FD" w:rsidR="00FA23BA" w:rsidRPr="00115221" w:rsidRDefault="001B5B4B" w:rsidP="008E0BF3">
      <w:pPr>
        <w:pStyle w:val="ListParagraph"/>
        <w:numPr>
          <w:ilvl w:val="1"/>
          <w:numId w:val="59"/>
        </w:numPr>
        <w:suppressLineNumbers/>
        <w:suppressAutoHyphens/>
        <w:snapToGrid w:val="0"/>
        <w:spacing w:before="120" w:after="120"/>
        <w:ind w:left="1710"/>
        <w:rPr>
          <w:rFonts w:cs="Times New Roman"/>
          <w:snapToGrid w:val="0"/>
          <w:kern w:val="22"/>
          <w:szCs w:val="22"/>
          <w:lang w:val="fr-CA"/>
        </w:rPr>
      </w:pPr>
      <w:r w:rsidRPr="00115221">
        <w:rPr>
          <w:rFonts w:cs="Times New Roman"/>
          <w:snapToGrid w:val="0"/>
          <w:kern w:val="22"/>
          <w:szCs w:val="22"/>
          <w:lang w:val="fr-CA"/>
        </w:rPr>
        <w:t>14 p. c</w:t>
      </w:r>
      <w:r w:rsidR="00FE746F" w:rsidRPr="00115221">
        <w:rPr>
          <w:rFonts w:cs="Times New Roman"/>
          <w:snapToGrid w:val="0"/>
          <w:kern w:val="22"/>
          <w:szCs w:val="22"/>
          <w:lang w:val="fr-CA"/>
        </w:rPr>
        <w:t>en</w:t>
      </w:r>
      <w:r w:rsidRPr="00115221">
        <w:rPr>
          <w:rFonts w:cs="Times New Roman"/>
          <w:snapToGrid w:val="0"/>
          <w:kern w:val="22"/>
          <w:szCs w:val="22"/>
          <w:lang w:val="fr-CA"/>
        </w:rPr>
        <w:t>t des Parties (10 Parties)</w:t>
      </w:r>
      <w:r w:rsidR="00613EAD">
        <w:rPr>
          <w:rFonts w:cs="Times New Roman"/>
          <w:snapToGrid w:val="0"/>
          <w:kern w:val="22"/>
          <w:szCs w:val="22"/>
          <w:lang w:val="fr-CA"/>
        </w:rPr>
        <w:t xml:space="preserve"> ont </w:t>
      </w:r>
      <w:r w:rsidR="00A843AD">
        <w:rPr>
          <w:rFonts w:cs="Times New Roman"/>
          <w:snapToGrid w:val="0"/>
          <w:kern w:val="22"/>
          <w:szCs w:val="22"/>
          <w:lang w:val="fr-CA"/>
        </w:rPr>
        <w:t>répondu</w:t>
      </w:r>
      <w:r w:rsidR="00704126">
        <w:rPr>
          <w:rFonts w:cs="Times New Roman"/>
          <w:snapToGrid w:val="0"/>
          <w:kern w:val="22"/>
          <w:szCs w:val="22"/>
          <w:lang w:val="fr-CA"/>
        </w:rPr>
        <w:t xml:space="preserve"> de</w:t>
      </w:r>
      <w:r w:rsidR="00613EAD">
        <w:rPr>
          <w:rFonts w:cs="Times New Roman"/>
          <w:snapToGrid w:val="0"/>
          <w:kern w:val="22"/>
          <w:szCs w:val="22"/>
          <w:lang w:val="fr-CA"/>
        </w:rPr>
        <w:t xml:space="preserve"> 50 à 99 personnes (</w:t>
      </w:r>
      <w:r w:rsidRPr="00115221">
        <w:rPr>
          <w:rFonts w:cs="Times New Roman"/>
          <w:snapToGrid w:val="0"/>
          <w:kern w:val="22"/>
          <w:szCs w:val="22"/>
          <w:lang w:val="fr-CA"/>
        </w:rPr>
        <w:t>-10 p. cent</w:t>
      </w:r>
      <w:r w:rsidR="004569FB" w:rsidRPr="00115221">
        <w:rPr>
          <w:rFonts w:cs="Times New Roman"/>
          <w:snapToGrid w:val="0"/>
          <w:kern w:val="22"/>
          <w:szCs w:val="22"/>
          <w:lang w:val="fr-CA"/>
        </w:rPr>
        <w:t xml:space="preserve">); </w:t>
      </w:r>
    </w:p>
    <w:p w14:paraId="33C0331F" w14:textId="71C06637" w:rsidR="00FA23BA" w:rsidRPr="00115221" w:rsidRDefault="00FE746F" w:rsidP="008E0BF3">
      <w:pPr>
        <w:pStyle w:val="ListParagraph"/>
        <w:numPr>
          <w:ilvl w:val="1"/>
          <w:numId w:val="59"/>
        </w:numPr>
        <w:suppressLineNumbers/>
        <w:suppressAutoHyphens/>
        <w:snapToGrid w:val="0"/>
        <w:spacing w:before="120" w:after="120"/>
        <w:ind w:left="1710"/>
        <w:rPr>
          <w:rFonts w:cs="Times New Roman"/>
          <w:snapToGrid w:val="0"/>
          <w:kern w:val="22"/>
          <w:szCs w:val="22"/>
          <w:lang w:val="fr-CA"/>
        </w:rPr>
      </w:pPr>
      <w:r w:rsidRPr="00115221">
        <w:rPr>
          <w:rFonts w:cs="Times New Roman"/>
          <w:snapToGrid w:val="0"/>
          <w:kern w:val="22"/>
          <w:szCs w:val="22"/>
          <w:lang w:val="fr-CA"/>
        </w:rPr>
        <w:t xml:space="preserve">13 p. cent des Parties (9 Parties) ont </w:t>
      </w:r>
      <w:r w:rsidR="00A843AD">
        <w:rPr>
          <w:rFonts w:cs="Times New Roman"/>
          <w:snapToGrid w:val="0"/>
          <w:kern w:val="22"/>
          <w:szCs w:val="22"/>
          <w:lang w:val="fr-CA"/>
        </w:rPr>
        <w:t>répondu</w:t>
      </w:r>
      <w:r w:rsidRPr="00115221">
        <w:rPr>
          <w:rFonts w:cs="Times New Roman"/>
          <w:snapToGrid w:val="0"/>
          <w:kern w:val="22"/>
          <w:szCs w:val="22"/>
          <w:lang w:val="fr-CA"/>
        </w:rPr>
        <w:t xml:space="preserve"> que 100 personnes ou plus </w:t>
      </w:r>
      <w:r w:rsidR="00704126">
        <w:rPr>
          <w:rFonts w:cs="Times New Roman"/>
          <w:snapToGrid w:val="0"/>
          <w:kern w:val="22"/>
          <w:szCs w:val="22"/>
          <w:lang w:val="fr-CA"/>
        </w:rPr>
        <w:t>avaient</w:t>
      </w:r>
      <w:r w:rsidRPr="00115221">
        <w:rPr>
          <w:rFonts w:cs="Times New Roman"/>
          <w:snapToGrid w:val="0"/>
          <w:kern w:val="22"/>
          <w:szCs w:val="22"/>
          <w:lang w:val="fr-CA"/>
        </w:rPr>
        <w:t xml:space="preserve"> reçu une formation en évaluation des risques dans leur pays (+4 p. cent)</w:t>
      </w:r>
      <w:r w:rsidR="00FA23BA" w:rsidRPr="00115221">
        <w:rPr>
          <w:rFonts w:cs="Times New Roman"/>
          <w:snapToGrid w:val="0"/>
          <w:kern w:val="22"/>
          <w:szCs w:val="22"/>
          <w:lang w:val="fr-CA"/>
        </w:rPr>
        <w:t>;</w:t>
      </w:r>
    </w:p>
    <w:p w14:paraId="057C804F" w14:textId="7D1E4237" w:rsidR="004569FB" w:rsidRPr="00115221" w:rsidRDefault="00FE746F" w:rsidP="008E0BF3">
      <w:pPr>
        <w:pStyle w:val="ListParagraph"/>
        <w:numPr>
          <w:ilvl w:val="1"/>
          <w:numId w:val="59"/>
        </w:numPr>
        <w:suppressLineNumbers/>
        <w:suppressAutoHyphens/>
        <w:snapToGrid w:val="0"/>
        <w:spacing w:before="120" w:after="120"/>
        <w:ind w:left="1710"/>
        <w:rPr>
          <w:rFonts w:cs="Times New Roman"/>
          <w:snapToGrid w:val="0"/>
          <w:kern w:val="22"/>
          <w:szCs w:val="22"/>
          <w:lang w:val="fr-CA"/>
        </w:rPr>
      </w:pPr>
      <w:r w:rsidRPr="00115221">
        <w:rPr>
          <w:rFonts w:cs="Times New Roman"/>
          <w:snapToGrid w:val="0"/>
          <w:kern w:val="22"/>
          <w:szCs w:val="22"/>
          <w:lang w:val="fr-CA"/>
        </w:rPr>
        <w:t xml:space="preserve">7 p. cent des Parties (5 Parties) ont </w:t>
      </w:r>
      <w:r w:rsidR="00A843AD">
        <w:rPr>
          <w:rFonts w:cs="Times New Roman"/>
          <w:snapToGrid w:val="0"/>
          <w:kern w:val="22"/>
          <w:szCs w:val="22"/>
          <w:lang w:val="fr-CA"/>
        </w:rPr>
        <w:t>répondu</w:t>
      </w:r>
      <w:r w:rsidRPr="00115221">
        <w:rPr>
          <w:rFonts w:cs="Times New Roman"/>
          <w:snapToGrid w:val="0"/>
          <w:kern w:val="22"/>
          <w:szCs w:val="22"/>
          <w:lang w:val="fr-CA"/>
        </w:rPr>
        <w:t xml:space="preserve"> que personne n’a</w:t>
      </w:r>
      <w:r w:rsidR="00704126">
        <w:rPr>
          <w:rFonts w:cs="Times New Roman"/>
          <w:snapToGrid w:val="0"/>
          <w:kern w:val="22"/>
          <w:szCs w:val="22"/>
          <w:lang w:val="fr-CA"/>
        </w:rPr>
        <w:t>vait</w:t>
      </w:r>
      <w:r w:rsidRPr="00115221">
        <w:rPr>
          <w:rFonts w:cs="Times New Roman"/>
          <w:snapToGrid w:val="0"/>
          <w:kern w:val="22"/>
          <w:szCs w:val="22"/>
          <w:lang w:val="fr-CA"/>
        </w:rPr>
        <w:t xml:space="preserve"> été formé (+1 p. cent)</w:t>
      </w:r>
      <w:r w:rsidR="004569FB" w:rsidRPr="00115221">
        <w:rPr>
          <w:rFonts w:cs="Times New Roman"/>
          <w:snapToGrid w:val="0"/>
          <w:kern w:val="22"/>
          <w:szCs w:val="22"/>
          <w:lang w:val="fr-CA"/>
        </w:rPr>
        <w:t>.</w:t>
      </w:r>
    </w:p>
    <w:p w14:paraId="08B29062" w14:textId="799D8506" w:rsidR="00752892" w:rsidRPr="00115221" w:rsidRDefault="00FE746F" w:rsidP="001B5B4B">
      <w:pPr>
        <w:pStyle w:val="ListParagraph"/>
        <w:numPr>
          <w:ilvl w:val="0"/>
          <w:numId w:val="59"/>
        </w:numPr>
        <w:suppressLineNumbers/>
        <w:suppressAutoHyphens/>
        <w:snapToGrid w:val="0"/>
        <w:spacing w:before="120" w:after="120"/>
        <w:ind w:left="0" w:firstLine="698"/>
        <w:rPr>
          <w:rFonts w:cs="Times New Roman"/>
          <w:snapToGrid w:val="0"/>
          <w:kern w:val="22"/>
          <w:szCs w:val="22"/>
          <w:lang w:val="fr-CA"/>
        </w:rPr>
      </w:pPr>
      <w:r w:rsidRPr="00115221">
        <w:rPr>
          <w:rFonts w:cs="Times New Roman"/>
          <w:snapToGrid w:val="0"/>
          <w:kern w:val="22"/>
          <w:szCs w:val="22"/>
          <w:lang w:val="fr-CA"/>
        </w:rPr>
        <w:t>Personnes ayant reçu une formation en gestion des risques : 90 p. cent des Parties ont déclaré qu</w:t>
      </w:r>
      <w:r w:rsidR="00834806" w:rsidRPr="00115221">
        <w:rPr>
          <w:rFonts w:cs="Times New Roman"/>
          <w:snapToGrid w:val="0"/>
          <w:kern w:val="22"/>
          <w:szCs w:val="22"/>
          <w:lang w:val="fr-CA"/>
        </w:rPr>
        <w:t>e</w:t>
      </w:r>
      <w:r w:rsidRPr="00115221">
        <w:rPr>
          <w:rFonts w:cs="Times New Roman"/>
          <w:snapToGrid w:val="0"/>
          <w:kern w:val="22"/>
          <w:szCs w:val="22"/>
          <w:lang w:val="fr-CA"/>
        </w:rPr>
        <w:t xml:space="preserve"> des</w:t>
      </w:r>
      <w:r w:rsidR="00834806" w:rsidRPr="00115221">
        <w:rPr>
          <w:rFonts w:cs="Times New Roman"/>
          <w:snapToGrid w:val="0"/>
          <w:kern w:val="22"/>
          <w:szCs w:val="22"/>
          <w:lang w:val="fr-CA"/>
        </w:rPr>
        <w:t xml:space="preserve"> personnes avaient reçu une formation en gestion des risques dans leur pays </w:t>
      </w:r>
      <w:r w:rsidR="00752892" w:rsidRPr="00115221">
        <w:rPr>
          <w:rFonts w:cs="Times New Roman"/>
          <w:snapToGrid w:val="0"/>
          <w:kern w:val="22"/>
          <w:szCs w:val="22"/>
          <w:lang w:val="fr-CA"/>
        </w:rPr>
        <w:t>:</w:t>
      </w:r>
      <w:r w:rsidR="004569FB" w:rsidRPr="00115221">
        <w:rPr>
          <w:rFonts w:cs="Times New Roman"/>
          <w:snapToGrid w:val="0"/>
          <w:kern w:val="22"/>
          <w:szCs w:val="22"/>
          <w:lang w:val="fr-CA"/>
        </w:rPr>
        <w:t xml:space="preserve">  </w:t>
      </w:r>
    </w:p>
    <w:p w14:paraId="1BB0E987" w14:textId="22EEA9F0" w:rsidR="00752892" w:rsidRPr="00115221" w:rsidRDefault="00834806" w:rsidP="00B44100">
      <w:pPr>
        <w:pStyle w:val="ListParagraph"/>
        <w:numPr>
          <w:ilvl w:val="1"/>
          <w:numId w:val="59"/>
        </w:numPr>
        <w:suppressLineNumbers/>
        <w:suppressAutoHyphens/>
        <w:snapToGrid w:val="0"/>
        <w:spacing w:before="120" w:after="120"/>
        <w:ind w:left="1985" w:hanging="567"/>
        <w:rPr>
          <w:rFonts w:cs="Times New Roman"/>
          <w:snapToGrid w:val="0"/>
          <w:kern w:val="22"/>
          <w:szCs w:val="22"/>
          <w:lang w:val="fr-CA"/>
        </w:rPr>
      </w:pPr>
      <w:r w:rsidRPr="00115221">
        <w:rPr>
          <w:rFonts w:cs="Times New Roman"/>
          <w:snapToGrid w:val="0"/>
          <w:kern w:val="22"/>
          <w:szCs w:val="22"/>
          <w:lang w:val="fr-CA"/>
        </w:rPr>
        <w:t xml:space="preserve">38 p. cent (27 Parties) ont </w:t>
      </w:r>
      <w:r w:rsidR="00A843AD">
        <w:rPr>
          <w:rFonts w:cs="Times New Roman"/>
          <w:snapToGrid w:val="0"/>
          <w:kern w:val="22"/>
          <w:szCs w:val="22"/>
          <w:lang w:val="fr-CA"/>
        </w:rPr>
        <w:t>répondu</w:t>
      </w:r>
      <w:r w:rsidRPr="00115221">
        <w:rPr>
          <w:rFonts w:cs="Times New Roman"/>
          <w:snapToGrid w:val="0"/>
          <w:kern w:val="22"/>
          <w:szCs w:val="22"/>
          <w:lang w:val="fr-CA"/>
        </w:rPr>
        <w:t xml:space="preserve"> </w:t>
      </w:r>
      <w:r w:rsidR="00704126">
        <w:rPr>
          <w:rFonts w:cs="Times New Roman"/>
          <w:snapToGrid w:val="0"/>
          <w:kern w:val="22"/>
          <w:szCs w:val="22"/>
          <w:lang w:val="fr-CA"/>
        </w:rPr>
        <w:t xml:space="preserve">de </w:t>
      </w:r>
      <w:r w:rsidRPr="00115221">
        <w:rPr>
          <w:rFonts w:cs="Times New Roman"/>
          <w:snapToGrid w:val="0"/>
          <w:kern w:val="22"/>
          <w:szCs w:val="22"/>
          <w:lang w:val="fr-CA"/>
        </w:rPr>
        <w:t>1 à 9 personnes (+8 p. cent)</w:t>
      </w:r>
      <w:r w:rsidR="004569FB" w:rsidRPr="00115221">
        <w:rPr>
          <w:rFonts w:cs="Times New Roman"/>
          <w:snapToGrid w:val="0"/>
          <w:kern w:val="22"/>
          <w:szCs w:val="22"/>
          <w:lang w:val="fr-CA"/>
        </w:rPr>
        <w:t xml:space="preserve">; </w:t>
      </w:r>
    </w:p>
    <w:p w14:paraId="0DC6BF6B" w14:textId="7EA2B228" w:rsidR="00752892" w:rsidRPr="00115221" w:rsidRDefault="00834806" w:rsidP="00B44100">
      <w:pPr>
        <w:pStyle w:val="ListParagraph"/>
        <w:numPr>
          <w:ilvl w:val="1"/>
          <w:numId w:val="59"/>
        </w:numPr>
        <w:suppressLineNumbers/>
        <w:suppressAutoHyphens/>
        <w:snapToGrid w:val="0"/>
        <w:spacing w:before="120" w:after="120"/>
        <w:ind w:left="1985" w:hanging="567"/>
        <w:rPr>
          <w:rFonts w:cs="Times New Roman"/>
          <w:snapToGrid w:val="0"/>
          <w:kern w:val="22"/>
          <w:szCs w:val="22"/>
          <w:lang w:val="fr-CA"/>
        </w:rPr>
      </w:pPr>
      <w:r w:rsidRPr="00115221">
        <w:rPr>
          <w:rFonts w:cs="Times New Roman"/>
          <w:snapToGrid w:val="0"/>
          <w:kern w:val="22"/>
          <w:szCs w:val="22"/>
          <w:lang w:val="fr-CA"/>
        </w:rPr>
        <w:t xml:space="preserve">28 p. cent (20 Parties) ont </w:t>
      </w:r>
      <w:r w:rsidR="00A843AD">
        <w:rPr>
          <w:rFonts w:cs="Times New Roman"/>
          <w:snapToGrid w:val="0"/>
          <w:kern w:val="22"/>
          <w:szCs w:val="22"/>
          <w:lang w:val="fr-CA"/>
        </w:rPr>
        <w:t>répondu</w:t>
      </w:r>
      <w:r w:rsidRPr="00115221">
        <w:rPr>
          <w:rFonts w:cs="Times New Roman"/>
          <w:snapToGrid w:val="0"/>
          <w:kern w:val="22"/>
          <w:szCs w:val="22"/>
          <w:lang w:val="fr-CA"/>
        </w:rPr>
        <w:t xml:space="preserve"> de 10 à 49 personnes (-3 p. cent)</w:t>
      </w:r>
      <w:r w:rsidR="004569FB" w:rsidRPr="00115221">
        <w:rPr>
          <w:rFonts w:cs="Times New Roman"/>
          <w:snapToGrid w:val="0"/>
          <w:kern w:val="22"/>
          <w:szCs w:val="22"/>
          <w:lang w:val="fr-CA"/>
        </w:rPr>
        <w:t xml:space="preserve">; </w:t>
      </w:r>
    </w:p>
    <w:p w14:paraId="462DE33F" w14:textId="14A90076" w:rsidR="00752892" w:rsidRPr="00115221" w:rsidRDefault="004569FB" w:rsidP="00B44100">
      <w:pPr>
        <w:pStyle w:val="ListParagraph"/>
        <w:numPr>
          <w:ilvl w:val="1"/>
          <w:numId w:val="59"/>
        </w:numPr>
        <w:suppressLineNumbers/>
        <w:suppressAutoHyphens/>
        <w:snapToGrid w:val="0"/>
        <w:spacing w:before="120" w:after="120"/>
        <w:ind w:left="1985" w:hanging="567"/>
        <w:rPr>
          <w:rFonts w:cs="Times New Roman"/>
          <w:snapToGrid w:val="0"/>
          <w:kern w:val="22"/>
          <w:szCs w:val="22"/>
          <w:lang w:val="fr-CA"/>
        </w:rPr>
      </w:pPr>
      <w:r w:rsidRPr="00115221">
        <w:rPr>
          <w:rFonts w:cs="Times New Roman"/>
          <w:snapToGrid w:val="0"/>
          <w:kern w:val="22"/>
          <w:szCs w:val="22"/>
          <w:lang w:val="fr-CA"/>
        </w:rPr>
        <w:t>13</w:t>
      </w:r>
      <w:r w:rsidR="00834806" w:rsidRPr="00115221">
        <w:rPr>
          <w:rFonts w:cs="Times New Roman"/>
          <w:snapToGrid w:val="0"/>
          <w:kern w:val="22"/>
          <w:szCs w:val="22"/>
          <w:lang w:val="fr-CA"/>
        </w:rPr>
        <w:t xml:space="preserve"> p. cent (9 Parties) on</w:t>
      </w:r>
      <w:r w:rsidR="00613EAD">
        <w:rPr>
          <w:rFonts w:cs="Times New Roman"/>
          <w:snapToGrid w:val="0"/>
          <w:kern w:val="22"/>
          <w:szCs w:val="22"/>
          <w:lang w:val="fr-CA"/>
        </w:rPr>
        <w:t xml:space="preserve">t </w:t>
      </w:r>
      <w:r w:rsidR="00A843AD">
        <w:rPr>
          <w:rFonts w:cs="Times New Roman"/>
          <w:snapToGrid w:val="0"/>
          <w:kern w:val="22"/>
          <w:szCs w:val="22"/>
          <w:lang w:val="fr-CA"/>
        </w:rPr>
        <w:t>répondu</w:t>
      </w:r>
      <w:r w:rsidR="00613EAD">
        <w:rPr>
          <w:rFonts w:cs="Times New Roman"/>
          <w:snapToGrid w:val="0"/>
          <w:kern w:val="22"/>
          <w:szCs w:val="22"/>
          <w:lang w:val="fr-CA"/>
        </w:rPr>
        <w:t xml:space="preserve"> de 50 à 99 personnes (</w:t>
      </w:r>
      <w:r w:rsidR="00834806" w:rsidRPr="00115221">
        <w:rPr>
          <w:rFonts w:cs="Times New Roman"/>
          <w:snapToGrid w:val="0"/>
          <w:kern w:val="22"/>
          <w:szCs w:val="22"/>
          <w:lang w:val="fr-CA"/>
        </w:rPr>
        <w:t>-10 p. cent)</w:t>
      </w:r>
      <w:r w:rsidRPr="00115221">
        <w:rPr>
          <w:rFonts w:cs="Times New Roman"/>
          <w:snapToGrid w:val="0"/>
          <w:kern w:val="22"/>
          <w:szCs w:val="22"/>
          <w:lang w:val="fr-CA"/>
        </w:rPr>
        <w:t xml:space="preserve">; </w:t>
      </w:r>
    </w:p>
    <w:p w14:paraId="3F4CCEC1" w14:textId="37CC0420" w:rsidR="00752892" w:rsidRPr="00115221" w:rsidRDefault="00834806" w:rsidP="00B44100">
      <w:pPr>
        <w:pStyle w:val="ListParagraph"/>
        <w:numPr>
          <w:ilvl w:val="1"/>
          <w:numId w:val="59"/>
        </w:numPr>
        <w:suppressLineNumbers/>
        <w:suppressAutoHyphens/>
        <w:snapToGrid w:val="0"/>
        <w:spacing w:before="120" w:after="120"/>
        <w:ind w:left="1985" w:hanging="567"/>
        <w:rPr>
          <w:rFonts w:cs="Times New Roman"/>
          <w:snapToGrid w:val="0"/>
          <w:kern w:val="22"/>
          <w:szCs w:val="22"/>
          <w:lang w:val="fr-CA"/>
        </w:rPr>
      </w:pPr>
      <w:r w:rsidRPr="00115221">
        <w:rPr>
          <w:rFonts w:cs="Times New Roman"/>
          <w:snapToGrid w:val="0"/>
          <w:kern w:val="22"/>
          <w:szCs w:val="22"/>
          <w:lang w:val="fr-CA"/>
        </w:rPr>
        <w:t xml:space="preserve">11 p. cent (8 Parties) ont </w:t>
      </w:r>
      <w:r w:rsidR="00A843AD">
        <w:rPr>
          <w:rFonts w:cs="Times New Roman"/>
          <w:snapToGrid w:val="0"/>
          <w:kern w:val="22"/>
          <w:szCs w:val="22"/>
          <w:lang w:val="fr-CA"/>
        </w:rPr>
        <w:t>répondu</w:t>
      </w:r>
      <w:r w:rsidRPr="00115221">
        <w:rPr>
          <w:rFonts w:cs="Times New Roman"/>
          <w:snapToGrid w:val="0"/>
          <w:kern w:val="22"/>
          <w:szCs w:val="22"/>
          <w:lang w:val="fr-CA"/>
        </w:rPr>
        <w:t xml:space="preserve"> que 100 personnes et plus avaient reçu une formation en gestion des risques (+3 p. cent)</w:t>
      </w:r>
      <w:r w:rsidR="00752892" w:rsidRPr="00115221">
        <w:rPr>
          <w:rFonts w:cs="Times New Roman"/>
          <w:snapToGrid w:val="0"/>
          <w:kern w:val="22"/>
          <w:szCs w:val="22"/>
          <w:lang w:val="fr-CA"/>
        </w:rPr>
        <w:t xml:space="preserve">; </w:t>
      </w:r>
    </w:p>
    <w:p w14:paraId="14531C29" w14:textId="7C1F1BEA" w:rsidR="004569FB" w:rsidRPr="00115221" w:rsidRDefault="00834806" w:rsidP="00B44100">
      <w:pPr>
        <w:pStyle w:val="ListParagraph"/>
        <w:numPr>
          <w:ilvl w:val="1"/>
          <w:numId w:val="59"/>
        </w:numPr>
        <w:suppressLineNumbers/>
        <w:suppressAutoHyphens/>
        <w:snapToGrid w:val="0"/>
        <w:spacing w:before="120" w:after="120"/>
        <w:ind w:left="1985" w:hanging="567"/>
        <w:rPr>
          <w:rFonts w:cs="Times New Roman"/>
          <w:snapToGrid w:val="0"/>
          <w:kern w:val="22"/>
          <w:szCs w:val="22"/>
          <w:lang w:val="fr-CA"/>
        </w:rPr>
      </w:pPr>
      <w:r w:rsidRPr="00115221">
        <w:rPr>
          <w:rFonts w:cs="Times New Roman"/>
          <w:snapToGrid w:val="0"/>
          <w:kern w:val="22"/>
          <w:szCs w:val="22"/>
          <w:lang w:val="fr-CA"/>
        </w:rPr>
        <w:t xml:space="preserve">10 p. cent (7 Parties) ont </w:t>
      </w:r>
      <w:r w:rsidR="00A843AD">
        <w:rPr>
          <w:rFonts w:cs="Times New Roman"/>
          <w:snapToGrid w:val="0"/>
          <w:kern w:val="22"/>
          <w:szCs w:val="22"/>
          <w:lang w:val="fr-CA"/>
        </w:rPr>
        <w:t>répondu</w:t>
      </w:r>
      <w:r w:rsidRPr="00115221">
        <w:rPr>
          <w:rFonts w:cs="Times New Roman"/>
          <w:snapToGrid w:val="0"/>
          <w:kern w:val="22"/>
          <w:szCs w:val="22"/>
          <w:lang w:val="fr-CA"/>
        </w:rPr>
        <w:t xml:space="preserve"> que personne n’avait été formé (+2 p. cent</w:t>
      </w:r>
      <w:r w:rsidR="004569FB" w:rsidRPr="00115221">
        <w:rPr>
          <w:rFonts w:cs="Times New Roman"/>
          <w:snapToGrid w:val="0"/>
          <w:kern w:val="22"/>
          <w:szCs w:val="22"/>
          <w:lang w:val="fr-CA"/>
        </w:rPr>
        <w:t>).</w:t>
      </w:r>
    </w:p>
    <w:p w14:paraId="156B1466" w14:textId="56F4CE3F" w:rsidR="00752892" w:rsidRPr="00115221" w:rsidRDefault="00F332DD" w:rsidP="00B44100">
      <w:pPr>
        <w:pStyle w:val="ListParagraph"/>
        <w:numPr>
          <w:ilvl w:val="0"/>
          <w:numId w:val="59"/>
        </w:numPr>
        <w:suppressLineNumbers/>
        <w:suppressAutoHyphens/>
        <w:snapToGrid w:val="0"/>
        <w:spacing w:before="120" w:after="120"/>
        <w:ind w:left="0" w:firstLine="698"/>
        <w:rPr>
          <w:rFonts w:cs="Times New Roman"/>
          <w:snapToGrid w:val="0"/>
          <w:kern w:val="22"/>
          <w:szCs w:val="22"/>
          <w:lang w:val="fr-CA"/>
        </w:rPr>
      </w:pPr>
      <w:r w:rsidRPr="00115221">
        <w:rPr>
          <w:rFonts w:cs="Times New Roman"/>
          <w:snapToGrid w:val="0"/>
          <w:kern w:val="22"/>
          <w:szCs w:val="22"/>
          <w:lang w:val="fr-CA"/>
        </w:rPr>
        <w:t xml:space="preserve">Personnes ayant reçu une formation en suivi des OVM : 87 p. cent des Parties ont déclaré que des personnes avaient reçu une formation en suivi des OVM dans leur pays </w:t>
      </w:r>
      <w:r w:rsidR="004569FB" w:rsidRPr="00115221">
        <w:rPr>
          <w:rFonts w:cs="Times New Roman"/>
          <w:snapToGrid w:val="0"/>
          <w:kern w:val="22"/>
          <w:szCs w:val="22"/>
          <w:lang w:val="fr-CA"/>
        </w:rPr>
        <w:t xml:space="preserve"> </w:t>
      </w:r>
      <w:r w:rsidR="00752892" w:rsidRPr="00115221">
        <w:rPr>
          <w:rFonts w:cs="Times New Roman"/>
          <w:snapToGrid w:val="0"/>
          <w:kern w:val="22"/>
          <w:szCs w:val="22"/>
          <w:lang w:val="fr-CA"/>
        </w:rPr>
        <w:t>:</w:t>
      </w:r>
      <w:r w:rsidR="004569FB" w:rsidRPr="00115221">
        <w:rPr>
          <w:rFonts w:cs="Times New Roman"/>
          <w:snapToGrid w:val="0"/>
          <w:kern w:val="22"/>
          <w:szCs w:val="22"/>
          <w:lang w:val="fr-CA"/>
        </w:rPr>
        <w:t xml:space="preserve"> </w:t>
      </w:r>
    </w:p>
    <w:p w14:paraId="67E083B0" w14:textId="7F234E1D" w:rsidR="00752892" w:rsidRPr="00115221" w:rsidRDefault="00F332DD" w:rsidP="00B44100">
      <w:pPr>
        <w:pStyle w:val="ListParagraph"/>
        <w:numPr>
          <w:ilvl w:val="1"/>
          <w:numId w:val="59"/>
        </w:numPr>
        <w:suppressLineNumbers/>
        <w:suppressAutoHyphens/>
        <w:snapToGrid w:val="0"/>
        <w:spacing w:before="120" w:after="120"/>
        <w:ind w:left="1985" w:hanging="567"/>
        <w:rPr>
          <w:rFonts w:cs="Times New Roman"/>
          <w:snapToGrid w:val="0"/>
          <w:kern w:val="22"/>
          <w:szCs w:val="22"/>
          <w:lang w:val="fr-CA"/>
        </w:rPr>
      </w:pPr>
      <w:r w:rsidRPr="00115221">
        <w:rPr>
          <w:rFonts w:cs="Times New Roman"/>
          <w:snapToGrid w:val="0"/>
          <w:kern w:val="22"/>
          <w:szCs w:val="22"/>
          <w:lang w:val="fr-CA"/>
        </w:rPr>
        <w:t xml:space="preserve">41 p. cent (29 Parties) </w:t>
      </w:r>
      <w:r w:rsidR="00A843AD">
        <w:rPr>
          <w:rFonts w:cs="Times New Roman"/>
          <w:snapToGrid w:val="0"/>
          <w:kern w:val="22"/>
          <w:szCs w:val="22"/>
          <w:lang w:val="fr-CA"/>
        </w:rPr>
        <w:t>ont répondu de 1 à 9 personnes (</w:t>
      </w:r>
      <w:r w:rsidRPr="00115221">
        <w:rPr>
          <w:rFonts w:cs="Times New Roman"/>
          <w:snapToGrid w:val="0"/>
          <w:kern w:val="22"/>
          <w:szCs w:val="22"/>
          <w:lang w:val="fr-CA"/>
        </w:rPr>
        <w:t>+14 p. cent)</w:t>
      </w:r>
      <w:r w:rsidR="004569FB" w:rsidRPr="00115221">
        <w:rPr>
          <w:rFonts w:cs="Times New Roman"/>
          <w:snapToGrid w:val="0"/>
          <w:kern w:val="22"/>
          <w:szCs w:val="22"/>
          <w:lang w:val="fr-CA"/>
        </w:rPr>
        <w:t xml:space="preserve">; </w:t>
      </w:r>
    </w:p>
    <w:p w14:paraId="590C0662" w14:textId="31D73C13" w:rsidR="00752892" w:rsidRPr="00115221" w:rsidRDefault="00F332DD" w:rsidP="00B44100">
      <w:pPr>
        <w:pStyle w:val="ListParagraph"/>
        <w:numPr>
          <w:ilvl w:val="1"/>
          <w:numId w:val="59"/>
        </w:numPr>
        <w:suppressLineNumbers/>
        <w:suppressAutoHyphens/>
        <w:snapToGrid w:val="0"/>
        <w:spacing w:before="120" w:after="120"/>
        <w:ind w:left="1985" w:hanging="567"/>
        <w:rPr>
          <w:rFonts w:cs="Times New Roman"/>
          <w:snapToGrid w:val="0"/>
          <w:kern w:val="22"/>
          <w:szCs w:val="22"/>
          <w:lang w:val="fr-CA"/>
        </w:rPr>
      </w:pPr>
      <w:r w:rsidRPr="00115221">
        <w:rPr>
          <w:rFonts w:cs="Times New Roman"/>
          <w:snapToGrid w:val="0"/>
          <w:kern w:val="22"/>
          <w:szCs w:val="22"/>
          <w:lang w:val="fr-CA"/>
        </w:rPr>
        <w:t>28 p. cent (20 Parties) ont déclaré de 10 à 49 personnes (-10 p. cent</w:t>
      </w:r>
      <w:r w:rsidR="004569FB" w:rsidRPr="00115221">
        <w:rPr>
          <w:rFonts w:cs="Times New Roman"/>
          <w:snapToGrid w:val="0"/>
          <w:kern w:val="22"/>
          <w:szCs w:val="22"/>
          <w:lang w:val="fr-CA"/>
        </w:rPr>
        <w:t xml:space="preserve">); </w:t>
      </w:r>
    </w:p>
    <w:p w14:paraId="5366ACC7" w14:textId="66525FF5" w:rsidR="00752892" w:rsidRPr="00115221" w:rsidRDefault="004569FB" w:rsidP="00B44100">
      <w:pPr>
        <w:pStyle w:val="ListParagraph"/>
        <w:numPr>
          <w:ilvl w:val="1"/>
          <w:numId w:val="59"/>
        </w:numPr>
        <w:suppressLineNumbers/>
        <w:suppressAutoHyphens/>
        <w:snapToGrid w:val="0"/>
        <w:spacing w:before="120" w:after="120"/>
        <w:ind w:left="1985" w:hanging="567"/>
        <w:rPr>
          <w:rFonts w:cs="Times New Roman"/>
          <w:snapToGrid w:val="0"/>
          <w:kern w:val="22"/>
          <w:szCs w:val="22"/>
          <w:lang w:val="fr-CA"/>
        </w:rPr>
      </w:pPr>
      <w:r w:rsidRPr="00115221">
        <w:rPr>
          <w:rFonts w:cs="Times New Roman"/>
          <w:snapToGrid w:val="0"/>
          <w:kern w:val="22"/>
          <w:szCs w:val="22"/>
          <w:lang w:val="fr-CA"/>
        </w:rPr>
        <w:t>11</w:t>
      </w:r>
      <w:r w:rsidR="00F332DD" w:rsidRPr="00115221">
        <w:rPr>
          <w:rFonts w:cs="Times New Roman"/>
          <w:snapToGrid w:val="0"/>
          <w:kern w:val="22"/>
          <w:szCs w:val="22"/>
          <w:lang w:val="fr-CA"/>
        </w:rPr>
        <w:t xml:space="preserve">p. cent (8 Parties) ont </w:t>
      </w:r>
      <w:r w:rsidR="00A843AD">
        <w:rPr>
          <w:rFonts w:cs="Times New Roman"/>
          <w:snapToGrid w:val="0"/>
          <w:kern w:val="22"/>
          <w:szCs w:val="22"/>
          <w:lang w:val="fr-CA"/>
        </w:rPr>
        <w:t>répondu</w:t>
      </w:r>
      <w:r w:rsidR="00F332DD" w:rsidRPr="00115221">
        <w:rPr>
          <w:rFonts w:cs="Times New Roman"/>
          <w:snapToGrid w:val="0"/>
          <w:kern w:val="22"/>
          <w:szCs w:val="22"/>
          <w:lang w:val="fr-CA"/>
        </w:rPr>
        <w:t xml:space="preserve"> de 50 à 99 personnes (-6 p. cent)</w:t>
      </w:r>
      <w:r w:rsidRPr="00115221">
        <w:rPr>
          <w:rFonts w:cs="Times New Roman"/>
          <w:snapToGrid w:val="0"/>
          <w:kern w:val="22"/>
          <w:szCs w:val="22"/>
          <w:lang w:val="fr-CA"/>
        </w:rPr>
        <w:t xml:space="preserve">; </w:t>
      </w:r>
    </w:p>
    <w:p w14:paraId="4F539E2A" w14:textId="789E0B7F" w:rsidR="00752892" w:rsidRPr="00115221" w:rsidRDefault="004569FB" w:rsidP="00B44100">
      <w:pPr>
        <w:pStyle w:val="ListParagraph"/>
        <w:numPr>
          <w:ilvl w:val="1"/>
          <w:numId w:val="59"/>
        </w:numPr>
        <w:suppressLineNumbers/>
        <w:suppressAutoHyphens/>
        <w:snapToGrid w:val="0"/>
        <w:spacing w:before="120" w:after="120"/>
        <w:ind w:left="1985" w:hanging="567"/>
        <w:rPr>
          <w:rFonts w:cs="Times New Roman"/>
          <w:snapToGrid w:val="0"/>
          <w:kern w:val="22"/>
          <w:szCs w:val="22"/>
          <w:lang w:val="fr-CA"/>
        </w:rPr>
      </w:pPr>
      <w:r w:rsidRPr="00115221">
        <w:rPr>
          <w:rFonts w:cs="Times New Roman"/>
          <w:snapToGrid w:val="0"/>
          <w:kern w:val="22"/>
          <w:szCs w:val="22"/>
          <w:lang w:val="fr-CA"/>
        </w:rPr>
        <w:t>7</w:t>
      </w:r>
      <w:r w:rsidR="00F332DD" w:rsidRPr="00115221">
        <w:rPr>
          <w:rFonts w:cs="Times New Roman"/>
          <w:snapToGrid w:val="0"/>
          <w:kern w:val="22"/>
          <w:szCs w:val="22"/>
          <w:lang w:val="fr-CA"/>
        </w:rPr>
        <w:t xml:space="preserve"> p. c</w:t>
      </w:r>
      <w:r w:rsidR="00294F84" w:rsidRPr="00115221">
        <w:rPr>
          <w:rFonts w:cs="Times New Roman"/>
          <w:snapToGrid w:val="0"/>
          <w:kern w:val="22"/>
          <w:szCs w:val="22"/>
          <w:lang w:val="fr-CA"/>
        </w:rPr>
        <w:t>en</w:t>
      </w:r>
      <w:r w:rsidR="00F332DD" w:rsidRPr="00115221">
        <w:rPr>
          <w:rFonts w:cs="Times New Roman"/>
          <w:snapToGrid w:val="0"/>
          <w:kern w:val="22"/>
          <w:szCs w:val="22"/>
          <w:lang w:val="fr-CA"/>
        </w:rPr>
        <w:t xml:space="preserve">t des Parties (5 Parties) ont </w:t>
      </w:r>
      <w:r w:rsidR="00A843AD">
        <w:rPr>
          <w:rFonts w:cs="Times New Roman"/>
          <w:snapToGrid w:val="0"/>
          <w:kern w:val="22"/>
          <w:szCs w:val="22"/>
          <w:lang w:val="fr-CA"/>
        </w:rPr>
        <w:t>répondu</w:t>
      </w:r>
      <w:r w:rsidR="00F332DD" w:rsidRPr="00115221">
        <w:rPr>
          <w:rFonts w:cs="Times New Roman"/>
          <w:snapToGrid w:val="0"/>
          <w:kern w:val="22"/>
          <w:szCs w:val="22"/>
          <w:lang w:val="fr-CA"/>
        </w:rPr>
        <w:t xml:space="preserve"> que 100 personnes et plus avaient re</w:t>
      </w:r>
      <w:r w:rsidR="00294F84" w:rsidRPr="00115221">
        <w:rPr>
          <w:rFonts w:cs="Times New Roman"/>
          <w:snapToGrid w:val="0"/>
          <w:kern w:val="22"/>
          <w:szCs w:val="22"/>
          <w:lang w:val="fr-CA"/>
        </w:rPr>
        <w:t xml:space="preserve">çu </w:t>
      </w:r>
      <w:r w:rsidR="00F332DD" w:rsidRPr="00115221">
        <w:rPr>
          <w:rFonts w:cs="Times New Roman"/>
          <w:snapToGrid w:val="0"/>
          <w:kern w:val="22"/>
          <w:szCs w:val="22"/>
          <w:lang w:val="fr-CA"/>
        </w:rPr>
        <w:t>une formation en suivi des OV</w:t>
      </w:r>
      <w:r w:rsidR="00294F84" w:rsidRPr="00115221">
        <w:rPr>
          <w:rFonts w:cs="Times New Roman"/>
          <w:snapToGrid w:val="0"/>
          <w:kern w:val="22"/>
          <w:szCs w:val="22"/>
          <w:lang w:val="fr-CA"/>
        </w:rPr>
        <w:t>M</w:t>
      </w:r>
      <w:r w:rsidR="00F332DD" w:rsidRPr="00115221">
        <w:rPr>
          <w:rFonts w:cs="Times New Roman"/>
          <w:snapToGrid w:val="0"/>
          <w:kern w:val="22"/>
          <w:szCs w:val="22"/>
          <w:lang w:val="fr-CA"/>
        </w:rPr>
        <w:t xml:space="preserve"> (+1 p. cent)</w:t>
      </w:r>
      <w:r w:rsidR="00752892" w:rsidRPr="00115221">
        <w:rPr>
          <w:rFonts w:cs="Times New Roman"/>
          <w:snapToGrid w:val="0"/>
          <w:kern w:val="22"/>
          <w:szCs w:val="22"/>
          <w:lang w:val="fr-CA"/>
        </w:rPr>
        <w:t xml:space="preserve">; </w:t>
      </w:r>
    </w:p>
    <w:p w14:paraId="742108F6" w14:textId="00F1D170" w:rsidR="004569FB" w:rsidRPr="00115221" w:rsidRDefault="004569FB" w:rsidP="00B44100">
      <w:pPr>
        <w:pStyle w:val="ListParagraph"/>
        <w:numPr>
          <w:ilvl w:val="1"/>
          <w:numId w:val="59"/>
        </w:numPr>
        <w:suppressLineNumbers/>
        <w:suppressAutoHyphens/>
        <w:snapToGrid w:val="0"/>
        <w:spacing w:before="120" w:after="120"/>
        <w:ind w:left="1985" w:hanging="567"/>
        <w:rPr>
          <w:rFonts w:cs="Times New Roman"/>
          <w:snapToGrid w:val="0"/>
          <w:kern w:val="22"/>
          <w:szCs w:val="22"/>
          <w:lang w:val="fr-CA"/>
        </w:rPr>
      </w:pPr>
      <w:r w:rsidRPr="00115221">
        <w:rPr>
          <w:rFonts w:cs="Times New Roman"/>
          <w:snapToGrid w:val="0"/>
          <w:kern w:val="22"/>
          <w:szCs w:val="22"/>
          <w:lang w:val="fr-CA"/>
        </w:rPr>
        <w:t>1</w:t>
      </w:r>
      <w:r w:rsidR="00294F84" w:rsidRPr="00115221">
        <w:rPr>
          <w:rFonts w:cs="Times New Roman"/>
          <w:snapToGrid w:val="0"/>
          <w:kern w:val="22"/>
          <w:szCs w:val="22"/>
          <w:lang w:val="fr-CA"/>
        </w:rPr>
        <w:t xml:space="preserve">3 p. cent des Parties (9 Parties) ont </w:t>
      </w:r>
      <w:r w:rsidR="00A843AD">
        <w:rPr>
          <w:rFonts w:cs="Times New Roman"/>
          <w:snapToGrid w:val="0"/>
          <w:kern w:val="22"/>
          <w:szCs w:val="22"/>
          <w:lang w:val="fr-CA"/>
        </w:rPr>
        <w:t>répondu</w:t>
      </w:r>
      <w:r w:rsidR="00294F84" w:rsidRPr="00115221">
        <w:rPr>
          <w:rFonts w:cs="Times New Roman"/>
          <w:snapToGrid w:val="0"/>
          <w:kern w:val="22"/>
          <w:szCs w:val="22"/>
          <w:lang w:val="fr-CA"/>
        </w:rPr>
        <w:t xml:space="preserve"> que personne n’avait été formé (</w:t>
      </w:r>
      <w:r w:rsidR="00AC30F6" w:rsidRPr="00115221">
        <w:rPr>
          <w:rFonts w:cs="Times New Roman"/>
          <w:snapToGrid w:val="0"/>
          <w:kern w:val="22"/>
          <w:szCs w:val="22"/>
          <w:lang w:val="fr-CA"/>
        </w:rPr>
        <w:t>aucune différence</w:t>
      </w:r>
      <w:r w:rsidR="00294F84" w:rsidRPr="00115221">
        <w:rPr>
          <w:rFonts w:cs="Times New Roman"/>
          <w:snapToGrid w:val="0"/>
          <w:kern w:val="22"/>
          <w:szCs w:val="22"/>
          <w:lang w:val="fr-CA"/>
        </w:rPr>
        <w:t xml:space="preserve"> par rapport à la valeur de référence</w:t>
      </w:r>
      <w:r w:rsidRPr="00115221">
        <w:rPr>
          <w:rFonts w:cs="Times New Roman"/>
          <w:snapToGrid w:val="0"/>
          <w:kern w:val="22"/>
          <w:szCs w:val="22"/>
          <w:lang w:val="fr-CA"/>
        </w:rPr>
        <w:t>).</w:t>
      </w:r>
    </w:p>
    <w:p w14:paraId="57E6F283" w14:textId="77777777" w:rsidR="008C0D29" w:rsidRPr="00115221" w:rsidRDefault="008C0D29" w:rsidP="008C0D29">
      <w:pPr>
        <w:pStyle w:val="ListParagraph"/>
        <w:suppressLineNumbers/>
        <w:suppressAutoHyphens/>
        <w:snapToGrid w:val="0"/>
        <w:spacing w:before="120" w:after="120"/>
        <w:rPr>
          <w:rFonts w:cs="Times New Roman"/>
          <w:snapToGrid w:val="0"/>
          <w:kern w:val="22"/>
          <w:szCs w:val="22"/>
          <w:lang w:val="fr-CA"/>
        </w:rPr>
      </w:pPr>
    </w:p>
    <w:p w14:paraId="3261C725" w14:textId="29B0A5B1" w:rsidR="004569FB" w:rsidRPr="00115221" w:rsidRDefault="00294F84"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2.2.4</w:t>
      </w:r>
      <w:r w:rsidRPr="00115221">
        <w:rPr>
          <w:rFonts w:cs="Times New Roman"/>
          <w:snapToGrid w:val="0"/>
          <w:kern w:val="22"/>
          <w:szCs w:val="22"/>
          <w:lang w:val="fr-CA"/>
        </w:rPr>
        <w:t xml:space="preserve"> (nombre de Parties possédant des infrastructures, y compris des laboratoires pour le suivi, la gestion et le contrôle), 77 p. cent des Parties (55 Parties) ont déclaré po</w:t>
      </w:r>
      <w:r w:rsidR="003740F6" w:rsidRPr="00115221">
        <w:rPr>
          <w:rFonts w:cs="Times New Roman"/>
          <w:snapToGrid w:val="0"/>
          <w:kern w:val="22"/>
          <w:szCs w:val="22"/>
          <w:lang w:val="fr-CA"/>
        </w:rPr>
        <w:t>s</w:t>
      </w:r>
      <w:r w:rsidRPr="00115221">
        <w:rPr>
          <w:rFonts w:cs="Times New Roman"/>
          <w:snapToGrid w:val="0"/>
          <w:kern w:val="22"/>
          <w:szCs w:val="22"/>
          <w:lang w:val="fr-CA"/>
        </w:rPr>
        <w:t xml:space="preserve">séder les </w:t>
      </w:r>
      <w:r w:rsidR="003740F6" w:rsidRPr="00115221">
        <w:rPr>
          <w:rFonts w:cs="Times New Roman"/>
          <w:snapToGrid w:val="0"/>
          <w:kern w:val="22"/>
          <w:szCs w:val="22"/>
          <w:lang w:val="fr-CA"/>
        </w:rPr>
        <w:t>i</w:t>
      </w:r>
      <w:r w:rsidRPr="00115221">
        <w:rPr>
          <w:rFonts w:cs="Times New Roman"/>
          <w:snapToGrid w:val="0"/>
          <w:kern w:val="22"/>
          <w:szCs w:val="22"/>
          <w:lang w:val="fr-CA"/>
        </w:rPr>
        <w:t xml:space="preserve">nfrastructures nécessaires pour le suivi et la gestion des OVM, ce qui ne présente </w:t>
      </w:r>
      <w:r w:rsidR="00AC30F6" w:rsidRPr="00115221">
        <w:rPr>
          <w:rFonts w:cs="Times New Roman"/>
          <w:snapToGrid w:val="0"/>
          <w:kern w:val="22"/>
          <w:szCs w:val="22"/>
          <w:lang w:val="fr-CA"/>
        </w:rPr>
        <w:t>aucune différence</w:t>
      </w:r>
      <w:r w:rsidRPr="00115221">
        <w:rPr>
          <w:rFonts w:cs="Times New Roman"/>
          <w:snapToGrid w:val="0"/>
          <w:kern w:val="22"/>
          <w:szCs w:val="22"/>
          <w:lang w:val="fr-CA"/>
        </w:rPr>
        <w:t xml:space="preserve"> par rapport à la valeur de référence. Par région, des </w:t>
      </w:r>
      <w:r w:rsidR="00A843AD">
        <w:rPr>
          <w:rFonts w:eastAsia="Times New Roman" w:cs="Times New Roman"/>
          <w:snapToGrid w:val="0"/>
          <w:kern w:val="22"/>
          <w:szCs w:val="22"/>
          <w:lang w:val="fr-CA"/>
        </w:rPr>
        <w:t>différences</w:t>
      </w:r>
      <w:r w:rsidRPr="00115221">
        <w:rPr>
          <w:rFonts w:cs="Times New Roman"/>
          <w:snapToGrid w:val="0"/>
          <w:kern w:val="22"/>
          <w:szCs w:val="22"/>
          <w:lang w:val="fr-CA"/>
        </w:rPr>
        <w:t xml:space="preserve"> ont été déclaré</w:t>
      </w:r>
      <w:r w:rsidR="00A843AD">
        <w:rPr>
          <w:rFonts w:cs="Times New Roman"/>
          <w:snapToGrid w:val="0"/>
          <w:kern w:val="22"/>
          <w:szCs w:val="22"/>
          <w:lang w:val="fr-CA"/>
        </w:rPr>
        <w:t>e</w:t>
      </w:r>
      <w:r w:rsidRPr="00115221">
        <w:rPr>
          <w:rFonts w:cs="Times New Roman"/>
          <w:snapToGrid w:val="0"/>
          <w:kern w:val="22"/>
          <w:szCs w:val="22"/>
          <w:lang w:val="fr-CA"/>
        </w:rPr>
        <w:t xml:space="preserve">s en </w:t>
      </w:r>
      <w:r w:rsidR="00A843AD">
        <w:rPr>
          <w:rFonts w:cs="Times New Roman"/>
          <w:snapToGrid w:val="0"/>
          <w:kern w:val="22"/>
          <w:szCs w:val="22"/>
          <w:lang w:val="fr-CA"/>
        </w:rPr>
        <w:t>Afrique (+5 </w:t>
      </w:r>
      <w:r w:rsidRPr="00115221">
        <w:rPr>
          <w:rFonts w:cs="Times New Roman"/>
          <w:snapToGrid w:val="0"/>
          <w:kern w:val="22"/>
          <w:szCs w:val="22"/>
          <w:lang w:val="fr-CA"/>
        </w:rPr>
        <w:t>p. cent) et pour le GALC (-8 p. cent)</w:t>
      </w:r>
      <w:r w:rsidR="003740F6" w:rsidRPr="00115221">
        <w:rPr>
          <w:rFonts w:cs="Times New Roman"/>
          <w:snapToGrid w:val="0"/>
          <w:kern w:val="22"/>
          <w:szCs w:val="22"/>
          <w:lang w:val="fr-CA"/>
        </w:rPr>
        <w:t xml:space="preserve"> chez les Parties ayant déclaré qu’elles possédaient des infrastructures pour le suivi et le contrôle. Plusieurs Parties ont souligné dans leur exposé écrit le besoin de soutien </w:t>
      </w:r>
      <w:r w:rsidR="00A843AD">
        <w:rPr>
          <w:rFonts w:cs="Times New Roman"/>
          <w:snapToGrid w:val="0"/>
          <w:kern w:val="22"/>
          <w:szCs w:val="22"/>
          <w:lang w:val="fr-CA"/>
        </w:rPr>
        <w:t xml:space="preserve">permanent </w:t>
      </w:r>
      <w:r w:rsidR="003740F6" w:rsidRPr="00115221">
        <w:rPr>
          <w:rFonts w:cs="Times New Roman"/>
          <w:snapToGrid w:val="0"/>
          <w:kern w:val="22"/>
          <w:szCs w:val="22"/>
          <w:lang w:val="fr-CA"/>
        </w:rPr>
        <w:t xml:space="preserve">pour l’établissement des infrastructures requises. Certaines Parties ont indiqué qu’elles profitaient des activités de renforcement des capacités dans la région, dont les </w:t>
      </w:r>
      <w:r w:rsidR="002F1D5B">
        <w:rPr>
          <w:rFonts w:cs="Times New Roman"/>
          <w:snapToGrid w:val="0"/>
          <w:kern w:val="22"/>
          <w:szCs w:val="22"/>
          <w:lang w:val="fr-CA"/>
        </w:rPr>
        <w:t>projets recevant l’appui du PNUE</w:t>
      </w:r>
      <w:r w:rsidR="003740F6" w:rsidRPr="00115221">
        <w:rPr>
          <w:rFonts w:cs="Times New Roman"/>
          <w:snapToGrid w:val="0"/>
          <w:kern w:val="22"/>
          <w:szCs w:val="22"/>
          <w:lang w:val="fr-CA"/>
        </w:rPr>
        <w:t>-FEM</w:t>
      </w:r>
      <w:r w:rsidR="004569FB" w:rsidRPr="00115221">
        <w:rPr>
          <w:rFonts w:cs="Times New Roman"/>
          <w:snapToGrid w:val="0"/>
          <w:kern w:val="22"/>
          <w:szCs w:val="22"/>
          <w:lang w:val="fr-CA"/>
        </w:rPr>
        <w:t>.</w:t>
      </w:r>
    </w:p>
    <w:p w14:paraId="6C21A0FE" w14:textId="3D0A49C6" w:rsidR="004569FB" w:rsidRPr="00115221" w:rsidRDefault="003740F6"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a trait à </w:t>
      </w:r>
      <w:r w:rsidRPr="00115221">
        <w:rPr>
          <w:rFonts w:cs="Times New Roman"/>
          <w:b/>
          <w:snapToGrid w:val="0"/>
          <w:kern w:val="22"/>
          <w:szCs w:val="22"/>
          <w:lang w:val="fr-CA"/>
        </w:rPr>
        <w:t>l’indicateur 2.2.5</w:t>
      </w:r>
      <w:r w:rsidRPr="00115221">
        <w:rPr>
          <w:rFonts w:cs="Times New Roman"/>
          <w:snapToGrid w:val="0"/>
          <w:kern w:val="22"/>
          <w:szCs w:val="22"/>
          <w:lang w:val="fr-CA"/>
        </w:rPr>
        <w:t xml:space="preserve"> (nombre de Parties qui utilisent le matériel de formation </w:t>
      </w:r>
      <w:r w:rsidR="00145DED" w:rsidRPr="00115221">
        <w:rPr>
          <w:rFonts w:cs="Times New Roman"/>
          <w:snapToGrid w:val="0"/>
          <w:kern w:val="22"/>
          <w:szCs w:val="22"/>
          <w:lang w:val="fr-CA"/>
        </w:rPr>
        <w:t xml:space="preserve">et les orientations techniques </w:t>
      </w:r>
      <w:r w:rsidRPr="00115221">
        <w:rPr>
          <w:rFonts w:cs="Times New Roman"/>
          <w:snapToGrid w:val="0"/>
          <w:kern w:val="22"/>
          <w:szCs w:val="22"/>
          <w:lang w:val="fr-CA"/>
        </w:rPr>
        <w:t>élaboré</w:t>
      </w:r>
      <w:r w:rsidR="00145DED" w:rsidRPr="00115221">
        <w:rPr>
          <w:rFonts w:cs="Times New Roman"/>
          <w:snapToGrid w:val="0"/>
          <w:kern w:val="22"/>
          <w:szCs w:val="22"/>
          <w:lang w:val="fr-CA"/>
        </w:rPr>
        <w:t>s), 77 p. cent des Parties (55 Parties) ont déclaré qu’elles utilisaient le matériel de formation et/ou l’</w:t>
      </w:r>
      <w:r w:rsidR="002B7758" w:rsidRPr="00115221">
        <w:rPr>
          <w:rFonts w:cs="Times New Roman"/>
          <w:snapToGrid w:val="0"/>
          <w:kern w:val="22"/>
          <w:szCs w:val="22"/>
          <w:lang w:val="fr-CA"/>
        </w:rPr>
        <w:t>or</w:t>
      </w:r>
      <w:r w:rsidR="00145DED" w:rsidRPr="00115221">
        <w:rPr>
          <w:rFonts w:cs="Times New Roman"/>
          <w:snapToGrid w:val="0"/>
          <w:kern w:val="22"/>
          <w:szCs w:val="22"/>
          <w:lang w:val="fr-CA"/>
        </w:rPr>
        <w:t xml:space="preserve">ientation technique pour la formation en évaluation des risques et </w:t>
      </w:r>
      <w:r w:rsidR="002F1D5B">
        <w:rPr>
          <w:rFonts w:cs="Times New Roman"/>
          <w:snapToGrid w:val="0"/>
          <w:kern w:val="22"/>
          <w:szCs w:val="22"/>
          <w:lang w:val="fr-CA"/>
        </w:rPr>
        <w:t xml:space="preserve">en </w:t>
      </w:r>
      <w:r w:rsidR="00145DED" w:rsidRPr="00115221">
        <w:rPr>
          <w:rFonts w:cs="Times New Roman"/>
          <w:snapToGrid w:val="0"/>
          <w:kern w:val="22"/>
          <w:szCs w:val="22"/>
          <w:lang w:val="fr-CA"/>
        </w:rPr>
        <w:t xml:space="preserve">gestion des risques des OVM, une augmentation de 1 p. cent par rapport à la valeur de référence. Cinquante p. cent de ces Parties ont déclaré utiliser </w:t>
      </w:r>
      <w:r w:rsidR="002B7758" w:rsidRPr="00115221">
        <w:rPr>
          <w:rFonts w:cs="Times New Roman"/>
          <w:snapToGrid w:val="0"/>
          <w:kern w:val="22"/>
          <w:szCs w:val="22"/>
          <w:lang w:val="fr-CA"/>
        </w:rPr>
        <w:t xml:space="preserve">le </w:t>
      </w:r>
      <w:r w:rsidR="002F1D5B">
        <w:rPr>
          <w:rFonts w:cs="Times New Roman"/>
          <w:snapToGrid w:val="0"/>
          <w:kern w:val="22"/>
          <w:szCs w:val="22"/>
          <w:lang w:val="fr-CA"/>
        </w:rPr>
        <w:t>Guide de</w:t>
      </w:r>
      <w:r w:rsidR="00AF112C" w:rsidRPr="00115221">
        <w:rPr>
          <w:rFonts w:cs="Times New Roman"/>
          <w:snapToGrid w:val="0"/>
          <w:kern w:val="22"/>
          <w:szCs w:val="22"/>
          <w:lang w:val="fr-CA"/>
        </w:rPr>
        <w:t xml:space="preserve"> l’évaluation des risques des OVM (élaboré par le Secrétariat de la CDB) et 49 p. cent ont déclaré utiliser </w:t>
      </w:r>
      <w:r w:rsidR="00145DED" w:rsidRPr="00115221">
        <w:rPr>
          <w:rFonts w:cs="Times New Roman"/>
          <w:snapToGrid w:val="0"/>
          <w:kern w:val="22"/>
          <w:szCs w:val="22"/>
          <w:lang w:val="fr-CA"/>
        </w:rPr>
        <w:t>l’Orientation sur l’évaluation des risques des OVM (élaboré</w:t>
      </w:r>
      <w:r w:rsidR="00E531C3">
        <w:rPr>
          <w:rFonts w:cs="Times New Roman"/>
          <w:snapToGrid w:val="0"/>
          <w:kern w:val="22"/>
          <w:szCs w:val="22"/>
          <w:lang w:val="fr-CA"/>
        </w:rPr>
        <w:t>e</w:t>
      </w:r>
      <w:r w:rsidR="00145DED" w:rsidRPr="00115221">
        <w:rPr>
          <w:rFonts w:cs="Times New Roman"/>
          <w:snapToGrid w:val="0"/>
          <w:kern w:val="22"/>
          <w:szCs w:val="22"/>
          <w:lang w:val="fr-CA"/>
        </w:rPr>
        <w:t xml:space="preserve"> par le forum en ligne et le Groupe spécial d’experts techniques sur l’évaluation des risques et la gestion des risques</w:t>
      </w:r>
      <w:r w:rsidR="00AF112C" w:rsidRPr="00115221">
        <w:rPr>
          <w:rFonts w:cs="Times New Roman"/>
          <w:snapToGrid w:val="0"/>
          <w:kern w:val="22"/>
          <w:szCs w:val="22"/>
          <w:lang w:val="fr-CA"/>
        </w:rPr>
        <w:t xml:space="preserve">). Dans </w:t>
      </w:r>
      <w:r w:rsidR="002F1D5B">
        <w:rPr>
          <w:rFonts w:cs="Times New Roman"/>
          <w:snapToGrid w:val="0"/>
          <w:kern w:val="22"/>
          <w:szCs w:val="22"/>
          <w:lang w:val="fr-CA"/>
        </w:rPr>
        <w:t>les deux cas</w:t>
      </w:r>
      <w:r w:rsidR="00AF112C" w:rsidRPr="00115221">
        <w:rPr>
          <w:rFonts w:cs="Times New Roman"/>
          <w:snapToGrid w:val="0"/>
          <w:kern w:val="22"/>
          <w:szCs w:val="22"/>
          <w:lang w:val="fr-CA"/>
        </w:rPr>
        <w:t>, la région de l’</w:t>
      </w:r>
      <w:r w:rsidR="002B7758" w:rsidRPr="00115221">
        <w:rPr>
          <w:rFonts w:cs="Times New Roman"/>
          <w:snapToGrid w:val="0"/>
          <w:kern w:val="22"/>
          <w:szCs w:val="22"/>
          <w:lang w:val="fr-CA"/>
        </w:rPr>
        <w:t>Afrique présente le po</w:t>
      </w:r>
      <w:r w:rsidR="002F1D5B">
        <w:rPr>
          <w:rFonts w:cs="Times New Roman"/>
          <w:snapToGrid w:val="0"/>
          <w:kern w:val="22"/>
          <w:szCs w:val="22"/>
          <w:lang w:val="fr-CA"/>
        </w:rPr>
        <w:t>urcentage le p</w:t>
      </w:r>
      <w:r w:rsidR="00AF112C" w:rsidRPr="00115221">
        <w:rPr>
          <w:rFonts w:cs="Times New Roman"/>
          <w:snapToGrid w:val="0"/>
          <w:kern w:val="22"/>
          <w:szCs w:val="22"/>
          <w:lang w:val="fr-CA"/>
        </w:rPr>
        <w:t xml:space="preserve">lus élevé de Parties ayant déclaré utiliser le </w:t>
      </w:r>
      <w:r w:rsidR="002F1D5B">
        <w:rPr>
          <w:rFonts w:cs="Times New Roman"/>
          <w:snapToGrid w:val="0"/>
          <w:kern w:val="22"/>
          <w:szCs w:val="22"/>
          <w:lang w:val="fr-CA"/>
        </w:rPr>
        <w:t>Guide</w:t>
      </w:r>
      <w:r w:rsidR="00AF112C" w:rsidRPr="00115221">
        <w:rPr>
          <w:rFonts w:cs="Times New Roman"/>
          <w:snapToGrid w:val="0"/>
          <w:kern w:val="22"/>
          <w:szCs w:val="22"/>
          <w:lang w:val="fr-CA"/>
        </w:rPr>
        <w:t xml:space="preserve"> et l’Orientation (78 p. cent). Il y a eu une augmentation du p</w:t>
      </w:r>
      <w:r w:rsidR="002B7758" w:rsidRPr="00115221">
        <w:rPr>
          <w:rFonts w:cs="Times New Roman"/>
          <w:snapToGrid w:val="0"/>
          <w:kern w:val="22"/>
          <w:szCs w:val="22"/>
          <w:lang w:val="fr-CA"/>
        </w:rPr>
        <w:t>o</w:t>
      </w:r>
      <w:r w:rsidR="00AF112C" w:rsidRPr="00115221">
        <w:rPr>
          <w:rFonts w:cs="Times New Roman"/>
          <w:snapToGrid w:val="0"/>
          <w:kern w:val="22"/>
          <w:szCs w:val="22"/>
          <w:lang w:val="fr-CA"/>
        </w:rPr>
        <w:t>urcentage des Parties qui utilisent l’Orientation sur l’évaluation des risques (+4 p. cent)</w:t>
      </w:r>
      <w:r w:rsidR="002B7758" w:rsidRPr="00115221">
        <w:rPr>
          <w:rFonts w:cs="Times New Roman"/>
          <w:snapToGrid w:val="0"/>
          <w:kern w:val="22"/>
          <w:szCs w:val="22"/>
          <w:lang w:val="fr-CA"/>
        </w:rPr>
        <w:t xml:space="preserve"> et </w:t>
      </w:r>
      <w:r w:rsidR="00AC30F6" w:rsidRPr="00115221">
        <w:rPr>
          <w:rFonts w:cs="Times New Roman"/>
          <w:snapToGrid w:val="0"/>
          <w:kern w:val="22"/>
          <w:szCs w:val="22"/>
          <w:lang w:val="fr-CA"/>
        </w:rPr>
        <w:t>aucune différence</w:t>
      </w:r>
      <w:r w:rsidR="002B7758" w:rsidRPr="00115221">
        <w:rPr>
          <w:rFonts w:cs="Times New Roman"/>
          <w:snapToGrid w:val="0"/>
          <w:kern w:val="22"/>
          <w:szCs w:val="22"/>
          <w:lang w:val="fr-CA"/>
        </w:rPr>
        <w:t xml:space="preserve"> dans l’</w:t>
      </w:r>
      <w:r w:rsidR="002B7758" w:rsidRPr="00115221">
        <w:rPr>
          <w:rFonts w:eastAsia="Times New Roman" w:cs="Times New Roman"/>
          <w:snapToGrid w:val="0"/>
          <w:kern w:val="22"/>
          <w:szCs w:val="22"/>
          <w:lang w:val="fr-CA"/>
        </w:rPr>
        <w:t>utilisation</w:t>
      </w:r>
      <w:r w:rsidR="002B7758" w:rsidRPr="00115221">
        <w:rPr>
          <w:rFonts w:cs="Times New Roman"/>
          <w:snapToGrid w:val="0"/>
          <w:kern w:val="22"/>
          <w:szCs w:val="22"/>
          <w:lang w:val="fr-CA"/>
        </w:rPr>
        <w:t xml:space="preserve"> du </w:t>
      </w:r>
      <w:r w:rsidR="002F1D5B">
        <w:rPr>
          <w:rFonts w:cs="Times New Roman"/>
          <w:snapToGrid w:val="0"/>
          <w:kern w:val="22"/>
          <w:szCs w:val="22"/>
          <w:lang w:val="fr-CA"/>
        </w:rPr>
        <w:t>Guide</w:t>
      </w:r>
      <w:r w:rsidR="002B7758" w:rsidRPr="00115221">
        <w:rPr>
          <w:rFonts w:cs="Times New Roman"/>
          <w:snapToGrid w:val="0"/>
          <w:kern w:val="22"/>
          <w:szCs w:val="22"/>
          <w:lang w:val="fr-CA"/>
        </w:rPr>
        <w:t xml:space="preserve"> depuis l’évaluation de mi-mandat</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29"/>
      </w:r>
    </w:p>
    <w:p w14:paraId="612A2635" w14:textId="279386A8" w:rsidR="004569FB" w:rsidRPr="00115221" w:rsidRDefault="002B7758"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lastRenderedPageBreak/>
        <w:t xml:space="preserve">Quant à </w:t>
      </w:r>
      <w:r w:rsidRPr="00115221">
        <w:rPr>
          <w:rFonts w:cs="Times New Roman"/>
          <w:b/>
          <w:snapToGrid w:val="0"/>
          <w:kern w:val="22"/>
          <w:szCs w:val="22"/>
          <w:lang w:val="fr-CA"/>
        </w:rPr>
        <w:t>l’indicateur 2.2.6</w:t>
      </w:r>
      <w:r w:rsidRPr="00115221">
        <w:rPr>
          <w:rFonts w:cs="Times New Roman"/>
          <w:snapToGrid w:val="0"/>
          <w:kern w:val="22"/>
          <w:szCs w:val="22"/>
          <w:lang w:val="fr-CA"/>
        </w:rPr>
        <w:t xml:space="preserve"> (nombre de </w:t>
      </w:r>
      <w:r w:rsidR="00BD3B66">
        <w:rPr>
          <w:rFonts w:cs="Times New Roman"/>
          <w:snapToGrid w:val="0"/>
          <w:kern w:val="22"/>
          <w:szCs w:val="22"/>
          <w:lang w:val="fr-CA"/>
        </w:rPr>
        <w:t>P</w:t>
      </w:r>
      <w:r w:rsidRPr="00115221">
        <w:rPr>
          <w:rFonts w:cs="Times New Roman"/>
          <w:snapToGrid w:val="0"/>
          <w:kern w:val="22"/>
          <w:szCs w:val="22"/>
          <w:lang w:val="fr-CA"/>
        </w:rPr>
        <w:t>arties étant d’avis que le matériel de formation et l’orientation technique sont suffisants et efficaces), 65 p. cent des Parties (64 Parties)</w:t>
      </w:r>
      <w:r w:rsidR="004569FB" w:rsidRPr="00115221">
        <w:rPr>
          <w:rStyle w:val="FootnoteReference"/>
          <w:rFonts w:cs="Times New Roman"/>
          <w:snapToGrid w:val="0"/>
          <w:kern w:val="22"/>
          <w:szCs w:val="22"/>
          <w:lang w:val="fr-CA"/>
        </w:rPr>
        <w:footnoteReference w:id="30"/>
      </w:r>
      <w:r w:rsidR="004569FB" w:rsidRPr="00115221">
        <w:rPr>
          <w:rFonts w:cs="Times New Roman"/>
          <w:snapToGrid w:val="0"/>
          <w:kern w:val="22"/>
          <w:szCs w:val="22"/>
          <w:lang w:val="fr-CA"/>
        </w:rPr>
        <w:t xml:space="preserve"> </w:t>
      </w:r>
      <w:r w:rsidRPr="00115221">
        <w:rPr>
          <w:rFonts w:cs="Times New Roman"/>
          <w:snapToGrid w:val="0"/>
          <w:kern w:val="22"/>
          <w:szCs w:val="22"/>
          <w:lang w:val="fr-CA"/>
        </w:rPr>
        <w:t>ont indiqué que leur pays a des besoins précis d’</w:t>
      </w:r>
      <w:r w:rsidR="006C5196">
        <w:rPr>
          <w:rFonts w:cs="Times New Roman"/>
          <w:snapToGrid w:val="0"/>
          <w:kern w:val="22"/>
          <w:szCs w:val="22"/>
          <w:lang w:val="fr-CA"/>
        </w:rPr>
        <w:t>orientation supplémentaire sur d</w:t>
      </w:r>
      <w:r w:rsidRPr="00115221">
        <w:rPr>
          <w:rFonts w:cs="Times New Roman"/>
          <w:snapToGrid w:val="0"/>
          <w:kern w:val="22"/>
          <w:szCs w:val="22"/>
          <w:lang w:val="fr-CA"/>
        </w:rPr>
        <w:t xml:space="preserve">es sujets précis </w:t>
      </w:r>
      <w:r w:rsidR="006C5196">
        <w:rPr>
          <w:rFonts w:cs="Times New Roman"/>
          <w:snapToGrid w:val="0"/>
          <w:kern w:val="22"/>
          <w:szCs w:val="22"/>
          <w:lang w:val="fr-CA"/>
        </w:rPr>
        <w:t>propres à l</w:t>
      </w:r>
      <w:r w:rsidRPr="00115221">
        <w:rPr>
          <w:rFonts w:cs="Times New Roman"/>
          <w:snapToGrid w:val="0"/>
          <w:kern w:val="22"/>
          <w:szCs w:val="22"/>
          <w:lang w:val="fr-CA"/>
        </w:rPr>
        <w:t>’évaluation des risques des OVM. Par région, le pourcentage de Parties ayant déclaré avoir des besoins</w:t>
      </w:r>
      <w:r w:rsidR="00CA4FD9" w:rsidRPr="00115221">
        <w:rPr>
          <w:rFonts w:cs="Times New Roman"/>
          <w:snapToGrid w:val="0"/>
          <w:kern w:val="22"/>
          <w:szCs w:val="22"/>
          <w:lang w:val="fr-CA"/>
        </w:rPr>
        <w:t xml:space="preserve"> précis d’orientation supplémentaire est le suivant : Afrique : 97 p. cent; GALC : 8</w:t>
      </w:r>
      <w:r w:rsidR="00963C8F">
        <w:rPr>
          <w:rFonts w:cs="Times New Roman"/>
          <w:snapToGrid w:val="0"/>
          <w:kern w:val="22"/>
          <w:szCs w:val="22"/>
          <w:lang w:val="fr-CA"/>
        </w:rPr>
        <w:t>7 p. cent, Asie</w:t>
      </w:r>
      <w:r w:rsidR="008126C9">
        <w:rPr>
          <w:rFonts w:cs="Times New Roman"/>
          <w:snapToGrid w:val="0"/>
          <w:kern w:val="22"/>
          <w:szCs w:val="22"/>
          <w:lang w:val="fr-CA"/>
        </w:rPr>
        <w:t>-Pacifique</w:t>
      </w:r>
      <w:r w:rsidR="00963C8F">
        <w:rPr>
          <w:rFonts w:cs="Times New Roman"/>
          <w:snapToGrid w:val="0"/>
          <w:kern w:val="22"/>
          <w:szCs w:val="22"/>
          <w:lang w:val="fr-CA"/>
        </w:rPr>
        <w:t> : 56 p. cent; EC</w:t>
      </w:r>
      <w:r w:rsidR="00CA4FD9" w:rsidRPr="00115221">
        <w:rPr>
          <w:rFonts w:cs="Times New Roman"/>
          <w:snapToGrid w:val="0"/>
          <w:kern w:val="22"/>
          <w:szCs w:val="22"/>
          <w:lang w:val="fr-CA"/>
        </w:rPr>
        <w:t>E : 44 p. cent et EOA : 21 p. cent</w:t>
      </w:r>
      <w:r w:rsidR="004569FB" w:rsidRPr="00115221">
        <w:rPr>
          <w:rFonts w:cs="Times New Roman"/>
          <w:bCs/>
          <w:snapToGrid w:val="0"/>
          <w:kern w:val="22"/>
          <w:szCs w:val="22"/>
          <w:lang w:val="fr-CA"/>
        </w:rPr>
        <w:t>.</w:t>
      </w:r>
    </w:p>
    <w:p w14:paraId="2908BBDD" w14:textId="203CD90B" w:rsidR="004569FB" w:rsidRPr="00115221" w:rsidRDefault="00CA4FD9"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r w:rsidRPr="00115221">
        <w:rPr>
          <w:rFonts w:cs="Times New Roman"/>
          <w:bCs/>
          <w:snapToGrid w:val="0"/>
          <w:kern w:val="22"/>
          <w:szCs w:val="22"/>
          <w:lang w:val="fr-CA"/>
        </w:rPr>
        <w:t xml:space="preserve">La figure 2 présente un aperçu des informations </w:t>
      </w:r>
      <w:r w:rsidR="006C5196">
        <w:rPr>
          <w:rFonts w:cs="Times New Roman"/>
          <w:bCs/>
          <w:snapToGrid w:val="0"/>
          <w:kern w:val="22"/>
          <w:szCs w:val="22"/>
          <w:lang w:val="fr-CA"/>
        </w:rPr>
        <w:t>sur</w:t>
      </w:r>
      <w:r w:rsidRPr="00115221">
        <w:rPr>
          <w:rFonts w:cs="Times New Roman"/>
          <w:bCs/>
          <w:snapToGrid w:val="0"/>
          <w:kern w:val="22"/>
          <w:szCs w:val="22"/>
          <w:lang w:val="fr-CA"/>
        </w:rPr>
        <w:t xml:space="preserve"> les différents indicateurs de l’objectif opérationnel 2,2, tels que la formation en évaluation, gestion et suivi des OVM, ainsi que les laboratoires et l’utilisation du matériel de formation et de l’orientation</w:t>
      </w:r>
      <w:r w:rsidR="004569FB" w:rsidRPr="00115221">
        <w:rPr>
          <w:rFonts w:cs="Times New Roman"/>
          <w:bCs/>
          <w:snapToGrid w:val="0"/>
          <w:kern w:val="22"/>
          <w:szCs w:val="22"/>
          <w:lang w:val="fr-CA"/>
        </w:rPr>
        <w:t>.</w:t>
      </w:r>
    </w:p>
    <w:p w14:paraId="4F1BC362" w14:textId="5E0195B2" w:rsidR="004569FB" w:rsidRDefault="004569FB" w:rsidP="004569FB">
      <w:pPr>
        <w:pStyle w:val="ListParagraph"/>
        <w:suppressLineNumbers/>
        <w:suppressAutoHyphens/>
        <w:snapToGrid w:val="0"/>
        <w:spacing w:before="120" w:after="120"/>
        <w:ind w:left="0"/>
        <w:rPr>
          <w:rFonts w:cs="Times New Roman"/>
          <w:bCs/>
          <w:snapToGrid w:val="0"/>
          <w:kern w:val="22"/>
          <w:szCs w:val="22"/>
          <w:lang w:val="fr-CA"/>
        </w:rPr>
      </w:pPr>
    </w:p>
    <w:p w14:paraId="507DBFB7" w14:textId="13102D33" w:rsidR="00AA367A" w:rsidRPr="00115221" w:rsidRDefault="00AA367A" w:rsidP="004569FB">
      <w:pPr>
        <w:pStyle w:val="ListParagraph"/>
        <w:suppressLineNumbers/>
        <w:suppressAutoHyphens/>
        <w:snapToGrid w:val="0"/>
        <w:spacing w:before="120" w:after="120"/>
        <w:ind w:left="0"/>
        <w:rPr>
          <w:rFonts w:cs="Times New Roman"/>
          <w:bCs/>
          <w:snapToGrid w:val="0"/>
          <w:kern w:val="22"/>
          <w:szCs w:val="22"/>
          <w:lang w:val="fr-CA"/>
        </w:rPr>
      </w:pPr>
      <w:r>
        <w:rPr>
          <w:rFonts w:cs="Times New Roman"/>
          <w:bCs/>
          <w:noProof/>
          <w:snapToGrid w:val="0"/>
          <w:kern w:val="22"/>
          <w:szCs w:val="22"/>
          <w:lang w:val="fr-CA"/>
        </w:rPr>
        <w:drawing>
          <wp:inline distT="0" distB="0" distL="0" distR="0" wp14:anchorId="389B8D80" wp14:editId="43750B72">
            <wp:extent cx="6020018" cy="4050077"/>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58717" cy="4076113"/>
                    </a:xfrm>
                    <a:prstGeom prst="rect">
                      <a:avLst/>
                    </a:prstGeom>
                    <a:noFill/>
                  </pic:spPr>
                </pic:pic>
              </a:graphicData>
            </a:graphic>
          </wp:inline>
        </w:drawing>
      </w:r>
    </w:p>
    <w:p w14:paraId="772365FB" w14:textId="77777777" w:rsidR="004569FB" w:rsidRPr="00115221" w:rsidRDefault="004569FB" w:rsidP="004569FB">
      <w:pPr>
        <w:pStyle w:val="ListParagraph"/>
        <w:suppressLineNumbers/>
        <w:suppressAutoHyphens/>
        <w:snapToGrid w:val="0"/>
        <w:spacing w:before="120" w:after="120"/>
        <w:rPr>
          <w:rFonts w:cs="Times New Roman"/>
          <w:bCs/>
          <w:snapToGrid w:val="0"/>
          <w:kern w:val="22"/>
          <w:szCs w:val="22"/>
          <w:lang w:val="fr-CA"/>
        </w:rPr>
      </w:pPr>
    </w:p>
    <w:p w14:paraId="08784E82" w14:textId="35175E1F" w:rsidR="004569FB" w:rsidRPr="00115221" w:rsidRDefault="008C14BA" w:rsidP="000A5388">
      <w:pPr>
        <w:numPr>
          <w:ilvl w:val="0"/>
          <w:numId w:val="17"/>
        </w:numPr>
        <w:suppressLineNumbers/>
        <w:tabs>
          <w:tab w:val="clear" w:pos="2070"/>
          <w:tab w:val="num" w:pos="1530"/>
        </w:tabs>
        <w:suppressAutoHyphens/>
        <w:spacing w:before="120" w:after="120"/>
        <w:ind w:left="1531" w:hanging="629"/>
        <w:jc w:val="left"/>
        <w:outlineLvl w:val="1"/>
        <w:rPr>
          <w:rFonts w:cs="Times New Roman"/>
          <w:b/>
          <w:iCs/>
          <w:snapToGrid w:val="0"/>
          <w:kern w:val="22"/>
          <w:szCs w:val="22"/>
          <w:lang w:val="fr-CA"/>
        </w:rPr>
      </w:pPr>
      <w:r w:rsidRPr="00115221">
        <w:rPr>
          <w:rFonts w:cs="Times New Roman"/>
          <w:b/>
          <w:iCs/>
          <w:snapToGrid w:val="0"/>
          <w:kern w:val="22"/>
          <w:szCs w:val="22"/>
          <w:lang w:val="fr-CA"/>
        </w:rPr>
        <w:t xml:space="preserve">OVM </w:t>
      </w:r>
      <w:r w:rsidR="00E4533E">
        <w:rPr>
          <w:rFonts w:cs="Times New Roman"/>
          <w:b/>
          <w:iCs/>
          <w:snapToGrid w:val="0"/>
          <w:kern w:val="22"/>
          <w:szCs w:val="22"/>
          <w:lang w:val="fr-CA"/>
        </w:rPr>
        <w:t>et</w:t>
      </w:r>
      <w:r w:rsidRPr="00115221">
        <w:rPr>
          <w:rFonts w:cs="Times New Roman"/>
          <w:b/>
          <w:iCs/>
          <w:snapToGrid w:val="0"/>
          <w:kern w:val="22"/>
          <w:szCs w:val="22"/>
          <w:lang w:val="fr-CA"/>
        </w:rPr>
        <w:t xml:space="preserve"> </w:t>
      </w:r>
      <w:r w:rsidR="00AD0B0F">
        <w:rPr>
          <w:rFonts w:cs="Times New Roman"/>
          <w:b/>
          <w:iCs/>
          <w:snapToGrid w:val="0"/>
          <w:kern w:val="22"/>
          <w:szCs w:val="22"/>
          <w:lang w:val="fr-CA"/>
        </w:rPr>
        <w:t>caractéristiques</w:t>
      </w:r>
      <w:r w:rsidRPr="00115221">
        <w:rPr>
          <w:rFonts w:cs="Times New Roman"/>
          <w:b/>
          <w:iCs/>
          <w:snapToGrid w:val="0"/>
          <w:kern w:val="22"/>
          <w:szCs w:val="22"/>
          <w:lang w:val="fr-CA"/>
        </w:rPr>
        <w:t xml:space="preserve"> pouvant avoir des effets nuisibles</w:t>
      </w:r>
      <w:r w:rsidR="004569FB" w:rsidRPr="00115221">
        <w:rPr>
          <w:rFonts w:cs="Times New Roman"/>
          <w:b/>
          <w:iCs/>
          <w:snapToGrid w:val="0"/>
          <w:kern w:val="22"/>
          <w:szCs w:val="22"/>
          <w:lang w:val="fr-CA"/>
        </w:rPr>
        <w:t xml:space="preserve"> </w:t>
      </w:r>
      <w:r w:rsidR="00AD0B0F">
        <w:rPr>
          <w:rFonts w:cs="Times New Roman"/>
          <w:b/>
          <w:iCs/>
          <w:snapToGrid w:val="0"/>
          <w:kern w:val="22"/>
          <w:szCs w:val="22"/>
          <w:lang w:val="fr-CA"/>
        </w:rPr>
        <w:br/>
      </w:r>
      <w:r w:rsidR="004569FB" w:rsidRPr="00115221">
        <w:rPr>
          <w:rFonts w:cs="Times New Roman"/>
          <w:b/>
          <w:iCs/>
          <w:snapToGrid w:val="0"/>
          <w:kern w:val="22"/>
          <w:szCs w:val="22"/>
          <w:lang w:val="fr-CA"/>
        </w:rPr>
        <w:t>(</w:t>
      </w:r>
      <w:r w:rsidRPr="00115221">
        <w:rPr>
          <w:rFonts w:cs="Times New Roman"/>
          <w:b/>
          <w:iCs/>
          <w:snapToGrid w:val="0"/>
          <w:kern w:val="22"/>
          <w:szCs w:val="22"/>
          <w:lang w:val="fr-CA"/>
        </w:rPr>
        <w:t>objectif opérationnel</w:t>
      </w:r>
      <w:r w:rsidR="004569FB" w:rsidRPr="00115221">
        <w:rPr>
          <w:rFonts w:cs="Times New Roman"/>
          <w:b/>
          <w:iCs/>
          <w:snapToGrid w:val="0"/>
          <w:kern w:val="22"/>
          <w:szCs w:val="22"/>
          <w:lang w:val="fr-CA"/>
        </w:rPr>
        <w:t xml:space="preserve"> 1.4)</w:t>
      </w:r>
    </w:p>
    <w:p w14:paraId="0A6894D1" w14:textId="072B020E" w:rsidR="004569FB" w:rsidRPr="00115221" w:rsidRDefault="002C62E7"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L’objectif opérationnel 1.4 porte sur l’élaboration de modalités de coopération et d’orientation pour l’identification des OVM </w:t>
      </w:r>
      <w:r w:rsidR="00E4533E">
        <w:rPr>
          <w:rFonts w:cs="Times New Roman"/>
          <w:snapToGrid w:val="0"/>
          <w:kern w:val="22"/>
          <w:szCs w:val="22"/>
          <w:lang w:val="fr-CA"/>
        </w:rPr>
        <w:t>et</w:t>
      </w:r>
      <w:r w:rsidRPr="00115221">
        <w:rPr>
          <w:rFonts w:cs="Times New Roman"/>
          <w:snapToGrid w:val="0"/>
          <w:kern w:val="22"/>
          <w:szCs w:val="22"/>
          <w:lang w:val="fr-CA"/>
        </w:rPr>
        <w:t xml:space="preserve"> de certaines caractéristiques qui pourraient avoir des effets </w:t>
      </w:r>
      <w:r w:rsidR="00E4533E">
        <w:rPr>
          <w:rFonts w:cs="Times New Roman"/>
          <w:snapToGrid w:val="0"/>
          <w:kern w:val="22"/>
          <w:szCs w:val="22"/>
          <w:lang w:val="fr-CA"/>
        </w:rPr>
        <w:t>nuisibles</w:t>
      </w:r>
      <w:r w:rsidRPr="00115221">
        <w:rPr>
          <w:rFonts w:cs="Times New Roman"/>
          <w:snapToGrid w:val="0"/>
          <w:kern w:val="22"/>
          <w:szCs w:val="22"/>
          <w:lang w:val="fr-CA"/>
        </w:rPr>
        <w:t xml:space="preserve"> sur la conservation et l’utilisation durable de la diversité biologique, tout en tenant compte des risques pour la santé humaine. Le Plan stratégique propose deux indicateurs pour mesurer les progrès dans la réalisation de cet objectif opérationnel</w:t>
      </w:r>
      <w:r w:rsidR="004569FB" w:rsidRPr="00115221">
        <w:rPr>
          <w:rFonts w:cs="Times New Roman"/>
          <w:snapToGrid w:val="0"/>
          <w:kern w:val="22"/>
          <w:szCs w:val="22"/>
          <w:lang w:val="fr-CA"/>
        </w:rPr>
        <w:t>.</w:t>
      </w:r>
    </w:p>
    <w:p w14:paraId="6921C341" w14:textId="61A1ADAD" w:rsidR="004569FB" w:rsidRPr="00115221" w:rsidRDefault="00906101"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1.4.1</w:t>
      </w:r>
      <w:r w:rsidRPr="00115221">
        <w:rPr>
          <w:rFonts w:cs="Times New Roman"/>
          <w:snapToGrid w:val="0"/>
          <w:kern w:val="22"/>
          <w:szCs w:val="22"/>
          <w:lang w:val="fr-CA"/>
        </w:rPr>
        <w:t xml:space="preserve"> (orientation sur les organismes vivants modifiés </w:t>
      </w:r>
      <w:r w:rsidR="00E4533E">
        <w:rPr>
          <w:rFonts w:cs="Times New Roman"/>
          <w:snapToGrid w:val="0"/>
          <w:kern w:val="22"/>
          <w:szCs w:val="22"/>
          <w:lang w:val="fr-CA"/>
        </w:rPr>
        <w:t>et les</w:t>
      </w:r>
      <w:r w:rsidRPr="00115221">
        <w:rPr>
          <w:rFonts w:cs="Times New Roman"/>
          <w:snapToGrid w:val="0"/>
          <w:kern w:val="22"/>
          <w:szCs w:val="22"/>
          <w:lang w:val="fr-CA"/>
        </w:rPr>
        <w:t xml:space="preserve"> caractéristiques particulières qui pourraient avoir des effets </w:t>
      </w:r>
      <w:r w:rsidR="00E4533E">
        <w:rPr>
          <w:rFonts w:cs="Times New Roman"/>
          <w:snapToGrid w:val="0"/>
          <w:kern w:val="22"/>
          <w:szCs w:val="22"/>
          <w:lang w:val="fr-CA"/>
        </w:rPr>
        <w:t>nuisibles</w:t>
      </w:r>
      <w:r w:rsidRPr="00115221">
        <w:rPr>
          <w:rFonts w:cs="Times New Roman"/>
          <w:snapToGrid w:val="0"/>
          <w:kern w:val="22"/>
          <w:szCs w:val="22"/>
          <w:lang w:val="fr-CA"/>
        </w:rPr>
        <w:t xml:space="preserve"> sur la conservation et l’</w:t>
      </w:r>
      <w:r w:rsidRPr="00115221">
        <w:rPr>
          <w:rFonts w:eastAsia="Times New Roman" w:cs="Times New Roman"/>
          <w:snapToGrid w:val="0"/>
          <w:kern w:val="22"/>
          <w:szCs w:val="22"/>
          <w:lang w:val="fr-CA"/>
        </w:rPr>
        <w:t>utilisation</w:t>
      </w:r>
      <w:r w:rsidRPr="00115221">
        <w:rPr>
          <w:rFonts w:cs="Times New Roman"/>
          <w:snapToGrid w:val="0"/>
          <w:kern w:val="22"/>
          <w:szCs w:val="22"/>
          <w:lang w:val="fr-CA"/>
        </w:rPr>
        <w:t xml:space="preserve"> de la diversité biologique, en tenant compte é</w:t>
      </w:r>
      <w:r w:rsidR="00E4533E">
        <w:rPr>
          <w:rFonts w:cs="Times New Roman"/>
          <w:snapToGrid w:val="0"/>
          <w:kern w:val="22"/>
          <w:szCs w:val="22"/>
          <w:lang w:val="fr-CA"/>
        </w:rPr>
        <w:t>galement des risques pour la san</w:t>
      </w:r>
      <w:r w:rsidRPr="00115221">
        <w:rPr>
          <w:rFonts w:cs="Times New Roman"/>
          <w:snapToGrid w:val="0"/>
          <w:kern w:val="22"/>
          <w:szCs w:val="22"/>
          <w:lang w:val="fr-CA"/>
        </w:rPr>
        <w:t>té humaine, élaborée par les Parties et disponible), aucun renseignement sur cet ind</w:t>
      </w:r>
      <w:r w:rsidR="00E4533E">
        <w:rPr>
          <w:rFonts w:cs="Times New Roman"/>
          <w:snapToGrid w:val="0"/>
          <w:kern w:val="22"/>
          <w:szCs w:val="22"/>
          <w:lang w:val="fr-CA"/>
        </w:rPr>
        <w:t>icateur précis n’est disponible.</w:t>
      </w:r>
      <w:r w:rsidRPr="00115221">
        <w:rPr>
          <w:rFonts w:cs="Times New Roman"/>
          <w:snapToGrid w:val="0"/>
          <w:kern w:val="22"/>
          <w:szCs w:val="22"/>
          <w:lang w:val="fr-CA"/>
        </w:rPr>
        <w:t xml:space="preserve"> Certaines </w:t>
      </w:r>
      <w:r w:rsidRPr="00115221">
        <w:rPr>
          <w:rFonts w:cs="Times New Roman"/>
          <w:snapToGrid w:val="0"/>
          <w:kern w:val="22"/>
          <w:szCs w:val="22"/>
          <w:lang w:val="fr-CA"/>
        </w:rPr>
        <w:lastRenderedPageBreak/>
        <w:t>informations sur la coopération dans ce secteur ont toutefois été fournies dans les</w:t>
      </w:r>
      <w:r w:rsidR="00C66A78" w:rsidRPr="00115221">
        <w:rPr>
          <w:rFonts w:cs="Times New Roman"/>
          <w:snapToGrid w:val="0"/>
          <w:kern w:val="22"/>
          <w:szCs w:val="22"/>
          <w:lang w:val="fr-CA"/>
        </w:rPr>
        <w:t xml:space="preserve"> </w:t>
      </w:r>
      <w:r w:rsidRPr="00115221">
        <w:rPr>
          <w:rFonts w:cs="Times New Roman"/>
          <w:snapToGrid w:val="0"/>
          <w:kern w:val="22"/>
          <w:szCs w:val="22"/>
          <w:lang w:val="fr-CA"/>
        </w:rPr>
        <w:t>quatri</w:t>
      </w:r>
      <w:r w:rsidR="00C66A78" w:rsidRPr="00115221">
        <w:rPr>
          <w:rFonts w:cs="Times New Roman"/>
          <w:snapToGrid w:val="0"/>
          <w:kern w:val="22"/>
          <w:szCs w:val="22"/>
          <w:lang w:val="fr-CA"/>
        </w:rPr>
        <w:t>è</w:t>
      </w:r>
      <w:r w:rsidRPr="00115221">
        <w:rPr>
          <w:rFonts w:cs="Times New Roman"/>
          <w:snapToGrid w:val="0"/>
          <w:kern w:val="22"/>
          <w:szCs w:val="22"/>
          <w:lang w:val="fr-CA"/>
        </w:rPr>
        <w:t>mes rapports nationaux</w:t>
      </w:r>
      <w:r w:rsidR="00A75F1A" w:rsidRPr="00115221">
        <w:rPr>
          <w:rFonts w:cs="Times New Roman"/>
          <w:snapToGrid w:val="0"/>
          <w:kern w:val="22"/>
          <w:szCs w:val="22"/>
          <w:lang w:val="fr-CA"/>
        </w:rPr>
        <w:t>.</w:t>
      </w:r>
      <w:r w:rsidR="00A75F1A" w:rsidRPr="00115221">
        <w:rPr>
          <w:rStyle w:val="FootnoteReference"/>
          <w:rFonts w:cs="Times New Roman"/>
          <w:snapToGrid w:val="0"/>
          <w:kern w:val="22"/>
          <w:szCs w:val="22"/>
        </w:rPr>
        <w:footnoteReference w:id="31"/>
      </w:r>
      <w:r w:rsidR="00A75F1A" w:rsidRPr="00115221">
        <w:rPr>
          <w:rFonts w:cs="Times New Roman"/>
          <w:snapToGrid w:val="0"/>
          <w:kern w:val="22"/>
          <w:szCs w:val="22"/>
          <w:lang w:val="fr-CA"/>
        </w:rPr>
        <w:t xml:space="preserve"> Quarante-trois p. cent des Parties (40 Parties) ont déclaré avoir collaboré avec d’autres Parties dans le but de repérer les OVM </w:t>
      </w:r>
      <w:r w:rsidR="00E4533E">
        <w:rPr>
          <w:rFonts w:cs="Times New Roman"/>
          <w:snapToGrid w:val="0"/>
          <w:kern w:val="22"/>
          <w:szCs w:val="22"/>
          <w:lang w:val="fr-CA"/>
        </w:rPr>
        <w:t>et</w:t>
      </w:r>
      <w:r w:rsidR="00A75F1A" w:rsidRPr="00115221">
        <w:rPr>
          <w:rFonts w:cs="Times New Roman"/>
          <w:snapToGrid w:val="0"/>
          <w:kern w:val="22"/>
          <w:szCs w:val="22"/>
          <w:lang w:val="fr-CA"/>
        </w:rPr>
        <w:t xml:space="preserve"> les caractéristiques particu</w:t>
      </w:r>
      <w:r w:rsidR="00C66A78" w:rsidRPr="00115221">
        <w:rPr>
          <w:rFonts w:cs="Times New Roman"/>
          <w:snapToGrid w:val="0"/>
          <w:kern w:val="22"/>
          <w:szCs w:val="22"/>
          <w:lang w:val="fr-CA"/>
        </w:rPr>
        <w:t>l</w:t>
      </w:r>
      <w:r w:rsidR="00A75F1A" w:rsidRPr="00115221">
        <w:rPr>
          <w:rFonts w:cs="Times New Roman"/>
          <w:snapToGrid w:val="0"/>
          <w:kern w:val="22"/>
          <w:szCs w:val="22"/>
          <w:lang w:val="fr-CA"/>
        </w:rPr>
        <w:t xml:space="preserve">ières qui pourraient avoir des effets </w:t>
      </w:r>
      <w:r w:rsidR="00E4533E">
        <w:rPr>
          <w:rFonts w:cs="Times New Roman"/>
          <w:snapToGrid w:val="0"/>
          <w:kern w:val="22"/>
          <w:szCs w:val="22"/>
          <w:lang w:val="fr-CA"/>
        </w:rPr>
        <w:t>nuisibles</w:t>
      </w:r>
      <w:r w:rsidR="00A75F1A" w:rsidRPr="00115221">
        <w:rPr>
          <w:rFonts w:cs="Times New Roman"/>
          <w:snapToGrid w:val="0"/>
          <w:kern w:val="22"/>
          <w:szCs w:val="22"/>
          <w:lang w:val="fr-CA"/>
        </w:rPr>
        <w:t xml:space="preserve"> sur la conservation et l’</w:t>
      </w:r>
      <w:r w:rsidR="00A75F1A" w:rsidRPr="00115221">
        <w:rPr>
          <w:rFonts w:eastAsia="Times New Roman" w:cs="Times New Roman"/>
          <w:snapToGrid w:val="0"/>
          <w:kern w:val="22"/>
          <w:szCs w:val="22"/>
          <w:lang w:val="fr-CA"/>
        </w:rPr>
        <w:t>utilisation</w:t>
      </w:r>
      <w:r w:rsidR="00A75F1A" w:rsidRPr="00115221">
        <w:rPr>
          <w:rFonts w:cs="Times New Roman"/>
          <w:snapToGrid w:val="0"/>
          <w:kern w:val="22"/>
          <w:szCs w:val="22"/>
          <w:lang w:val="fr-CA"/>
        </w:rPr>
        <w:t xml:space="preserve"> durable de la diversité biologique</w:t>
      </w:r>
      <w:r w:rsidR="00E4533E">
        <w:rPr>
          <w:rFonts w:cs="Times New Roman"/>
          <w:snapToGrid w:val="0"/>
          <w:kern w:val="22"/>
          <w:szCs w:val="22"/>
          <w:lang w:val="fr-CA"/>
        </w:rPr>
        <w:t xml:space="preserve">, une </w:t>
      </w:r>
      <w:r w:rsidR="00A75F1A" w:rsidRPr="00115221">
        <w:rPr>
          <w:rFonts w:cs="Times New Roman"/>
          <w:snapToGrid w:val="0"/>
          <w:kern w:val="22"/>
          <w:szCs w:val="22"/>
          <w:lang w:val="fr-CA"/>
        </w:rPr>
        <w:t>augmentation</w:t>
      </w:r>
      <w:r w:rsidR="00C66A78" w:rsidRPr="00115221">
        <w:rPr>
          <w:rFonts w:cs="Times New Roman"/>
          <w:snapToGrid w:val="0"/>
          <w:kern w:val="22"/>
          <w:szCs w:val="22"/>
          <w:lang w:val="fr-CA"/>
        </w:rPr>
        <w:t xml:space="preserve"> </w:t>
      </w:r>
      <w:r w:rsidR="00A75F1A" w:rsidRPr="00115221">
        <w:rPr>
          <w:rFonts w:cs="Times New Roman"/>
          <w:snapToGrid w:val="0"/>
          <w:kern w:val="22"/>
          <w:szCs w:val="22"/>
          <w:lang w:val="fr-CA"/>
        </w:rPr>
        <w:t xml:space="preserve">de 6 p. cent par rapport à la valeur de référence. Les </w:t>
      </w:r>
      <w:r w:rsidR="00E4533E">
        <w:rPr>
          <w:rFonts w:cs="Times New Roman"/>
          <w:snapToGrid w:val="0"/>
          <w:kern w:val="22"/>
          <w:szCs w:val="22"/>
          <w:lang w:val="fr-CA"/>
        </w:rPr>
        <w:t>différences</w:t>
      </w:r>
      <w:r w:rsidR="00A75F1A" w:rsidRPr="00115221">
        <w:rPr>
          <w:rFonts w:cs="Times New Roman"/>
          <w:snapToGrid w:val="0"/>
          <w:kern w:val="22"/>
          <w:szCs w:val="22"/>
          <w:lang w:val="fr-CA"/>
        </w:rPr>
        <w:t xml:space="preserve"> </w:t>
      </w:r>
      <w:r w:rsidR="00E4533E">
        <w:rPr>
          <w:rFonts w:cs="Times New Roman"/>
          <w:snapToGrid w:val="0"/>
          <w:kern w:val="22"/>
          <w:szCs w:val="22"/>
          <w:lang w:val="fr-CA"/>
        </w:rPr>
        <w:t>régionales sont réparties comme suit</w:t>
      </w:r>
      <w:r w:rsidR="00A75F1A" w:rsidRPr="00115221">
        <w:rPr>
          <w:rFonts w:cs="Times New Roman"/>
          <w:snapToGrid w:val="0"/>
          <w:kern w:val="22"/>
          <w:szCs w:val="22"/>
          <w:lang w:val="fr-CA"/>
        </w:rPr>
        <w:t xml:space="preserve"> : ECE : +19 p. cent; Asie</w:t>
      </w:r>
      <w:r w:rsidR="008126C9">
        <w:rPr>
          <w:rFonts w:cs="Times New Roman"/>
          <w:snapToGrid w:val="0"/>
          <w:kern w:val="22"/>
          <w:szCs w:val="22"/>
          <w:lang w:val="fr-CA"/>
        </w:rPr>
        <w:t>-Pacifique</w:t>
      </w:r>
      <w:r w:rsidR="00A75F1A" w:rsidRPr="00115221">
        <w:rPr>
          <w:rFonts w:cs="Times New Roman"/>
          <w:snapToGrid w:val="0"/>
          <w:kern w:val="22"/>
          <w:szCs w:val="22"/>
          <w:lang w:val="fr-CA"/>
        </w:rPr>
        <w:t> : +13 p. cent; Afrique : +7 p. cent; EOA : +6 p. cent</w:t>
      </w:r>
      <w:r w:rsidR="00C66A78" w:rsidRPr="00115221">
        <w:rPr>
          <w:rFonts w:cs="Times New Roman"/>
          <w:snapToGrid w:val="0"/>
          <w:kern w:val="22"/>
          <w:szCs w:val="22"/>
          <w:lang w:val="fr-CA"/>
        </w:rPr>
        <w:t xml:space="preserve"> et GALC : -15 p. cent.</w:t>
      </w:r>
      <w:r w:rsidR="00A75F1A" w:rsidRPr="00115221">
        <w:rPr>
          <w:rFonts w:cs="Times New Roman"/>
          <w:snapToGrid w:val="0"/>
          <w:kern w:val="22"/>
          <w:szCs w:val="22"/>
          <w:lang w:val="fr-CA"/>
        </w:rPr>
        <w:t xml:space="preserve"> </w:t>
      </w:r>
    </w:p>
    <w:p w14:paraId="4F4C90B2" w14:textId="6E2FFDD1" w:rsidR="004569FB" w:rsidRPr="00115221" w:rsidRDefault="00C66A78"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r w:rsidRPr="00115221">
        <w:rPr>
          <w:rFonts w:cs="Times New Roman"/>
          <w:snapToGrid w:val="0"/>
          <w:kern w:val="22"/>
          <w:szCs w:val="22"/>
          <w:lang w:val="fr-CA"/>
        </w:rPr>
        <w:t xml:space="preserve">En ce qui a trait à </w:t>
      </w:r>
      <w:r w:rsidRPr="00115221">
        <w:rPr>
          <w:rFonts w:cs="Times New Roman"/>
          <w:b/>
          <w:snapToGrid w:val="0"/>
          <w:kern w:val="22"/>
          <w:szCs w:val="22"/>
          <w:lang w:val="fr-CA"/>
        </w:rPr>
        <w:t>l’indicateur 1.4.2</w:t>
      </w:r>
      <w:r w:rsidRPr="00115221">
        <w:rPr>
          <w:rFonts w:cs="Times New Roman"/>
          <w:snapToGrid w:val="0"/>
          <w:kern w:val="22"/>
          <w:szCs w:val="22"/>
          <w:lang w:val="fr-CA"/>
        </w:rPr>
        <w:t xml:space="preserve"> (nombre de Parties ayant la capacité de détecter, identifier, évaluer et suivre les OVM </w:t>
      </w:r>
      <w:r w:rsidR="004119E7">
        <w:rPr>
          <w:rFonts w:cs="Times New Roman"/>
          <w:snapToGrid w:val="0"/>
          <w:kern w:val="22"/>
          <w:szCs w:val="22"/>
          <w:lang w:val="fr-CA"/>
        </w:rPr>
        <w:t>et l</w:t>
      </w:r>
      <w:r w:rsidRPr="00115221">
        <w:rPr>
          <w:rFonts w:cs="Times New Roman"/>
          <w:snapToGrid w:val="0"/>
          <w:kern w:val="22"/>
          <w:szCs w:val="22"/>
          <w:lang w:val="fr-CA"/>
        </w:rPr>
        <w:t xml:space="preserve">es caractéristiques particulières qui pourraient avoir des effets </w:t>
      </w:r>
      <w:r w:rsidR="004119E7">
        <w:rPr>
          <w:rFonts w:cs="Times New Roman"/>
          <w:snapToGrid w:val="0"/>
          <w:kern w:val="22"/>
          <w:szCs w:val="22"/>
          <w:lang w:val="fr-CA"/>
        </w:rPr>
        <w:t>nuisibles</w:t>
      </w:r>
      <w:r w:rsidRPr="00115221">
        <w:rPr>
          <w:rFonts w:cs="Times New Roman"/>
          <w:snapToGrid w:val="0"/>
          <w:kern w:val="22"/>
          <w:szCs w:val="22"/>
          <w:lang w:val="fr-CA"/>
        </w:rPr>
        <w:t xml:space="preserve"> sur la conservation et l’utilisation durable de la diversité biologique, en tenant compte des risques pour la santé humaine), les Parties ont déclaré ce qui suit (voir aussi la figure 3 pour les alinéas b) à d) </w:t>
      </w:r>
      <w:r w:rsidR="004569FB" w:rsidRPr="00115221">
        <w:rPr>
          <w:rFonts w:cs="Times New Roman"/>
          <w:bCs/>
          <w:snapToGrid w:val="0"/>
          <w:kern w:val="22"/>
          <w:szCs w:val="22"/>
          <w:lang w:val="fr-CA"/>
        </w:rPr>
        <w:t>:</w:t>
      </w:r>
    </w:p>
    <w:p w14:paraId="4757CEB6" w14:textId="52392102" w:rsidR="004569FB" w:rsidRPr="00115221" w:rsidRDefault="00C66A78" w:rsidP="00C66A78">
      <w:pPr>
        <w:pStyle w:val="ListParagraph"/>
        <w:numPr>
          <w:ilvl w:val="0"/>
          <w:numId w:val="55"/>
        </w:numPr>
        <w:suppressLineNumbers/>
        <w:suppressAutoHyphens/>
        <w:snapToGrid w:val="0"/>
        <w:spacing w:before="120" w:after="120"/>
        <w:ind w:left="0" w:firstLine="720"/>
        <w:contextualSpacing w:val="0"/>
        <w:rPr>
          <w:rFonts w:cs="Times New Roman"/>
          <w:bCs/>
          <w:snapToGrid w:val="0"/>
          <w:kern w:val="22"/>
          <w:szCs w:val="22"/>
          <w:lang w:val="fr-CA"/>
        </w:rPr>
      </w:pPr>
      <w:r w:rsidRPr="00115221">
        <w:rPr>
          <w:rFonts w:cs="Times New Roman"/>
          <w:snapToGrid w:val="0"/>
          <w:kern w:val="22"/>
          <w:szCs w:val="22"/>
          <w:lang w:val="fr-CA"/>
        </w:rPr>
        <w:t xml:space="preserve">79 p. cent des Parties (78 Parties) ont déclaré posséder les capacités </w:t>
      </w:r>
      <w:r w:rsidR="004119E7">
        <w:rPr>
          <w:rFonts w:cs="Times New Roman"/>
          <w:snapToGrid w:val="0"/>
          <w:kern w:val="22"/>
          <w:szCs w:val="22"/>
          <w:lang w:val="fr-CA"/>
        </w:rPr>
        <w:t>de</w:t>
      </w:r>
      <w:r w:rsidRPr="00115221">
        <w:rPr>
          <w:rFonts w:cs="Times New Roman"/>
          <w:snapToGrid w:val="0"/>
          <w:kern w:val="22"/>
          <w:szCs w:val="22"/>
          <w:lang w:val="fr-CA"/>
        </w:rPr>
        <w:t xml:space="preserve"> détecter ces OVM. Il n’existe aucune valeur de référence pour la détection, mais il s’agit d’une augmentation de 1 p. cent par rapport à la période visée par le troisième rapport</w:t>
      </w:r>
      <w:r w:rsidR="004569FB" w:rsidRPr="00115221">
        <w:rPr>
          <w:rFonts w:cs="Times New Roman"/>
          <w:bCs/>
          <w:snapToGrid w:val="0"/>
          <w:kern w:val="22"/>
          <w:szCs w:val="22"/>
          <w:lang w:val="fr-CA"/>
        </w:rPr>
        <w:t xml:space="preserve">. </w:t>
      </w:r>
    </w:p>
    <w:p w14:paraId="0EA1F1FD" w14:textId="109A180F" w:rsidR="004569FB" w:rsidRPr="00115221" w:rsidRDefault="00C66A78" w:rsidP="00B44100">
      <w:pPr>
        <w:pStyle w:val="ListParagraph"/>
        <w:numPr>
          <w:ilvl w:val="0"/>
          <w:numId w:val="55"/>
        </w:numPr>
        <w:suppressLineNumbers/>
        <w:suppressAutoHyphens/>
        <w:snapToGrid w:val="0"/>
        <w:spacing w:before="120" w:after="120"/>
        <w:ind w:left="0" w:firstLine="709"/>
        <w:contextualSpacing w:val="0"/>
        <w:rPr>
          <w:rFonts w:cs="Times New Roman"/>
          <w:bCs/>
          <w:snapToGrid w:val="0"/>
          <w:kern w:val="22"/>
          <w:szCs w:val="22"/>
          <w:lang w:val="fr-CA"/>
        </w:rPr>
      </w:pPr>
      <w:r w:rsidRPr="00115221">
        <w:rPr>
          <w:rFonts w:cs="Times New Roman"/>
          <w:snapToGrid w:val="0"/>
          <w:kern w:val="22"/>
          <w:szCs w:val="22"/>
          <w:lang w:val="fr-CA"/>
        </w:rPr>
        <w:t xml:space="preserve">77 p. cent (55 Parties) ont déclaré </w:t>
      </w:r>
      <w:r w:rsidR="005F3876" w:rsidRPr="00115221">
        <w:rPr>
          <w:rFonts w:cs="Times New Roman"/>
          <w:snapToGrid w:val="0"/>
          <w:kern w:val="22"/>
          <w:szCs w:val="22"/>
          <w:lang w:val="fr-CA"/>
        </w:rPr>
        <w:t>posséder les capacités</w:t>
      </w:r>
      <w:r w:rsidRPr="00115221">
        <w:rPr>
          <w:rFonts w:cs="Times New Roman"/>
          <w:snapToGrid w:val="0"/>
          <w:kern w:val="22"/>
          <w:szCs w:val="22"/>
          <w:lang w:val="fr-CA"/>
        </w:rPr>
        <w:t xml:space="preserve"> </w:t>
      </w:r>
      <w:r w:rsidR="004119E7">
        <w:rPr>
          <w:rFonts w:cs="Times New Roman"/>
          <w:snapToGrid w:val="0"/>
          <w:kern w:val="22"/>
          <w:szCs w:val="22"/>
          <w:lang w:val="fr-CA"/>
        </w:rPr>
        <w:t>d’</w:t>
      </w:r>
      <w:r w:rsidR="005F3876" w:rsidRPr="00115221">
        <w:rPr>
          <w:rFonts w:cs="Times New Roman"/>
          <w:snapToGrid w:val="0"/>
          <w:kern w:val="22"/>
          <w:szCs w:val="22"/>
          <w:lang w:val="fr-CA"/>
        </w:rPr>
        <w:t>identifier</w:t>
      </w:r>
      <w:r w:rsidRPr="00115221">
        <w:rPr>
          <w:rFonts w:cs="Times New Roman"/>
          <w:snapToGrid w:val="0"/>
          <w:kern w:val="22"/>
          <w:szCs w:val="22"/>
          <w:lang w:val="fr-CA"/>
        </w:rPr>
        <w:t xml:space="preserve"> ces OVM, une diminution</w:t>
      </w:r>
      <w:r w:rsidR="005F3876" w:rsidRPr="00115221">
        <w:rPr>
          <w:rFonts w:cs="Times New Roman"/>
          <w:snapToGrid w:val="0"/>
          <w:kern w:val="22"/>
          <w:szCs w:val="22"/>
          <w:lang w:val="fr-CA"/>
        </w:rPr>
        <w:t xml:space="preserve"> </w:t>
      </w:r>
      <w:r w:rsidRPr="00115221">
        <w:rPr>
          <w:rFonts w:cs="Times New Roman"/>
          <w:snapToGrid w:val="0"/>
          <w:kern w:val="22"/>
          <w:szCs w:val="22"/>
          <w:lang w:val="fr-CA"/>
        </w:rPr>
        <w:t>de 6 p. c</w:t>
      </w:r>
      <w:r w:rsidR="005F3876" w:rsidRPr="00115221">
        <w:rPr>
          <w:rFonts w:cs="Times New Roman"/>
          <w:snapToGrid w:val="0"/>
          <w:kern w:val="22"/>
          <w:szCs w:val="22"/>
          <w:lang w:val="fr-CA"/>
        </w:rPr>
        <w:t>en</w:t>
      </w:r>
      <w:r w:rsidRPr="00115221">
        <w:rPr>
          <w:rFonts w:cs="Times New Roman"/>
          <w:snapToGrid w:val="0"/>
          <w:kern w:val="22"/>
          <w:szCs w:val="22"/>
          <w:lang w:val="fr-CA"/>
        </w:rPr>
        <w:t>t</w:t>
      </w:r>
      <w:r w:rsidR="004569FB" w:rsidRPr="00115221">
        <w:rPr>
          <w:rFonts w:cs="Times New Roman"/>
          <w:bCs/>
          <w:snapToGrid w:val="0"/>
          <w:kern w:val="22"/>
          <w:szCs w:val="22"/>
          <w:lang w:val="fr-CA"/>
        </w:rPr>
        <w:t>.</w:t>
      </w:r>
    </w:p>
    <w:p w14:paraId="75CD3087" w14:textId="50C8D499" w:rsidR="004569FB" w:rsidRPr="00115221" w:rsidRDefault="005F3876" w:rsidP="00B44100">
      <w:pPr>
        <w:pStyle w:val="ListParagraph"/>
        <w:numPr>
          <w:ilvl w:val="0"/>
          <w:numId w:val="55"/>
        </w:numPr>
        <w:suppressLineNumbers/>
        <w:suppressAutoHyphens/>
        <w:snapToGrid w:val="0"/>
        <w:spacing w:before="120" w:after="120"/>
        <w:ind w:left="0" w:firstLine="709"/>
        <w:contextualSpacing w:val="0"/>
        <w:rPr>
          <w:rFonts w:cs="Times New Roman"/>
          <w:bCs/>
          <w:snapToGrid w:val="0"/>
          <w:kern w:val="22"/>
          <w:szCs w:val="22"/>
          <w:lang w:val="fr-CA"/>
        </w:rPr>
      </w:pPr>
      <w:r w:rsidRPr="00115221">
        <w:rPr>
          <w:rFonts w:cs="Times New Roman"/>
          <w:bCs/>
          <w:snapToGrid w:val="0"/>
          <w:kern w:val="22"/>
          <w:szCs w:val="22"/>
          <w:lang w:val="fr-CA"/>
        </w:rPr>
        <w:t xml:space="preserve">77 p. cent (54 Parties) ont déclaré posséder les capacités </w:t>
      </w:r>
      <w:r w:rsidR="004119E7">
        <w:rPr>
          <w:rFonts w:cs="Times New Roman"/>
          <w:bCs/>
          <w:snapToGrid w:val="0"/>
          <w:kern w:val="22"/>
          <w:szCs w:val="22"/>
          <w:lang w:val="fr-CA"/>
        </w:rPr>
        <w:t>d’</w:t>
      </w:r>
      <w:r w:rsidRPr="00115221">
        <w:rPr>
          <w:rFonts w:cs="Times New Roman"/>
          <w:bCs/>
          <w:snapToGrid w:val="0"/>
          <w:kern w:val="22"/>
          <w:szCs w:val="22"/>
          <w:lang w:val="fr-CA"/>
        </w:rPr>
        <w:t xml:space="preserve">évaluer ces OVM, ce qui ne présente </w:t>
      </w:r>
      <w:r w:rsidR="00AC30F6" w:rsidRPr="00115221">
        <w:rPr>
          <w:rFonts w:cs="Times New Roman"/>
          <w:bCs/>
          <w:snapToGrid w:val="0"/>
          <w:kern w:val="22"/>
          <w:szCs w:val="22"/>
          <w:lang w:val="fr-CA"/>
        </w:rPr>
        <w:t>aucune différence</w:t>
      </w:r>
      <w:r w:rsidRPr="00115221">
        <w:rPr>
          <w:rFonts w:cs="Times New Roman"/>
          <w:bCs/>
          <w:snapToGrid w:val="0"/>
          <w:kern w:val="22"/>
          <w:szCs w:val="22"/>
          <w:lang w:val="fr-CA"/>
        </w:rPr>
        <w:t xml:space="preserve"> par rapport à la valeur de référence</w:t>
      </w:r>
      <w:r w:rsidR="004569FB" w:rsidRPr="00115221">
        <w:rPr>
          <w:rFonts w:cs="Times New Roman"/>
          <w:bCs/>
          <w:snapToGrid w:val="0"/>
          <w:kern w:val="22"/>
          <w:szCs w:val="22"/>
          <w:lang w:val="fr-CA"/>
        </w:rPr>
        <w:t xml:space="preserve">. </w:t>
      </w:r>
    </w:p>
    <w:p w14:paraId="5BCB9F08" w14:textId="2E14C8CD" w:rsidR="004569FB" w:rsidRPr="00115221" w:rsidRDefault="005F3876" w:rsidP="00B44100">
      <w:pPr>
        <w:pStyle w:val="ListParagraph"/>
        <w:numPr>
          <w:ilvl w:val="0"/>
          <w:numId w:val="55"/>
        </w:numPr>
        <w:suppressLineNumbers/>
        <w:suppressAutoHyphens/>
        <w:snapToGrid w:val="0"/>
        <w:spacing w:before="120" w:after="120"/>
        <w:ind w:left="0" w:firstLine="709"/>
        <w:contextualSpacing w:val="0"/>
        <w:rPr>
          <w:rFonts w:cs="Times New Roman"/>
          <w:bCs/>
          <w:snapToGrid w:val="0"/>
          <w:kern w:val="22"/>
          <w:szCs w:val="22"/>
          <w:lang w:val="fr-CA"/>
        </w:rPr>
      </w:pPr>
      <w:r w:rsidRPr="00115221">
        <w:rPr>
          <w:rFonts w:cs="Times New Roman"/>
          <w:bCs/>
          <w:snapToGrid w:val="0"/>
          <w:kern w:val="22"/>
          <w:szCs w:val="22"/>
          <w:lang w:val="fr-CA"/>
        </w:rPr>
        <w:t xml:space="preserve">71 p. cent (50 Parties) ont déclaré posséder les capacités </w:t>
      </w:r>
      <w:r w:rsidR="004119E7">
        <w:rPr>
          <w:rFonts w:cs="Times New Roman"/>
          <w:bCs/>
          <w:snapToGrid w:val="0"/>
          <w:kern w:val="22"/>
          <w:szCs w:val="22"/>
          <w:lang w:val="fr-CA"/>
        </w:rPr>
        <w:t>de</w:t>
      </w:r>
      <w:r w:rsidRPr="00115221">
        <w:rPr>
          <w:rFonts w:cs="Times New Roman"/>
          <w:bCs/>
          <w:snapToGrid w:val="0"/>
          <w:kern w:val="22"/>
          <w:szCs w:val="22"/>
          <w:lang w:val="fr-CA"/>
        </w:rPr>
        <w:t xml:space="preserve"> suivre ces OVM, une augmentation de 5 p. cent par rapport à la valeur de référence</w:t>
      </w:r>
      <w:r w:rsidR="004569FB" w:rsidRPr="00115221">
        <w:rPr>
          <w:rFonts w:cs="Times New Roman"/>
          <w:bCs/>
          <w:snapToGrid w:val="0"/>
          <w:kern w:val="22"/>
          <w:szCs w:val="22"/>
          <w:lang w:val="fr-CA"/>
        </w:rPr>
        <w:t xml:space="preserve">. </w:t>
      </w:r>
    </w:p>
    <w:p w14:paraId="2DA0D6A4" w14:textId="1290AD1A" w:rsidR="004569FB" w:rsidRPr="00115221" w:rsidRDefault="005F3876"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Plus de Parties des régions du GALC et de l’EOA que </w:t>
      </w:r>
      <w:r w:rsidR="005D2C44">
        <w:rPr>
          <w:rFonts w:cs="Times New Roman"/>
          <w:snapToGrid w:val="0"/>
          <w:kern w:val="22"/>
          <w:szCs w:val="22"/>
          <w:lang w:val="fr-CA"/>
        </w:rPr>
        <w:t>de</w:t>
      </w:r>
      <w:r w:rsidRPr="00115221">
        <w:rPr>
          <w:rFonts w:cs="Times New Roman"/>
          <w:snapToGrid w:val="0"/>
          <w:kern w:val="22"/>
          <w:szCs w:val="22"/>
          <w:lang w:val="fr-CA"/>
        </w:rPr>
        <w:t xml:space="preserve"> toute autre région ont déclaré posséder les capacités </w:t>
      </w:r>
      <w:r w:rsidR="005D2C44">
        <w:rPr>
          <w:rFonts w:cs="Times New Roman"/>
          <w:snapToGrid w:val="0"/>
          <w:kern w:val="22"/>
          <w:szCs w:val="22"/>
          <w:lang w:val="fr-CA"/>
        </w:rPr>
        <w:t>de</w:t>
      </w:r>
      <w:r w:rsidRPr="00115221">
        <w:rPr>
          <w:rFonts w:cs="Times New Roman"/>
          <w:snapToGrid w:val="0"/>
          <w:kern w:val="22"/>
          <w:szCs w:val="22"/>
          <w:lang w:val="fr-CA"/>
        </w:rPr>
        <w:t xml:space="preserve"> détecter, évaluer et suivre</w:t>
      </w:r>
      <w:r w:rsidR="00B37D15" w:rsidRPr="00115221">
        <w:rPr>
          <w:rFonts w:cs="Times New Roman"/>
          <w:snapToGrid w:val="0"/>
          <w:kern w:val="22"/>
          <w:szCs w:val="22"/>
          <w:lang w:val="fr-CA"/>
        </w:rPr>
        <w:t xml:space="preserve"> dans ce secteur (de 85 à 100 p. cent). L’EOA et l’Asie</w:t>
      </w:r>
      <w:r w:rsidR="008126C9">
        <w:rPr>
          <w:rFonts w:cs="Times New Roman"/>
          <w:snapToGrid w:val="0"/>
          <w:kern w:val="22"/>
          <w:szCs w:val="22"/>
          <w:lang w:val="fr-CA"/>
        </w:rPr>
        <w:t>-Pacifique</w:t>
      </w:r>
      <w:r w:rsidR="00B37D15" w:rsidRPr="00115221">
        <w:rPr>
          <w:rFonts w:cs="Times New Roman"/>
          <w:snapToGrid w:val="0"/>
          <w:kern w:val="22"/>
          <w:szCs w:val="22"/>
          <w:lang w:val="fr-CA"/>
        </w:rPr>
        <w:t xml:space="preserve"> sont les deux régions qui possèdent le plus de capacités pour l’identification (100 p. cent et 89 p. cent,</w:t>
      </w:r>
      <w:r w:rsidR="005D2C44">
        <w:rPr>
          <w:rFonts w:cs="Times New Roman"/>
          <w:snapToGrid w:val="0"/>
          <w:kern w:val="22"/>
          <w:szCs w:val="22"/>
          <w:lang w:val="fr-CA"/>
        </w:rPr>
        <w:t xml:space="preserve"> r</w:t>
      </w:r>
      <w:r w:rsidR="00B37D15" w:rsidRPr="00115221">
        <w:rPr>
          <w:rFonts w:cs="Times New Roman"/>
          <w:snapToGrid w:val="0"/>
          <w:kern w:val="22"/>
          <w:szCs w:val="22"/>
          <w:lang w:val="fr-CA"/>
        </w:rPr>
        <w:t>espectivement), s</w:t>
      </w:r>
      <w:r w:rsidR="005D2C44">
        <w:rPr>
          <w:rFonts w:cs="Times New Roman"/>
          <w:snapToGrid w:val="0"/>
          <w:kern w:val="22"/>
          <w:szCs w:val="22"/>
          <w:lang w:val="fr-CA"/>
        </w:rPr>
        <w:t>uivies de l’ECE (86 p. cent). En</w:t>
      </w:r>
      <w:r w:rsidR="00B37D15" w:rsidRPr="00115221">
        <w:rPr>
          <w:rFonts w:cs="Times New Roman"/>
          <w:snapToGrid w:val="0"/>
          <w:kern w:val="22"/>
          <w:szCs w:val="22"/>
          <w:lang w:val="fr-CA"/>
        </w:rPr>
        <w:t xml:space="preserve"> général, les pourcentages pour le GALC et l’Afrique sont plus faibles (de 56 à 68 p. cent en Afrique; de 46 à 62 p. cent pour le GALC)</w:t>
      </w:r>
      <w:r w:rsidR="004569FB" w:rsidRPr="00115221">
        <w:rPr>
          <w:rFonts w:cs="Times New Roman"/>
          <w:snapToGrid w:val="0"/>
          <w:kern w:val="22"/>
          <w:szCs w:val="22"/>
          <w:lang w:val="fr-CA"/>
        </w:rPr>
        <w:t>.</w:t>
      </w:r>
    </w:p>
    <w:p w14:paraId="47F34767" w14:textId="4BD7699A" w:rsidR="00EC7752" w:rsidRDefault="00EC7752" w:rsidP="004569FB">
      <w:pPr>
        <w:pStyle w:val="ListParagraph"/>
        <w:suppressLineNumbers/>
        <w:suppressAutoHyphens/>
        <w:snapToGrid w:val="0"/>
        <w:spacing w:before="120" w:after="120"/>
        <w:ind w:left="0"/>
        <w:contextualSpacing w:val="0"/>
        <w:rPr>
          <w:rFonts w:cs="Times New Roman"/>
          <w:bCs/>
          <w:snapToGrid w:val="0"/>
          <w:kern w:val="22"/>
          <w:szCs w:val="22"/>
          <w:highlight w:val="lightGray"/>
          <w:lang w:val="fr-CA"/>
        </w:rPr>
      </w:pPr>
      <w:r w:rsidRPr="00EC7752">
        <w:rPr>
          <w:rFonts w:cs="Times New Roman"/>
          <w:b/>
          <w:noProof/>
          <w:snapToGrid w:val="0"/>
          <w:kern w:val="22"/>
          <w:szCs w:val="22"/>
          <w:highlight w:val="lightGray"/>
          <w:lang w:val="fr-CA"/>
        </w:rPr>
        <w:drawing>
          <wp:inline distT="0" distB="0" distL="0" distR="0" wp14:anchorId="03C0FA08" wp14:editId="15E470CC">
            <wp:extent cx="5983357" cy="358632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4767" cy="3599160"/>
                    </a:xfrm>
                    <a:prstGeom prst="rect">
                      <a:avLst/>
                    </a:prstGeom>
                    <a:noFill/>
                  </pic:spPr>
                </pic:pic>
              </a:graphicData>
            </a:graphic>
          </wp:inline>
        </w:drawing>
      </w:r>
    </w:p>
    <w:p w14:paraId="1DDEE2B6" w14:textId="2683387D" w:rsidR="002676EA" w:rsidRPr="00115221" w:rsidRDefault="002676EA" w:rsidP="004569FB">
      <w:pPr>
        <w:pStyle w:val="ListParagraph"/>
        <w:suppressLineNumbers/>
        <w:suppressAutoHyphens/>
        <w:snapToGrid w:val="0"/>
        <w:spacing w:before="120" w:after="120"/>
        <w:ind w:left="0"/>
        <w:contextualSpacing w:val="0"/>
        <w:rPr>
          <w:rFonts w:cs="Times New Roman"/>
          <w:bCs/>
          <w:snapToGrid w:val="0"/>
          <w:kern w:val="22"/>
          <w:szCs w:val="22"/>
          <w:highlight w:val="lightGray"/>
          <w:lang w:val="fr-CA"/>
        </w:rPr>
      </w:pPr>
    </w:p>
    <w:p w14:paraId="35612894" w14:textId="38E2AC8C" w:rsidR="004569FB" w:rsidRPr="00115221" w:rsidRDefault="008C14BA" w:rsidP="004569FB">
      <w:pPr>
        <w:keepNext/>
        <w:numPr>
          <w:ilvl w:val="0"/>
          <w:numId w:val="17"/>
        </w:numPr>
        <w:suppressLineNumbers/>
        <w:tabs>
          <w:tab w:val="clear" w:pos="2070"/>
          <w:tab w:val="left" w:pos="2552"/>
        </w:tabs>
        <w:suppressAutoHyphens/>
        <w:spacing w:before="120" w:after="120"/>
        <w:ind w:left="2549" w:hanging="706"/>
        <w:jc w:val="left"/>
        <w:rPr>
          <w:rFonts w:cs="Times New Roman"/>
          <w:b/>
          <w:iCs/>
          <w:snapToGrid w:val="0"/>
          <w:kern w:val="22"/>
          <w:szCs w:val="22"/>
          <w:lang w:val="fr-CA"/>
        </w:rPr>
      </w:pPr>
      <w:r w:rsidRPr="00115221">
        <w:rPr>
          <w:rFonts w:cs="Times New Roman"/>
          <w:b/>
          <w:iCs/>
          <w:snapToGrid w:val="0"/>
          <w:kern w:val="22"/>
          <w:szCs w:val="22"/>
          <w:lang w:val="fr-CA"/>
        </w:rPr>
        <w:t>Responsabilité et réparation</w:t>
      </w:r>
      <w:r w:rsidR="004569FB" w:rsidRPr="00115221">
        <w:rPr>
          <w:rFonts w:cs="Times New Roman"/>
          <w:b/>
          <w:iCs/>
          <w:snapToGrid w:val="0"/>
          <w:kern w:val="22"/>
          <w:szCs w:val="22"/>
          <w:lang w:val="fr-CA"/>
        </w:rPr>
        <w:t xml:space="preserve"> (</w:t>
      </w:r>
      <w:r w:rsidRPr="00115221">
        <w:rPr>
          <w:rFonts w:cs="Times New Roman"/>
          <w:b/>
          <w:iCs/>
          <w:snapToGrid w:val="0"/>
          <w:kern w:val="22"/>
          <w:szCs w:val="22"/>
          <w:lang w:val="fr-CA"/>
        </w:rPr>
        <w:t>objectifs opérationnels</w:t>
      </w:r>
      <w:r w:rsidR="004569FB" w:rsidRPr="00115221">
        <w:rPr>
          <w:rFonts w:cs="Times New Roman"/>
          <w:b/>
          <w:iCs/>
          <w:snapToGrid w:val="0"/>
          <w:kern w:val="22"/>
          <w:szCs w:val="22"/>
          <w:lang w:val="fr-CA"/>
        </w:rPr>
        <w:t xml:space="preserve"> 1.5 </w:t>
      </w:r>
      <w:r w:rsidRPr="00115221">
        <w:rPr>
          <w:rFonts w:cs="Times New Roman"/>
          <w:b/>
          <w:iCs/>
          <w:snapToGrid w:val="0"/>
          <w:kern w:val="22"/>
          <w:szCs w:val="22"/>
          <w:lang w:val="fr-CA"/>
        </w:rPr>
        <w:t>et</w:t>
      </w:r>
      <w:r w:rsidR="004569FB" w:rsidRPr="00115221">
        <w:rPr>
          <w:rFonts w:cs="Times New Roman"/>
          <w:b/>
          <w:iCs/>
          <w:snapToGrid w:val="0"/>
          <w:kern w:val="22"/>
          <w:szCs w:val="22"/>
          <w:lang w:val="fr-CA"/>
        </w:rPr>
        <w:t xml:space="preserve"> 2.4)</w:t>
      </w:r>
    </w:p>
    <w:p w14:paraId="6B5E9838" w14:textId="384F26E0" w:rsidR="004569FB" w:rsidRPr="00115221" w:rsidRDefault="00881122" w:rsidP="004569FB">
      <w:pPr>
        <w:keepNext/>
        <w:suppressLineNumbers/>
        <w:tabs>
          <w:tab w:val="left" w:pos="720"/>
        </w:tabs>
        <w:suppressAutoHyphens/>
        <w:spacing w:before="120" w:after="120"/>
        <w:textAlignment w:val="baseline"/>
        <w:rPr>
          <w:rFonts w:cs="Times New Roman"/>
          <w:iCs/>
          <w:snapToGrid w:val="0"/>
          <w:kern w:val="22"/>
          <w:szCs w:val="22"/>
          <w:lang w:val="fr-CA"/>
        </w:rPr>
      </w:pPr>
      <w:bookmarkStart w:id="7" w:name="_Hlk30690530"/>
      <w:r w:rsidRPr="00115221">
        <w:rPr>
          <w:rFonts w:cs="Times New Roman"/>
          <w:b/>
          <w:iCs/>
          <w:snapToGrid w:val="0"/>
          <w:kern w:val="22"/>
          <w:szCs w:val="22"/>
          <w:lang w:val="fr-CA"/>
        </w:rPr>
        <w:t>Objectifs opérationnels 1.5 et 2.4 : Responsabilité et réparation</w:t>
      </w:r>
    </w:p>
    <w:bookmarkEnd w:id="7"/>
    <w:p w14:paraId="2702901C" w14:textId="55ED5A2C" w:rsidR="004569FB" w:rsidRPr="00115221" w:rsidRDefault="00881122"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r w:rsidRPr="00115221">
        <w:rPr>
          <w:rFonts w:cs="Times New Roman"/>
          <w:snapToGrid w:val="0"/>
          <w:kern w:val="22"/>
          <w:szCs w:val="22"/>
          <w:lang w:val="fr-CA"/>
        </w:rPr>
        <w:t xml:space="preserve">Le Protocole </w:t>
      </w:r>
      <w:r w:rsidR="005F09A6" w:rsidRPr="00115221">
        <w:rPr>
          <w:rFonts w:cs="Times New Roman"/>
          <w:snapToGrid w:val="0"/>
          <w:kern w:val="22"/>
          <w:szCs w:val="22"/>
          <w:lang w:val="fr-CA"/>
        </w:rPr>
        <w:t>additionnel</w:t>
      </w:r>
      <w:r w:rsidRPr="00115221">
        <w:rPr>
          <w:rFonts w:cs="Times New Roman"/>
          <w:snapToGrid w:val="0"/>
          <w:kern w:val="22"/>
          <w:szCs w:val="22"/>
          <w:lang w:val="fr-CA"/>
        </w:rPr>
        <w:t xml:space="preserve"> de Nagoya-Kuala Lumpur sur la responsabilité et la réparation </w:t>
      </w:r>
      <w:r w:rsidR="005F09A6" w:rsidRPr="00115221">
        <w:rPr>
          <w:rFonts w:cs="Times New Roman"/>
          <w:snapToGrid w:val="0"/>
          <w:kern w:val="22"/>
          <w:szCs w:val="22"/>
          <w:lang w:val="fr-CA"/>
        </w:rPr>
        <w:t xml:space="preserve">relatif </w:t>
      </w:r>
      <w:r w:rsidRPr="00115221">
        <w:rPr>
          <w:rFonts w:cs="Times New Roman"/>
          <w:snapToGrid w:val="0"/>
          <w:kern w:val="22"/>
          <w:szCs w:val="22"/>
          <w:lang w:val="fr-CA"/>
        </w:rPr>
        <w:t>au Protocole de Cartagena sur la prévention des risques biotechnologiques n’était pas encore entré en vigueur lors de la troisi</w:t>
      </w:r>
      <w:r w:rsidR="005F09A6" w:rsidRPr="00115221">
        <w:rPr>
          <w:rFonts w:cs="Times New Roman"/>
          <w:snapToGrid w:val="0"/>
          <w:kern w:val="22"/>
          <w:szCs w:val="22"/>
          <w:lang w:val="fr-CA"/>
        </w:rPr>
        <w:t>ème évaluati</w:t>
      </w:r>
      <w:r w:rsidRPr="00115221">
        <w:rPr>
          <w:rFonts w:cs="Times New Roman"/>
          <w:snapToGrid w:val="0"/>
          <w:kern w:val="22"/>
          <w:szCs w:val="22"/>
          <w:lang w:val="fr-CA"/>
        </w:rPr>
        <w:t xml:space="preserve">on et examen du Protocole et l’évaluation de mi-mandat du Plan stratégique en 2016. </w:t>
      </w:r>
      <w:r w:rsidR="005F09A6" w:rsidRPr="00115221">
        <w:rPr>
          <w:rFonts w:cs="Times New Roman"/>
          <w:snapToGrid w:val="0"/>
          <w:kern w:val="22"/>
          <w:szCs w:val="22"/>
          <w:lang w:val="fr-CA"/>
        </w:rPr>
        <w:t xml:space="preserve">Le Protocole additionnel exigeait l’entrée en </w:t>
      </w:r>
      <w:r w:rsidR="005F09A6" w:rsidRPr="00115221">
        <w:rPr>
          <w:rFonts w:eastAsia="Times New Roman" w:cs="Times New Roman"/>
          <w:snapToGrid w:val="0"/>
          <w:kern w:val="22"/>
          <w:szCs w:val="22"/>
          <w:lang w:val="fr-CA"/>
        </w:rPr>
        <w:t>vigueur</w:t>
      </w:r>
      <w:r w:rsidR="005F09A6" w:rsidRPr="00115221">
        <w:rPr>
          <w:rFonts w:cs="Times New Roman"/>
          <w:snapToGrid w:val="0"/>
          <w:kern w:val="22"/>
          <w:szCs w:val="22"/>
          <w:lang w:val="fr-CA"/>
        </w:rPr>
        <w:t xml:space="preserve"> </w:t>
      </w:r>
      <w:r w:rsidR="008A6CFE" w:rsidRPr="00115221">
        <w:rPr>
          <w:rFonts w:cs="Times New Roman"/>
          <w:snapToGrid w:val="0"/>
          <w:kern w:val="22"/>
          <w:szCs w:val="22"/>
          <w:lang w:val="fr-CA"/>
        </w:rPr>
        <w:t>de 40 ratificati</w:t>
      </w:r>
      <w:r w:rsidR="005F09A6" w:rsidRPr="00115221">
        <w:rPr>
          <w:rFonts w:cs="Times New Roman"/>
          <w:snapToGrid w:val="0"/>
          <w:kern w:val="22"/>
          <w:szCs w:val="22"/>
          <w:lang w:val="fr-CA"/>
        </w:rPr>
        <w:t>ons; 34 ratifications avaient été re</w:t>
      </w:r>
      <w:r w:rsidR="008A6CFE" w:rsidRPr="00115221">
        <w:rPr>
          <w:rFonts w:cs="Times New Roman"/>
          <w:snapToGrid w:val="0"/>
          <w:kern w:val="22"/>
          <w:szCs w:val="22"/>
          <w:lang w:val="fr-CA"/>
        </w:rPr>
        <w:t>ç</w:t>
      </w:r>
      <w:r w:rsidR="005F09A6" w:rsidRPr="00115221">
        <w:rPr>
          <w:rFonts w:cs="Times New Roman"/>
          <w:snapToGrid w:val="0"/>
          <w:kern w:val="22"/>
          <w:szCs w:val="22"/>
          <w:lang w:val="fr-CA"/>
        </w:rPr>
        <w:t>ues au 1</w:t>
      </w:r>
      <w:r w:rsidR="005F09A6" w:rsidRPr="00115221">
        <w:rPr>
          <w:rFonts w:cs="Times New Roman"/>
          <w:snapToGrid w:val="0"/>
          <w:kern w:val="22"/>
          <w:szCs w:val="22"/>
          <w:vertAlign w:val="superscript"/>
          <w:lang w:val="fr-CA"/>
        </w:rPr>
        <w:t>er</w:t>
      </w:r>
      <w:r w:rsidR="005F09A6" w:rsidRPr="00115221">
        <w:rPr>
          <w:rFonts w:cs="Times New Roman"/>
          <w:snapToGrid w:val="0"/>
          <w:kern w:val="22"/>
          <w:szCs w:val="22"/>
          <w:lang w:val="fr-CA"/>
        </w:rPr>
        <w:t xml:space="preserve"> mars 2016. </w:t>
      </w:r>
      <w:r w:rsidR="005F09A6" w:rsidRPr="00115221">
        <w:rPr>
          <w:rFonts w:cs="Times New Roman"/>
          <w:b/>
          <w:snapToGrid w:val="0"/>
          <w:kern w:val="22"/>
          <w:szCs w:val="22"/>
          <w:lang w:val="fr-CA"/>
        </w:rPr>
        <w:t>L’indicateur 1.5.1</w:t>
      </w:r>
      <w:r w:rsidR="005F09A6" w:rsidRPr="00115221">
        <w:rPr>
          <w:rFonts w:cs="Times New Roman"/>
          <w:snapToGrid w:val="0"/>
          <w:kern w:val="22"/>
          <w:szCs w:val="22"/>
          <w:lang w:val="fr-CA"/>
        </w:rPr>
        <w:t xml:space="preserve"> (entrée en vigueur du Protocole additionnel de Nagoya-Kuala Lumpur sur la responsabilité et la </w:t>
      </w:r>
      <w:r w:rsidR="008A6CFE" w:rsidRPr="00115221">
        <w:rPr>
          <w:rFonts w:cs="Times New Roman"/>
          <w:snapToGrid w:val="0"/>
          <w:kern w:val="22"/>
          <w:szCs w:val="22"/>
          <w:lang w:val="fr-CA"/>
        </w:rPr>
        <w:t>ré</w:t>
      </w:r>
      <w:r w:rsidR="00524924">
        <w:rPr>
          <w:rFonts w:cs="Times New Roman"/>
          <w:snapToGrid w:val="0"/>
          <w:kern w:val="22"/>
          <w:szCs w:val="22"/>
          <w:lang w:val="fr-CA"/>
        </w:rPr>
        <w:t>paration relatif</w:t>
      </w:r>
      <w:r w:rsidR="005F09A6" w:rsidRPr="00115221">
        <w:rPr>
          <w:rFonts w:cs="Times New Roman"/>
          <w:snapToGrid w:val="0"/>
          <w:kern w:val="22"/>
          <w:szCs w:val="22"/>
          <w:lang w:val="fr-CA"/>
        </w:rPr>
        <w:t xml:space="preserve"> au Proto</w:t>
      </w:r>
      <w:r w:rsidR="008A6CFE" w:rsidRPr="00115221">
        <w:rPr>
          <w:rFonts w:cs="Times New Roman"/>
          <w:snapToGrid w:val="0"/>
          <w:kern w:val="22"/>
          <w:szCs w:val="22"/>
          <w:lang w:val="fr-CA"/>
        </w:rPr>
        <w:t>cole de Cartagena sur la préven</w:t>
      </w:r>
      <w:r w:rsidR="005F09A6" w:rsidRPr="00115221">
        <w:rPr>
          <w:rFonts w:cs="Times New Roman"/>
          <w:snapToGrid w:val="0"/>
          <w:kern w:val="22"/>
          <w:szCs w:val="22"/>
          <w:lang w:val="fr-CA"/>
        </w:rPr>
        <w:t xml:space="preserve">tion des risques biotechnologiques </w:t>
      </w:r>
      <w:r w:rsidR="008A6CFE" w:rsidRPr="00115221">
        <w:rPr>
          <w:rFonts w:cs="Times New Roman"/>
          <w:snapToGrid w:val="0"/>
          <w:kern w:val="22"/>
          <w:szCs w:val="22"/>
          <w:lang w:val="fr-CA"/>
        </w:rPr>
        <w:t>avant la septième réunion de la Conférence des Parties siégeant en tant que réunion des Parties au Protocole (2014</w:t>
      </w:r>
      <w:r w:rsidR="00524924">
        <w:rPr>
          <w:rFonts w:cs="Times New Roman"/>
          <w:snapToGrid w:val="0"/>
          <w:kern w:val="22"/>
          <w:szCs w:val="22"/>
          <w:lang w:val="fr-CA"/>
        </w:rPr>
        <w:t>)</w:t>
      </w:r>
      <w:r w:rsidR="008A6CFE" w:rsidRPr="00115221">
        <w:rPr>
          <w:rFonts w:cs="Times New Roman"/>
          <w:snapToGrid w:val="0"/>
          <w:kern w:val="22"/>
          <w:szCs w:val="22"/>
          <w:lang w:val="fr-CA"/>
        </w:rPr>
        <w:t>) n’a donc pas été atteint</w:t>
      </w:r>
      <w:r w:rsidR="004569FB" w:rsidRPr="00115221">
        <w:rPr>
          <w:rFonts w:cs="Times New Roman"/>
          <w:snapToGrid w:val="0"/>
          <w:kern w:val="22"/>
          <w:szCs w:val="22"/>
          <w:lang w:val="fr-CA"/>
        </w:rPr>
        <w:t>.</w:t>
      </w:r>
      <w:r w:rsidR="004569FB" w:rsidRPr="00115221">
        <w:rPr>
          <w:rFonts w:cs="Times New Roman"/>
          <w:bCs/>
          <w:snapToGrid w:val="0"/>
          <w:kern w:val="22"/>
          <w:szCs w:val="22"/>
          <w:lang w:val="fr-CA"/>
        </w:rPr>
        <w:t xml:space="preserve"> </w:t>
      </w:r>
    </w:p>
    <w:p w14:paraId="285F4E13" w14:textId="49FBBC28" w:rsidR="004569FB" w:rsidRPr="00115221" w:rsidRDefault="008A6CFE"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bookmarkStart w:id="8" w:name="_Hlk30682349"/>
      <w:r w:rsidRPr="00115221">
        <w:rPr>
          <w:rFonts w:cs="Times New Roman"/>
          <w:bCs/>
          <w:snapToGrid w:val="0"/>
          <w:kern w:val="22"/>
          <w:szCs w:val="22"/>
          <w:lang w:val="fr-CA"/>
        </w:rPr>
        <w:t xml:space="preserve">Le Protocole additionnel est entré en </w:t>
      </w:r>
      <w:r w:rsidRPr="00115221">
        <w:rPr>
          <w:rFonts w:eastAsia="Times New Roman" w:cs="Times New Roman"/>
          <w:bCs/>
          <w:snapToGrid w:val="0"/>
          <w:kern w:val="22"/>
          <w:szCs w:val="22"/>
          <w:lang w:val="fr-CA"/>
        </w:rPr>
        <w:t>vigueur</w:t>
      </w:r>
      <w:r w:rsidRPr="00115221">
        <w:rPr>
          <w:rFonts w:cs="Times New Roman"/>
          <w:bCs/>
          <w:snapToGrid w:val="0"/>
          <w:kern w:val="22"/>
          <w:szCs w:val="22"/>
          <w:lang w:val="fr-CA"/>
        </w:rPr>
        <w:t xml:space="preserve"> le 5 mars 2018. Quarante-sept Parties avaient ratifié le Protocole additionnel au 16 janvier 2020, une augmentation de 38 p. cent depuis la troisième évaluation et examen. Cinq (38 p. cent) des 13 nouvelles ratifications reçues entre le 17 février 2016 et le 16 janvier 2020 provenaient de pays d’Afrique et huit provenaient de pays d’autres régions, ré</w:t>
      </w:r>
      <w:r w:rsidR="00433BB3" w:rsidRPr="00115221">
        <w:rPr>
          <w:rFonts w:cs="Times New Roman"/>
          <w:bCs/>
          <w:snapToGrid w:val="0"/>
          <w:kern w:val="22"/>
          <w:szCs w:val="22"/>
          <w:lang w:val="fr-CA"/>
        </w:rPr>
        <w:t>partis également en 2 ratificati</w:t>
      </w:r>
      <w:r w:rsidRPr="00115221">
        <w:rPr>
          <w:rFonts w:cs="Times New Roman"/>
          <w:bCs/>
          <w:snapToGrid w:val="0"/>
          <w:kern w:val="22"/>
          <w:szCs w:val="22"/>
          <w:lang w:val="fr-CA"/>
        </w:rPr>
        <w:t>ons (15 p. cent) par région.</w:t>
      </w:r>
      <w:r w:rsidR="004569FB" w:rsidRPr="00115221" w:rsidDel="00FF37E6">
        <w:rPr>
          <w:rFonts w:cs="Times New Roman"/>
          <w:bCs/>
          <w:snapToGrid w:val="0"/>
          <w:kern w:val="22"/>
          <w:szCs w:val="22"/>
          <w:lang w:val="fr-CA"/>
        </w:rPr>
        <w:t xml:space="preserve"> </w:t>
      </w:r>
      <w:r w:rsidR="004569FB" w:rsidRPr="00115221">
        <w:rPr>
          <w:rFonts w:cs="Times New Roman"/>
          <w:bCs/>
          <w:snapToGrid w:val="0"/>
          <w:kern w:val="22"/>
          <w:szCs w:val="22"/>
          <w:lang w:val="fr-CA"/>
        </w:rPr>
        <w:t xml:space="preserve"> </w:t>
      </w:r>
    </w:p>
    <w:p w14:paraId="6B4308D0" w14:textId="40EC088F" w:rsidR="004569FB" w:rsidRPr="00115221" w:rsidRDefault="00433BB3"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r w:rsidRPr="00115221">
        <w:rPr>
          <w:rFonts w:cs="Times New Roman"/>
          <w:bCs/>
          <w:snapToGrid w:val="0"/>
          <w:kern w:val="22"/>
          <w:szCs w:val="22"/>
          <w:lang w:val="fr-CA"/>
        </w:rPr>
        <w:t xml:space="preserve">Cinquante-sept p. cent (32 Parties) des Parties au Protocole de Cartagena qui n’avaient pas encore ratifié le Protocole additionnel ont indiqué dans leur quatrième rapport </w:t>
      </w:r>
      <w:r w:rsidRPr="00115221">
        <w:rPr>
          <w:rFonts w:eastAsia="Times New Roman" w:cs="Times New Roman"/>
          <w:bCs/>
          <w:snapToGrid w:val="0"/>
          <w:kern w:val="22"/>
          <w:szCs w:val="22"/>
          <w:lang w:val="fr-CA"/>
        </w:rPr>
        <w:t>national</w:t>
      </w:r>
      <w:r w:rsidRPr="00115221">
        <w:rPr>
          <w:rFonts w:cs="Times New Roman"/>
          <w:bCs/>
          <w:snapToGrid w:val="0"/>
          <w:kern w:val="22"/>
          <w:szCs w:val="22"/>
          <w:lang w:val="fr-CA"/>
        </w:rPr>
        <w:t xml:space="preserve"> qu’elles avaient mis en place un processus national afin de devenir Parties au Protocole additionnel</w:t>
      </w:r>
      <w:r w:rsidR="004569FB" w:rsidRPr="00115221">
        <w:rPr>
          <w:rFonts w:cs="Times New Roman"/>
          <w:bCs/>
          <w:snapToGrid w:val="0"/>
          <w:kern w:val="22"/>
          <w:szCs w:val="22"/>
          <w:lang w:val="fr-CA"/>
        </w:rPr>
        <w:t>.</w:t>
      </w:r>
    </w:p>
    <w:p w14:paraId="05B61292" w14:textId="4A493B80" w:rsidR="004569FB" w:rsidRPr="00115221" w:rsidRDefault="00433BB3"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bookmarkStart w:id="9" w:name="_Hlk30412647"/>
      <w:bookmarkEnd w:id="8"/>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1.5.2</w:t>
      </w:r>
      <w:r w:rsidRPr="00115221">
        <w:rPr>
          <w:rFonts w:cs="Times New Roman"/>
          <w:snapToGrid w:val="0"/>
          <w:kern w:val="22"/>
          <w:szCs w:val="22"/>
          <w:lang w:val="fr-CA"/>
        </w:rPr>
        <w:t xml:space="preserve"> (pourcentage des Parties au Protocole additionnel ayant mis en place des cadres administratifs et légaux comprenant des règles et procédures sur la responsabilité et la réparation des dommages causés par les OVM</w:t>
      </w:r>
      <w:r w:rsidR="006F3FC7" w:rsidRPr="00115221">
        <w:rPr>
          <w:rFonts w:cs="Times New Roman"/>
          <w:snapToGrid w:val="0"/>
          <w:kern w:val="22"/>
          <w:szCs w:val="22"/>
          <w:lang w:val="fr-CA"/>
        </w:rPr>
        <w:t>), 60 p. cent des Parties au Protocole additionnel (23 Parties) ont déclaré avoir entièrement mis en place des mesures pour l’application du Protocole additionnel et 15 p. cent (6 Parties) ont déclaré que les mesures nationales étaient partiellement en place. Treize p</w:t>
      </w:r>
      <w:r w:rsidR="00524924">
        <w:rPr>
          <w:rFonts w:cs="Times New Roman"/>
          <w:snapToGrid w:val="0"/>
          <w:kern w:val="22"/>
          <w:szCs w:val="22"/>
          <w:lang w:val="fr-CA"/>
        </w:rPr>
        <w:t>. c</w:t>
      </w:r>
      <w:r w:rsidR="006F3FC7" w:rsidRPr="00115221">
        <w:rPr>
          <w:rFonts w:cs="Times New Roman"/>
          <w:snapToGrid w:val="0"/>
          <w:kern w:val="22"/>
          <w:szCs w:val="22"/>
          <w:lang w:val="fr-CA"/>
        </w:rPr>
        <w:t>ent des Parties (5 Parties) ont déclaré que les mesures n’existent qu’à l’état de projet et 13 p. cent de plus (5 Parties) ont déclaré qu’aucune mesure n’avait encore été prise</w:t>
      </w:r>
      <w:r w:rsidR="004569FB" w:rsidRPr="00115221">
        <w:rPr>
          <w:rFonts w:cs="Times New Roman"/>
          <w:bCs/>
          <w:snapToGrid w:val="0"/>
          <w:kern w:val="22"/>
          <w:szCs w:val="22"/>
          <w:lang w:val="fr-CA"/>
        </w:rPr>
        <w:t>.</w:t>
      </w:r>
      <w:r w:rsidR="004569FB" w:rsidRPr="00115221">
        <w:rPr>
          <w:rStyle w:val="FootnoteReference"/>
          <w:rFonts w:cs="Times New Roman"/>
          <w:bCs/>
          <w:snapToGrid w:val="0"/>
          <w:kern w:val="22"/>
          <w:szCs w:val="22"/>
          <w:lang w:val="fr-CA"/>
        </w:rPr>
        <w:footnoteReference w:id="32"/>
      </w:r>
    </w:p>
    <w:p w14:paraId="34F31A05" w14:textId="742ABC66" w:rsidR="004569FB" w:rsidRPr="00115221" w:rsidRDefault="00914EF4"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r w:rsidRPr="00115221">
        <w:rPr>
          <w:rFonts w:cs="Times New Roman"/>
          <w:snapToGrid w:val="0"/>
          <w:kern w:val="22"/>
          <w:szCs w:val="22"/>
          <w:lang w:val="fr-CA"/>
        </w:rPr>
        <w:t>De plus, des informations sur l’application du Protocole additionnel et sur la responsabilité et la réparation ont été reçues de pays Parties au Protocole de Cartagena qui n’ont pas encore ratifié le Protocole additionnel. Les informations fournies par ces Parties et par les Parties au Protocole additionnel dans leurs quatrièmes rapports nationaux sont résumées ci-dessous</w:t>
      </w:r>
      <w:r w:rsidR="004569FB" w:rsidRPr="00115221">
        <w:rPr>
          <w:rFonts w:cs="Times New Roman"/>
          <w:snapToGrid w:val="0"/>
          <w:kern w:val="22"/>
          <w:szCs w:val="22"/>
          <w:lang w:val="fr-CA"/>
        </w:rPr>
        <w:t xml:space="preserve">. </w:t>
      </w:r>
    </w:p>
    <w:p w14:paraId="6D3A0762" w14:textId="2EC0D8F7" w:rsidR="004569FB" w:rsidRPr="00115221" w:rsidRDefault="00914EF4"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r w:rsidRPr="00115221">
        <w:rPr>
          <w:rFonts w:cs="Times New Roman"/>
          <w:bCs/>
          <w:snapToGrid w:val="0"/>
          <w:kern w:val="22"/>
          <w:szCs w:val="22"/>
          <w:lang w:val="fr-CA"/>
        </w:rPr>
        <w:t>Soixante-sept p. cent des Parties (66 Parties) ont déclaré avoir des instruments administrat</w:t>
      </w:r>
      <w:r w:rsidR="003F241A" w:rsidRPr="00115221">
        <w:rPr>
          <w:rFonts w:cs="Times New Roman"/>
          <w:bCs/>
          <w:snapToGrid w:val="0"/>
          <w:kern w:val="22"/>
          <w:szCs w:val="22"/>
          <w:lang w:val="fr-CA"/>
        </w:rPr>
        <w:t>ifs et légaux qui exigent la pr</w:t>
      </w:r>
      <w:r w:rsidRPr="00115221">
        <w:rPr>
          <w:rFonts w:cs="Times New Roman"/>
          <w:bCs/>
          <w:snapToGrid w:val="0"/>
          <w:kern w:val="22"/>
          <w:szCs w:val="22"/>
          <w:lang w:val="fr-CA"/>
        </w:rPr>
        <w:t xml:space="preserve">ise de mesures de réponse lors de dommages causés par les OVM, une diminution de 3 p. cent par rapport à la valeur de référence. </w:t>
      </w:r>
      <w:r w:rsidR="003F241A" w:rsidRPr="00115221">
        <w:rPr>
          <w:rFonts w:cs="Times New Roman"/>
          <w:bCs/>
          <w:snapToGrid w:val="0"/>
          <w:kern w:val="22"/>
          <w:szCs w:val="22"/>
          <w:lang w:val="fr-CA"/>
        </w:rPr>
        <w:t>Soixante-deux p. cent des Parties (61 Parties) ont déclaré avoir des instruments administratifs et légaux qui exigent la prise de mesures de réponse lorsqu’il est suffisamment probable que le fait de ne pas prendre de mesures entraînera des dommages</w:t>
      </w:r>
      <w:r w:rsidR="004569FB" w:rsidRPr="00115221">
        <w:rPr>
          <w:rFonts w:cs="Times New Roman"/>
          <w:bCs/>
          <w:snapToGrid w:val="0"/>
          <w:kern w:val="22"/>
          <w:szCs w:val="22"/>
          <w:lang w:val="fr-CA"/>
        </w:rPr>
        <w:t>.</w:t>
      </w:r>
      <w:r w:rsidR="004569FB" w:rsidRPr="00115221">
        <w:rPr>
          <w:rStyle w:val="FootnoteReference"/>
          <w:rFonts w:cs="Times New Roman"/>
          <w:bCs/>
          <w:snapToGrid w:val="0"/>
          <w:kern w:val="22"/>
          <w:szCs w:val="22"/>
          <w:lang w:val="fr-CA"/>
        </w:rPr>
        <w:footnoteReference w:id="33"/>
      </w:r>
    </w:p>
    <w:p w14:paraId="663A2513" w14:textId="1F4460AB" w:rsidR="004569FB" w:rsidRPr="00115221" w:rsidRDefault="003F241A"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snapToGrid w:val="0"/>
          <w:kern w:val="22"/>
          <w:szCs w:val="22"/>
          <w:lang w:val="fr-CA"/>
        </w:rPr>
      </w:pPr>
      <w:r w:rsidRPr="00115221">
        <w:rPr>
          <w:rFonts w:cs="Times New Roman"/>
          <w:bCs/>
          <w:snapToGrid w:val="0"/>
          <w:kern w:val="22"/>
          <w:szCs w:val="22"/>
          <w:lang w:val="fr-CA"/>
        </w:rPr>
        <w:t xml:space="preserve">De plus, 55 p. cent </w:t>
      </w:r>
      <w:r w:rsidR="00BA2ED6" w:rsidRPr="00115221">
        <w:rPr>
          <w:rFonts w:cs="Times New Roman"/>
          <w:bCs/>
          <w:snapToGrid w:val="0"/>
          <w:kern w:val="22"/>
          <w:szCs w:val="22"/>
          <w:lang w:val="fr-CA"/>
        </w:rPr>
        <w:t>des Part</w:t>
      </w:r>
      <w:r w:rsidRPr="00115221">
        <w:rPr>
          <w:rFonts w:cs="Times New Roman"/>
          <w:bCs/>
          <w:snapToGrid w:val="0"/>
          <w:kern w:val="22"/>
          <w:szCs w:val="22"/>
          <w:lang w:val="fr-CA"/>
        </w:rPr>
        <w:t>ies (54 Parties)</w:t>
      </w:r>
      <w:r w:rsidR="00BA2ED6" w:rsidRPr="00115221">
        <w:rPr>
          <w:rFonts w:cs="Times New Roman"/>
          <w:bCs/>
          <w:snapToGrid w:val="0"/>
          <w:kern w:val="22"/>
          <w:szCs w:val="22"/>
          <w:lang w:val="fr-CA"/>
        </w:rPr>
        <w:t xml:space="preserve"> ont déclaré avoir désigné une autorité compétente chargé</w:t>
      </w:r>
      <w:r w:rsidR="008A04C1">
        <w:rPr>
          <w:rFonts w:cs="Times New Roman"/>
          <w:bCs/>
          <w:snapToGrid w:val="0"/>
          <w:kern w:val="22"/>
          <w:szCs w:val="22"/>
          <w:lang w:val="fr-CA"/>
        </w:rPr>
        <w:t>e</w:t>
      </w:r>
      <w:r w:rsidR="00BA2ED6" w:rsidRPr="00115221">
        <w:rPr>
          <w:rFonts w:cs="Times New Roman"/>
          <w:bCs/>
          <w:snapToGrid w:val="0"/>
          <w:kern w:val="22"/>
          <w:szCs w:val="22"/>
          <w:lang w:val="fr-CA"/>
        </w:rPr>
        <w:t xml:space="preserve"> d’exécuter les fonction</w:t>
      </w:r>
      <w:r w:rsidR="00C61638">
        <w:rPr>
          <w:rFonts w:cs="Times New Roman"/>
          <w:bCs/>
          <w:snapToGrid w:val="0"/>
          <w:kern w:val="22"/>
          <w:szCs w:val="22"/>
          <w:lang w:val="fr-CA"/>
        </w:rPr>
        <w:t>s</w:t>
      </w:r>
      <w:r w:rsidR="00BA2ED6" w:rsidRPr="00115221">
        <w:rPr>
          <w:rFonts w:cs="Times New Roman"/>
          <w:bCs/>
          <w:snapToGrid w:val="0"/>
          <w:kern w:val="22"/>
          <w:szCs w:val="22"/>
          <w:lang w:val="fr-CA"/>
        </w:rPr>
        <w:t xml:space="preserve"> établies dans le Protocole additionnel, tandis</w:t>
      </w:r>
      <w:r w:rsidR="008A04C1">
        <w:rPr>
          <w:rFonts w:cs="Times New Roman"/>
          <w:bCs/>
          <w:snapToGrid w:val="0"/>
          <w:kern w:val="22"/>
          <w:szCs w:val="22"/>
          <w:lang w:val="fr-CA"/>
        </w:rPr>
        <w:t xml:space="preserve"> que 45 p. cent des Parties (44 </w:t>
      </w:r>
      <w:r w:rsidR="00BA2ED6" w:rsidRPr="00115221">
        <w:rPr>
          <w:rFonts w:cs="Times New Roman"/>
          <w:bCs/>
          <w:snapToGrid w:val="0"/>
          <w:kern w:val="22"/>
          <w:szCs w:val="22"/>
          <w:lang w:val="fr-CA"/>
        </w:rPr>
        <w:t>Parties) ont déclaré ne pas avoir désigné d’autorité compétente</w:t>
      </w:r>
      <w:r w:rsidR="004569FB" w:rsidRPr="00115221">
        <w:rPr>
          <w:rFonts w:cs="Times New Roman"/>
          <w:bCs/>
          <w:snapToGrid w:val="0"/>
          <w:kern w:val="22"/>
          <w:szCs w:val="22"/>
          <w:lang w:val="fr-CA"/>
        </w:rPr>
        <w:t>.</w:t>
      </w:r>
    </w:p>
    <w:p w14:paraId="5FAD2816" w14:textId="50181D57" w:rsidR="004569FB" w:rsidRPr="00115221" w:rsidRDefault="00BA2ED6" w:rsidP="00597294">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w:t>
      </w:r>
      <w:r w:rsidR="00597294" w:rsidRPr="00115221">
        <w:rPr>
          <w:rFonts w:cs="Times New Roman"/>
          <w:b/>
          <w:snapToGrid w:val="0"/>
          <w:kern w:val="22"/>
          <w:szCs w:val="22"/>
          <w:lang w:val="fr-CA"/>
        </w:rPr>
        <w:t>indicateur 2.4.1</w:t>
      </w:r>
      <w:r w:rsidR="00597294" w:rsidRPr="00115221">
        <w:rPr>
          <w:rFonts w:cs="Times New Roman"/>
          <w:snapToGrid w:val="0"/>
          <w:kern w:val="22"/>
          <w:szCs w:val="22"/>
          <w:lang w:val="fr-CA"/>
        </w:rPr>
        <w:t xml:space="preserve"> (nombr</w:t>
      </w:r>
      <w:r w:rsidRPr="00115221">
        <w:rPr>
          <w:rFonts w:cs="Times New Roman"/>
          <w:snapToGrid w:val="0"/>
          <w:kern w:val="22"/>
          <w:szCs w:val="22"/>
          <w:lang w:val="fr-CA"/>
        </w:rPr>
        <w:t>e de Parties admissibles ayant reçu du soutien pour le renforcement des capacités en matière de respo</w:t>
      </w:r>
      <w:r w:rsidR="00597294" w:rsidRPr="00115221">
        <w:rPr>
          <w:rFonts w:cs="Times New Roman"/>
          <w:snapToGrid w:val="0"/>
          <w:kern w:val="22"/>
          <w:szCs w:val="22"/>
          <w:lang w:val="fr-CA"/>
        </w:rPr>
        <w:t>n</w:t>
      </w:r>
      <w:r w:rsidRPr="00115221">
        <w:rPr>
          <w:rFonts w:cs="Times New Roman"/>
          <w:snapToGrid w:val="0"/>
          <w:kern w:val="22"/>
          <w:szCs w:val="22"/>
          <w:lang w:val="fr-CA"/>
        </w:rPr>
        <w:t xml:space="preserve">sabilité et réparation </w:t>
      </w:r>
      <w:r w:rsidR="008A04C1">
        <w:rPr>
          <w:rFonts w:cs="Times New Roman"/>
          <w:snapToGrid w:val="0"/>
          <w:kern w:val="22"/>
          <w:szCs w:val="22"/>
          <w:lang w:val="fr-CA"/>
        </w:rPr>
        <w:t>en lien avec</w:t>
      </w:r>
      <w:r w:rsidRPr="00115221">
        <w:rPr>
          <w:rFonts w:cs="Times New Roman"/>
          <w:snapToGrid w:val="0"/>
          <w:kern w:val="22"/>
          <w:szCs w:val="22"/>
          <w:lang w:val="fr-CA"/>
        </w:rPr>
        <w:t xml:space="preserve"> les </w:t>
      </w:r>
      <w:r w:rsidRPr="00115221">
        <w:rPr>
          <w:rFonts w:eastAsia="Times New Roman" w:cs="Times New Roman"/>
          <w:snapToGrid w:val="0"/>
          <w:kern w:val="22"/>
          <w:szCs w:val="22"/>
          <w:lang w:val="fr-CA"/>
        </w:rPr>
        <w:t>organismes</w:t>
      </w:r>
      <w:r w:rsidRPr="00115221">
        <w:rPr>
          <w:rFonts w:cs="Times New Roman"/>
          <w:snapToGrid w:val="0"/>
          <w:kern w:val="22"/>
          <w:szCs w:val="22"/>
          <w:lang w:val="fr-CA"/>
        </w:rPr>
        <w:t xml:space="preserve"> vivants modifiés), 17 Parties ont déclaré que des activités avaient été menées afin de développer et/ou renforcer les </w:t>
      </w:r>
      <w:r w:rsidRPr="00115221">
        <w:rPr>
          <w:rFonts w:eastAsia="Times New Roman" w:cs="Times New Roman"/>
          <w:snapToGrid w:val="0"/>
          <w:kern w:val="22"/>
          <w:szCs w:val="22"/>
          <w:lang w:val="fr-CA"/>
        </w:rPr>
        <w:t>ressources</w:t>
      </w:r>
      <w:r w:rsidRPr="00115221">
        <w:rPr>
          <w:rFonts w:cs="Times New Roman"/>
          <w:snapToGrid w:val="0"/>
          <w:kern w:val="22"/>
          <w:szCs w:val="22"/>
          <w:lang w:val="fr-CA"/>
        </w:rPr>
        <w:t xml:space="preserve"> humaines et les capacités institutionn</w:t>
      </w:r>
      <w:r w:rsidR="00597294" w:rsidRPr="00115221">
        <w:rPr>
          <w:rFonts w:cs="Times New Roman"/>
          <w:snapToGrid w:val="0"/>
          <w:kern w:val="22"/>
          <w:szCs w:val="22"/>
          <w:lang w:val="fr-CA"/>
        </w:rPr>
        <w:t>e</w:t>
      </w:r>
      <w:r w:rsidRPr="00115221">
        <w:rPr>
          <w:rFonts w:cs="Times New Roman"/>
          <w:snapToGrid w:val="0"/>
          <w:kern w:val="22"/>
          <w:szCs w:val="22"/>
          <w:lang w:val="fr-CA"/>
        </w:rPr>
        <w:t>lles dans le domaine de</w:t>
      </w:r>
      <w:r w:rsidR="00597294" w:rsidRPr="00115221">
        <w:rPr>
          <w:rFonts w:cs="Times New Roman"/>
          <w:snapToGrid w:val="0"/>
          <w:kern w:val="22"/>
          <w:szCs w:val="22"/>
          <w:lang w:val="fr-CA"/>
        </w:rPr>
        <w:t xml:space="preserve"> la responsabilité et de la répa</w:t>
      </w:r>
      <w:r w:rsidR="008A04C1">
        <w:rPr>
          <w:rFonts w:cs="Times New Roman"/>
          <w:snapToGrid w:val="0"/>
          <w:kern w:val="22"/>
          <w:szCs w:val="22"/>
          <w:lang w:val="fr-CA"/>
        </w:rPr>
        <w:t>ration</w:t>
      </w:r>
      <w:r w:rsidRPr="00115221">
        <w:rPr>
          <w:rFonts w:cs="Times New Roman"/>
          <w:snapToGrid w:val="0"/>
          <w:kern w:val="22"/>
          <w:szCs w:val="22"/>
          <w:lang w:val="fr-CA"/>
        </w:rPr>
        <w:t xml:space="preserve"> au cours de la période</w:t>
      </w:r>
      <w:r w:rsidR="00597294" w:rsidRPr="00115221">
        <w:rPr>
          <w:rFonts w:cs="Times New Roman"/>
          <w:snapToGrid w:val="0"/>
          <w:kern w:val="22"/>
          <w:szCs w:val="22"/>
          <w:lang w:val="fr-CA"/>
        </w:rPr>
        <w:t xml:space="preserve"> visée </w:t>
      </w:r>
      <w:r w:rsidR="008A04C1">
        <w:rPr>
          <w:rFonts w:cs="Times New Roman"/>
          <w:snapToGrid w:val="0"/>
          <w:kern w:val="22"/>
          <w:szCs w:val="22"/>
          <w:lang w:val="fr-CA"/>
        </w:rPr>
        <w:t xml:space="preserve">par le présent rapport, ce qui </w:t>
      </w:r>
      <w:r w:rsidR="00597294" w:rsidRPr="00115221">
        <w:rPr>
          <w:rFonts w:cs="Times New Roman"/>
          <w:snapToGrid w:val="0"/>
          <w:kern w:val="22"/>
          <w:szCs w:val="22"/>
          <w:lang w:val="fr-CA"/>
        </w:rPr>
        <w:t xml:space="preserve">constitue une augmentation de 5 Parties, surtout dans la région de l’Afrique, en comparaison au troisième cycle </w:t>
      </w:r>
      <w:r w:rsidR="005C6F2D">
        <w:rPr>
          <w:rFonts w:cs="Times New Roman"/>
          <w:snapToGrid w:val="0"/>
          <w:kern w:val="22"/>
          <w:szCs w:val="22"/>
          <w:lang w:val="fr-CA"/>
        </w:rPr>
        <w:t>de présentation des rapports</w:t>
      </w:r>
      <w:r w:rsidR="00597294" w:rsidRPr="00115221">
        <w:rPr>
          <w:rFonts w:cs="Times New Roman"/>
          <w:snapToGrid w:val="0"/>
          <w:kern w:val="22"/>
          <w:szCs w:val="22"/>
          <w:lang w:val="fr-CA"/>
        </w:rPr>
        <w:t xml:space="preserve">, où 12 Parties </w:t>
      </w:r>
      <w:r w:rsidR="00597294" w:rsidRPr="00115221">
        <w:rPr>
          <w:rFonts w:cs="Times New Roman"/>
          <w:snapToGrid w:val="0"/>
          <w:kern w:val="22"/>
          <w:szCs w:val="22"/>
          <w:lang w:val="fr-CA"/>
        </w:rPr>
        <w:lastRenderedPageBreak/>
        <w:t>avaient déclaré avoir reçu du soutien financier et/ou de l’assistance technique pour le renforcement des capacités en matière de responsabilité et réparation concernant les OVM</w:t>
      </w:r>
      <w:r w:rsidR="004569FB" w:rsidRPr="00115221">
        <w:rPr>
          <w:rFonts w:cs="Times New Roman"/>
          <w:snapToGrid w:val="0"/>
          <w:kern w:val="22"/>
          <w:szCs w:val="22"/>
          <w:lang w:val="fr-CA"/>
        </w:rPr>
        <w:t xml:space="preserve">. </w:t>
      </w:r>
    </w:p>
    <w:p w14:paraId="10E7BA33" w14:textId="480FD8F4" w:rsidR="004569FB" w:rsidRPr="00115221" w:rsidRDefault="00597294"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Les informations en lien avec </w:t>
      </w:r>
      <w:r w:rsidRPr="00115221">
        <w:rPr>
          <w:rFonts w:cs="Times New Roman"/>
          <w:b/>
          <w:snapToGrid w:val="0"/>
          <w:kern w:val="22"/>
          <w:szCs w:val="22"/>
          <w:lang w:val="fr-CA"/>
        </w:rPr>
        <w:t>l’indicateur 2.4.2</w:t>
      </w:r>
      <w:r w:rsidRPr="00115221">
        <w:rPr>
          <w:rFonts w:cs="Times New Roman"/>
          <w:snapToGrid w:val="0"/>
          <w:kern w:val="22"/>
          <w:szCs w:val="22"/>
          <w:lang w:val="fr-CA"/>
        </w:rPr>
        <w:t xml:space="preserve"> (nombre d’instruments administratifs et lég</w:t>
      </w:r>
      <w:r w:rsidR="00EE14FA" w:rsidRPr="00115221">
        <w:rPr>
          <w:rFonts w:cs="Times New Roman"/>
          <w:snapToGrid w:val="0"/>
          <w:kern w:val="22"/>
          <w:szCs w:val="22"/>
          <w:lang w:val="fr-CA"/>
        </w:rPr>
        <w:t>aux nationaux identifiés, amendé</w:t>
      </w:r>
      <w:r w:rsidRPr="00115221">
        <w:rPr>
          <w:rFonts w:cs="Times New Roman"/>
          <w:snapToGrid w:val="0"/>
          <w:kern w:val="22"/>
          <w:szCs w:val="22"/>
          <w:lang w:val="fr-CA"/>
        </w:rPr>
        <w:t xml:space="preserve">s ou nouvellement adoptés qui </w:t>
      </w:r>
      <w:r w:rsidR="00EE14FA" w:rsidRPr="00115221">
        <w:rPr>
          <w:rFonts w:cs="Times New Roman"/>
          <w:snapToGrid w:val="0"/>
          <w:kern w:val="22"/>
          <w:szCs w:val="22"/>
          <w:lang w:val="fr-CA"/>
        </w:rPr>
        <w:t xml:space="preserve">satisfont à l’objectif des règles et procédures internationales en matière de responsabilité et réparation) ne sont pas disponibles, et il convient de faire un renvoi à </w:t>
      </w:r>
      <w:r w:rsidR="00EE14FA" w:rsidRPr="00115221">
        <w:rPr>
          <w:rFonts w:cs="Times New Roman"/>
          <w:b/>
          <w:snapToGrid w:val="0"/>
          <w:kern w:val="22"/>
          <w:szCs w:val="22"/>
          <w:lang w:val="fr-CA"/>
        </w:rPr>
        <w:t>l’indicateur 1.5.2</w:t>
      </w:r>
      <w:r w:rsidR="00EE14FA" w:rsidRPr="00115221">
        <w:rPr>
          <w:rFonts w:cs="Times New Roman"/>
          <w:snapToGrid w:val="0"/>
          <w:kern w:val="22"/>
          <w:szCs w:val="22"/>
          <w:lang w:val="fr-CA"/>
        </w:rPr>
        <w:t>, ci-dessus</w:t>
      </w:r>
      <w:r w:rsidR="004569FB" w:rsidRPr="00115221">
        <w:rPr>
          <w:rFonts w:cs="Times New Roman"/>
          <w:snapToGrid w:val="0"/>
          <w:kern w:val="22"/>
          <w:szCs w:val="22"/>
          <w:lang w:val="fr-CA"/>
        </w:rPr>
        <w:t>.</w:t>
      </w:r>
      <w:bookmarkStart w:id="10" w:name="_Hlk30682099"/>
      <w:bookmarkEnd w:id="9"/>
    </w:p>
    <w:bookmarkEnd w:id="10"/>
    <w:p w14:paraId="155F8A13" w14:textId="72F80F63" w:rsidR="004569FB" w:rsidRPr="00115221" w:rsidRDefault="00336C1C" w:rsidP="000A5388">
      <w:pPr>
        <w:keepNext/>
        <w:numPr>
          <w:ilvl w:val="0"/>
          <w:numId w:val="17"/>
        </w:numPr>
        <w:suppressLineNumbers/>
        <w:tabs>
          <w:tab w:val="clear" w:pos="2070"/>
          <w:tab w:val="left" w:pos="360"/>
        </w:tabs>
        <w:suppressAutoHyphens/>
        <w:spacing w:before="120" w:after="120"/>
        <w:ind w:left="0" w:firstLine="0"/>
        <w:jc w:val="center"/>
        <w:outlineLvl w:val="1"/>
        <w:rPr>
          <w:rFonts w:cs="Times New Roman"/>
          <w:b/>
          <w:iCs/>
          <w:snapToGrid w:val="0"/>
          <w:kern w:val="22"/>
          <w:szCs w:val="22"/>
          <w:lang w:val="fr-CA"/>
        </w:rPr>
      </w:pPr>
      <w:r w:rsidRPr="00115221">
        <w:rPr>
          <w:rFonts w:cs="Times New Roman"/>
          <w:b/>
          <w:iCs/>
          <w:snapToGrid w:val="0"/>
          <w:kern w:val="22"/>
          <w:szCs w:val="22"/>
          <w:lang w:val="fr-CA"/>
        </w:rPr>
        <w:t>Manipulation, transport, emballage et identification</w:t>
      </w:r>
      <w:r w:rsidR="004569FB" w:rsidRPr="00115221">
        <w:rPr>
          <w:rFonts w:cs="Times New Roman"/>
          <w:b/>
          <w:iCs/>
          <w:snapToGrid w:val="0"/>
          <w:kern w:val="22"/>
          <w:szCs w:val="22"/>
          <w:lang w:val="fr-CA"/>
        </w:rPr>
        <w:t xml:space="preserve"> (</w:t>
      </w:r>
      <w:r w:rsidRPr="00115221">
        <w:rPr>
          <w:rFonts w:cs="Times New Roman"/>
          <w:b/>
          <w:iCs/>
          <w:snapToGrid w:val="0"/>
          <w:kern w:val="22"/>
          <w:szCs w:val="22"/>
          <w:lang w:val="fr-CA"/>
        </w:rPr>
        <w:t>objectifs opérationnels</w:t>
      </w:r>
      <w:r w:rsidR="004569FB" w:rsidRPr="00115221">
        <w:rPr>
          <w:rFonts w:cs="Times New Roman"/>
          <w:b/>
          <w:iCs/>
          <w:snapToGrid w:val="0"/>
          <w:kern w:val="22"/>
          <w:szCs w:val="22"/>
          <w:lang w:val="fr-CA"/>
        </w:rPr>
        <w:t xml:space="preserve"> 1.6 </w:t>
      </w:r>
      <w:r w:rsidRPr="00115221">
        <w:rPr>
          <w:rFonts w:cs="Times New Roman"/>
          <w:b/>
          <w:iCs/>
          <w:snapToGrid w:val="0"/>
          <w:kern w:val="22"/>
          <w:szCs w:val="22"/>
          <w:lang w:val="fr-CA"/>
        </w:rPr>
        <w:t>et</w:t>
      </w:r>
      <w:r w:rsidR="004569FB" w:rsidRPr="00115221">
        <w:rPr>
          <w:rFonts w:cs="Times New Roman"/>
          <w:b/>
          <w:iCs/>
          <w:snapToGrid w:val="0"/>
          <w:kern w:val="22"/>
          <w:szCs w:val="22"/>
          <w:lang w:val="fr-CA"/>
        </w:rPr>
        <w:t xml:space="preserve"> 2.3)</w:t>
      </w:r>
    </w:p>
    <w:p w14:paraId="0D40BA38" w14:textId="5B1A116C" w:rsidR="004569FB" w:rsidRPr="00115221" w:rsidRDefault="009507E5" w:rsidP="000A5388">
      <w:pPr>
        <w:keepNext/>
        <w:suppressLineNumbers/>
        <w:tabs>
          <w:tab w:val="left" w:pos="2552"/>
        </w:tabs>
        <w:suppressAutoHyphens/>
        <w:spacing w:before="120" w:after="120"/>
        <w:outlineLvl w:val="2"/>
        <w:rPr>
          <w:rFonts w:cs="Times New Roman"/>
          <w:b/>
          <w:iCs/>
          <w:snapToGrid w:val="0"/>
          <w:kern w:val="22"/>
          <w:szCs w:val="22"/>
          <w:lang w:val="fr-CA"/>
        </w:rPr>
      </w:pPr>
      <w:r w:rsidRPr="00115221">
        <w:rPr>
          <w:rFonts w:cs="Times New Roman"/>
          <w:b/>
          <w:iCs/>
          <w:snapToGrid w:val="0"/>
          <w:kern w:val="22"/>
          <w:szCs w:val="22"/>
          <w:lang w:val="fr-CA"/>
        </w:rPr>
        <w:t>Objectif opérationnel 1.6 : Manipulation, transport, emballage et identification</w:t>
      </w:r>
      <w:r w:rsidR="006B0742">
        <w:rPr>
          <w:rFonts w:cs="Times New Roman"/>
          <w:b/>
          <w:iCs/>
          <w:snapToGrid w:val="0"/>
          <w:kern w:val="22"/>
          <w:szCs w:val="22"/>
          <w:lang w:val="fr-CA"/>
        </w:rPr>
        <w:t xml:space="preserve"> </w:t>
      </w:r>
    </w:p>
    <w:p w14:paraId="0D2F6EC3" w14:textId="3278B08E" w:rsidR="004569FB" w:rsidRPr="00115221" w:rsidRDefault="009507E5" w:rsidP="004569FB">
      <w:pPr>
        <w:pStyle w:val="ListParagraph"/>
        <w:numPr>
          <w:ilvl w:val="0"/>
          <w:numId w:val="9"/>
        </w:numPr>
        <w:tabs>
          <w:tab w:val="clear" w:pos="3240"/>
        </w:tabs>
        <w:snapToGrid w:val="0"/>
        <w:ind w:left="0" w:firstLine="0"/>
        <w:rPr>
          <w:rFonts w:cs="Times New Roman"/>
          <w:bCs/>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1.6.1</w:t>
      </w:r>
      <w:r w:rsidRPr="00115221">
        <w:rPr>
          <w:rFonts w:cs="Times New Roman"/>
          <w:snapToGrid w:val="0"/>
          <w:kern w:val="22"/>
          <w:szCs w:val="22"/>
          <w:lang w:val="fr-CA"/>
        </w:rPr>
        <w:t xml:space="preserve"> (pourcentage des Parties ayant mis en place des exigences de documentation pour les </w:t>
      </w:r>
      <w:r w:rsidR="00F3779A" w:rsidRPr="00115221">
        <w:rPr>
          <w:rFonts w:cs="Times New Roman"/>
          <w:snapToGrid w:val="0"/>
          <w:kern w:val="22"/>
          <w:szCs w:val="22"/>
          <w:lang w:val="fr-CA"/>
        </w:rPr>
        <w:t xml:space="preserve">OVM destinés </w:t>
      </w:r>
      <w:r w:rsidR="00090306">
        <w:rPr>
          <w:rFonts w:cs="Times New Roman"/>
          <w:snapToGrid w:val="0"/>
          <w:kern w:val="22"/>
          <w:szCs w:val="22"/>
          <w:lang w:val="fr-CA"/>
        </w:rPr>
        <w:t>à être utilisés directement pour</w:t>
      </w:r>
      <w:r w:rsidR="00F3779A" w:rsidRPr="00115221">
        <w:rPr>
          <w:rFonts w:cs="Times New Roman"/>
          <w:snapToGrid w:val="0"/>
          <w:kern w:val="22"/>
          <w:szCs w:val="22"/>
          <w:lang w:val="fr-CA"/>
        </w:rPr>
        <w:t xml:space="preserve"> </w:t>
      </w:r>
      <w:r w:rsidR="00CB4A19">
        <w:rPr>
          <w:rFonts w:cs="Times New Roman"/>
          <w:snapToGrid w:val="0"/>
          <w:kern w:val="22"/>
          <w:szCs w:val="22"/>
          <w:lang w:val="fr-CA"/>
        </w:rPr>
        <w:t>l’alimentation</w:t>
      </w:r>
      <w:r w:rsidR="00F3779A" w:rsidRPr="00115221">
        <w:rPr>
          <w:rFonts w:cs="Times New Roman"/>
          <w:snapToGrid w:val="0"/>
          <w:kern w:val="22"/>
          <w:szCs w:val="22"/>
          <w:lang w:val="fr-CA"/>
        </w:rPr>
        <w:t xml:space="preserve"> h</w:t>
      </w:r>
      <w:r w:rsidRPr="00115221">
        <w:rPr>
          <w:rFonts w:cs="Times New Roman"/>
          <w:snapToGrid w:val="0"/>
          <w:kern w:val="22"/>
          <w:szCs w:val="22"/>
          <w:lang w:val="fr-CA"/>
        </w:rPr>
        <w:t>umaine ou anima</w:t>
      </w:r>
      <w:r w:rsidR="00F3779A" w:rsidRPr="00115221">
        <w:rPr>
          <w:rFonts w:cs="Times New Roman"/>
          <w:snapToGrid w:val="0"/>
          <w:kern w:val="22"/>
          <w:szCs w:val="22"/>
          <w:lang w:val="fr-CA"/>
        </w:rPr>
        <w:t>le ou la transformation), 55 p. </w:t>
      </w:r>
      <w:r w:rsidRPr="00115221">
        <w:rPr>
          <w:rFonts w:cs="Times New Roman"/>
          <w:snapToGrid w:val="0"/>
          <w:kern w:val="22"/>
          <w:szCs w:val="22"/>
          <w:lang w:val="fr-CA"/>
        </w:rPr>
        <w:t>cent des Parties (51 Parties)</w:t>
      </w:r>
      <w:r w:rsidR="00F3779A" w:rsidRPr="00115221">
        <w:rPr>
          <w:rFonts w:cs="Times New Roman"/>
          <w:snapToGrid w:val="0"/>
          <w:kern w:val="22"/>
          <w:szCs w:val="22"/>
          <w:lang w:val="fr-CA"/>
        </w:rPr>
        <w:t xml:space="preserve"> ont déclaré avoir pris des mesures pour exiger que les documents accompagnant les OVM destinés à</w:t>
      </w:r>
      <w:r w:rsidR="002076B0">
        <w:rPr>
          <w:rFonts w:cs="Times New Roman"/>
          <w:snapToGrid w:val="0"/>
          <w:kern w:val="22"/>
          <w:szCs w:val="22"/>
          <w:lang w:val="fr-CA"/>
        </w:rPr>
        <w:t xml:space="preserve"> être utilisés directement pour</w:t>
      </w:r>
      <w:r w:rsidR="00F3779A" w:rsidRPr="00115221">
        <w:rPr>
          <w:rFonts w:cs="Times New Roman"/>
          <w:snapToGrid w:val="0"/>
          <w:kern w:val="22"/>
          <w:szCs w:val="22"/>
          <w:lang w:val="fr-CA"/>
        </w:rPr>
        <w:t xml:space="preserve"> l’alimentation humaine ou animale ou la transformation </w:t>
      </w:r>
      <w:r w:rsidR="00B560C5">
        <w:rPr>
          <w:rFonts w:cs="Times New Roman"/>
          <w:snapToGrid w:val="0"/>
          <w:kern w:val="22"/>
          <w:szCs w:val="22"/>
          <w:lang w:val="fr-CA"/>
        </w:rPr>
        <w:t>indiquent</w:t>
      </w:r>
      <w:r w:rsidR="00F3779A" w:rsidRPr="00115221">
        <w:rPr>
          <w:rFonts w:cs="Times New Roman"/>
          <w:snapToGrid w:val="0"/>
          <w:kern w:val="22"/>
          <w:szCs w:val="22"/>
          <w:lang w:val="fr-CA"/>
        </w:rPr>
        <w:t xml:space="preserve"> clairement qu’ils peuvent contenir des OVM non destinés à l’introduction dans l’environnement, </w:t>
      </w:r>
      <w:r w:rsidR="006B0742" w:rsidRPr="00115221">
        <w:rPr>
          <w:rFonts w:cs="Times New Roman"/>
          <w:snapToGrid w:val="0"/>
          <w:kern w:val="22"/>
          <w:szCs w:val="22"/>
          <w:lang w:val="fr-CA"/>
        </w:rPr>
        <w:t xml:space="preserve">lorsque l’identité des OVM est inconnue, </w:t>
      </w:r>
      <w:r w:rsidR="00F3779A" w:rsidRPr="00115221">
        <w:rPr>
          <w:rFonts w:cs="Times New Roman"/>
          <w:snapToGrid w:val="0"/>
          <w:kern w:val="22"/>
          <w:szCs w:val="22"/>
          <w:lang w:val="fr-CA"/>
        </w:rPr>
        <w:t>ce qui représente une augmentation de 11 p. cent par rapport à la valeur de référence (</w:t>
      </w:r>
      <w:r w:rsidR="00E452A6">
        <w:rPr>
          <w:rFonts w:cs="Times New Roman"/>
          <w:snapToGrid w:val="0"/>
          <w:kern w:val="22"/>
          <w:szCs w:val="22"/>
          <w:lang w:val="fr-CA"/>
        </w:rPr>
        <w:t>les différences régionales sont réparties comme suit</w:t>
      </w:r>
      <w:r w:rsidR="00AC30F6" w:rsidRPr="00115221">
        <w:rPr>
          <w:rFonts w:cs="Times New Roman"/>
          <w:snapToGrid w:val="0"/>
          <w:kern w:val="22"/>
          <w:szCs w:val="22"/>
          <w:lang w:val="fr-CA"/>
        </w:rPr>
        <w:t> :</w:t>
      </w:r>
      <w:r w:rsidR="00F3779A" w:rsidRPr="00115221">
        <w:rPr>
          <w:rFonts w:cs="Times New Roman"/>
          <w:snapToGrid w:val="0"/>
          <w:kern w:val="22"/>
          <w:szCs w:val="22"/>
          <w:lang w:val="fr-CA"/>
        </w:rPr>
        <w:t xml:space="preserve"> </w:t>
      </w:r>
      <w:r w:rsidR="00E452A6">
        <w:rPr>
          <w:rFonts w:cs="Times New Roman"/>
          <w:snapToGrid w:val="0"/>
          <w:kern w:val="22"/>
          <w:szCs w:val="22"/>
          <w:lang w:val="fr-CA"/>
        </w:rPr>
        <w:t>Afrique : +23 p. cent; GALC : +</w:t>
      </w:r>
      <w:r w:rsidR="00AC30F6" w:rsidRPr="00115221">
        <w:rPr>
          <w:rFonts w:cs="Times New Roman"/>
          <w:snapToGrid w:val="0"/>
          <w:kern w:val="22"/>
          <w:szCs w:val="22"/>
          <w:lang w:val="fr-CA"/>
        </w:rPr>
        <w:t>8  p. cent</w:t>
      </w:r>
      <w:r w:rsidR="00E452A6">
        <w:rPr>
          <w:rFonts w:cs="Times New Roman"/>
          <w:snapToGrid w:val="0"/>
          <w:kern w:val="22"/>
          <w:szCs w:val="22"/>
          <w:lang w:val="fr-CA"/>
        </w:rPr>
        <w:t>;</w:t>
      </w:r>
      <w:r w:rsidR="00AC30F6" w:rsidRPr="00115221">
        <w:rPr>
          <w:rFonts w:cs="Times New Roman"/>
          <w:snapToGrid w:val="0"/>
          <w:kern w:val="22"/>
          <w:szCs w:val="22"/>
          <w:lang w:val="fr-CA"/>
        </w:rPr>
        <w:t xml:space="preserve"> Asie-Pacifique : + 6p. cent; ECE : +6 p. cent, EOA : aucune différence par rapport à la valeur de référence</w:t>
      </w:r>
      <w:r w:rsidR="004569FB" w:rsidRPr="00115221">
        <w:rPr>
          <w:rFonts w:cs="Times New Roman"/>
          <w:bCs/>
          <w:snapToGrid w:val="0"/>
          <w:kern w:val="22"/>
          <w:szCs w:val="22"/>
          <w:lang w:val="fr-CA"/>
        </w:rPr>
        <w:t xml:space="preserve">). </w:t>
      </w:r>
      <w:r w:rsidR="00AC30F6" w:rsidRPr="00115221">
        <w:rPr>
          <w:rFonts w:cs="Times New Roman"/>
          <w:bCs/>
          <w:snapToGrid w:val="0"/>
          <w:kern w:val="22"/>
          <w:szCs w:val="22"/>
          <w:lang w:val="fr-CA"/>
        </w:rPr>
        <w:t xml:space="preserve">De plus, 16 p. cent des Parties (15 Parties) ont déclaré avoir mis ces </w:t>
      </w:r>
      <w:r w:rsidR="00450B12">
        <w:rPr>
          <w:rFonts w:cs="Times New Roman"/>
          <w:bCs/>
          <w:snapToGrid w:val="0"/>
          <w:kern w:val="22"/>
          <w:szCs w:val="22"/>
          <w:lang w:val="fr-CA"/>
        </w:rPr>
        <w:t>exigences</w:t>
      </w:r>
      <w:r w:rsidR="00AC30F6" w:rsidRPr="00115221">
        <w:rPr>
          <w:rFonts w:cs="Times New Roman"/>
          <w:bCs/>
          <w:snapToGrid w:val="0"/>
          <w:kern w:val="22"/>
          <w:szCs w:val="22"/>
          <w:lang w:val="fr-CA"/>
        </w:rPr>
        <w:t xml:space="preserve"> en place dans une certaine mesure.</w:t>
      </w:r>
    </w:p>
    <w:p w14:paraId="24309F31" w14:textId="7F553F20" w:rsidR="004569FB" w:rsidRPr="00115221" w:rsidRDefault="00AC30F6" w:rsidP="00B44100">
      <w:pPr>
        <w:pStyle w:val="ListParagraph"/>
        <w:numPr>
          <w:ilvl w:val="0"/>
          <w:numId w:val="9"/>
        </w:numPr>
        <w:tabs>
          <w:tab w:val="clear" w:pos="3240"/>
        </w:tabs>
        <w:snapToGrid w:val="0"/>
        <w:spacing w:before="120" w:after="120"/>
        <w:ind w:left="0" w:firstLine="0"/>
        <w:contextualSpacing w:val="0"/>
        <w:rPr>
          <w:rFonts w:cs="Times New Roman"/>
          <w:snapToGrid w:val="0"/>
          <w:kern w:val="22"/>
          <w:szCs w:val="22"/>
          <w:lang w:val="fr-CA"/>
        </w:rPr>
      </w:pPr>
      <w:r w:rsidRPr="00115221">
        <w:rPr>
          <w:rFonts w:cs="Times New Roman"/>
          <w:bCs/>
          <w:snapToGrid w:val="0"/>
          <w:kern w:val="22"/>
          <w:szCs w:val="22"/>
          <w:lang w:val="fr-CA"/>
        </w:rPr>
        <w:t>Soixante-deux p. cent des Parties (58 Parties)</w:t>
      </w:r>
      <w:r w:rsidR="00F64F99" w:rsidRPr="00115221">
        <w:rPr>
          <w:rFonts w:cs="Times New Roman"/>
          <w:bCs/>
          <w:snapToGrid w:val="0"/>
          <w:kern w:val="22"/>
          <w:szCs w:val="22"/>
          <w:lang w:val="fr-CA"/>
        </w:rPr>
        <w:t xml:space="preserve"> ont déclaré avoir p</w:t>
      </w:r>
      <w:r w:rsidR="00551D0C" w:rsidRPr="00115221">
        <w:rPr>
          <w:rFonts w:cs="Times New Roman"/>
          <w:bCs/>
          <w:snapToGrid w:val="0"/>
          <w:kern w:val="22"/>
          <w:szCs w:val="22"/>
          <w:lang w:val="fr-CA"/>
        </w:rPr>
        <w:t xml:space="preserve">ris des mesures </w:t>
      </w:r>
      <w:r w:rsidR="00DF5DC3">
        <w:rPr>
          <w:rFonts w:cs="Times New Roman"/>
          <w:bCs/>
          <w:snapToGrid w:val="0"/>
          <w:kern w:val="22"/>
          <w:szCs w:val="22"/>
          <w:lang w:val="fr-CA"/>
        </w:rPr>
        <w:t>pour exiger</w:t>
      </w:r>
      <w:r w:rsidR="00F64F99" w:rsidRPr="00115221">
        <w:rPr>
          <w:rFonts w:cs="Times New Roman"/>
          <w:bCs/>
          <w:snapToGrid w:val="0"/>
          <w:kern w:val="22"/>
          <w:szCs w:val="22"/>
          <w:lang w:val="fr-CA"/>
        </w:rPr>
        <w:t xml:space="preserve"> que les documents accompagnant les OVM destinés </w:t>
      </w:r>
      <w:r w:rsidR="002076B0">
        <w:rPr>
          <w:rFonts w:cs="Times New Roman"/>
          <w:bCs/>
          <w:snapToGrid w:val="0"/>
          <w:kern w:val="22"/>
          <w:szCs w:val="22"/>
          <w:lang w:val="fr-CA"/>
        </w:rPr>
        <w:t xml:space="preserve">à </w:t>
      </w:r>
      <w:r w:rsidR="000C14FB">
        <w:rPr>
          <w:rFonts w:cs="Times New Roman"/>
          <w:bCs/>
          <w:snapToGrid w:val="0"/>
          <w:kern w:val="22"/>
          <w:szCs w:val="22"/>
          <w:lang w:val="fr-CA"/>
        </w:rPr>
        <w:t>être utilisés directement pour</w:t>
      </w:r>
      <w:r w:rsidR="002076B0">
        <w:rPr>
          <w:rFonts w:cs="Times New Roman"/>
          <w:bCs/>
          <w:snapToGrid w:val="0"/>
          <w:kern w:val="22"/>
          <w:szCs w:val="22"/>
          <w:lang w:val="fr-CA"/>
        </w:rPr>
        <w:t xml:space="preserve"> </w:t>
      </w:r>
      <w:r w:rsidR="00F64F99" w:rsidRPr="00115221">
        <w:rPr>
          <w:rFonts w:cs="Times New Roman"/>
          <w:bCs/>
          <w:snapToGrid w:val="0"/>
          <w:kern w:val="22"/>
          <w:szCs w:val="22"/>
          <w:lang w:val="fr-CA"/>
        </w:rPr>
        <w:t xml:space="preserve">l’alimentation humaine ou animale ou </w:t>
      </w:r>
      <w:r w:rsidR="006B0742">
        <w:rPr>
          <w:rFonts w:cs="Times New Roman"/>
          <w:bCs/>
          <w:snapToGrid w:val="0"/>
          <w:kern w:val="22"/>
          <w:szCs w:val="22"/>
          <w:lang w:val="fr-CA"/>
        </w:rPr>
        <w:t>la transformation</w:t>
      </w:r>
      <w:r w:rsidR="00F64F99" w:rsidRPr="00115221">
        <w:rPr>
          <w:rFonts w:cs="Times New Roman"/>
          <w:bCs/>
          <w:snapToGrid w:val="0"/>
          <w:kern w:val="22"/>
          <w:szCs w:val="22"/>
          <w:lang w:val="fr-CA"/>
        </w:rPr>
        <w:t xml:space="preserve"> </w:t>
      </w:r>
      <w:r w:rsidR="006B0742">
        <w:rPr>
          <w:rFonts w:cs="Times New Roman"/>
          <w:bCs/>
          <w:snapToGrid w:val="0"/>
          <w:kern w:val="22"/>
          <w:szCs w:val="22"/>
          <w:lang w:val="fr-CA"/>
        </w:rPr>
        <w:t>indiquent</w:t>
      </w:r>
      <w:r w:rsidR="00F64F99" w:rsidRPr="00115221">
        <w:rPr>
          <w:rFonts w:cs="Times New Roman"/>
          <w:bCs/>
          <w:snapToGrid w:val="0"/>
          <w:kern w:val="22"/>
          <w:szCs w:val="22"/>
          <w:lang w:val="fr-CA"/>
        </w:rPr>
        <w:t xml:space="preserve"> clairement qu’ils contiennent des OVM</w:t>
      </w:r>
      <w:r w:rsidR="006B0742">
        <w:rPr>
          <w:rFonts w:cs="Times New Roman"/>
          <w:bCs/>
          <w:snapToGrid w:val="0"/>
          <w:kern w:val="22"/>
          <w:szCs w:val="22"/>
          <w:lang w:val="fr-CA"/>
        </w:rPr>
        <w:t xml:space="preserve">, </w:t>
      </w:r>
      <w:r w:rsidR="006B0742" w:rsidRPr="00115221">
        <w:rPr>
          <w:rFonts w:cs="Times New Roman"/>
          <w:bCs/>
          <w:snapToGrid w:val="0"/>
          <w:kern w:val="22"/>
          <w:szCs w:val="22"/>
          <w:lang w:val="fr-CA"/>
        </w:rPr>
        <w:t xml:space="preserve">lorsque l’identité des OVM est connue, </w:t>
      </w:r>
      <w:r w:rsidR="00F64F99" w:rsidRPr="00115221">
        <w:rPr>
          <w:rFonts w:cs="Times New Roman"/>
          <w:bCs/>
          <w:snapToGrid w:val="0"/>
          <w:kern w:val="22"/>
          <w:szCs w:val="22"/>
          <w:lang w:val="fr-CA"/>
        </w:rPr>
        <w:t xml:space="preserve">et qu’ils ne sont pas destinés </w:t>
      </w:r>
      <w:r w:rsidR="00551D0C" w:rsidRPr="00115221">
        <w:rPr>
          <w:rFonts w:cs="Times New Roman"/>
          <w:bCs/>
          <w:snapToGrid w:val="0"/>
          <w:kern w:val="22"/>
          <w:szCs w:val="22"/>
          <w:lang w:val="fr-CA"/>
        </w:rPr>
        <w:t>une introducti</w:t>
      </w:r>
      <w:r w:rsidR="00F64F99" w:rsidRPr="00115221">
        <w:rPr>
          <w:rFonts w:cs="Times New Roman"/>
          <w:bCs/>
          <w:snapToGrid w:val="0"/>
          <w:kern w:val="22"/>
          <w:szCs w:val="22"/>
          <w:lang w:val="fr-CA"/>
        </w:rPr>
        <w:t xml:space="preserve">on intentionnelle dans l’environnement, ainsi que le point de contact pour de plus amples renseignements. Cela représente une augmentation de 15 p. cent par rapport </w:t>
      </w:r>
      <w:r w:rsidR="00551D0C" w:rsidRPr="00115221">
        <w:rPr>
          <w:rFonts w:cs="Times New Roman"/>
          <w:bCs/>
          <w:snapToGrid w:val="0"/>
          <w:kern w:val="22"/>
          <w:szCs w:val="22"/>
          <w:lang w:val="fr-CA"/>
        </w:rPr>
        <w:t>à</w:t>
      </w:r>
      <w:r w:rsidR="00F64F99" w:rsidRPr="00115221">
        <w:rPr>
          <w:rFonts w:cs="Times New Roman"/>
          <w:bCs/>
          <w:snapToGrid w:val="0"/>
          <w:kern w:val="22"/>
          <w:szCs w:val="22"/>
          <w:lang w:val="fr-CA"/>
        </w:rPr>
        <w:t xml:space="preserve"> la valeur de référence (</w:t>
      </w:r>
      <w:r w:rsidR="00DF5DC3">
        <w:rPr>
          <w:rFonts w:cs="Times New Roman"/>
          <w:snapToGrid w:val="0"/>
          <w:kern w:val="22"/>
          <w:szCs w:val="22"/>
          <w:lang w:val="fr-CA"/>
        </w:rPr>
        <w:t>les différences régionales sont réparties comme suit</w:t>
      </w:r>
      <w:r w:rsidR="00DF5DC3" w:rsidRPr="00115221">
        <w:rPr>
          <w:rFonts w:cs="Times New Roman"/>
          <w:snapToGrid w:val="0"/>
          <w:kern w:val="22"/>
          <w:szCs w:val="22"/>
          <w:lang w:val="fr-CA"/>
        </w:rPr>
        <w:t> </w:t>
      </w:r>
      <w:r w:rsidR="00F64F99" w:rsidRPr="00115221">
        <w:rPr>
          <w:rFonts w:cs="Times New Roman"/>
          <w:bCs/>
          <w:snapToGrid w:val="0"/>
          <w:kern w:val="22"/>
          <w:szCs w:val="22"/>
          <w:lang w:val="fr-CA"/>
        </w:rPr>
        <w:t>: Afrique</w:t>
      </w:r>
      <w:r w:rsidR="00DF5DC3">
        <w:rPr>
          <w:rFonts w:cs="Times New Roman"/>
          <w:bCs/>
          <w:snapToGrid w:val="0"/>
          <w:kern w:val="22"/>
          <w:szCs w:val="22"/>
          <w:lang w:val="fr-CA"/>
        </w:rPr>
        <w:t> : +30 p. cent; GALC : +23 p. cent;</w:t>
      </w:r>
      <w:r w:rsidR="00551D0C" w:rsidRPr="00115221">
        <w:rPr>
          <w:rFonts w:cs="Times New Roman"/>
          <w:bCs/>
          <w:snapToGrid w:val="0"/>
          <w:kern w:val="22"/>
          <w:szCs w:val="22"/>
          <w:lang w:val="fr-CA"/>
        </w:rPr>
        <w:t xml:space="preserve"> ECE : </w:t>
      </w:r>
      <w:r w:rsidR="00DF5DC3">
        <w:rPr>
          <w:rFonts w:cs="Times New Roman"/>
          <w:bCs/>
          <w:snapToGrid w:val="0"/>
          <w:kern w:val="22"/>
          <w:szCs w:val="22"/>
          <w:lang w:val="fr-CA"/>
        </w:rPr>
        <w:t>+13 p. cent;</w:t>
      </w:r>
      <w:r w:rsidR="00551D0C" w:rsidRPr="00115221">
        <w:rPr>
          <w:rFonts w:cs="Times New Roman"/>
          <w:bCs/>
          <w:snapToGrid w:val="0"/>
          <w:kern w:val="22"/>
          <w:szCs w:val="22"/>
          <w:lang w:val="fr-CA"/>
        </w:rPr>
        <w:t xml:space="preserve"> Asie-Pacifique et OEA : aucune différence par rapport à la valeur de référence). Seize p. cent de plus des Parties (15 Parties) ont indiqué </w:t>
      </w:r>
      <w:r w:rsidR="00DF5DC3">
        <w:rPr>
          <w:rFonts w:cs="Times New Roman"/>
          <w:bCs/>
          <w:snapToGrid w:val="0"/>
          <w:kern w:val="22"/>
          <w:szCs w:val="22"/>
          <w:lang w:val="fr-CA"/>
        </w:rPr>
        <w:t>imposer de telles exigences</w:t>
      </w:r>
      <w:r w:rsidR="00551D0C" w:rsidRPr="00115221">
        <w:rPr>
          <w:rFonts w:cs="Times New Roman"/>
          <w:bCs/>
          <w:snapToGrid w:val="0"/>
          <w:kern w:val="22"/>
          <w:szCs w:val="22"/>
          <w:lang w:val="fr-CA"/>
        </w:rPr>
        <w:t xml:space="preserve">, </w:t>
      </w:r>
      <w:r w:rsidR="00410688">
        <w:rPr>
          <w:rFonts w:cs="Times New Roman"/>
          <w:bCs/>
          <w:snapToGrid w:val="0"/>
          <w:kern w:val="22"/>
          <w:szCs w:val="22"/>
          <w:lang w:val="fr-CA"/>
        </w:rPr>
        <w:t>dans une certaine mesure</w:t>
      </w:r>
      <w:r w:rsidR="00551D0C" w:rsidRPr="00115221">
        <w:rPr>
          <w:rFonts w:cs="Times New Roman"/>
          <w:bCs/>
          <w:snapToGrid w:val="0"/>
          <w:kern w:val="22"/>
          <w:szCs w:val="22"/>
          <w:lang w:val="fr-CA"/>
        </w:rPr>
        <w:t>, une diminution de 1 p. cent (voir la figure 4).</w:t>
      </w:r>
    </w:p>
    <w:p w14:paraId="7857EC18" w14:textId="3663BF42" w:rsidR="004569FB" w:rsidRPr="00115221" w:rsidRDefault="001F6A95" w:rsidP="00B44100">
      <w:pPr>
        <w:pStyle w:val="ListParagraph"/>
        <w:numPr>
          <w:ilvl w:val="0"/>
          <w:numId w:val="9"/>
        </w:numPr>
        <w:tabs>
          <w:tab w:val="clear" w:pos="3240"/>
        </w:tabs>
        <w:snapToGrid w:val="0"/>
        <w:spacing w:before="120" w:after="120"/>
        <w:ind w:left="0" w:firstLine="0"/>
        <w:contextualSpacing w:val="0"/>
        <w:rPr>
          <w:rFonts w:cs="Times New Roman"/>
          <w:bCs/>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1.6.2</w:t>
      </w:r>
      <w:r w:rsidRPr="00115221">
        <w:rPr>
          <w:rFonts w:cs="Times New Roman"/>
          <w:snapToGrid w:val="0"/>
          <w:kern w:val="22"/>
          <w:szCs w:val="22"/>
          <w:lang w:val="fr-CA"/>
        </w:rPr>
        <w:t xml:space="preserve"> (pourcentage des Parties exigeant que les documents relatifs aux OVM contiennent des précisions au sujet de l’utilisation </w:t>
      </w:r>
      <w:r w:rsidR="00891315" w:rsidRPr="00115221">
        <w:rPr>
          <w:rFonts w:cs="Times New Roman"/>
          <w:snapToGrid w:val="0"/>
          <w:kern w:val="22"/>
          <w:szCs w:val="22"/>
          <w:lang w:val="fr-CA"/>
        </w:rPr>
        <w:t>restreinte</w:t>
      </w:r>
      <w:r w:rsidRPr="00115221">
        <w:rPr>
          <w:rFonts w:cs="Times New Roman"/>
          <w:snapToGrid w:val="0"/>
          <w:kern w:val="22"/>
          <w:szCs w:val="22"/>
          <w:lang w:val="fr-CA"/>
        </w:rPr>
        <w:t xml:space="preserve"> et l’introduction intentionnelle dans l’environnement), 63 p. cent des Parties (59 Parties) ont déclaré avoir mis en </w:t>
      </w:r>
      <w:r w:rsidR="00B1772C" w:rsidRPr="00115221">
        <w:rPr>
          <w:rFonts w:cs="Times New Roman"/>
          <w:snapToGrid w:val="0"/>
          <w:kern w:val="22"/>
          <w:szCs w:val="22"/>
          <w:lang w:val="fr-CA"/>
        </w:rPr>
        <w:t>place de</w:t>
      </w:r>
      <w:r w:rsidRPr="00115221">
        <w:rPr>
          <w:rFonts w:cs="Times New Roman"/>
          <w:snapToGrid w:val="0"/>
          <w:kern w:val="22"/>
          <w:szCs w:val="22"/>
          <w:lang w:val="fr-CA"/>
        </w:rPr>
        <w:t>s</w:t>
      </w:r>
      <w:r w:rsidR="00B1772C" w:rsidRPr="00115221">
        <w:rPr>
          <w:rFonts w:cs="Times New Roman"/>
          <w:snapToGrid w:val="0"/>
          <w:kern w:val="22"/>
          <w:szCs w:val="22"/>
          <w:lang w:val="fr-CA"/>
        </w:rPr>
        <w:t xml:space="preserve"> </w:t>
      </w:r>
      <w:r w:rsidRPr="00115221">
        <w:rPr>
          <w:rFonts w:cs="Times New Roman"/>
          <w:snapToGrid w:val="0"/>
          <w:kern w:val="22"/>
          <w:szCs w:val="22"/>
          <w:lang w:val="fr-CA"/>
        </w:rPr>
        <w:t xml:space="preserve">mesures exigeant que les documents accompagnant les OVM destinés à une utilisation </w:t>
      </w:r>
      <w:r w:rsidR="00891315" w:rsidRPr="00115221">
        <w:rPr>
          <w:rFonts w:cs="Times New Roman"/>
          <w:snapToGrid w:val="0"/>
          <w:kern w:val="22"/>
          <w:szCs w:val="22"/>
          <w:lang w:val="fr-CA"/>
        </w:rPr>
        <w:t>restreinte</w:t>
      </w:r>
      <w:r w:rsidRPr="00115221">
        <w:rPr>
          <w:rFonts w:cs="Times New Roman"/>
          <w:snapToGrid w:val="0"/>
          <w:kern w:val="22"/>
          <w:szCs w:val="22"/>
          <w:lang w:val="fr-CA"/>
        </w:rPr>
        <w:t xml:space="preserve"> les identifient </w:t>
      </w:r>
      <w:r w:rsidR="003B5D43">
        <w:rPr>
          <w:rFonts w:cs="Times New Roman"/>
          <w:snapToGrid w:val="0"/>
          <w:kern w:val="22"/>
          <w:szCs w:val="22"/>
          <w:lang w:val="fr-CA"/>
        </w:rPr>
        <w:t xml:space="preserve">clairement </w:t>
      </w:r>
      <w:r w:rsidRPr="00115221">
        <w:rPr>
          <w:rFonts w:cs="Times New Roman"/>
          <w:snapToGrid w:val="0"/>
          <w:kern w:val="22"/>
          <w:szCs w:val="22"/>
          <w:lang w:val="fr-CA"/>
        </w:rPr>
        <w:t xml:space="preserve">comme des OVM et précisent </w:t>
      </w:r>
      <w:r w:rsidR="00B1772C" w:rsidRPr="00115221">
        <w:rPr>
          <w:rFonts w:cs="Times New Roman"/>
          <w:snapToGrid w:val="0"/>
          <w:kern w:val="22"/>
          <w:szCs w:val="22"/>
          <w:lang w:val="fr-CA"/>
        </w:rPr>
        <w:t>les exigences co</w:t>
      </w:r>
      <w:r w:rsidRPr="00115221">
        <w:rPr>
          <w:rFonts w:cs="Times New Roman"/>
          <w:snapToGrid w:val="0"/>
          <w:kern w:val="22"/>
          <w:szCs w:val="22"/>
          <w:lang w:val="fr-CA"/>
        </w:rPr>
        <w:t>n</w:t>
      </w:r>
      <w:r w:rsidR="00B1772C" w:rsidRPr="00115221">
        <w:rPr>
          <w:rFonts w:cs="Times New Roman"/>
          <w:snapToGrid w:val="0"/>
          <w:kern w:val="22"/>
          <w:szCs w:val="22"/>
          <w:lang w:val="fr-CA"/>
        </w:rPr>
        <w:t>c</w:t>
      </w:r>
      <w:r w:rsidRPr="00115221">
        <w:rPr>
          <w:rFonts w:cs="Times New Roman"/>
          <w:snapToGrid w:val="0"/>
          <w:kern w:val="22"/>
          <w:szCs w:val="22"/>
          <w:lang w:val="fr-CA"/>
        </w:rPr>
        <w:t>ernant la manipulation, l’entreposage, le transport et l’</w:t>
      </w:r>
      <w:r w:rsidRPr="00115221">
        <w:rPr>
          <w:rFonts w:eastAsia="Times New Roman" w:cs="Times New Roman"/>
          <w:snapToGrid w:val="0"/>
          <w:kern w:val="22"/>
          <w:szCs w:val="22"/>
          <w:lang w:val="fr-CA"/>
        </w:rPr>
        <w:t>utilisation</w:t>
      </w:r>
      <w:r w:rsidRPr="00115221">
        <w:rPr>
          <w:rFonts w:cs="Times New Roman"/>
          <w:snapToGrid w:val="0"/>
          <w:kern w:val="22"/>
          <w:szCs w:val="22"/>
          <w:lang w:val="fr-CA"/>
        </w:rPr>
        <w:t xml:space="preserve">, </w:t>
      </w:r>
      <w:r w:rsidR="00450B12">
        <w:rPr>
          <w:rFonts w:cs="Times New Roman"/>
          <w:snapToGrid w:val="0"/>
          <w:kern w:val="22"/>
          <w:szCs w:val="22"/>
          <w:lang w:val="fr-CA"/>
        </w:rPr>
        <w:t xml:space="preserve">et </w:t>
      </w:r>
      <w:r w:rsidRPr="00115221">
        <w:rPr>
          <w:rFonts w:cs="Times New Roman"/>
          <w:snapToGrid w:val="0"/>
          <w:kern w:val="22"/>
          <w:szCs w:val="22"/>
          <w:lang w:val="fr-CA"/>
        </w:rPr>
        <w:t>le poi</w:t>
      </w:r>
      <w:r w:rsidR="00B1772C" w:rsidRPr="00115221">
        <w:rPr>
          <w:rFonts w:cs="Times New Roman"/>
          <w:snapToGrid w:val="0"/>
          <w:kern w:val="22"/>
          <w:szCs w:val="22"/>
          <w:lang w:val="fr-CA"/>
        </w:rPr>
        <w:t>nt de contact pou</w:t>
      </w:r>
      <w:r w:rsidRPr="00115221">
        <w:rPr>
          <w:rFonts w:cs="Times New Roman"/>
          <w:snapToGrid w:val="0"/>
          <w:kern w:val="22"/>
          <w:szCs w:val="22"/>
          <w:lang w:val="fr-CA"/>
        </w:rPr>
        <w:t xml:space="preserve">r de plus amples renseignements, </w:t>
      </w:r>
      <w:r w:rsidR="00450B12">
        <w:rPr>
          <w:rFonts w:cs="Times New Roman"/>
          <w:snapToGrid w:val="0"/>
          <w:kern w:val="22"/>
          <w:szCs w:val="22"/>
          <w:lang w:val="fr-CA"/>
        </w:rPr>
        <w:t>à savoir</w:t>
      </w:r>
      <w:r w:rsidRPr="00115221">
        <w:rPr>
          <w:rFonts w:cs="Times New Roman"/>
          <w:snapToGrid w:val="0"/>
          <w:kern w:val="22"/>
          <w:szCs w:val="22"/>
          <w:lang w:val="fr-CA"/>
        </w:rPr>
        <w:t xml:space="preserve"> le nom et l’</w:t>
      </w:r>
      <w:r w:rsidR="00B1772C" w:rsidRPr="00115221">
        <w:rPr>
          <w:rFonts w:cs="Times New Roman"/>
          <w:snapToGrid w:val="0"/>
          <w:kern w:val="22"/>
          <w:szCs w:val="22"/>
          <w:lang w:val="fr-CA"/>
        </w:rPr>
        <w:t>adresse de la perso</w:t>
      </w:r>
      <w:r w:rsidRPr="00115221">
        <w:rPr>
          <w:rFonts w:cs="Times New Roman"/>
          <w:snapToGrid w:val="0"/>
          <w:kern w:val="22"/>
          <w:szCs w:val="22"/>
          <w:lang w:val="fr-CA"/>
        </w:rPr>
        <w:t>nne et de l’</w:t>
      </w:r>
      <w:r w:rsidR="00B1772C" w:rsidRPr="00115221">
        <w:rPr>
          <w:rFonts w:cs="Times New Roman"/>
          <w:snapToGrid w:val="0"/>
          <w:kern w:val="22"/>
          <w:szCs w:val="22"/>
          <w:lang w:val="fr-CA"/>
        </w:rPr>
        <w:t>institution auxquel</w:t>
      </w:r>
      <w:r w:rsidRPr="00115221">
        <w:rPr>
          <w:rFonts w:cs="Times New Roman"/>
          <w:snapToGrid w:val="0"/>
          <w:kern w:val="22"/>
          <w:szCs w:val="22"/>
          <w:lang w:val="fr-CA"/>
        </w:rPr>
        <w:t>s les OVM sont destinés. Cela représente une augmentation de 9 p. cent par rap</w:t>
      </w:r>
      <w:r w:rsidR="00B1772C" w:rsidRPr="00115221">
        <w:rPr>
          <w:rFonts w:cs="Times New Roman"/>
          <w:snapToGrid w:val="0"/>
          <w:kern w:val="22"/>
          <w:szCs w:val="22"/>
          <w:lang w:val="fr-CA"/>
        </w:rPr>
        <w:t>p</w:t>
      </w:r>
      <w:r w:rsidRPr="00115221">
        <w:rPr>
          <w:rFonts w:cs="Times New Roman"/>
          <w:snapToGrid w:val="0"/>
          <w:kern w:val="22"/>
          <w:szCs w:val="22"/>
          <w:lang w:val="fr-CA"/>
        </w:rPr>
        <w:t xml:space="preserve">ort à la valeur de référence (répartie </w:t>
      </w:r>
      <w:r w:rsidR="00450B12">
        <w:rPr>
          <w:rFonts w:cs="Times New Roman"/>
          <w:snapToGrid w:val="0"/>
          <w:kern w:val="22"/>
          <w:szCs w:val="22"/>
          <w:lang w:val="fr-CA"/>
        </w:rPr>
        <w:t>par région</w:t>
      </w:r>
      <w:r w:rsidRPr="00115221">
        <w:rPr>
          <w:rFonts w:cs="Times New Roman"/>
          <w:snapToGrid w:val="0"/>
          <w:kern w:val="22"/>
          <w:szCs w:val="22"/>
          <w:lang w:val="fr-CA"/>
        </w:rPr>
        <w:t xml:space="preserve"> comme suit : Afrique : +27 p. cent</w:t>
      </w:r>
      <w:r w:rsidR="00450B12">
        <w:rPr>
          <w:rFonts w:cs="Times New Roman"/>
          <w:snapToGrid w:val="0"/>
          <w:kern w:val="22"/>
          <w:szCs w:val="22"/>
          <w:lang w:val="fr-CA"/>
        </w:rPr>
        <w:t>;</w:t>
      </w:r>
      <w:r w:rsidRPr="00115221">
        <w:rPr>
          <w:rFonts w:cs="Times New Roman"/>
          <w:snapToGrid w:val="0"/>
          <w:kern w:val="22"/>
          <w:szCs w:val="22"/>
          <w:lang w:val="fr-CA"/>
        </w:rPr>
        <w:t xml:space="preserve"> ECE : +19 p. cent</w:t>
      </w:r>
      <w:r w:rsidR="00450B12">
        <w:rPr>
          <w:rFonts w:cs="Times New Roman"/>
          <w:snapToGrid w:val="0"/>
          <w:kern w:val="22"/>
          <w:szCs w:val="22"/>
          <w:lang w:val="fr-CA"/>
        </w:rPr>
        <w:t>;</w:t>
      </w:r>
      <w:r w:rsidRPr="00115221">
        <w:rPr>
          <w:rFonts w:cs="Times New Roman"/>
          <w:snapToGrid w:val="0"/>
          <w:kern w:val="22"/>
          <w:szCs w:val="22"/>
          <w:lang w:val="fr-CA"/>
        </w:rPr>
        <w:t xml:space="preserve"> Asie-Pacifique : +6 p. cent; EOA</w:t>
      </w:r>
      <w:r w:rsidR="00B1772C" w:rsidRPr="00115221">
        <w:rPr>
          <w:rFonts w:cs="Times New Roman"/>
          <w:snapToGrid w:val="0"/>
          <w:kern w:val="22"/>
          <w:szCs w:val="22"/>
          <w:lang w:val="fr-CA"/>
        </w:rPr>
        <w:t xml:space="preserve"> : aucune différence par rapport à la valeur de référence; </w:t>
      </w:r>
      <w:r w:rsidR="00450B12">
        <w:rPr>
          <w:rFonts w:cs="Times New Roman"/>
          <w:snapToGrid w:val="0"/>
          <w:kern w:val="22"/>
          <w:szCs w:val="22"/>
          <w:lang w:val="fr-CA"/>
        </w:rPr>
        <w:t>GALC</w:t>
      </w:r>
      <w:r w:rsidR="00B1772C" w:rsidRPr="00115221">
        <w:rPr>
          <w:rFonts w:cs="Times New Roman"/>
          <w:snapToGrid w:val="0"/>
          <w:kern w:val="22"/>
          <w:szCs w:val="22"/>
          <w:lang w:val="fr-CA"/>
        </w:rPr>
        <w:t xml:space="preserve"> : - 23 p. cent). Treize p. cent des Parties (12 Parties) ont déclaré avoir </w:t>
      </w:r>
      <w:r w:rsidR="00450B12">
        <w:rPr>
          <w:rFonts w:cs="Times New Roman"/>
          <w:snapToGrid w:val="0"/>
          <w:kern w:val="22"/>
          <w:szCs w:val="22"/>
          <w:lang w:val="fr-CA"/>
        </w:rPr>
        <w:t>imposé de telles exigences</w:t>
      </w:r>
      <w:r w:rsidR="00B1772C" w:rsidRPr="00115221">
        <w:rPr>
          <w:rFonts w:cs="Times New Roman"/>
          <w:snapToGrid w:val="0"/>
          <w:kern w:val="22"/>
          <w:szCs w:val="22"/>
          <w:lang w:val="fr-CA"/>
        </w:rPr>
        <w:t xml:space="preserve"> </w:t>
      </w:r>
      <w:r w:rsidR="00410688">
        <w:rPr>
          <w:rFonts w:cs="Times New Roman"/>
          <w:snapToGrid w:val="0"/>
          <w:kern w:val="22"/>
          <w:szCs w:val="22"/>
          <w:lang w:val="fr-CA"/>
        </w:rPr>
        <w:t>dans une certaine mesure</w:t>
      </w:r>
      <w:r w:rsidR="00B1772C" w:rsidRPr="00115221">
        <w:rPr>
          <w:rFonts w:cs="Times New Roman"/>
          <w:snapToGrid w:val="0"/>
          <w:kern w:val="22"/>
          <w:szCs w:val="22"/>
          <w:lang w:val="fr-CA"/>
        </w:rPr>
        <w:t>, une diminution de 5 p. cent par rapport à la valeur de référence</w:t>
      </w:r>
      <w:r w:rsidR="00314A07">
        <w:rPr>
          <w:rFonts w:cs="Times New Roman"/>
          <w:snapToGrid w:val="0"/>
          <w:kern w:val="22"/>
          <w:szCs w:val="22"/>
          <w:lang w:val="fr-CA"/>
        </w:rPr>
        <w:t xml:space="preserve"> (voir la figure 4)</w:t>
      </w:r>
      <w:r w:rsidR="003A3DD9" w:rsidRPr="00115221">
        <w:rPr>
          <w:rFonts w:cs="Times New Roman"/>
          <w:bCs/>
          <w:snapToGrid w:val="0"/>
          <w:kern w:val="22"/>
          <w:szCs w:val="22"/>
          <w:lang w:val="fr-CA"/>
        </w:rPr>
        <w:t>.</w:t>
      </w:r>
    </w:p>
    <w:p w14:paraId="600957FE" w14:textId="04216B94" w:rsidR="004569FB" w:rsidRDefault="004569FB" w:rsidP="004569FB">
      <w:pPr>
        <w:pStyle w:val="ListParagraph"/>
        <w:suppressLineNumbers/>
        <w:suppressAutoHyphens/>
        <w:snapToGrid w:val="0"/>
        <w:spacing w:before="120" w:after="120"/>
        <w:ind w:left="0"/>
        <w:contextualSpacing w:val="0"/>
        <w:jc w:val="center"/>
        <w:rPr>
          <w:rFonts w:cs="Times New Roman"/>
          <w:i/>
          <w:iCs/>
          <w:snapToGrid w:val="0"/>
          <w:kern w:val="22"/>
          <w:szCs w:val="22"/>
          <w:lang w:val="fr-CA"/>
        </w:rPr>
      </w:pPr>
    </w:p>
    <w:p w14:paraId="3198DCC2" w14:textId="6377F14A" w:rsidR="00770532" w:rsidRDefault="00770532" w:rsidP="004569FB">
      <w:pPr>
        <w:pStyle w:val="ListParagraph"/>
        <w:suppressLineNumbers/>
        <w:suppressAutoHyphens/>
        <w:snapToGrid w:val="0"/>
        <w:spacing w:before="120" w:after="120"/>
        <w:ind w:left="0"/>
        <w:contextualSpacing w:val="0"/>
        <w:jc w:val="center"/>
        <w:rPr>
          <w:rFonts w:cs="Times New Roman"/>
          <w:snapToGrid w:val="0"/>
          <w:kern w:val="22"/>
          <w:szCs w:val="22"/>
          <w:lang w:val="fr-CA"/>
        </w:rPr>
      </w:pPr>
    </w:p>
    <w:p w14:paraId="65BCA12A" w14:textId="31149A6E" w:rsidR="00770532" w:rsidRPr="00770532" w:rsidRDefault="00770532" w:rsidP="004569FB">
      <w:pPr>
        <w:pStyle w:val="ListParagraph"/>
        <w:suppressLineNumbers/>
        <w:suppressAutoHyphens/>
        <w:snapToGrid w:val="0"/>
        <w:spacing w:before="120" w:after="120"/>
        <w:ind w:left="0"/>
        <w:contextualSpacing w:val="0"/>
        <w:jc w:val="center"/>
        <w:rPr>
          <w:rFonts w:cs="Times New Roman"/>
          <w:snapToGrid w:val="0"/>
          <w:kern w:val="22"/>
          <w:szCs w:val="22"/>
          <w:lang w:val="fr-CA"/>
        </w:rPr>
      </w:pPr>
      <w:r>
        <w:rPr>
          <w:rFonts w:cs="Times New Roman"/>
          <w:noProof/>
          <w:snapToGrid w:val="0"/>
          <w:kern w:val="22"/>
          <w:szCs w:val="22"/>
          <w:lang w:val="fr-CA"/>
        </w:rPr>
        <w:lastRenderedPageBreak/>
        <w:drawing>
          <wp:inline distT="0" distB="0" distL="0" distR="0" wp14:anchorId="41D3A370" wp14:editId="2BC7D2AF">
            <wp:extent cx="5966603" cy="352112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31524" cy="3559435"/>
                    </a:xfrm>
                    <a:prstGeom prst="rect">
                      <a:avLst/>
                    </a:prstGeom>
                    <a:noFill/>
                  </pic:spPr>
                </pic:pic>
              </a:graphicData>
            </a:graphic>
          </wp:inline>
        </w:drawing>
      </w:r>
    </w:p>
    <w:p w14:paraId="61818E1A" w14:textId="3F5D3DDC" w:rsidR="004569FB" w:rsidRPr="00115221" w:rsidRDefault="00F45028"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a trait à </w:t>
      </w:r>
      <w:r w:rsidRPr="00115221">
        <w:rPr>
          <w:rFonts w:cs="Times New Roman"/>
          <w:b/>
          <w:snapToGrid w:val="0"/>
          <w:kern w:val="22"/>
          <w:szCs w:val="22"/>
          <w:lang w:val="fr-CA"/>
        </w:rPr>
        <w:t>l’indicateur 1.6.3</w:t>
      </w:r>
      <w:r w:rsidRPr="00115221">
        <w:rPr>
          <w:rFonts w:cs="Times New Roman"/>
          <w:snapToGrid w:val="0"/>
          <w:kern w:val="22"/>
          <w:szCs w:val="22"/>
          <w:lang w:val="fr-CA"/>
        </w:rPr>
        <w:t xml:space="preserve"> (nombre de Parties ayant accès à des outils capables de détecter les OVM interdits), l’information disponible la plus pertinente permettant de mesurer le progrès concern</w:t>
      </w:r>
      <w:r w:rsidR="00111615">
        <w:rPr>
          <w:rFonts w:cs="Times New Roman"/>
          <w:snapToGrid w:val="0"/>
          <w:kern w:val="22"/>
          <w:szCs w:val="22"/>
          <w:lang w:val="fr-CA"/>
        </w:rPr>
        <w:t>e</w:t>
      </w:r>
      <w:r w:rsidRPr="00115221">
        <w:rPr>
          <w:rFonts w:cs="Times New Roman"/>
          <w:snapToGrid w:val="0"/>
          <w:kern w:val="22"/>
          <w:szCs w:val="22"/>
          <w:lang w:val="fr-CA"/>
        </w:rPr>
        <w:t xml:space="preserve"> la mise en place de procédures d’échantillonnage et de détection des OVM par les Parties. Cinquante-six p. cent des Parties (52 Parties) ont déclaré avoir mis en place de telles procédures, une augmentation de 21 p. cent par rap</w:t>
      </w:r>
      <w:r w:rsidR="00FC60AE" w:rsidRPr="00115221">
        <w:rPr>
          <w:rFonts w:cs="Times New Roman"/>
          <w:snapToGrid w:val="0"/>
          <w:kern w:val="22"/>
          <w:szCs w:val="22"/>
          <w:lang w:val="fr-CA"/>
        </w:rPr>
        <w:t>p</w:t>
      </w:r>
      <w:r w:rsidRPr="00115221">
        <w:rPr>
          <w:rFonts w:cs="Times New Roman"/>
          <w:snapToGrid w:val="0"/>
          <w:kern w:val="22"/>
          <w:szCs w:val="22"/>
          <w:lang w:val="fr-CA"/>
        </w:rPr>
        <w:t>ort à la valeur de référence</w:t>
      </w:r>
      <w:r w:rsidR="00710BC4" w:rsidRPr="00115221">
        <w:rPr>
          <w:rFonts w:cs="Times New Roman"/>
          <w:snapToGrid w:val="0"/>
          <w:kern w:val="22"/>
          <w:szCs w:val="22"/>
          <w:lang w:val="fr-CA"/>
        </w:rPr>
        <w:t xml:space="preserve"> (</w:t>
      </w:r>
      <w:r w:rsidR="00111615">
        <w:rPr>
          <w:rFonts w:cs="Times New Roman"/>
          <w:snapToGrid w:val="0"/>
          <w:kern w:val="22"/>
          <w:szCs w:val="22"/>
          <w:lang w:val="fr-CA"/>
        </w:rPr>
        <w:t>les différences régionales sont réparties comme suit</w:t>
      </w:r>
      <w:r w:rsidR="00111615" w:rsidRPr="00115221">
        <w:rPr>
          <w:rFonts w:cs="Times New Roman"/>
          <w:snapToGrid w:val="0"/>
          <w:kern w:val="22"/>
          <w:szCs w:val="22"/>
          <w:lang w:val="fr-CA"/>
        </w:rPr>
        <w:t> </w:t>
      </w:r>
      <w:r w:rsidR="00111615">
        <w:rPr>
          <w:rFonts w:cs="Times New Roman"/>
          <w:snapToGrid w:val="0"/>
          <w:kern w:val="22"/>
          <w:szCs w:val="22"/>
          <w:lang w:val="fr-CA"/>
        </w:rPr>
        <w:t>: Asie-Pacifique : +50 p. cent;</w:t>
      </w:r>
      <w:r w:rsidR="00FC60AE" w:rsidRPr="00115221">
        <w:rPr>
          <w:rFonts w:cs="Times New Roman"/>
          <w:snapToGrid w:val="0"/>
          <w:kern w:val="22"/>
          <w:szCs w:val="22"/>
          <w:lang w:val="fr-CA"/>
        </w:rPr>
        <w:t xml:space="preserve"> Afrique : +20 p. cen</w:t>
      </w:r>
      <w:r w:rsidR="00111615">
        <w:rPr>
          <w:rFonts w:cs="Times New Roman"/>
          <w:snapToGrid w:val="0"/>
          <w:kern w:val="22"/>
          <w:szCs w:val="22"/>
          <w:lang w:val="fr-CA"/>
        </w:rPr>
        <w:t>t; EOA : +17 p. cent;</w:t>
      </w:r>
      <w:r w:rsidR="00FC60AE" w:rsidRPr="00115221">
        <w:rPr>
          <w:rFonts w:cs="Times New Roman"/>
          <w:snapToGrid w:val="0"/>
          <w:kern w:val="22"/>
          <w:szCs w:val="22"/>
          <w:lang w:val="fr-CA"/>
        </w:rPr>
        <w:t xml:space="preserve"> </w:t>
      </w:r>
      <w:r w:rsidR="00111615">
        <w:rPr>
          <w:rFonts w:cs="Times New Roman"/>
          <w:snapToGrid w:val="0"/>
          <w:kern w:val="22"/>
          <w:szCs w:val="22"/>
          <w:lang w:val="fr-CA"/>
        </w:rPr>
        <w:t>GALC : + 8 p. cent;</w:t>
      </w:r>
      <w:r w:rsidR="00FC60AE" w:rsidRPr="00115221">
        <w:rPr>
          <w:rFonts w:cs="Times New Roman"/>
          <w:snapToGrid w:val="0"/>
          <w:kern w:val="22"/>
          <w:szCs w:val="22"/>
          <w:lang w:val="fr-CA"/>
        </w:rPr>
        <w:t xml:space="preserve"> ECE : +6 p. cent). Dix-neuf p. cent des Parties (18 Parties) ont indiqué </w:t>
      </w:r>
      <w:r w:rsidR="00AE3C24">
        <w:rPr>
          <w:rFonts w:cs="Times New Roman"/>
          <w:snapToGrid w:val="0"/>
          <w:kern w:val="22"/>
          <w:szCs w:val="22"/>
          <w:lang w:val="fr-CA"/>
        </w:rPr>
        <w:t>avoir mis en place de telles procédures</w:t>
      </w:r>
      <w:r w:rsidR="00FC60AE" w:rsidRPr="00115221">
        <w:rPr>
          <w:rFonts w:cs="Times New Roman"/>
          <w:snapToGrid w:val="0"/>
          <w:kern w:val="22"/>
          <w:szCs w:val="22"/>
          <w:lang w:val="fr-CA"/>
        </w:rPr>
        <w:t xml:space="preserve"> </w:t>
      </w:r>
      <w:r w:rsidR="00410688">
        <w:rPr>
          <w:rFonts w:cs="Times New Roman"/>
          <w:snapToGrid w:val="0"/>
          <w:kern w:val="22"/>
          <w:szCs w:val="22"/>
          <w:lang w:val="fr-CA"/>
        </w:rPr>
        <w:t>dans une certaine mesure</w:t>
      </w:r>
      <w:r w:rsidR="00FC60AE" w:rsidRPr="00115221">
        <w:rPr>
          <w:rFonts w:cs="Times New Roman"/>
          <w:snapToGrid w:val="0"/>
          <w:kern w:val="22"/>
          <w:szCs w:val="22"/>
          <w:lang w:val="fr-CA"/>
        </w:rPr>
        <w:t xml:space="preserve">, une diminution de 9 p. cent. (Voir également </w:t>
      </w:r>
      <w:r w:rsidR="00FC60AE" w:rsidRPr="00115221">
        <w:rPr>
          <w:rFonts w:cs="Times New Roman"/>
          <w:b/>
          <w:snapToGrid w:val="0"/>
          <w:kern w:val="22"/>
          <w:szCs w:val="22"/>
          <w:lang w:val="fr-CA"/>
        </w:rPr>
        <w:t>l’indicateur 1.4.2 a)</w:t>
      </w:r>
      <w:r w:rsidR="00FC60AE" w:rsidRPr="00115221">
        <w:rPr>
          <w:rFonts w:cs="Times New Roman"/>
          <w:snapToGrid w:val="0"/>
          <w:kern w:val="22"/>
          <w:szCs w:val="22"/>
          <w:lang w:val="fr-CA"/>
        </w:rPr>
        <w:t>, ci-dessous)</w:t>
      </w:r>
      <w:r w:rsidR="004569FB" w:rsidRPr="00115221">
        <w:rPr>
          <w:rFonts w:cs="Times New Roman"/>
          <w:snapToGrid w:val="0"/>
          <w:kern w:val="22"/>
          <w:szCs w:val="22"/>
          <w:lang w:val="fr-CA"/>
        </w:rPr>
        <w:t xml:space="preserve">. </w:t>
      </w:r>
    </w:p>
    <w:p w14:paraId="42356BB0" w14:textId="6241CC97" w:rsidR="004569FB" w:rsidRPr="00115221" w:rsidRDefault="00710BC4"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iCs/>
          <w:snapToGrid w:val="0"/>
          <w:kern w:val="22"/>
          <w:szCs w:val="22"/>
          <w:lang w:val="fr-CA"/>
        </w:rPr>
      </w:pPr>
      <w:r w:rsidRPr="00115221">
        <w:rPr>
          <w:rFonts w:cs="Times New Roman"/>
          <w:iCs/>
          <w:snapToGrid w:val="0"/>
          <w:kern w:val="22"/>
          <w:szCs w:val="22"/>
          <w:lang w:val="fr-CA"/>
        </w:rPr>
        <w:t xml:space="preserve">En ce qui concerne </w:t>
      </w:r>
      <w:r w:rsidRPr="00115221">
        <w:rPr>
          <w:rFonts w:cs="Times New Roman"/>
          <w:b/>
          <w:iCs/>
          <w:snapToGrid w:val="0"/>
          <w:kern w:val="22"/>
          <w:szCs w:val="22"/>
          <w:lang w:val="fr-CA"/>
        </w:rPr>
        <w:t>l’indicateur 1.6.4</w:t>
      </w:r>
      <w:r w:rsidRPr="00115221">
        <w:rPr>
          <w:rFonts w:cs="Times New Roman"/>
          <w:iCs/>
          <w:snapToGrid w:val="0"/>
          <w:kern w:val="22"/>
          <w:szCs w:val="22"/>
          <w:lang w:val="fr-CA"/>
        </w:rPr>
        <w:t xml:space="preserve"> (nombre de Parties utilisant l’orientation élaborée pour la manipulation, le transport et l’emballage des OVM), 69 p. cent des Parties (49 Parties) ont déclaré avoir en place une orientation pour garant</w:t>
      </w:r>
      <w:r w:rsidR="00C7096D" w:rsidRPr="00115221">
        <w:rPr>
          <w:rFonts w:cs="Times New Roman"/>
          <w:iCs/>
          <w:snapToGrid w:val="0"/>
          <w:kern w:val="22"/>
          <w:szCs w:val="22"/>
          <w:lang w:val="fr-CA"/>
        </w:rPr>
        <w:t>ir la manipulati</w:t>
      </w:r>
      <w:r w:rsidRPr="00115221">
        <w:rPr>
          <w:rFonts w:cs="Times New Roman"/>
          <w:iCs/>
          <w:snapToGrid w:val="0"/>
          <w:kern w:val="22"/>
          <w:szCs w:val="22"/>
          <w:lang w:val="fr-CA"/>
        </w:rPr>
        <w:t>on, le transport et l’</w:t>
      </w:r>
      <w:r w:rsidR="00C7096D" w:rsidRPr="00115221">
        <w:rPr>
          <w:rFonts w:cs="Times New Roman"/>
          <w:iCs/>
          <w:snapToGrid w:val="0"/>
          <w:kern w:val="22"/>
          <w:szCs w:val="22"/>
          <w:lang w:val="fr-CA"/>
        </w:rPr>
        <w:t>em</w:t>
      </w:r>
      <w:r w:rsidRPr="00115221">
        <w:rPr>
          <w:rFonts w:cs="Times New Roman"/>
          <w:iCs/>
          <w:snapToGrid w:val="0"/>
          <w:kern w:val="22"/>
          <w:szCs w:val="22"/>
          <w:lang w:val="fr-CA"/>
        </w:rPr>
        <w:t xml:space="preserve">ballage sécuritaires des organismes vivants modifiés. Cela représente une augmentation de 7 p. cent. Des différences régionales ont été </w:t>
      </w:r>
      <w:r w:rsidR="00C7096D" w:rsidRPr="00115221">
        <w:rPr>
          <w:rFonts w:cs="Times New Roman"/>
          <w:iCs/>
          <w:snapToGrid w:val="0"/>
          <w:kern w:val="22"/>
          <w:szCs w:val="22"/>
          <w:lang w:val="fr-CA"/>
        </w:rPr>
        <w:t>obs</w:t>
      </w:r>
      <w:r w:rsidRPr="00115221">
        <w:rPr>
          <w:rFonts w:cs="Times New Roman"/>
          <w:iCs/>
          <w:snapToGrid w:val="0"/>
          <w:kern w:val="22"/>
          <w:szCs w:val="22"/>
          <w:lang w:val="fr-CA"/>
        </w:rPr>
        <w:t>ervées en Afrique (+4 p. cent) et en Asie-Pacifique (+3 p. cent)</w:t>
      </w:r>
      <w:r w:rsidR="00C7096D" w:rsidRPr="00115221">
        <w:rPr>
          <w:rFonts w:cs="Times New Roman"/>
          <w:iCs/>
          <w:snapToGrid w:val="0"/>
          <w:kern w:val="22"/>
          <w:szCs w:val="22"/>
          <w:lang w:val="fr-CA"/>
        </w:rPr>
        <w:t>, tandis que les autres régions n’ont déclaré aucune différence par rapport à la valeur de référence</w:t>
      </w:r>
      <w:r w:rsidR="004569FB" w:rsidRPr="00115221">
        <w:rPr>
          <w:rFonts w:cs="Times New Roman"/>
          <w:bCs/>
          <w:iCs/>
          <w:snapToGrid w:val="0"/>
          <w:kern w:val="22"/>
          <w:szCs w:val="22"/>
          <w:lang w:val="fr-CA"/>
        </w:rPr>
        <w:t xml:space="preserve">. </w:t>
      </w:r>
    </w:p>
    <w:p w14:paraId="16711C87" w14:textId="584D34CA" w:rsidR="004569FB" w:rsidRPr="00115221" w:rsidRDefault="00C7096D" w:rsidP="000A5388">
      <w:pPr>
        <w:keepNext/>
        <w:suppressLineNumbers/>
        <w:tabs>
          <w:tab w:val="left" w:pos="720"/>
        </w:tabs>
        <w:suppressAutoHyphens/>
        <w:spacing w:before="120" w:after="120"/>
        <w:textAlignment w:val="baseline"/>
        <w:outlineLvl w:val="2"/>
        <w:rPr>
          <w:rFonts w:cs="Times New Roman"/>
          <w:b/>
          <w:iCs/>
          <w:snapToGrid w:val="0"/>
          <w:kern w:val="22"/>
          <w:szCs w:val="22"/>
          <w:lang w:val="fr-CA"/>
        </w:rPr>
      </w:pPr>
      <w:r w:rsidRPr="00115221">
        <w:rPr>
          <w:rFonts w:cs="Times New Roman"/>
          <w:b/>
          <w:iCs/>
          <w:snapToGrid w:val="0"/>
          <w:kern w:val="22"/>
          <w:szCs w:val="22"/>
          <w:lang w:val="fr-CA"/>
        </w:rPr>
        <w:t>Objectif opérationnel 2.3 : Manipulation, transport, emballage et identification</w:t>
      </w:r>
    </w:p>
    <w:p w14:paraId="0C601581" w14:textId="03377898" w:rsidR="004569FB" w:rsidRPr="00115221" w:rsidRDefault="00C7096D"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iCs/>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2.3.1</w:t>
      </w:r>
      <w:r w:rsidRPr="00115221">
        <w:rPr>
          <w:rFonts w:cs="Times New Roman"/>
          <w:snapToGrid w:val="0"/>
          <w:kern w:val="22"/>
          <w:szCs w:val="22"/>
          <w:lang w:val="fr-CA"/>
        </w:rPr>
        <w:t xml:space="preserve"> (nombre de douaniers et d’employés de laboratoire formés), 59 p. cent des Parties (42 Parties) ont déclaré avoir formé des douaniers, une augmentation de 6 p. cent par rapport à la valeur de référence. La majorité de ces Parties (23 Parties) </w:t>
      </w:r>
      <w:r w:rsidR="00111615">
        <w:rPr>
          <w:rFonts w:cs="Times New Roman"/>
          <w:snapToGrid w:val="0"/>
          <w:kern w:val="22"/>
          <w:szCs w:val="22"/>
          <w:lang w:val="fr-CA"/>
        </w:rPr>
        <w:t>a</w:t>
      </w:r>
      <w:r w:rsidRPr="00115221">
        <w:rPr>
          <w:rFonts w:cs="Times New Roman"/>
          <w:snapToGrid w:val="0"/>
          <w:kern w:val="22"/>
          <w:szCs w:val="22"/>
          <w:lang w:val="fr-CA"/>
        </w:rPr>
        <w:t xml:space="preserve"> déclaré avoir formé jusqu’</w:t>
      </w:r>
      <w:r w:rsidR="00111615">
        <w:rPr>
          <w:rFonts w:cs="Times New Roman"/>
          <w:snapToGrid w:val="0"/>
          <w:kern w:val="22"/>
          <w:szCs w:val="22"/>
          <w:lang w:val="fr-CA"/>
        </w:rPr>
        <w:t>à 10 </w:t>
      </w:r>
      <w:r w:rsidR="00C14885" w:rsidRPr="00115221">
        <w:rPr>
          <w:rFonts w:cs="Times New Roman"/>
          <w:snapToGrid w:val="0"/>
          <w:kern w:val="22"/>
          <w:szCs w:val="22"/>
          <w:lang w:val="fr-CA"/>
        </w:rPr>
        <w:t>doua</w:t>
      </w:r>
      <w:r w:rsidRPr="00115221">
        <w:rPr>
          <w:rFonts w:cs="Times New Roman"/>
          <w:snapToGrid w:val="0"/>
          <w:kern w:val="22"/>
          <w:szCs w:val="22"/>
          <w:lang w:val="fr-CA"/>
        </w:rPr>
        <w:t xml:space="preserve">niers (55 p. cent </w:t>
      </w:r>
      <w:r w:rsidR="00C14885" w:rsidRPr="00115221">
        <w:rPr>
          <w:rFonts w:cs="Times New Roman"/>
          <w:snapToGrid w:val="0"/>
          <w:kern w:val="22"/>
          <w:szCs w:val="22"/>
          <w:lang w:val="fr-CA"/>
        </w:rPr>
        <w:t>du grou</w:t>
      </w:r>
      <w:r w:rsidRPr="00115221">
        <w:rPr>
          <w:rFonts w:cs="Times New Roman"/>
          <w:snapToGrid w:val="0"/>
          <w:kern w:val="22"/>
          <w:szCs w:val="22"/>
          <w:lang w:val="fr-CA"/>
        </w:rPr>
        <w:t>pe), une augmentation de 2 p. cent par rap</w:t>
      </w:r>
      <w:r w:rsidR="00C14885" w:rsidRPr="00115221">
        <w:rPr>
          <w:rFonts w:cs="Times New Roman"/>
          <w:snapToGrid w:val="0"/>
          <w:kern w:val="22"/>
          <w:szCs w:val="22"/>
          <w:lang w:val="fr-CA"/>
        </w:rPr>
        <w:t>p</w:t>
      </w:r>
      <w:r w:rsidRPr="00115221">
        <w:rPr>
          <w:rFonts w:cs="Times New Roman"/>
          <w:snapToGrid w:val="0"/>
          <w:kern w:val="22"/>
          <w:szCs w:val="22"/>
          <w:lang w:val="fr-CA"/>
        </w:rPr>
        <w:t>ort à la valeur de référence</w:t>
      </w:r>
      <w:r w:rsidR="00C14885" w:rsidRPr="00115221">
        <w:rPr>
          <w:rFonts w:cs="Times New Roman"/>
          <w:snapToGrid w:val="0"/>
          <w:kern w:val="22"/>
          <w:szCs w:val="22"/>
          <w:lang w:val="fr-CA"/>
        </w:rPr>
        <w:t xml:space="preserve">. Le nombre de Parties ayant déclaré avoir formé plus de 100 douaniers a augmenté de 7 p. cent, pour atteindre 6 Parties (14 p. cent des Parties ayant déclaré avoir formé des douaniers) grâce à des augmentations en Asie-Pacifique et en EOA, Près de la moitié des Parties (41 p. cent) </w:t>
      </w:r>
      <w:r w:rsidR="00A96AD3">
        <w:rPr>
          <w:rFonts w:cs="Times New Roman"/>
          <w:snapToGrid w:val="0"/>
          <w:kern w:val="22"/>
          <w:szCs w:val="22"/>
          <w:lang w:val="fr-CA"/>
        </w:rPr>
        <w:t>a</w:t>
      </w:r>
      <w:r w:rsidR="00C14885" w:rsidRPr="00115221">
        <w:rPr>
          <w:rFonts w:cs="Times New Roman"/>
          <w:snapToGrid w:val="0"/>
          <w:kern w:val="22"/>
          <w:szCs w:val="22"/>
          <w:lang w:val="fr-CA"/>
        </w:rPr>
        <w:t xml:space="preserve"> déclaré ne pas avoir formé de douaniers, une diminution </w:t>
      </w:r>
      <w:r w:rsidR="00A96AD3">
        <w:rPr>
          <w:rFonts w:cs="Times New Roman"/>
          <w:snapToGrid w:val="0"/>
          <w:kern w:val="22"/>
          <w:szCs w:val="22"/>
          <w:lang w:val="fr-CA"/>
        </w:rPr>
        <w:t>d</w:t>
      </w:r>
      <w:r w:rsidR="00C14885" w:rsidRPr="00115221">
        <w:rPr>
          <w:rFonts w:cs="Times New Roman"/>
          <w:snapToGrid w:val="0"/>
          <w:kern w:val="22"/>
          <w:szCs w:val="22"/>
          <w:lang w:val="fr-CA"/>
        </w:rPr>
        <w:t>e 6 p. cent par rapport à la valeur de référence</w:t>
      </w:r>
      <w:r w:rsidR="004569FB" w:rsidRPr="00115221">
        <w:rPr>
          <w:rFonts w:cs="Times New Roman"/>
          <w:snapToGrid w:val="0"/>
          <w:kern w:val="22"/>
          <w:szCs w:val="22"/>
          <w:lang w:val="fr-CA"/>
        </w:rPr>
        <w:t>.</w:t>
      </w:r>
    </w:p>
    <w:p w14:paraId="5D259AA7" w14:textId="6CB4F631" w:rsidR="004569FB" w:rsidRPr="00115221" w:rsidRDefault="00C14885"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iCs/>
          <w:snapToGrid w:val="0"/>
          <w:kern w:val="22"/>
          <w:szCs w:val="22"/>
          <w:lang w:val="fr-CA"/>
        </w:rPr>
      </w:pPr>
      <w:r w:rsidRPr="00115221">
        <w:rPr>
          <w:rFonts w:cs="Times New Roman"/>
          <w:snapToGrid w:val="0"/>
          <w:kern w:val="22"/>
          <w:szCs w:val="22"/>
          <w:lang w:val="fr-CA"/>
        </w:rPr>
        <w:t>Quatre-vingt-seize p. cent des P</w:t>
      </w:r>
      <w:r w:rsidR="008B5F70" w:rsidRPr="00115221">
        <w:rPr>
          <w:rFonts w:cs="Times New Roman"/>
          <w:snapToGrid w:val="0"/>
          <w:kern w:val="22"/>
          <w:szCs w:val="22"/>
          <w:lang w:val="fr-CA"/>
        </w:rPr>
        <w:t>arties (68 Parties) ont déclaré que les employés de laboratoire avaient reçu une formation en détection des OVM, une augmentation de 9 p. cent par rapport à la valeur de référence. Cette augmentation est surtout attribuable à une augmentation de 12 p. cent des Parties par r</w:t>
      </w:r>
      <w:r w:rsidR="00AE3C24">
        <w:rPr>
          <w:rFonts w:cs="Times New Roman"/>
          <w:snapToGrid w:val="0"/>
          <w:kern w:val="22"/>
          <w:szCs w:val="22"/>
          <w:lang w:val="fr-CA"/>
        </w:rPr>
        <w:t>apport à la valeur de référence</w:t>
      </w:r>
      <w:r w:rsidR="008B5F70" w:rsidRPr="00115221">
        <w:rPr>
          <w:rFonts w:cs="Times New Roman"/>
          <w:snapToGrid w:val="0"/>
          <w:kern w:val="22"/>
          <w:szCs w:val="22"/>
          <w:lang w:val="fr-CA"/>
        </w:rPr>
        <w:t xml:space="preserve"> ayant déclaré la formation de jusqu’à</w:t>
      </w:r>
      <w:r w:rsidR="00A96AD3">
        <w:rPr>
          <w:rFonts w:cs="Times New Roman"/>
          <w:snapToGrid w:val="0"/>
          <w:kern w:val="22"/>
          <w:szCs w:val="22"/>
          <w:lang w:val="fr-CA"/>
        </w:rPr>
        <w:t xml:space="preserve"> 10 employés de laboratoire (35 </w:t>
      </w:r>
      <w:r w:rsidR="008B5F70" w:rsidRPr="00115221">
        <w:rPr>
          <w:rFonts w:cs="Times New Roman"/>
          <w:snapToGrid w:val="0"/>
          <w:kern w:val="22"/>
          <w:szCs w:val="22"/>
          <w:lang w:val="fr-CA"/>
        </w:rPr>
        <w:t>Parties)</w:t>
      </w:r>
      <w:r w:rsidR="004569FB" w:rsidRPr="00115221">
        <w:rPr>
          <w:rFonts w:cs="Times New Roman"/>
          <w:snapToGrid w:val="0"/>
          <w:kern w:val="22"/>
          <w:szCs w:val="22"/>
          <w:lang w:val="fr-CA"/>
        </w:rPr>
        <w:t xml:space="preserve">. </w:t>
      </w:r>
    </w:p>
    <w:p w14:paraId="06AAD9A1" w14:textId="455F24B7" w:rsidR="004569FB" w:rsidRPr="00115221" w:rsidRDefault="003007F5"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iCs/>
          <w:snapToGrid w:val="0"/>
          <w:kern w:val="22"/>
          <w:szCs w:val="22"/>
          <w:lang w:val="fr-CA"/>
        </w:rPr>
      </w:pPr>
      <w:r w:rsidRPr="00115221">
        <w:rPr>
          <w:rFonts w:cs="Times New Roman"/>
          <w:snapToGrid w:val="0"/>
          <w:kern w:val="22"/>
          <w:szCs w:val="22"/>
          <w:lang w:val="fr-CA"/>
        </w:rPr>
        <w:lastRenderedPageBreak/>
        <w:t xml:space="preserve">En ce qui concerne </w:t>
      </w:r>
      <w:r w:rsidRPr="00115221">
        <w:rPr>
          <w:rFonts w:cs="Times New Roman"/>
          <w:b/>
          <w:snapToGrid w:val="0"/>
          <w:kern w:val="22"/>
          <w:szCs w:val="22"/>
          <w:lang w:val="fr-CA"/>
        </w:rPr>
        <w:t>l’indicateur 2.3.2</w:t>
      </w:r>
      <w:r w:rsidRPr="00115221">
        <w:rPr>
          <w:rFonts w:cs="Times New Roman"/>
          <w:snapToGrid w:val="0"/>
          <w:kern w:val="22"/>
          <w:szCs w:val="22"/>
          <w:lang w:val="fr-CA"/>
        </w:rPr>
        <w:t xml:space="preserve"> (pourcentage des Parties ayant mis sur pied ou ayant accès à des laboratoires de détection), 87 p. cent des Parties ont déclaré avoir un accès fiable à des laboratoires, une augmentation de 10 p. cent par rapport à la valeur de référence, réparties régionalement comme suit : Afrique : 79 p. cent (+11 p. cent); Asie-Pacifique : 89 p. cent (+11 p. cent); ECE : 100 p. cent (+14 p. cent); GALC : 69 p. cent (+15 p. cent); EOA : 100 p. cent (aucune différence par rapport à la valeur de référence)</w:t>
      </w:r>
      <w:r w:rsidR="004569FB" w:rsidRPr="00115221">
        <w:rPr>
          <w:rFonts w:cs="Times New Roman"/>
          <w:snapToGrid w:val="0"/>
          <w:kern w:val="22"/>
          <w:szCs w:val="22"/>
          <w:lang w:val="fr-CA"/>
        </w:rPr>
        <w:t xml:space="preserve">. </w:t>
      </w:r>
    </w:p>
    <w:p w14:paraId="636BAA9C" w14:textId="603633E2" w:rsidR="004569FB" w:rsidRPr="00115221" w:rsidRDefault="003007F5"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iCs/>
          <w:snapToGrid w:val="0"/>
          <w:kern w:val="22"/>
          <w:szCs w:val="22"/>
          <w:lang w:val="fr-CA"/>
        </w:rPr>
      </w:pPr>
      <w:r w:rsidRPr="00115221">
        <w:rPr>
          <w:rFonts w:cs="Times New Roman"/>
          <w:snapToGrid w:val="0"/>
          <w:kern w:val="22"/>
          <w:szCs w:val="22"/>
          <w:lang w:val="fr-CA"/>
        </w:rPr>
        <w:t>E</w:t>
      </w:r>
      <w:r w:rsidR="0021624D" w:rsidRPr="00115221">
        <w:rPr>
          <w:rFonts w:cs="Times New Roman"/>
          <w:snapToGrid w:val="0"/>
          <w:kern w:val="22"/>
          <w:szCs w:val="22"/>
          <w:lang w:val="fr-CA"/>
        </w:rPr>
        <w:t>n</w:t>
      </w:r>
      <w:r w:rsidRPr="00115221">
        <w:rPr>
          <w:rFonts w:cs="Times New Roman"/>
          <w:snapToGrid w:val="0"/>
          <w:kern w:val="22"/>
          <w:szCs w:val="22"/>
          <w:lang w:val="fr-CA"/>
        </w:rPr>
        <w:t xml:space="preserve"> ce qui a trait à </w:t>
      </w:r>
      <w:r w:rsidRPr="00115221">
        <w:rPr>
          <w:rFonts w:cs="Times New Roman"/>
          <w:b/>
          <w:snapToGrid w:val="0"/>
          <w:kern w:val="22"/>
          <w:szCs w:val="22"/>
          <w:lang w:val="fr-CA"/>
        </w:rPr>
        <w:t>l’indicateur 2.3.3</w:t>
      </w:r>
      <w:r w:rsidRPr="00115221">
        <w:rPr>
          <w:rFonts w:cs="Times New Roman"/>
          <w:snapToGrid w:val="0"/>
          <w:kern w:val="22"/>
          <w:szCs w:val="22"/>
          <w:lang w:val="fr-CA"/>
        </w:rPr>
        <w:t xml:space="preserve"> (nombre de laboratoires nationaux et régionaux accrédités ayant la capacité de détecter les OVM</w:t>
      </w:r>
      <w:r w:rsidR="004569FB" w:rsidRPr="00115221">
        <w:rPr>
          <w:rFonts w:cs="Times New Roman"/>
          <w:snapToGrid w:val="0"/>
          <w:kern w:val="22"/>
          <w:szCs w:val="22"/>
          <w:lang w:val="fr-CA"/>
        </w:rPr>
        <w:t>)</w:t>
      </w:r>
      <w:r w:rsidR="0021624D" w:rsidRPr="00115221">
        <w:rPr>
          <w:rFonts w:cs="Times New Roman"/>
          <w:snapToGrid w:val="0"/>
          <w:kern w:val="22"/>
          <w:szCs w:val="22"/>
          <w:lang w:val="fr-CA"/>
        </w:rPr>
        <w:t>, les rap</w:t>
      </w:r>
      <w:r w:rsidR="00B61D6C" w:rsidRPr="00115221">
        <w:rPr>
          <w:rFonts w:cs="Times New Roman"/>
          <w:snapToGrid w:val="0"/>
          <w:kern w:val="22"/>
          <w:szCs w:val="22"/>
          <w:lang w:val="fr-CA"/>
        </w:rPr>
        <w:t>p</w:t>
      </w:r>
      <w:r w:rsidR="0021624D" w:rsidRPr="00115221">
        <w:rPr>
          <w:rFonts w:cs="Times New Roman"/>
          <w:snapToGrid w:val="0"/>
          <w:kern w:val="22"/>
          <w:szCs w:val="22"/>
          <w:lang w:val="fr-CA"/>
        </w:rPr>
        <w:t>orts nationaux fournissent de l’</w:t>
      </w:r>
      <w:r w:rsidR="00B61D6C" w:rsidRPr="00115221">
        <w:rPr>
          <w:rFonts w:cs="Times New Roman"/>
          <w:snapToGrid w:val="0"/>
          <w:kern w:val="22"/>
          <w:szCs w:val="22"/>
          <w:lang w:val="fr-CA"/>
        </w:rPr>
        <w:t>informati</w:t>
      </w:r>
      <w:r w:rsidR="0021624D" w:rsidRPr="00115221">
        <w:rPr>
          <w:rFonts w:cs="Times New Roman"/>
          <w:snapToGrid w:val="0"/>
          <w:kern w:val="22"/>
          <w:szCs w:val="22"/>
          <w:lang w:val="fr-CA"/>
        </w:rPr>
        <w:t xml:space="preserve">on sur le nombre de pays ayant déclaré </w:t>
      </w:r>
      <w:r w:rsidR="00A96AD3">
        <w:rPr>
          <w:rFonts w:cs="Times New Roman"/>
          <w:snapToGrid w:val="0"/>
          <w:kern w:val="22"/>
          <w:szCs w:val="22"/>
          <w:lang w:val="fr-CA"/>
        </w:rPr>
        <w:t>que des</w:t>
      </w:r>
      <w:r w:rsidR="0021624D" w:rsidRPr="00115221">
        <w:rPr>
          <w:rFonts w:cs="Times New Roman"/>
          <w:snapToGrid w:val="0"/>
          <w:kern w:val="22"/>
          <w:szCs w:val="22"/>
          <w:lang w:val="fr-CA"/>
        </w:rPr>
        <w:t xml:space="preserve"> laborat</w:t>
      </w:r>
      <w:r w:rsidR="003539CA">
        <w:rPr>
          <w:rFonts w:cs="Times New Roman"/>
          <w:snapToGrid w:val="0"/>
          <w:kern w:val="22"/>
          <w:szCs w:val="22"/>
          <w:lang w:val="fr-CA"/>
        </w:rPr>
        <w:t>oires dans leur pays possède</w:t>
      </w:r>
      <w:r w:rsidR="0021624D" w:rsidRPr="00115221">
        <w:rPr>
          <w:rFonts w:cs="Times New Roman"/>
          <w:snapToGrid w:val="0"/>
          <w:kern w:val="22"/>
          <w:szCs w:val="22"/>
          <w:lang w:val="fr-CA"/>
        </w:rPr>
        <w:t>nt une accréditation pour la détection des OVM. Soixante-huit p. cent des Parties (48 Parties) ont déclaré qu’u</w:t>
      </w:r>
      <w:r w:rsidR="003539CA">
        <w:rPr>
          <w:rFonts w:cs="Times New Roman"/>
          <w:snapToGrid w:val="0"/>
          <w:kern w:val="22"/>
          <w:szCs w:val="22"/>
          <w:lang w:val="fr-CA"/>
        </w:rPr>
        <w:t>n</w:t>
      </w:r>
      <w:r w:rsidR="0021624D" w:rsidRPr="00115221">
        <w:rPr>
          <w:rFonts w:cs="Times New Roman"/>
          <w:snapToGrid w:val="0"/>
          <w:kern w:val="22"/>
          <w:szCs w:val="22"/>
          <w:lang w:val="fr-CA"/>
        </w:rPr>
        <w:t xml:space="preserve"> ou plusieurs laboratoires de leur pays sont accrédités en détection des OVM</w:t>
      </w:r>
      <w:r w:rsidR="00B61D6C" w:rsidRPr="00115221">
        <w:rPr>
          <w:rFonts w:cs="Times New Roman"/>
          <w:snapToGrid w:val="0"/>
          <w:kern w:val="22"/>
          <w:szCs w:val="22"/>
          <w:lang w:val="fr-CA"/>
        </w:rPr>
        <w:t>, 2 Parties de plus que la valeur de réfé</w:t>
      </w:r>
      <w:r w:rsidR="003539CA">
        <w:rPr>
          <w:rFonts w:cs="Times New Roman"/>
          <w:snapToGrid w:val="0"/>
          <w:kern w:val="22"/>
          <w:szCs w:val="22"/>
          <w:lang w:val="fr-CA"/>
        </w:rPr>
        <w:t>rence, une augmentation de 3 </w:t>
      </w:r>
      <w:r w:rsidR="00B61D6C" w:rsidRPr="00115221">
        <w:rPr>
          <w:rFonts w:cs="Times New Roman"/>
          <w:snapToGrid w:val="0"/>
          <w:kern w:val="22"/>
          <w:szCs w:val="22"/>
          <w:lang w:val="fr-CA"/>
        </w:rPr>
        <w:t>p. cent, surtout attribuable aux régions Asie-Pacifique (+22 p. cent) et ECE (+7 p. cent)</w:t>
      </w:r>
      <w:r w:rsidR="004569FB" w:rsidRPr="00115221">
        <w:rPr>
          <w:rFonts w:cs="Times New Roman"/>
          <w:snapToGrid w:val="0"/>
          <w:kern w:val="22"/>
          <w:szCs w:val="22"/>
          <w:lang w:val="fr-CA"/>
        </w:rPr>
        <w:t xml:space="preserve">. </w:t>
      </w:r>
    </w:p>
    <w:p w14:paraId="347D1A8F" w14:textId="6C118A1E" w:rsidR="004569FB" w:rsidRPr="00115221" w:rsidRDefault="00B61D6C"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iCs/>
          <w:snapToGrid w:val="0"/>
          <w:kern w:val="22"/>
          <w:szCs w:val="22"/>
          <w:lang w:val="fr-CA"/>
        </w:rPr>
      </w:pPr>
      <w:r w:rsidRPr="00115221">
        <w:rPr>
          <w:rFonts w:cs="Times New Roman"/>
          <w:snapToGrid w:val="0"/>
          <w:kern w:val="22"/>
          <w:szCs w:val="22"/>
          <w:lang w:val="fr-CA"/>
        </w:rPr>
        <w:t xml:space="preserve">Quant à </w:t>
      </w:r>
      <w:r w:rsidRPr="00115221">
        <w:rPr>
          <w:rFonts w:cs="Times New Roman"/>
          <w:b/>
          <w:snapToGrid w:val="0"/>
          <w:kern w:val="22"/>
          <w:szCs w:val="22"/>
          <w:lang w:val="fr-CA"/>
        </w:rPr>
        <w:t>l’indicateur 2.3.4</w:t>
      </w:r>
      <w:r w:rsidRPr="00115221">
        <w:rPr>
          <w:rFonts w:cs="Times New Roman"/>
          <w:snapToGrid w:val="0"/>
          <w:kern w:val="22"/>
          <w:szCs w:val="22"/>
          <w:lang w:val="fr-CA"/>
        </w:rPr>
        <w:t xml:space="preserve"> (nombre de laboratoires accrédités en activité)</w:t>
      </w:r>
      <w:r w:rsidR="003539CA">
        <w:rPr>
          <w:rFonts w:cs="Times New Roman"/>
          <w:snapToGrid w:val="0"/>
          <w:kern w:val="22"/>
          <w:szCs w:val="22"/>
          <w:lang w:val="fr-CA"/>
        </w:rPr>
        <w:t xml:space="preserve">, </w:t>
      </w:r>
      <w:r w:rsidRPr="00115221">
        <w:rPr>
          <w:rFonts w:cs="Times New Roman"/>
          <w:snapToGrid w:val="0"/>
          <w:kern w:val="22"/>
          <w:szCs w:val="22"/>
          <w:lang w:val="fr-CA"/>
        </w:rPr>
        <w:t>96 p. cent des Parties (46 Parties) ayant déclaré qu’il existe des laboratoires accréd</w:t>
      </w:r>
      <w:r w:rsidR="004E26D5" w:rsidRPr="00115221">
        <w:rPr>
          <w:rFonts w:cs="Times New Roman"/>
          <w:snapToGrid w:val="0"/>
          <w:kern w:val="22"/>
          <w:szCs w:val="22"/>
          <w:lang w:val="fr-CA"/>
        </w:rPr>
        <w:t>ités en détection de OVM dans leur</w:t>
      </w:r>
      <w:r w:rsidRPr="00115221">
        <w:rPr>
          <w:rFonts w:cs="Times New Roman"/>
          <w:snapToGrid w:val="0"/>
          <w:kern w:val="22"/>
          <w:szCs w:val="22"/>
          <w:lang w:val="fr-CA"/>
        </w:rPr>
        <w:t xml:space="preserve"> pays ont déclaré que ces laboratoires effectuent </w:t>
      </w:r>
      <w:r w:rsidR="004E26D5" w:rsidRPr="00115221">
        <w:rPr>
          <w:rFonts w:cs="Times New Roman"/>
          <w:snapToGrid w:val="0"/>
          <w:kern w:val="22"/>
          <w:szCs w:val="22"/>
          <w:lang w:val="fr-CA"/>
        </w:rPr>
        <w:t>l</w:t>
      </w:r>
      <w:r w:rsidRPr="00115221">
        <w:rPr>
          <w:rFonts w:cs="Times New Roman"/>
          <w:snapToGrid w:val="0"/>
          <w:kern w:val="22"/>
          <w:szCs w:val="22"/>
          <w:lang w:val="fr-CA"/>
        </w:rPr>
        <w:t>a détection des OVM</w:t>
      </w:r>
      <w:r w:rsidR="003539CA">
        <w:rPr>
          <w:rFonts w:cs="Times New Roman"/>
          <w:snapToGrid w:val="0"/>
          <w:kern w:val="22"/>
          <w:szCs w:val="22"/>
          <w:lang w:val="fr-CA"/>
        </w:rPr>
        <w:t xml:space="preserve"> à l’heure actuelle</w:t>
      </w:r>
      <w:r w:rsidRPr="00115221">
        <w:rPr>
          <w:rFonts w:cs="Times New Roman"/>
          <w:snapToGrid w:val="0"/>
          <w:kern w:val="22"/>
          <w:szCs w:val="22"/>
          <w:lang w:val="fr-CA"/>
        </w:rPr>
        <w:t>,</w:t>
      </w:r>
      <w:r w:rsidR="004E26D5" w:rsidRPr="00115221">
        <w:rPr>
          <w:rFonts w:cs="Times New Roman"/>
          <w:snapToGrid w:val="0"/>
          <w:kern w:val="22"/>
          <w:szCs w:val="22"/>
          <w:lang w:val="fr-CA"/>
        </w:rPr>
        <w:t xml:space="preserve"> ce qui représente une augmentati</w:t>
      </w:r>
      <w:r w:rsidRPr="00115221">
        <w:rPr>
          <w:rFonts w:cs="Times New Roman"/>
          <w:snapToGrid w:val="0"/>
          <w:kern w:val="22"/>
          <w:szCs w:val="22"/>
          <w:lang w:val="fr-CA"/>
        </w:rPr>
        <w:t>on de 10 p. cent par ra</w:t>
      </w:r>
      <w:r w:rsidR="004E26D5" w:rsidRPr="00115221">
        <w:rPr>
          <w:rFonts w:cs="Times New Roman"/>
          <w:snapToGrid w:val="0"/>
          <w:kern w:val="22"/>
          <w:szCs w:val="22"/>
          <w:lang w:val="fr-CA"/>
        </w:rPr>
        <w:t>p</w:t>
      </w:r>
      <w:r w:rsidRPr="00115221">
        <w:rPr>
          <w:rFonts w:cs="Times New Roman"/>
          <w:snapToGrid w:val="0"/>
          <w:kern w:val="22"/>
          <w:szCs w:val="22"/>
          <w:lang w:val="fr-CA"/>
        </w:rPr>
        <w:t xml:space="preserve">port à la valeur de référence, attribuable </w:t>
      </w:r>
      <w:r w:rsidR="003539CA">
        <w:rPr>
          <w:rFonts w:cs="Times New Roman"/>
          <w:snapToGrid w:val="0"/>
          <w:kern w:val="22"/>
          <w:szCs w:val="22"/>
          <w:lang w:val="fr-CA"/>
        </w:rPr>
        <w:t>aux régions de l’Afrique (+33 </w:t>
      </w:r>
      <w:r w:rsidR="004E26D5" w:rsidRPr="00115221">
        <w:rPr>
          <w:rFonts w:cs="Times New Roman"/>
          <w:snapToGrid w:val="0"/>
          <w:kern w:val="22"/>
          <w:szCs w:val="22"/>
          <w:lang w:val="fr-CA"/>
        </w:rPr>
        <w:t>p. cent) et ECE (+15 p. cent)</w:t>
      </w:r>
      <w:r w:rsidR="004569FB" w:rsidRPr="00115221">
        <w:rPr>
          <w:rFonts w:cs="Times New Roman"/>
          <w:snapToGrid w:val="0"/>
          <w:kern w:val="22"/>
          <w:szCs w:val="22"/>
          <w:lang w:val="fr-CA"/>
        </w:rPr>
        <w:t xml:space="preserve">. </w:t>
      </w:r>
    </w:p>
    <w:p w14:paraId="3E70AB67" w14:textId="0DBA0AFC" w:rsidR="004569FB" w:rsidRDefault="004569FB" w:rsidP="004569FB">
      <w:pPr>
        <w:suppressLineNumbers/>
        <w:tabs>
          <w:tab w:val="num" w:pos="0"/>
        </w:tabs>
        <w:suppressAutoHyphens/>
        <w:spacing w:before="120" w:after="120"/>
        <w:jc w:val="center"/>
        <w:textAlignment w:val="baseline"/>
        <w:rPr>
          <w:rFonts w:cs="Times New Roman"/>
          <w:i/>
          <w:iCs/>
          <w:snapToGrid w:val="0"/>
          <w:kern w:val="22"/>
          <w:szCs w:val="22"/>
          <w:lang w:val="fr-CA"/>
        </w:rPr>
      </w:pPr>
    </w:p>
    <w:p w14:paraId="7342247D" w14:textId="6A2C7B95" w:rsidR="00E70850" w:rsidRPr="00115221" w:rsidRDefault="00F9378B" w:rsidP="004569FB">
      <w:pPr>
        <w:suppressLineNumbers/>
        <w:tabs>
          <w:tab w:val="num" w:pos="0"/>
        </w:tabs>
        <w:suppressAutoHyphens/>
        <w:spacing w:before="120" w:after="120"/>
        <w:jc w:val="center"/>
        <w:textAlignment w:val="baseline"/>
        <w:rPr>
          <w:rFonts w:cs="Times New Roman"/>
          <w:i/>
          <w:iCs/>
          <w:snapToGrid w:val="0"/>
          <w:kern w:val="22"/>
          <w:szCs w:val="22"/>
          <w:lang w:val="fr-CA"/>
        </w:rPr>
      </w:pPr>
      <w:r>
        <w:rPr>
          <w:rFonts w:cs="Times New Roman"/>
          <w:i/>
          <w:iCs/>
          <w:noProof/>
          <w:snapToGrid w:val="0"/>
          <w:kern w:val="22"/>
          <w:szCs w:val="22"/>
          <w:lang w:val="fr-CA"/>
        </w:rPr>
        <w:drawing>
          <wp:inline distT="0" distB="0" distL="0" distR="0" wp14:anchorId="1463B163" wp14:editId="77A65287">
            <wp:extent cx="5906694" cy="248835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66349" cy="2513488"/>
                    </a:xfrm>
                    <a:prstGeom prst="rect">
                      <a:avLst/>
                    </a:prstGeom>
                    <a:noFill/>
                  </pic:spPr>
                </pic:pic>
              </a:graphicData>
            </a:graphic>
          </wp:inline>
        </w:drawing>
      </w:r>
    </w:p>
    <w:p w14:paraId="70672377" w14:textId="756A6E5F" w:rsidR="004569FB" w:rsidRPr="00115221" w:rsidRDefault="006D1CA4"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bookmarkStart w:id="11" w:name="_Hlk30609254"/>
      <w:r>
        <w:rPr>
          <w:rFonts w:cs="Times New Roman"/>
          <w:snapToGrid w:val="0"/>
          <w:kern w:val="22"/>
          <w:szCs w:val="22"/>
          <w:lang w:val="fr-CA"/>
        </w:rPr>
        <w:t>De nombreuses</w:t>
      </w:r>
      <w:r w:rsidR="004E26D5" w:rsidRPr="00115221">
        <w:rPr>
          <w:rFonts w:cs="Times New Roman"/>
          <w:snapToGrid w:val="0"/>
          <w:kern w:val="22"/>
          <w:szCs w:val="22"/>
          <w:lang w:val="fr-CA"/>
        </w:rPr>
        <w:t xml:space="preserve"> Parties ont dressé la liste de divers laboratoires et réseaux nationaux établis sur leur territoire dans leur exposé écrit. </w:t>
      </w:r>
      <w:r w:rsidR="001D48E7" w:rsidRPr="00115221">
        <w:rPr>
          <w:rFonts w:cs="Times New Roman"/>
          <w:snapToGrid w:val="0"/>
          <w:kern w:val="22"/>
          <w:szCs w:val="22"/>
          <w:lang w:val="fr-CA"/>
        </w:rPr>
        <w:t>Plusieurs Parties ont mentionné la mise sur pied récente de laboratoires nationaux. Les Parties de l’Union européenne ont mentionné leur participation à des réseaux de laboratoires qui se consacrent à la détection et l’</w:t>
      </w:r>
      <w:r w:rsidR="00AF439A" w:rsidRPr="00115221">
        <w:rPr>
          <w:rFonts w:cs="Times New Roman"/>
          <w:snapToGrid w:val="0"/>
          <w:kern w:val="22"/>
          <w:szCs w:val="22"/>
          <w:lang w:val="fr-CA"/>
        </w:rPr>
        <w:t>identificati</w:t>
      </w:r>
      <w:r w:rsidR="001D48E7" w:rsidRPr="00115221">
        <w:rPr>
          <w:rFonts w:cs="Times New Roman"/>
          <w:snapToGrid w:val="0"/>
          <w:kern w:val="22"/>
          <w:szCs w:val="22"/>
          <w:lang w:val="fr-CA"/>
        </w:rPr>
        <w:t xml:space="preserve">on des OVM. Quelques Parties ont mentionné qu’elles ont accès à des laboratoires </w:t>
      </w:r>
      <w:r w:rsidR="00AF439A" w:rsidRPr="00115221">
        <w:rPr>
          <w:rFonts w:cs="Times New Roman"/>
          <w:snapToGrid w:val="0"/>
          <w:kern w:val="22"/>
          <w:szCs w:val="22"/>
          <w:lang w:val="fr-CA"/>
        </w:rPr>
        <w:t>internati</w:t>
      </w:r>
      <w:r w:rsidR="001D48E7" w:rsidRPr="00115221">
        <w:rPr>
          <w:rFonts w:cs="Times New Roman"/>
          <w:snapToGrid w:val="0"/>
          <w:kern w:val="22"/>
          <w:szCs w:val="22"/>
          <w:lang w:val="fr-CA"/>
        </w:rPr>
        <w:t>o</w:t>
      </w:r>
      <w:r w:rsidR="00AF439A" w:rsidRPr="00115221">
        <w:rPr>
          <w:rFonts w:cs="Times New Roman"/>
          <w:snapToGrid w:val="0"/>
          <w:kern w:val="22"/>
          <w:szCs w:val="22"/>
          <w:lang w:val="fr-CA"/>
        </w:rPr>
        <w:t>n</w:t>
      </w:r>
      <w:r w:rsidR="001D48E7" w:rsidRPr="00115221">
        <w:rPr>
          <w:rFonts w:cs="Times New Roman"/>
          <w:snapToGrid w:val="0"/>
          <w:kern w:val="22"/>
          <w:szCs w:val="22"/>
          <w:lang w:val="fr-CA"/>
        </w:rPr>
        <w:t xml:space="preserve">aux pour leurs activités de détection et qu’elles utilisent leurs services. </w:t>
      </w:r>
      <w:r w:rsidR="000E1DEB">
        <w:rPr>
          <w:rFonts w:cs="Times New Roman"/>
          <w:snapToGrid w:val="0"/>
          <w:kern w:val="22"/>
          <w:szCs w:val="22"/>
          <w:lang w:val="fr-CA"/>
        </w:rPr>
        <w:t>De plus</w:t>
      </w:r>
      <w:r w:rsidR="001D48E7" w:rsidRPr="00115221">
        <w:rPr>
          <w:rFonts w:cs="Times New Roman"/>
          <w:snapToGrid w:val="0"/>
          <w:kern w:val="22"/>
          <w:szCs w:val="22"/>
          <w:lang w:val="fr-CA"/>
        </w:rPr>
        <w:t>, plusieurs Parties ont indiqué qu’elles ont entr</w:t>
      </w:r>
      <w:r w:rsidR="00AF439A" w:rsidRPr="00115221">
        <w:rPr>
          <w:rFonts w:cs="Times New Roman"/>
          <w:snapToGrid w:val="0"/>
          <w:kern w:val="22"/>
          <w:szCs w:val="22"/>
          <w:lang w:val="fr-CA"/>
        </w:rPr>
        <w:t>e</w:t>
      </w:r>
      <w:r w:rsidR="001D48E7" w:rsidRPr="00115221">
        <w:rPr>
          <w:rFonts w:cs="Times New Roman"/>
          <w:snapToGrid w:val="0"/>
          <w:kern w:val="22"/>
          <w:szCs w:val="22"/>
          <w:lang w:val="fr-CA"/>
        </w:rPr>
        <w:t xml:space="preserve">pris de renforcer leurs capacités pour la création de laboratoires destinés </w:t>
      </w:r>
      <w:r w:rsidR="00AF439A" w:rsidRPr="00115221">
        <w:rPr>
          <w:rFonts w:cs="Times New Roman"/>
          <w:snapToGrid w:val="0"/>
          <w:kern w:val="22"/>
          <w:szCs w:val="22"/>
          <w:lang w:val="fr-CA"/>
        </w:rPr>
        <w:t>spécifiquement</w:t>
      </w:r>
      <w:r w:rsidR="001D48E7" w:rsidRPr="00115221">
        <w:rPr>
          <w:rFonts w:cs="Times New Roman"/>
          <w:snapToGrid w:val="0"/>
          <w:kern w:val="22"/>
          <w:szCs w:val="22"/>
          <w:lang w:val="fr-CA"/>
        </w:rPr>
        <w:t xml:space="preserve"> à la détection des OVM et/ou l’obtention d’un</w:t>
      </w:r>
      <w:r w:rsidR="00731991">
        <w:rPr>
          <w:rFonts w:cs="Times New Roman"/>
          <w:snapToGrid w:val="0"/>
          <w:kern w:val="22"/>
          <w:szCs w:val="22"/>
          <w:lang w:val="fr-CA"/>
        </w:rPr>
        <w:t>e accréditation internationale.</w:t>
      </w:r>
      <w:r w:rsidR="00AF439A" w:rsidRPr="00115221">
        <w:rPr>
          <w:rFonts w:cs="Times New Roman"/>
          <w:snapToGrid w:val="0"/>
          <w:kern w:val="22"/>
          <w:szCs w:val="22"/>
          <w:lang w:val="fr-CA"/>
        </w:rPr>
        <w:t xml:space="preserve"> Plusieurs cours de formation récents </w:t>
      </w:r>
      <w:r w:rsidR="00731991">
        <w:rPr>
          <w:rFonts w:cs="Times New Roman"/>
          <w:snapToGrid w:val="0"/>
          <w:kern w:val="22"/>
          <w:szCs w:val="22"/>
          <w:lang w:val="fr-CA"/>
        </w:rPr>
        <w:t xml:space="preserve">et </w:t>
      </w:r>
      <w:r w:rsidR="00AF439A" w:rsidRPr="00115221">
        <w:rPr>
          <w:rFonts w:cs="Times New Roman"/>
          <w:snapToGrid w:val="0"/>
          <w:kern w:val="22"/>
          <w:szCs w:val="22"/>
          <w:lang w:val="fr-CA"/>
        </w:rPr>
        <w:t>à venir</w:t>
      </w:r>
      <w:r w:rsidR="004E26D5" w:rsidRPr="00115221">
        <w:rPr>
          <w:rFonts w:cs="Times New Roman"/>
          <w:snapToGrid w:val="0"/>
          <w:kern w:val="22"/>
          <w:szCs w:val="22"/>
          <w:lang w:val="fr-CA"/>
        </w:rPr>
        <w:t xml:space="preserve"> </w:t>
      </w:r>
      <w:r w:rsidR="00AF439A" w:rsidRPr="00115221">
        <w:rPr>
          <w:rFonts w:cs="Times New Roman"/>
          <w:snapToGrid w:val="0"/>
          <w:kern w:val="22"/>
          <w:szCs w:val="22"/>
          <w:lang w:val="fr-CA"/>
        </w:rPr>
        <w:t>pour les douaniers ont été mentionnés</w:t>
      </w:r>
      <w:r w:rsidR="004569FB" w:rsidRPr="00115221">
        <w:rPr>
          <w:rFonts w:cs="Times New Roman"/>
          <w:snapToGrid w:val="0"/>
          <w:kern w:val="22"/>
          <w:szCs w:val="22"/>
          <w:lang w:val="fr-CA"/>
        </w:rPr>
        <w:t>.</w:t>
      </w:r>
    </w:p>
    <w:p w14:paraId="0ABABBC5" w14:textId="0F191B1D" w:rsidR="004569FB" w:rsidRPr="00115221" w:rsidRDefault="00AF439A"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D’autres Parties ont indiqué qu’elles étaient incapables d’entreprendre la détection et l’identification des OVM, notamment</w:t>
      </w:r>
      <w:r w:rsidR="00C804A3" w:rsidRPr="00115221">
        <w:rPr>
          <w:rFonts w:cs="Times New Roman"/>
          <w:snapToGrid w:val="0"/>
          <w:kern w:val="22"/>
          <w:szCs w:val="22"/>
          <w:lang w:val="fr-CA"/>
        </w:rPr>
        <w:t xml:space="preserve"> </w:t>
      </w:r>
      <w:r w:rsidRPr="00115221">
        <w:rPr>
          <w:rFonts w:cs="Times New Roman"/>
          <w:snapToGrid w:val="0"/>
          <w:kern w:val="22"/>
          <w:szCs w:val="22"/>
          <w:lang w:val="fr-CA"/>
        </w:rPr>
        <w:t xml:space="preserve">à </w:t>
      </w:r>
      <w:r w:rsidRPr="00115221">
        <w:rPr>
          <w:rFonts w:eastAsia="Times New Roman" w:cs="Times New Roman"/>
          <w:snapToGrid w:val="0"/>
          <w:kern w:val="22"/>
          <w:szCs w:val="22"/>
          <w:lang w:val="fr-CA"/>
        </w:rPr>
        <w:t>cause</w:t>
      </w:r>
      <w:r w:rsidRPr="00115221">
        <w:rPr>
          <w:rFonts w:cs="Times New Roman"/>
          <w:snapToGrid w:val="0"/>
          <w:kern w:val="22"/>
          <w:szCs w:val="22"/>
          <w:lang w:val="fr-CA"/>
        </w:rPr>
        <w:t xml:space="preserve"> de l’a</w:t>
      </w:r>
      <w:r w:rsidR="00C804A3" w:rsidRPr="00115221">
        <w:rPr>
          <w:rFonts w:cs="Times New Roman"/>
          <w:snapToGrid w:val="0"/>
          <w:kern w:val="22"/>
          <w:szCs w:val="22"/>
          <w:lang w:val="fr-CA"/>
        </w:rPr>
        <w:t>bsence de laboratoires, de perso</w:t>
      </w:r>
      <w:r w:rsidRPr="00115221">
        <w:rPr>
          <w:rFonts w:cs="Times New Roman"/>
          <w:snapToGrid w:val="0"/>
          <w:kern w:val="22"/>
          <w:szCs w:val="22"/>
          <w:lang w:val="fr-CA"/>
        </w:rPr>
        <w:t xml:space="preserve">nnel, d’équipement, d’accréditation et/ou de capacités de </w:t>
      </w:r>
      <w:r w:rsidR="00C804A3" w:rsidRPr="00115221">
        <w:rPr>
          <w:rFonts w:cs="Times New Roman"/>
          <w:snapToGrid w:val="0"/>
          <w:kern w:val="22"/>
          <w:szCs w:val="22"/>
          <w:lang w:val="fr-CA"/>
        </w:rPr>
        <w:t>mener</w:t>
      </w:r>
      <w:r w:rsidRPr="00115221">
        <w:rPr>
          <w:rFonts w:cs="Times New Roman"/>
          <w:snapToGrid w:val="0"/>
          <w:kern w:val="22"/>
          <w:szCs w:val="22"/>
          <w:lang w:val="fr-CA"/>
        </w:rPr>
        <w:t xml:space="preserve"> des activités de détection des OVM</w:t>
      </w:r>
      <w:r w:rsidR="00C804A3" w:rsidRPr="00115221">
        <w:rPr>
          <w:rFonts w:cs="Times New Roman"/>
          <w:snapToGrid w:val="0"/>
          <w:kern w:val="22"/>
          <w:szCs w:val="22"/>
          <w:lang w:val="fr-CA"/>
        </w:rPr>
        <w:t>. Quelques Parties n’ont pas mis en place les réglementations nécessaires en matière de prévention des risques biotechnologies pour réglementer la détection des OVM, mais ont indiqué qu’elles étaient en voie d’élaborer ces instruments. Quelques Parties ont indiq</w:t>
      </w:r>
      <w:r w:rsidR="005C05D0" w:rsidRPr="00115221">
        <w:rPr>
          <w:rFonts w:cs="Times New Roman"/>
          <w:snapToGrid w:val="0"/>
          <w:kern w:val="22"/>
          <w:szCs w:val="22"/>
          <w:lang w:val="fr-CA"/>
        </w:rPr>
        <w:t>ué que leurs douaniers ne posséd</w:t>
      </w:r>
      <w:r w:rsidR="00C804A3" w:rsidRPr="00115221">
        <w:rPr>
          <w:rFonts w:cs="Times New Roman"/>
          <w:snapToGrid w:val="0"/>
          <w:kern w:val="22"/>
          <w:szCs w:val="22"/>
          <w:lang w:val="fr-CA"/>
        </w:rPr>
        <w:t>aient pas de fo</w:t>
      </w:r>
      <w:r w:rsidR="005C05D0" w:rsidRPr="00115221">
        <w:rPr>
          <w:rFonts w:cs="Times New Roman"/>
          <w:snapToGrid w:val="0"/>
          <w:kern w:val="22"/>
          <w:szCs w:val="22"/>
          <w:lang w:val="fr-CA"/>
        </w:rPr>
        <w:t xml:space="preserve">rmation spécifique </w:t>
      </w:r>
      <w:r w:rsidR="00731991">
        <w:rPr>
          <w:rFonts w:cs="Times New Roman"/>
          <w:snapToGrid w:val="0"/>
          <w:kern w:val="22"/>
          <w:szCs w:val="22"/>
          <w:lang w:val="fr-CA"/>
        </w:rPr>
        <w:t>en</w:t>
      </w:r>
      <w:r w:rsidR="005C05D0" w:rsidRPr="00115221">
        <w:rPr>
          <w:rFonts w:cs="Times New Roman"/>
          <w:snapToGrid w:val="0"/>
          <w:kern w:val="22"/>
          <w:szCs w:val="22"/>
          <w:lang w:val="fr-CA"/>
        </w:rPr>
        <w:t xml:space="preserve"> détec</w:t>
      </w:r>
      <w:r w:rsidR="00C804A3" w:rsidRPr="00115221">
        <w:rPr>
          <w:rFonts w:cs="Times New Roman"/>
          <w:snapToGrid w:val="0"/>
          <w:kern w:val="22"/>
          <w:szCs w:val="22"/>
          <w:lang w:val="fr-CA"/>
        </w:rPr>
        <w:t>tion des OVM et pour</w:t>
      </w:r>
      <w:r w:rsidR="005C05D0" w:rsidRPr="00115221">
        <w:rPr>
          <w:rFonts w:cs="Times New Roman"/>
          <w:snapToGrid w:val="0"/>
          <w:kern w:val="22"/>
          <w:szCs w:val="22"/>
          <w:lang w:val="fr-CA"/>
        </w:rPr>
        <w:t>r</w:t>
      </w:r>
      <w:r w:rsidR="00C804A3" w:rsidRPr="00115221">
        <w:rPr>
          <w:rFonts w:cs="Times New Roman"/>
          <w:snapToGrid w:val="0"/>
          <w:kern w:val="22"/>
          <w:szCs w:val="22"/>
          <w:lang w:val="fr-CA"/>
        </w:rPr>
        <w:t>aient profiter d’une formation supplémentaire.</w:t>
      </w:r>
      <w:r w:rsidR="005C05D0" w:rsidRPr="00115221">
        <w:rPr>
          <w:rFonts w:cs="Times New Roman"/>
          <w:snapToGrid w:val="0"/>
          <w:kern w:val="22"/>
          <w:szCs w:val="22"/>
          <w:lang w:val="fr-CA"/>
        </w:rPr>
        <w:t xml:space="preserve"> Certaines Parties ont mentionné qu’elles doivent aussi apporter des améliorati</w:t>
      </w:r>
      <w:r w:rsidR="00731991">
        <w:rPr>
          <w:rFonts w:cs="Times New Roman"/>
          <w:snapToGrid w:val="0"/>
          <w:kern w:val="22"/>
          <w:szCs w:val="22"/>
          <w:lang w:val="fr-CA"/>
        </w:rPr>
        <w:t>ons au niveau du personnel et d</w:t>
      </w:r>
      <w:r w:rsidR="005C05D0" w:rsidRPr="00115221">
        <w:rPr>
          <w:rFonts w:cs="Times New Roman"/>
          <w:snapToGrid w:val="0"/>
          <w:kern w:val="22"/>
          <w:szCs w:val="22"/>
          <w:lang w:val="fr-CA"/>
        </w:rPr>
        <w:t xml:space="preserve">es laboratoires afin d’accroître leurs </w:t>
      </w:r>
      <w:r w:rsidR="005C05D0" w:rsidRPr="00115221">
        <w:rPr>
          <w:rFonts w:cs="Times New Roman"/>
          <w:snapToGrid w:val="0"/>
          <w:kern w:val="22"/>
          <w:szCs w:val="22"/>
          <w:lang w:val="fr-CA"/>
        </w:rPr>
        <w:lastRenderedPageBreak/>
        <w:t>capacités à cet égard. Une Partie a mentionné que les cours de formation sont importants et nécessaires afin de maintenir la capacité.</w:t>
      </w:r>
      <w:r w:rsidR="00C804A3" w:rsidRPr="00115221">
        <w:rPr>
          <w:rFonts w:cs="Times New Roman"/>
          <w:snapToGrid w:val="0"/>
          <w:kern w:val="22"/>
          <w:szCs w:val="22"/>
          <w:lang w:val="fr-CA"/>
        </w:rPr>
        <w:t xml:space="preserve"> </w:t>
      </w:r>
    </w:p>
    <w:bookmarkEnd w:id="11"/>
    <w:p w14:paraId="0A2B2F52" w14:textId="492C1854" w:rsidR="004569FB" w:rsidRPr="00115221" w:rsidRDefault="00336C1C" w:rsidP="000A5388">
      <w:pPr>
        <w:keepNext/>
        <w:numPr>
          <w:ilvl w:val="0"/>
          <w:numId w:val="17"/>
        </w:numPr>
        <w:suppressLineNumbers/>
        <w:tabs>
          <w:tab w:val="clear" w:pos="2070"/>
        </w:tabs>
        <w:suppressAutoHyphens/>
        <w:spacing w:before="120" w:after="120"/>
        <w:ind w:left="0" w:right="431" w:firstLine="0"/>
        <w:jc w:val="center"/>
        <w:outlineLvl w:val="1"/>
        <w:rPr>
          <w:rFonts w:cs="Times New Roman"/>
          <w:b/>
          <w:iCs/>
          <w:snapToGrid w:val="0"/>
          <w:kern w:val="22"/>
          <w:szCs w:val="22"/>
          <w:lang w:val="fr-CA"/>
        </w:rPr>
      </w:pPr>
      <w:r w:rsidRPr="00115221">
        <w:rPr>
          <w:rFonts w:cs="Times New Roman"/>
          <w:b/>
          <w:iCs/>
          <w:snapToGrid w:val="0"/>
          <w:kern w:val="22"/>
          <w:szCs w:val="22"/>
          <w:lang w:val="fr-CA"/>
        </w:rPr>
        <w:t>Facteurs socioéconomiques</w:t>
      </w:r>
      <w:r w:rsidR="004569FB" w:rsidRPr="00115221">
        <w:rPr>
          <w:rFonts w:cs="Times New Roman"/>
          <w:b/>
          <w:iCs/>
          <w:snapToGrid w:val="0"/>
          <w:kern w:val="22"/>
          <w:szCs w:val="22"/>
          <w:lang w:val="fr-CA"/>
        </w:rPr>
        <w:t xml:space="preserve"> (</w:t>
      </w:r>
      <w:r w:rsidR="005C05D0" w:rsidRPr="00115221">
        <w:rPr>
          <w:rFonts w:cs="Times New Roman"/>
          <w:b/>
          <w:iCs/>
          <w:snapToGrid w:val="0"/>
          <w:kern w:val="22"/>
          <w:szCs w:val="22"/>
          <w:lang w:val="fr-CA"/>
        </w:rPr>
        <w:t>objectif op</w:t>
      </w:r>
      <w:r w:rsidRPr="00115221">
        <w:rPr>
          <w:rFonts w:cs="Times New Roman"/>
          <w:b/>
          <w:iCs/>
          <w:snapToGrid w:val="0"/>
          <w:kern w:val="22"/>
          <w:szCs w:val="22"/>
          <w:lang w:val="fr-CA"/>
        </w:rPr>
        <w:t>érationnel</w:t>
      </w:r>
      <w:r w:rsidR="004569FB" w:rsidRPr="00115221">
        <w:rPr>
          <w:rFonts w:cs="Times New Roman"/>
          <w:b/>
          <w:iCs/>
          <w:snapToGrid w:val="0"/>
          <w:kern w:val="22"/>
          <w:szCs w:val="22"/>
          <w:lang w:val="fr-CA"/>
        </w:rPr>
        <w:t xml:space="preserve"> 1.7)</w:t>
      </w:r>
    </w:p>
    <w:p w14:paraId="173FB348" w14:textId="666A3C08" w:rsidR="004569FB" w:rsidRPr="00115221" w:rsidRDefault="005C05D0"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L’objectif opérationnel 1.7 a pour bu</w:t>
      </w:r>
      <w:r w:rsidR="006A5A9C" w:rsidRPr="00115221">
        <w:rPr>
          <w:rFonts w:cs="Times New Roman"/>
          <w:snapToGrid w:val="0"/>
          <w:kern w:val="22"/>
          <w:szCs w:val="22"/>
          <w:lang w:val="fr-CA"/>
        </w:rPr>
        <w:t>t</w:t>
      </w:r>
      <w:r w:rsidRPr="00115221">
        <w:rPr>
          <w:rFonts w:cs="Times New Roman"/>
          <w:snapToGrid w:val="0"/>
          <w:kern w:val="22"/>
          <w:szCs w:val="22"/>
          <w:lang w:val="fr-CA"/>
        </w:rPr>
        <w:t xml:space="preserve"> de fournir une orientation </w:t>
      </w:r>
      <w:r w:rsidR="006A5A9C" w:rsidRPr="00115221">
        <w:rPr>
          <w:rFonts w:cs="Times New Roman"/>
          <w:snapToGrid w:val="0"/>
          <w:kern w:val="22"/>
          <w:szCs w:val="22"/>
          <w:lang w:val="fr-CA"/>
        </w:rPr>
        <w:t xml:space="preserve">sur les facteurs </w:t>
      </w:r>
      <w:r w:rsidRPr="00115221">
        <w:rPr>
          <w:rFonts w:cs="Times New Roman"/>
          <w:snapToGrid w:val="0"/>
          <w:kern w:val="22"/>
          <w:szCs w:val="22"/>
          <w:lang w:val="fr-CA"/>
        </w:rPr>
        <w:t>socioécon</w:t>
      </w:r>
      <w:r w:rsidR="006A5A9C" w:rsidRPr="00115221">
        <w:rPr>
          <w:rFonts w:cs="Times New Roman"/>
          <w:snapToGrid w:val="0"/>
          <w:kern w:val="22"/>
          <w:szCs w:val="22"/>
          <w:lang w:val="fr-CA"/>
        </w:rPr>
        <w:t>o</w:t>
      </w:r>
      <w:r w:rsidRPr="00115221">
        <w:rPr>
          <w:rFonts w:cs="Times New Roman"/>
          <w:snapToGrid w:val="0"/>
          <w:kern w:val="22"/>
          <w:szCs w:val="22"/>
          <w:lang w:val="fr-CA"/>
        </w:rPr>
        <w:t>mique</w:t>
      </w:r>
      <w:r w:rsidR="006A5A9C" w:rsidRPr="00115221">
        <w:rPr>
          <w:rFonts w:cs="Times New Roman"/>
          <w:snapToGrid w:val="0"/>
          <w:kern w:val="22"/>
          <w:szCs w:val="22"/>
          <w:lang w:val="fr-CA"/>
        </w:rPr>
        <w:t>s</w:t>
      </w:r>
      <w:r w:rsidR="000E1DEB">
        <w:rPr>
          <w:rFonts w:cs="Times New Roman"/>
          <w:snapToGrid w:val="0"/>
          <w:kern w:val="22"/>
          <w:szCs w:val="22"/>
          <w:lang w:val="fr-CA"/>
        </w:rPr>
        <w:t xml:space="preserve"> fondés </w:t>
      </w:r>
      <w:r w:rsidRPr="00115221">
        <w:rPr>
          <w:rFonts w:cs="Times New Roman"/>
          <w:snapToGrid w:val="0"/>
          <w:kern w:val="22"/>
          <w:szCs w:val="22"/>
          <w:lang w:val="fr-CA"/>
        </w:rPr>
        <w:t>sur la recherche pertinente et l’</w:t>
      </w:r>
      <w:r w:rsidR="006A5A9C" w:rsidRPr="00115221">
        <w:rPr>
          <w:rFonts w:cs="Times New Roman"/>
          <w:snapToGrid w:val="0"/>
          <w:kern w:val="22"/>
          <w:szCs w:val="22"/>
          <w:lang w:val="fr-CA"/>
        </w:rPr>
        <w:t>échang</w:t>
      </w:r>
      <w:r w:rsidRPr="00115221">
        <w:rPr>
          <w:rFonts w:cs="Times New Roman"/>
          <w:snapToGrid w:val="0"/>
          <w:kern w:val="22"/>
          <w:szCs w:val="22"/>
          <w:lang w:val="fr-CA"/>
        </w:rPr>
        <w:t xml:space="preserve">e d’information, </w:t>
      </w:r>
      <w:r w:rsidR="006A5A9C" w:rsidRPr="00115221">
        <w:rPr>
          <w:rFonts w:cs="Times New Roman"/>
          <w:snapToGrid w:val="0"/>
          <w:kern w:val="22"/>
          <w:szCs w:val="22"/>
          <w:lang w:val="fr-CA"/>
        </w:rPr>
        <w:t>qui pourraient entrer en ligne de compte dans la prise de décisions sur l’importation d’</w:t>
      </w:r>
      <w:r w:rsidR="006A5A9C" w:rsidRPr="00115221">
        <w:rPr>
          <w:rFonts w:eastAsia="Times New Roman" w:cs="Times New Roman"/>
          <w:snapToGrid w:val="0"/>
          <w:kern w:val="22"/>
          <w:szCs w:val="22"/>
          <w:lang w:val="fr-CA"/>
        </w:rPr>
        <w:t>organismes</w:t>
      </w:r>
      <w:r w:rsidR="006A5A9C" w:rsidRPr="00115221">
        <w:rPr>
          <w:rFonts w:cs="Times New Roman"/>
          <w:snapToGrid w:val="0"/>
          <w:kern w:val="22"/>
          <w:szCs w:val="22"/>
          <w:lang w:val="fr-CA"/>
        </w:rPr>
        <w:t xml:space="preserve"> vivants modifiés. Les Parties ont convenu des résultats, qui comprennent l’élaboration et l’utilisation </w:t>
      </w:r>
      <w:r w:rsidR="00BC1FAD" w:rsidRPr="00115221">
        <w:rPr>
          <w:rFonts w:cs="Times New Roman"/>
          <w:snapToGrid w:val="0"/>
          <w:kern w:val="22"/>
          <w:szCs w:val="22"/>
          <w:lang w:val="fr-CA"/>
        </w:rPr>
        <w:t>de lignes directrices</w:t>
      </w:r>
      <w:r w:rsidR="006A5A9C" w:rsidRPr="00115221">
        <w:rPr>
          <w:rFonts w:cs="Times New Roman"/>
          <w:snapToGrid w:val="0"/>
          <w:kern w:val="22"/>
          <w:szCs w:val="22"/>
          <w:lang w:val="fr-CA"/>
        </w:rPr>
        <w:t>, et la prise en compte de facteurs socioéconomiques, selon qu’il convient. Quatre indicateurs ont été établis afin de mesure</w:t>
      </w:r>
      <w:r w:rsidR="000E1DEB">
        <w:rPr>
          <w:rFonts w:cs="Times New Roman"/>
          <w:snapToGrid w:val="0"/>
          <w:kern w:val="22"/>
          <w:szCs w:val="22"/>
          <w:lang w:val="fr-CA"/>
        </w:rPr>
        <w:t>r</w:t>
      </w:r>
      <w:r w:rsidR="006A5A9C" w:rsidRPr="00115221">
        <w:rPr>
          <w:rFonts w:cs="Times New Roman"/>
          <w:snapToGrid w:val="0"/>
          <w:kern w:val="22"/>
          <w:szCs w:val="22"/>
          <w:lang w:val="fr-CA"/>
        </w:rPr>
        <w:t xml:space="preserve"> les progrès dans la réalisation de cet objectif opérationnel</w:t>
      </w:r>
      <w:r w:rsidR="004569FB" w:rsidRPr="00115221">
        <w:rPr>
          <w:rFonts w:cs="Times New Roman"/>
          <w:snapToGrid w:val="0"/>
          <w:kern w:val="22"/>
          <w:szCs w:val="22"/>
          <w:lang w:val="fr-CA"/>
        </w:rPr>
        <w:t>.</w:t>
      </w:r>
    </w:p>
    <w:p w14:paraId="48A77B82" w14:textId="1F9455B0" w:rsidR="004569FB" w:rsidRPr="00115221" w:rsidRDefault="00780E14"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Pr>
          <w:rFonts w:cs="Times New Roman"/>
          <w:snapToGrid w:val="0"/>
          <w:kern w:val="22"/>
          <w:szCs w:val="22"/>
          <w:lang w:val="fr-CA"/>
        </w:rPr>
        <w:t>Pour ce qui est de</w:t>
      </w:r>
      <w:r w:rsidR="00A44B8E" w:rsidRPr="00115221">
        <w:rPr>
          <w:rFonts w:cs="Times New Roman"/>
          <w:snapToGrid w:val="0"/>
          <w:kern w:val="22"/>
          <w:szCs w:val="22"/>
          <w:lang w:val="fr-CA"/>
        </w:rPr>
        <w:t xml:space="preserve"> </w:t>
      </w:r>
      <w:r w:rsidR="00A44B8E" w:rsidRPr="00115221">
        <w:rPr>
          <w:rFonts w:cs="Times New Roman"/>
          <w:b/>
          <w:snapToGrid w:val="0"/>
          <w:kern w:val="22"/>
          <w:szCs w:val="22"/>
          <w:lang w:val="fr-CA"/>
        </w:rPr>
        <w:t xml:space="preserve">l’indicateur 1.7.1 </w:t>
      </w:r>
      <w:r w:rsidR="00A44B8E" w:rsidRPr="00115221">
        <w:rPr>
          <w:rFonts w:cs="Times New Roman"/>
          <w:snapToGrid w:val="0"/>
          <w:kern w:val="22"/>
          <w:szCs w:val="22"/>
          <w:lang w:val="fr-CA"/>
        </w:rPr>
        <w:t>(nombre de documents de recherche évalués par les pai</w:t>
      </w:r>
      <w:r w:rsidR="000E1DEB">
        <w:rPr>
          <w:rFonts w:cs="Times New Roman"/>
          <w:snapToGrid w:val="0"/>
          <w:kern w:val="22"/>
          <w:szCs w:val="22"/>
          <w:lang w:val="fr-CA"/>
        </w:rPr>
        <w:t>r</w:t>
      </w:r>
      <w:r w:rsidR="00A44B8E" w:rsidRPr="00115221">
        <w:rPr>
          <w:rFonts w:cs="Times New Roman"/>
          <w:snapToGrid w:val="0"/>
          <w:kern w:val="22"/>
          <w:szCs w:val="22"/>
          <w:lang w:val="fr-CA"/>
        </w:rPr>
        <w:t xml:space="preserve">s publiés, disponibles et utilisés par les Parties </w:t>
      </w:r>
      <w:r w:rsidR="002F25B4">
        <w:rPr>
          <w:rFonts w:cs="Times New Roman"/>
          <w:snapToGrid w:val="0"/>
          <w:kern w:val="22"/>
          <w:szCs w:val="22"/>
          <w:lang w:val="fr-CA"/>
        </w:rPr>
        <w:t>dans la prise en compte</w:t>
      </w:r>
      <w:r w:rsidR="00A44B8E" w:rsidRPr="00115221">
        <w:rPr>
          <w:rFonts w:cs="Times New Roman"/>
          <w:snapToGrid w:val="0"/>
          <w:kern w:val="22"/>
          <w:szCs w:val="22"/>
          <w:lang w:val="fr-CA"/>
        </w:rPr>
        <w:t xml:space="preserve"> des conséquences socioéconomiques des OVM), 34 p. cent des Parties (24 Parties) ont déclaré qu’</w:t>
      </w:r>
      <w:r w:rsidR="00F86649" w:rsidRPr="00115221">
        <w:rPr>
          <w:rFonts w:cs="Times New Roman"/>
          <w:snapToGrid w:val="0"/>
          <w:kern w:val="22"/>
          <w:szCs w:val="22"/>
          <w:lang w:val="fr-CA"/>
        </w:rPr>
        <w:t>elles avaient utilisé des documents examinés par des pairs afin d’élaborer ou de déterminer les mesures nationales de prise en compte de facteurs socioéconomiques, une diminution de 8 p.</w:t>
      </w:r>
      <w:r w:rsidR="00AA5CAC" w:rsidRPr="00115221">
        <w:rPr>
          <w:rFonts w:cs="Times New Roman"/>
          <w:snapToGrid w:val="0"/>
          <w:kern w:val="22"/>
          <w:szCs w:val="22"/>
          <w:lang w:val="fr-CA"/>
        </w:rPr>
        <w:t xml:space="preserve"> cent par rapport à la valeur de référence. Quatorze p. cent des Parties ont déclaré avoir utilisé 50 documents exam</w:t>
      </w:r>
      <w:r>
        <w:rPr>
          <w:rFonts w:cs="Times New Roman"/>
          <w:snapToGrid w:val="0"/>
          <w:kern w:val="22"/>
          <w:szCs w:val="22"/>
          <w:lang w:val="fr-CA"/>
        </w:rPr>
        <w:t>inés par des pairs (+4 p. cent);</w:t>
      </w:r>
      <w:r w:rsidR="00AA5CAC" w:rsidRPr="00115221">
        <w:rPr>
          <w:rFonts w:cs="Times New Roman"/>
          <w:snapToGrid w:val="0"/>
          <w:kern w:val="22"/>
          <w:szCs w:val="22"/>
          <w:lang w:val="fr-CA"/>
        </w:rPr>
        <w:t xml:space="preserve"> 6 p. cent ont déclaré avoir utilisé de 10 à 4</w:t>
      </w:r>
      <w:r>
        <w:rPr>
          <w:rFonts w:cs="Times New Roman"/>
          <w:snapToGrid w:val="0"/>
          <w:kern w:val="22"/>
          <w:szCs w:val="22"/>
          <w:lang w:val="fr-CA"/>
        </w:rPr>
        <w:t>9 de ces documents (-1 p. cent);</w:t>
      </w:r>
      <w:r w:rsidR="00AA5CAC" w:rsidRPr="00115221">
        <w:rPr>
          <w:rFonts w:cs="Times New Roman"/>
          <w:snapToGrid w:val="0"/>
          <w:kern w:val="22"/>
          <w:szCs w:val="22"/>
          <w:lang w:val="fr-CA"/>
        </w:rPr>
        <w:t xml:space="preserve"> 3 p. cent ont déclaré en avoir utilisé de 5 à 9 </w:t>
      </w:r>
      <w:r>
        <w:rPr>
          <w:rFonts w:cs="Times New Roman"/>
          <w:snapToGrid w:val="0"/>
          <w:kern w:val="22"/>
          <w:szCs w:val="22"/>
          <w:lang w:val="fr-CA"/>
        </w:rPr>
        <w:t xml:space="preserve">documents </w:t>
      </w:r>
      <w:r w:rsidR="00AA5CAC" w:rsidRPr="00115221">
        <w:rPr>
          <w:rFonts w:cs="Times New Roman"/>
          <w:snapToGrid w:val="0"/>
          <w:kern w:val="22"/>
          <w:szCs w:val="22"/>
          <w:lang w:val="fr-CA"/>
        </w:rPr>
        <w:t xml:space="preserve">(aucune différence par rapport à la valeur de référence); et 11 p. cent des Parties ont déclaré avoir utilisé de 1 à 4 de ces documents (-11 p. cent). </w:t>
      </w:r>
      <w:r w:rsidR="00AA5CAC" w:rsidRPr="00115221">
        <w:rPr>
          <w:rFonts w:eastAsia="Times New Roman" w:cs="Times New Roman"/>
          <w:snapToGrid w:val="0"/>
          <w:kern w:val="22"/>
          <w:szCs w:val="22"/>
          <w:lang w:val="fr-CA"/>
        </w:rPr>
        <w:t>Toutes</w:t>
      </w:r>
      <w:r w:rsidR="00AA5CAC" w:rsidRPr="00115221">
        <w:rPr>
          <w:rFonts w:cs="Times New Roman"/>
          <w:snapToGrid w:val="0"/>
          <w:kern w:val="22"/>
          <w:szCs w:val="22"/>
          <w:lang w:val="fr-CA"/>
        </w:rPr>
        <w:t xml:space="preserve"> les Parties ayant déclaré avoir utilisé 50 ou plus de ces documents </w:t>
      </w:r>
      <w:r w:rsidR="009559AD" w:rsidRPr="00115221">
        <w:rPr>
          <w:rFonts w:cs="Times New Roman"/>
          <w:snapToGrid w:val="0"/>
          <w:kern w:val="22"/>
          <w:szCs w:val="22"/>
          <w:lang w:val="fr-CA"/>
        </w:rPr>
        <w:t xml:space="preserve">au cours de la période visée par le rapport proviennent des régions ECE et EOA. Soixante-trois p. cent des Parties (17 Parties) ont déclaré </w:t>
      </w:r>
      <w:r w:rsidR="00AA5CAC" w:rsidRPr="00115221">
        <w:rPr>
          <w:rFonts w:cs="Times New Roman"/>
          <w:snapToGrid w:val="0"/>
          <w:kern w:val="22"/>
          <w:szCs w:val="22"/>
          <w:lang w:val="fr-CA"/>
        </w:rPr>
        <w:t>dans leurs quatri</w:t>
      </w:r>
      <w:r w:rsidR="009559AD" w:rsidRPr="00115221">
        <w:rPr>
          <w:rFonts w:cs="Times New Roman"/>
          <w:snapToGrid w:val="0"/>
          <w:kern w:val="22"/>
          <w:szCs w:val="22"/>
          <w:lang w:val="fr-CA"/>
        </w:rPr>
        <w:t>èmes rapports nationaux que le nombre de publications examiné</w:t>
      </w:r>
      <w:r>
        <w:rPr>
          <w:rFonts w:cs="Times New Roman"/>
          <w:snapToGrid w:val="0"/>
          <w:kern w:val="22"/>
          <w:szCs w:val="22"/>
          <w:lang w:val="fr-CA"/>
        </w:rPr>
        <w:t>e</w:t>
      </w:r>
      <w:r w:rsidR="009559AD" w:rsidRPr="00115221">
        <w:rPr>
          <w:rFonts w:cs="Times New Roman"/>
          <w:snapToGrid w:val="0"/>
          <w:kern w:val="22"/>
          <w:szCs w:val="22"/>
          <w:lang w:val="fr-CA"/>
        </w:rPr>
        <w:t>s par des pairs utilisé a été adéquat.</w:t>
      </w:r>
    </w:p>
    <w:p w14:paraId="3A50369E" w14:textId="103CC720" w:rsidR="004569FB" w:rsidRPr="00115221" w:rsidRDefault="009559AD"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Quant à </w:t>
      </w:r>
      <w:r w:rsidRPr="00115221">
        <w:rPr>
          <w:rFonts w:cs="Times New Roman"/>
          <w:b/>
          <w:snapToGrid w:val="0"/>
          <w:kern w:val="22"/>
          <w:szCs w:val="22"/>
          <w:lang w:val="fr-CA"/>
        </w:rPr>
        <w:t>l’indicateur 1.7.2</w:t>
      </w:r>
      <w:r w:rsidRPr="00115221">
        <w:rPr>
          <w:rFonts w:cs="Times New Roman"/>
          <w:snapToGrid w:val="0"/>
          <w:kern w:val="22"/>
          <w:szCs w:val="22"/>
          <w:lang w:val="fr-CA"/>
        </w:rPr>
        <w:t xml:space="preserve"> (nombre de Parties ayant présenté des données sur leurs </w:t>
      </w:r>
      <w:r w:rsidR="002B2883">
        <w:rPr>
          <w:rFonts w:cs="Times New Roman"/>
          <w:snapToGrid w:val="0"/>
          <w:kern w:val="22"/>
          <w:szCs w:val="22"/>
          <w:lang w:val="fr-CA"/>
        </w:rPr>
        <w:t>méthodes</w:t>
      </w:r>
      <w:r w:rsidRPr="00115221">
        <w:rPr>
          <w:rFonts w:cs="Times New Roman"/>
          <w:snapToGrid w:val="0"/>
          <w:kern w:val="22"/>
          <w:szCs w:val="22"/>
          <w:lang w:val="fr-CA"/>
        </w:rPr>
        <w:t xml:space="preserve"> pour </w:t>
      </w:r>
      <w:r w:rsidR="002B2883">
        <w:rPr>
          <w:rFonts w:cs="Times New Roman"/>
          <w:snapToGrid w:val="0"/>
          <w:kern w:val="22"/>
          <w:szCs w:val="22"/>
          <w:lang w:val="fr-CA"/>
        </w:rPr>
        <w:t>prendre en compte l</w:t>
      </w:r>
      <w:r w:rsidRPr="00115221">
        <w:rPr>
          <w:rFonts w:cs="Times New Roman"/>
          <w:snapToGrid w:val="0"/>
          <w:kern w:val="22"/>
          <w:szCs w:val="22"/>
          <w:lang w:val="fr-CA"/>
        </w:rPr>
        <w:t>es facteurs socioéconomiques), 52 p. cent des Parties (37 Pa</w:t>
      </w:r>
      <w:r w:rsidR="00B56F5A" w:rsidRPr="00115221">
        <w:rPr>
          <w:rFonts w:cs="Times New Roman"/>
          <w:snapToGrid w:val="0"/>
          <w:kern w:val="22"/>
          <w:szCs w:val="22"/>
          <w:lang w:val="fr-CA"/>
        </w:rPr>
        <w:t>r</w:t>
      </w:r>
      <w:r w:rsidRPr="00115221">
        <w:rPr>
          <w:rFonts w:cs="Times New Roman"/>
          <w:snapToGrid w:val="0"/>
          <w:kern w:val="22"/>
          <w:szCs w:val="22"/>
          <w:lang w:val="fr-CA"/>
        </w:rPr>
        <w:t xml:space="preserve">ties) ont déclaré </w:t>
      </w:r>
      <w:r w:rsidR="00B56F5A" w:rsidRPr="00115221">
        <w:rPr>
          <w:rFonts w:cs="Times New Roman"/>
          <w:snapToGrid w:val="0"/>
          <w:kern w:val="22"/>
          <w:szCs w:val="22"/>
          <w:lang w:val="fr-CA"/>
        </w:rPr>
        <w:t>utiliser une démarche spécifiq</w:t>
      </w:r>
      <w:r w:rsidRPr="00115221">
        <w:rPr>
          <w:rFonts w:cs="Times New Roman"/>
          <w:snapToGrid w:val="0"/>
          <w:kern w:val="22"/>
          <w:szCs w:val="22"/>
          <w:lang w:val="fr-CA"/>
        </w:rPr>
        <w:t xml:space="preserve">ue ou respecter des critères précis pour faciliter la prise en compte de facteurs </w:t>
      </w:r>
      <w:r w:rsidR="00B56F5A" w:rsidRPr="00115221">
        <w:rPr>
          <w:rFonts w:cs="Times New Roman"/>
          <w:snapToGrid w:val="0"/>
          <w:kern w:val="22"/>
          <w:szCs w:val="22"/>
          <w:lang w:val="fr-CA"/>
        </w:rPr>
        <w:t>socioéconomiques</w:t>
      </w:r>
      <w:r w:rsidRPr="00115221">
        <w:rPr>
          <w:rFonts w:cs="Times New Roman"/>
          <w:snapToGrid w:val="0"/>
          <w:kern w:val="22"/>
          <w:szCs w:val="22"/>
          <w:lang w:val="fr-CA"/>
        </w:rPr>
        <w:t xml:space="preserve"> dans la prise de décisions concernant les OVM, une augmentation de 10 p. cent par rapport à la valeur de référence. </w:t>
      </w:r>
      <w:r w:rsidR="00B56F5A" w:rsidRPr="00115221">
        <w:rPr>
          <w:rFonts w:cs="Times New Roman"/>
          <w:snapToGrid w:val="0"/>
          <w:kern w:val="22"/>
          <w:szCs w:val="22"/>
          <w:lang w:val="fr-CA"/>
        </w:rPr>
        <w:t>Les données régionales présentent des différences importantes, tant pour les nombres que po</w:t>
      </w:r>
      <w:r w:rsidR="002B2883">
        <w:rPr>
          <w:rFonts w:cs="Times New Roman"/>
          <w:snapToGrid w:val="0"/>
          <w:kern w:val="22"/>
          <w:szCs w:val="22"/>
          <w:lang w:val="fr-CA"/>
        </w:rPr>
        <w:t xml:space="preserve">ur les différences par rapport </w:t>
      </w:r>
      <w:r w:rsidR="00B56F5A" w:rsidRPr="00115221">
        <w:rPr>
          <w:rFonts w:cs="Times New Roman"/>
          <w:snapToGrid w:val="0"/>
          <w:kern w:val="22"/>
          <w:szCs w:val="22"/>
          <w:lang w:val="fr-CA"/>
        </w:rPr>
        <w:t xml:space="preserve">à la valeur de référence. : Afrique : 63 p. cent (+32 p. cent); Asie-Pacifique : 44 p. cent (+22 p. cent); ECE : 50 p. cent (aucune différence par rapport à la valeur de </w:t>
      </w:r>
      <w:r w:rsidR="002B2883">
        <w:rPr>
          <w:rFonts w:cs="Times New Roman"/>
          <w:snapToGrid w:val="0"/>
          <w:kern w:val="22"/>
          <w:szCs w:val="22"/>
          <w:lang w:val="fr-CA"/>
        </w:rPr>
        <w:t>référence); GALC : 8 p. cent (-</w:t>
      </w:r>
      <w:r w:rsidR="00B56F5A" w:rsidRPr="00115221">
        <w:rPr>
          <w:rFonts w:cs="Times New Roman"/>
          <w:snapToGrid w:val="0"/>
          <w:kern w:val="22"/>
          <w:szCs w:val="22"/>
          <w:lang w:val="fr-CA"/>
        </w:rPr>
        <w:t>15 p. cent); EOA : 81 p. cent (+6</w:t>
      </w:r>
      <w:r w:rsidR="00C8400A" w:rsidRPr="00115221">
        <w:rPr>
          <w:rFonts w:cs="Times New Roman"/>
          <w:snapToGrid w:val="0"/>
          <w:kern w:val="22"/>
          <w:szCs w:val="22"/>
          <w:lang w:val="fr-CA"/>
        </w:rPr>
        <w:t>)</w:t>
      </w:r>
      <w:r w:rsidR="004569FB" w:rsidRPr="00115221">
        <w:rPr>
          <w:rFonts w:cs="Times New Roman"/>
          <w:snapToGrid w:val="0"/>
          <w:kern w:val="22"/>
          <w:szCs w:val="22"/>
          <w:lang w:val="fr-CA"/>
        </w:rPr>
        <w:t>.</w:t>
      </w:r>
    </w:p>
    <w:p w14:paraId="2BF8C0F5" w14:textId="1C97E730" w:rsidR="004569FB" w:rsidRPr="002B2883" w:rsidRDefault="002542AF" w:rsidP="002B2883">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w:t>
      </w:r>
      <w:r w:rsidR="0084467C" w:rsidRPr="00115221">
        <w:rPr>
          <w:rFonts w:cs="Times New Roman"/>
          <w:b/>
          <w:snapToGrid w:val="0"/>
          <w:kern w:val="22"/>
          <w:szCs w:val="22"/>
          <w:lang w:val="fr-CA"/>
        </w:rPr>
        <w:t>.</w:t>
      </w:r>
      <w:r w:rsidRPr="00115221">
        <w:rPr>
          <w:rFonts w:cs="Times New Roman"/>
          <w:b/>
          <w:snapToGrid w:val="0"/>
          <w:kern w:val="22"/>
          <w:szCs w:val="22"/>
          <w:lang w:val="fr-CA"/>
        </w:rPr>
        <w:t>7</w:t>
      </w:r>
      <w:r w:rsidR="0084467C" w:rsidRPr="00115221">
        <w:rPr>
          <w:rFonts w:cs="Times New Roman"/>
          <w:b/>
          <w:snapToGrid w:val="0"/>
          <w:kern w:val="22"/>
          <w:szCs w:val="22"/>
          <w:lang w:val="fr-CA"/>
        </w:rPr>
        <w:t>.</w:t>
      </w:r>
      <w:r w:rsidRPr="00115221">
        <w:rPr>
          <w:rFonts w:cs="Times New Roman"/>
          <w:b/>
          <w:snapToGrid w:val="0"/>
          <w:kern w:val="22"/>
          <w:szCs w:val="22"/>
          <w:lang w:val="fr-CA"/>
        </w:rPr>
        <w:t>3</w:t>
      </w:r>
      <w:r w:rsidRPr="00115221">
        <w:rPr>
          <w:rFonts w:cs="Times New Roman"/>
          <w:snapToGrid w:val="0"/>
          <w:kern w:val="22"/>
          <w:szCs w:val="22"/>
          <w:lang w:val="fr-CA"/>
        </w:rPr>
        <w:t xml:space="preserve"> (nombre de Parties ayant présenté des données </w:t>
      </w:r>
      <w:r w:rsidR="002B2883">
        <w:rPr>
          <w:rFonts w:cs="Times New Roman"/>
          <w:snapToGrid w:val="0"/>
          <w:kern w:val="22"/>
          <w:szCs w:val="22"/>
          <w:lang w:val="fr-CA"/>
        </w:rPr>
        <w:t>d’</w:t>
      </w:r>
      <w:r w:rsidR="002B2883" w:rsidRPr="002B2883">
        <w:rPr>
          <w:rFonts w:cs="Times New Roman"/>
          <w:snapToGrid w:val="0"/>
          <w:kern w:val="22"/>
          <w:szCs w:val="22"/>
          <w:lang w:val="fr-CA"/>
        </w:rPr>
        <w:t xml:space="preserve">expérience </w:t>
      </w:r>
      <w:r w:rsidR="002B2883">
        <w:rPr>
          <w:rFonts w:cs="Times New Roman"/>
          <w:snapToGrid w:val="0"/>
          <w:kern w:val="22"/>
          <w:szCs w:val="22"/>
          <w:lang w:val="fr-CA"/>
        </w:rPr>
        <w:t>sur</w:t>
      </w:r>
      <w:r w:rsidRPr="002B2883">
        <w:rPr>
          <w:rFonts w:cs="Times New Roman"/>
          <w:snapToGrid w:val="0"/>
          <w:kern w:val="22"/>
          <w:szCs w:val="22"/>
          <w:lang w:val="fr-CA"/>
        </w:rPr>
        <w:t xml:space="preserve"> la prise en compte de facteurs socioéconomiques </w:t>
      </w:r>
      <w:r w:rsidR="002B2883">
        <w:rPr>
          <w:rFonts w:cs="Times New Roman"/>
          <w:snapToGrid w:val="0"/>
          <w:kern w:val="22"/>
          <w:szCs w:val="22"/>
          <w:lang w:val="fr-CA"/>
        </w:rPr>
        <w:t>dans les</w:t>
      </w:r>
      <w:r w:rsidRPr="002B2883">
        <w:rPr>
          <w:rFonts w:cs="Times New Roman"/>
          <w:snapToGrid w:val="0"/>
          <w:kern w:val="22"/>
          <w:szCs w:val="22"/>
          <w:lang w:val="fr-CA"/>
        </w:rPr>
        <w:t xml:space="preserve"> décisions sur l’importatio</w:t>
      </w:r>
      <w:r w:rsidR="00D03BB9" w:rsidRPr="002B2883">
        <w:rPr>
          <w:rFonts w:cs="Times New Roman"/>
          <w:snapToGrid w:val="0"/>
          <w:kern w:val="22"/>
          <w:szCs w:val="22"/>
          <w:lang w:val="fr-CA"/>
        </w:rPr>
        <w:t>n d’organismes vivants modifiés), 60 Parties (65 p. cent) ont déclaré avoir pris des décisions sur les OVM dans ce contexte au cours de la période visée par le rapport</w:t>
      </w:r>
      <w:r w:rsidR="005A204D" w:rsidRPr="002B2883">
        <w:rPr>
          <w:rFonts w:cs="Times New Roman"/>
          <w:snapToGrid w:val="0"/>
          <w:kern w:val="22"/>
          <w:szCs w:val="22"/>
          <w:lang w:val="fr-CA"/>
        </w:rPr>
        <w:t>.</w:t>
      </w:r>
      <w:r w:rsidR="00ED3F2F" w:rsidRPr="00115221">
        <w:rPr>
          <w:rStyle w:val="FootnoteReference"/>
          <w:rFonts w:cs="Times New Roman"/>
          <w:snapToGrid w:val="0"/>
          <w:kern w:val="22"/>
          <w:szCs w:val="22"/>
          <w:lang w:val="fr-CA"/>
        </w:rPr>
        <w:footnoteReference w:id="34"/>
      </w:r>
      <w:r w:rsidR="005A204D" w:rsidRPr="002B2883">
        <w:rPr>
          <w:rFonts w:cs="Times New Roman"/>
          <w:snapToGrid w:val="0"/>
          <w:kern w:val="22"/>
          <w:szCs w:val="22"/>
          <w:lang w:val="fr-CA"/>
        </w:rPr>
        <w:t xml:space="preserve"> </w:t>
      </w:r>
      <w:r w:rsidR="00D03BB9" w:rsidRPr="002B2883">
        <w:rPr>
          <w:rFonts w:cs="Times New Roman"/>
          <w:snapToGrid w:val="0"/>
          <w:kern w:val="22"/>
          <w:szCs w:val="22"/>
          <w:lang w:val="fr-CA"/>
        </w:rPr>
        <w:t>Vingt-sept p. cen</w:t>
      </w:r>
      <w:r w:rsidR="0084467C" w:rsidRPr="002B2883">
        <w:rPr>
          <w:rFonts w:cs="Times New Roman"/>
          <w:snapToGrid w:val="0"/>
          <w:kern w:val="22"/>
          <w:szCs w:val="22"/>
          <w:lang w:val="fr-CA"/>
        </w:rPr>
        <w:t>t de ces 60 </w:t>
      </w:r>
      <w:r w:rsidR="00D03BB9" w:rsidRPr="002B2883">
        <w:rPr>
          <w:rFonts w:cs="Times New Roman"/>
          <w:snapToGrid w:val="0"/>
          <w:kern w:val="22"/>
          <w:szCs w:val="22"/>
          <w:lang w:val="fr-CA"/>
        </w:rPr>
        <w:t xml:space="preserve">Parties ont déclaré avoir toujours pris des </w:t>
      </w:r>
      <w:r w:rsidR="0084467C" w:rsidRPr="002B2883">
        <w:rPr>
          <w:rFonts w:cs="Times New Roman"/>
          <w:snapToGrid w:val="0"/>
          <w:kern w:val="22"/>
          <w:szCs w:val="22"/>
          <w:lang w:val="fr-CA"/>
        </w:rPr>
        <w:t>dé</w:t>
      </w:r>
      <w:r w:rsidR="00D03BB9" w:rsidRPr="002B2883">
        <w:rPr>
          <w:rFonts w:cs="Times New Roman"/>
          <w:snapToGrid w:val="0"/>
          <w:kern w:val="22"/>
          <w:szCs w:val="22"/>
          <w:lang w:val="fr-CA"/>
        </w:rPr>
        <w:t xml:space="preserve">cisions en </w:t>
      </w:r>
      <w:r w:rsidR="0084467C" w:rsidRPr="002B2883">
        <w:rPr>
          <w:rFonts w:cs="Times New Roman"/>
          <w:snapToGrid w:val="0"/>
          <w:kern w:val="22"/>
          <w:szCs w:val="22"/>
          <w:lang w:val="fr-CA"/>
        </w:rPr>
        <w:t>tenant</w:t>
      </w:r>
      <w:r w:rsidR="00D03BB9" w:rsidRPr="002B2883">
        <w:rPr>
          <w:rFonts w:cs="Times New Roman"/>
          <w:snapToGrid w:val="0"/>
          <w:kern w:val="22"/>
          <w:szCs w:val="22"/>
          <w:lang w:val="fr-CA"/>
        </w:rPr>
        <w:t xml:space="preserve"> compte des facteurs </w:t>
      </w:r>
      <w:r w:rsidR="0084467C" w:rsidRPr="002B2883">
        <w:rPr>
          <w:rFonts w:cs="Times New Roman"/>
          <w:snapToGrid w:val="0"/>
          <w:kern w:val="22"/>
          <w:szCs w:val="22"/>
          <w:lang w:val="fr-CA"/>
        </w:rPr>
        <w:t>socioéconomiques</w:t>
      </w:r>
      <w:r w:rsidR="00D03BB9" w:rsidRPr="002B2883">
        <w:rPr>
          <w:rFonts w:cs="Times New Roman"/>
          <w:snapToGrid w:val="0"/>
          <w:kern w:val="22"/>
          <w:szCs w:val="22"/>
          <w:lang w:val="fr-CA"/>
        </w:rPr>
        <w:t xml:space="preserve"> découlant de l’impact des OVM; 38 p. cent de ces Parties ont déclaré l’avoir fait dans que</w:t>
      </w:r>
      <w:r w:rsidR="0084467C" w:rsidRPr="002B2883">
        <w:rPr>
          <w:rFonts w:cs="Times New Roman"/>
          <w:snapToGrid w:val="0"/>
          <w:kern w:val="22"/>
          <w:szCs w:val="22"/>
          <w:lang w:val="fr-CA"/>
        </w:rPr>
        <w:t>lques cas seulement et 35 p. cen</w:t>
      </w:r>
      <w:r w:rsidR="002B2883">
        <w:rPr>
          <w:rFonts w:cs="Times New Roman"/>
          <w:snapToGrid w:val="0"/>
          <w:kern w:val="22"/>
          <w:szCs w:val="22"/>
          <w:lang w:val="fr-CA"/>
        </w:rPr>
        <w:t>t ont déclaré n</w:t>
      </w:r>
      <w:r w:rsidR="00D03BB9" w:rsidRPr="002B2883">
        <w:rPr>
          <w:rFonts w:cs="Times New Roman"/>
          <w:snapToGrid w:val="0"/>
          <w:kern w:val="22"/>
          <w:szCs w:val="22"/>
          <w:lang w:val="fr-CA"/>
        </w:rPr>
        <w:t xml:space="preserve">e pas l’avoir fait. Ces 60 Parties ayant pris des </w:t>
      </w:r>
      <w:r w:rsidR="0084467C" w:rsidRPr="002B2883">
        <w:rPr>
          <w:rFonts w:cs="Times New Roman"/>
          <w:snapToGrid w:val="0"/>
          <w:kern w:val="22"/>
          <w:szCs w:val="22"/>
          <w:lang w:val="fr-CA"/>
        </w:rPr>
        <w:t>dé</w:t>
      </w:r>
      <w:r w:rsidR="00D03BB9" w:rsidRPr="002B2883">
        <w:rPr>
          <w:rFonts w:cs="Times New Roman"/>
          <w:snapToGrid w:val="0"/>
          <w:kern w:val="22"/>
          <w:szCs w:val="22"/>
          <w:lang w:val="fr-CA"/>
        </w:rPr>
        <w:t>cisions sur les OVM représentent une augmentation de 14 p. cent dans le pourcentage des Parties ayant déclaré avoir toujours</w:t>
      </w:r>
      <w:r w:rsidR="0084467C" w:rsidRPr="002B2883">
        <w:rPr>
          <w:rFonts w:cs="Times New Roman"/>
          <w:snapToGrid w:val="0"/>
          <w:kern w:val="22"/>
          <w:szCs w:val="22"/>
          <w:lang w:val="fr-CA"/>
        </w:rPr>
        <w:t xml:space="preserve"> ou parfois tenu compte des fac</w:t>
      </w:r>
      <w:r w:rsidR="00D03BB9" w:rsidRPr="002B2883">
        <w:rPr>
          <w:rFonts w:cs="Times New Roman"/>
          <w:snapToGrid w:val="0"/>
          <w:kern w:val="22"/>
          <w:szCs w:val="22"/>
          <w:lang w:val="fr-CA"/>
        </w:rPr>
        <w:t>teurs socioéconomiques dans leurs d</w:t>
      </w:r>
      <w:r w:rsidR="0084467C" w:rsidRPr="002B2883">
        <w:rPr>
          <w:rFonts w:cs="Times New Roman"/>
          <w:snapToGrid w:val="0"/>
          <w:kern w:val="22"/>
          <w:szCs w:val="22"/>
          <w:lang w:val="fr-CA"/>
        </w:rPr>
        <w:t>é</w:t>
      </w:r>
      <w:r w:rsidR="00D03BB9" w:rsidRPr="002B2883">
        <w:rPr>
          <w:rFonts w:cs="Times New Roman"/>
          <w:snapToGrid w:val="0"/>
          <w:kern w:val="22"/>
          <w:szCs w:val="22"/>
          <w:lang w:val="fr-CA"/>
        </w:rPr>
        <w:t>cisions sur les OVM</w:t>
      </w:r>
      <w:r w:rsidR="004569FB" w:rsidRPr="002B2883">
        <w:rPr>
          <w:rFonts w:cs="Times New Roman"/>
          <w:snapToGrid w:val="0"/>
          <w:kern w:val="22"/>
          <w:szCs w:val="22"/>
          <w:lang w:val="fr-CA"/>
        </w:rPr>
        <w:t xml:space="preserve">.  </w:t>
      </w:r>
    </w:p>
    <w:p w14:paraId="41D154D5" w14:textId="53E2C600" w:rsidR="004569FB" w:rsidRPr="00115221" w:rsidRDefault="0084467C"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Aucune information précise n’est disponible pour </w:t>
      </w:r>
      <w:r w:rsidRPr="00115221">
        <w:rPr>
          <w:rFonts w:cs="Times New Roman"/>
          <w:b/>
          <w:snapToGrid w:val="0"/>
          <w:kern w:val="22"/>
          <w:szCs w:val="22"/>
          <w:lang w:val="fr-CA"/>
        </w:rPr>
        <w:t>l’indicateur 1.7.4</w:t>
      </w:r>
      <w:r w:rsidRPr="00115221">
        <w:rPr>
          <w:rFonts w:cs="Times New Roman"/>
          <w:snapToGrid w:val="0"/>
          <w:kern w:val="22"/>
          <w:szCs w:val="22"/>
          <w:lang w:val="fr-CA"/>
        </w:rPr>
        <w:t xml:space="preserve"> (nombre de Parties utilisant </w:t>
      </w:r>
      <w:r w:rsidR="00BC1FAD" w:rsidRPr="00115221">
        <w:rPr>
          <w:rFonts w:cs="Times New Roman"/>
          <w:snapToGrid w:val="0"/>
          <w:kern w:val="22"/>
          <w:szCs w:val="22"/>
          <w:lang w:val="fr-CA"/>
        </w:rPr>
        <w:t>les lignes directrices</w:t>
      </w:r>
      <w:r w:rsidRPr="00115221">
        <w:rPr>
          <w:rFonts w:cs="Times New Roman"/>
          <w:snapToGrid w:val="0"/>
          <w:kern w:val="22"/>
          <w:szCs w:val="22"/>
          <w:lang w:val="fr-CA"/>
        </w:rPr>
        <w:t xml:space="preserve"> sur les facteurs socioéconomiques). En l’absence </w:t>
      </w:r>
      <w:r w:rsidR="006109DC">
        <w:rPr>
          <w:rFonts w:cs="Times New Roman"/>
          <w:snapToGrid w:val="0"/>
          <w:kern w:val="22"/>
          <w:szCs w:val="22"/>
          <w:lang w:val="fr-CA"/>
        </w:rPr>
        <w:t>d’i</w:t>
      </w:r>
      <w:r w:rsidRPr="00115221">
        <w:rPr>
          <w:rFonts w:cs="Times New Roman"/>
          <w:snapToGrid w:val="0"/>
          <w:kern w:val="22"/>
          <w:szCs w:val="22"/>
          <w:lang w:val="fr-CA"/>
        </w:rPr>
        <w:t>nformation</w:t>
      </w:r>
      <w:r w:rsidR="006109DC">
        <w:rPr>
          <w:rFonts w:cs="Times New Roman"/>
          <w:snapToGrid w:val="0"/>
          <w:kern w:val="22"/>
          <w:szCs w:val="22"/>
          <w:lang w:val="fr-CA"/>
        </w:rPr>
        <w:t xml:space="preserve"> sur l’utilisation des lignes directrices</w:t>
      </w:r>
      <w:r w:rsidRPr="00115221">
        <w:rPr>
          <w:rFonts w:cs="Times New Roman"/>
          <w:snapToGrid w:val="0"/>
          <w:kern w:val="22"/>
          <w:szCs w:val="22"/>
          <w:lang w:val="fr-CA"/>
        </w:rPr>
        <w:t>, certaines données sur les activités ayant eu lieu depuis l’établissement de la valeur de référence</w:t>
      </w:r>
      <w:r w:rsidR="00BC1D6B" w:rsidRPr="00115221">
        <w:rPr>
          <w:rFonts w:cs="Times New Roman"/>
          <w:snapToGrid w:val="0"/>
          <w:kern w:val="22"/>
          <w:szCs w:val="22"/>
          <w:lang w:val="fr-CA"/>
        </w:rPr>
        <w:t xml:space="preserve"> en vue de réa</w:t>
      </w:r>
      <w:r w:rsidR="006109DC">
        <w:rPr>
          <w:rFonts w:cs="Times New Roman"/>
          <w:snapToGrid w:val="0"/>
          <w:kern w:val="22"/>
          <w:szCs w:val="22"/>
          <w:lang w:val="fr-CA"/>
        </w:rPr>
        <w:t>liser l’objectif opérationnel 1.</w:t>
      </w:r>
      <w:r w:rsidR="00BC1D6B" w:rsidRPr="00115221">
        <w:rPr>
          <w:rFonts w:cs="Times New Roman"/>
          <w:snapToGrid w:val="0"/>
          <w:kern w:val="22"/>
          <w:szCs w:val="22"/>
          <w:lang w:val="fr-CA"/>
        </w:rPr>
        <w:t xml:space="preserve">7 du Plan stratégique, </w:t>
      </w:r>
      <w:r w:rsidR="006932B1">
        <w:rPr>
          <w:rFonts w:cs="Times New Roman"/>
          <w:snapToGrid w:val="0"/>
          <w:kern w:val="22"/>
          <w:szCs w:val="22"/>
          <w:lang w:val="fr-CA"/>
        </w:rPr>
        <w:t xml:space="preserve">qui porte </w:t>
      </w:r>
      <w:r w:rsidR="00BC1D6B" w:rsidRPr="00115221">
        <w:rPr>
          <w:rFonts w:cs="Times New Roman"/>
          <w:snapToGrid w:val="0"/>
          <w:kern w:val="22"/>
          <w:szCs w:val="22"/>
          <w:lang w:val="fr-CA"/>
        </w:rPr>
        <w:t xml:space="preserve">sur l’élaboration </w:t>
      </w:r>
      <w:r w:rsidR="00BC1FAD" w:rsidRPr="00115221">
        <w:rPr>
          <w:rFonts w:cs="Times New Roman"/>
          <w:snapToGrid w:val="0"/>
          <w:kern w:val="22"/>
          <w:szCs w:val="22"/>
          <w:lang w:val="fr-CA"/>
        </w:rPr>
        <w:t>de lignes directrices</w:t>
      </w:r>
      <w:r w:rsidR="00BC1D6B" w:rsidRPr="00115221">
        <w:rPr>
          <w:rFonts w:cs="Times New Roman"/>
          <w:snapToGrid w:val="0"/>
          <w:kern w:val="22"/>
          <w:szCs w:val="22"/>
          <w:lang w:val="fr-CA"/>
        </w:rPr>
        <w:t xml:space="preserve"> par les Parties sur les facteurs socioéconomiques des </w:t>
      </w:r>
      <w:r w:rsidR="00BC1D6B" w:rsidRPr="00115221">
        <w:rPr>
          <w:rFonts w:eastAsia="Times New Roman" w:cs="Times New Roman"/>
          <w:snapToGrid w:val="0"/>
          <w:kern w:val="22"/>
          <w:szCs w:val="22"/>
          <w:lang w:val="fr-CA"/>
        </w:rPr>
        <w:t>organismes</w:t>
      </w:r>
      <w:r w:rsidR="00BC1D6B" w:rsidRPr="00115221">
        <w:rPr>
          <w:rFonts w:cs="Times New Roman"/>
          <w:snapToGrid w:val="0"/>
          <w:kern w:val="22"/>
          <w:szCs w:val="22"/>
          <w:lang w:val="fr-CA"/>
        </w:rPr>
        <w:t xml:space="preserve"> vivants modifiés</w:t>
      </w:r>
      <w:r w:rsidR="006932B1">
        <w:rPr>
          <w:rFonts w:cs="Times New Roman"/>
          <w:snapToGrid w:val="0"/>
          <w:kern w:val="22"/>
          <w:szCs w:val="22"/>
          <w:lang w:val="fr-CA"/>
        </w:rPr>
        <w:t>, ont été fournies</w:t>
      </w:r>
      <w:r w:rsidR="004569FB" w:rsidRPr="00115221">
        <w:rPr>
          <w:rFonts w:cs="Times New Roman"/>
          <w:snapToGrid w:val="0"/>
          <w:kern w:val="22"/>
          <w:szCs w:val="22"/>
          <w:lang w:val="fr-CA"/>
        </w:rPr>
        <w:t xml:space="preserve">. </w:t>
      </w:r>
    </w:p>
    <w:p w14:paraId="04F87AD8" w14:textId="12B741D4" w:rsidR="004569FB" w:rsidRPr="00115221" w:rsidRDefault="00C94E67"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Un Groupe spécial d’experts techniques sur les facteurs socioéconomiques a été constitué </w:t>
      </w:r>
      <w:r w:rsidR="006109DC">
        <w:rPr>
          <w:rFonts w:cs="Times New Roman"/>
          <w:snapToGrid w:val="0"/>
          <w:kern w:val="22"/>
          <w:szCs w:val="22"/>
          <w:lang w:val="fr-CA"/>
        </w:rPr>
        <w:t>à</w:t>
      </w:r>
      <w:r w:rsidRPr="00115221">
        <w:rPr>
          <w:rFonts w:cs="Times New Roman"/>
          <w:snapToGrid w:val="0"/>
          <w:kern w:val="22"/>
          <w:szCs w:val="22"/>
          <w:lang w:val="fr-CA"/>
        </w:rPr>
        <w:t xml:space="preserve"> la décision BS-VI/13 afin de </w:t>
      </w:r>
      <w:r w:rsidR="006109DC">
        <w:rPr>
          <w:rFonts w:cs="Times New Roman"/>
          <w:snapToGrid w:val="0"/>
          <w:kern w:val="22"/>
          <w:szCs w:val="22"/>
          <w:lang w:val="fr-CA"/>
        </w:rPr>
        <w:t>développer</w:t>
      </w:r>
      <w:r w:rsidRPr="00115221">
        <w:rPr>
          <w:rFonts w:cs="Times New Roman"/>
          <w:snapToGrid w:val="0"/>
          <w:kern w:val="22"/>
          <w:szCs w:val="22"/>
          <w:lang w:val="fr-CA"/>
        </w:rPr>
        <w:t xml:space="preserve"> une clarté conceptuelle dans le contexte du para</w:t>
      </w:r>
      <w:r w:rsidR="00FC1C93">
        <w:rPr>
          <w:rFonts w:cs="Times New Roman"/>
          <w:snapToGrid w:val="0"/>
          <w:kern w:val="22"/>
          <w:szCs w:val="22"/>
          <w:lang w:val="fr-CA"/>
        </w:rPr>
        <w:t xml:space="preserve">graphe 1 de </w:t>
      </w:r>
      <w:r w:rsidR="00FC1C93">
        <w:rPr>
          <w:rFonts w:cs="Times New Roman"/>
          <w:snapToGrid w:val="0"/>
          <w:kern w:val="22"/>
          <w:szCs w:val="22"/>
          <w:lang w:val="fr-CA"/>
        </w:rPr>
        <w:lastRenderedPageBreak/>
        <w:t>l’article </w:t>
      </w:r>
      <w:r w:rsidRPr="00115221">
        <w:rPr>
          <w:rFonts w:cs="Times New Roman"/>
          <w:snapToGrid w:val="0"/>
          <w:kern w:val="22"/>
          <w:szCs w:val="22"/>
          <w:lang w:val="fr-CA"/>
        </w:rPr>
        <w:t>26. Il s’est réuni pour la première fois à Séoul, en République de Corée, en février 2014</w:t>
      </w:r>
      <w:r w:rsidR="00FC1C93">
        <w:rPr>
          <w:rFonts w:cs="Times New Roman"/>
          <w:snapToGrid w:val="0"/>
          <w:kern w:val="22"/>
          <w:szCs w:val="22"/>
          <w:lang w:val="fr-CA"/>
        </w:rPr>
        <w:t>,</w:t>
      </w:r>
      <w:r w:rsidRPr="00115221">
        <w:rPr>
          <w:rFonts w:cs="Times New Roman"/>
          <w:snapToGrid w:val="0"/>
          <w:kern w:val="22"/>
          <w:szCs w:val="22"/>
          <w:lang w:val="fr-CA"/>
        </w:rPr>
        <w:t xml:space="preserve"> et a convenu d’une liste d’éléments pour un cadre de clarté conceptuelle sur</w:t>
      </w:r>
      <w:r w:rsidR="00187587" w:rsidRPr="00115221">
        <w:rPr>
          <w:rFonts w:cs="Times New Roman"/>
          <w:snapToGrid w:val="0"/>
          <w:kern w:val="22"/>
          <w:szCs w:val="22"/>
          <w:lang w:val="fr-CA"/>
        </w:rPr>
        <w:t xml:space="preserve"> </w:t>
      </w:r>
      <w:r w:rsidRPr="00115221">
        <w:rPr>
          <w:rFonts w:cs="Times New Roman"/>
          <w:snapToGrid w:val="0"/>
          <w:kern w:val="22"/>
          <w:szCs w:val="22"/>
          <w:lang w:val="fr-CA"/>
        </w:rPr>
        <w:t xml:space="preserve">les facteurs socioéconomiques. La septième réunion de la Conférence des Parties siégeant en tant que réunion des Parties </w:t>
      </w:r>
      <w:r w:rsidR="00187587" w:rsidRPr="00115221">
        <w:rPr>
          <w:rFonts w:cs="Times New Roman"/>
          <w:snapToGrid w:val="0"/>
          <w:kern w:val="22"/>
          <w:szCs w:val="22"/>
          <w:lang w:val="fr-CA"/>
        </w:rPr>
        <w:t>a invité le Groupe spécial d’experts techniques à développer davantage le concept de la clarté conceptuelle et les grandes lignes d’une orientation en vue de faire des progrès dans la réalisation de l’objectif 1.7 du Plan stratégique et ses résultats. Le Groupe spécial d’experts techniques a poursuivi ses travaux en ligne et a convenu d’un cadre révisé de clarté conceptuelle, que la Conférence des Parties siégeant en tant que réunion des Parties a examiné à sa huitième réunion</w:t>
      </w:r>
      <w:r w:rsidR="00D01974" w:rsidRPr="00115221">
        <w:rPr>
          <w:rFonts w:cs="Times New Roman"/>
          <w:snapToGrid w:val="0"/>
          <w:kern w:val="22"/>
          <w:szCs w:val="22"/>
          <w:lang w:val="fr-CA"/>
        </w:rPr>
        <w:t>.</w:t>
      </w:r>
      <w:r w:rsidR="00187587" w:rsidRPr="00115221">
        <w:rPr>
          <w:rFonts w:cs="Times New Roman"/>
          <w:snapToGrid w:val="0"/>
          <w:kern w:val="22"/>
          <w:szCs w:val="22"/>
          <w:lang w:val="fr-CA"/>
        </w:rPr>
        <w:t xml:space="preserve"> </w:t>
      </w:r>
      <w:r w:rsidR="00D01974" w:rsidRPr="00115221">
        <w:rPr>
          <w:rFonts w:cs="Times New Roman"/>
          <w:snapToGrid w:val="0"/>
          <w:kern w:val="22"/>
          <w:szCs w:val="22"/>
          <w:lang w:val="fr-CA"/>
        </w:rPr>
        <w:t xml:space="preserve">La réunion des Parties, dans sa décision CP-VIII/13, a invité le Groupe spécial d’experts techniques à se réunir en personne afin de travailler sur les </w:t>
      </w:r>
      <w:r w:rsidR="00BC1FAD" w:rsidRPr="00115221">
        <w:rPr>
          <w:rFonts w:cs="Times New Roman"/>
          <w:snapToGrid w:val="0"/>
          <w:kern w:val="22"/>
          <w:szCs w:val="22"/>
          <w:lang w:val="fr-CA"/>
        </w:rPr>
        <w:t>lignes directrices</w:t>
      </w:r>
      <w:r w:rsidR="00D01974" w:rsidRPr="00115221">
        <w:rPr>
          <w:rFonts w:cs="Times New Roman"/>
          <w:snapToGrid w:val="0"/>
          <w:kern w:val="22"/>
          <w:szCs w:val="22"/>
          <w:lang w:val="fr-CA"/>
        </w:rPr>
        <w:t xml:space="preserve"> envisagées dans les résultats de l’objectif 1.7 du Plan stratégique. Le Groupe spécial d’experts techniques s’est réuni à Ljubljana, en octobre 2017. Il a élaboré un projet d’Orientation sur l’évaluation des facteurs socio</w:t>
      </w:r>
      <w:r w:rsidR="00674DB2" w:rsidRPr="00115221">
        <w:rPr>
          <w:rFonts w:cs="Times New Roman"/>
          <w:snapToGrid w:val="0"/>
          <w:kern w:val="22"/>
          <w:szCs w:val="22"/>
          <w:lang w:val="fr-CA"/>
        </w:rPr>
        <w:t>é</w:t>
      </w:r>
      <w:r w:rsidR="00D01974" w:rsidRPr="00115221">
        <w:rPr>
          <w:rFonts w:cs="Times New Roman"/>
          <w:snapToGrid w:val="0"/>
          <w:kern w:val="22"/>
          <w:szCs w:val="22"/>
          <w:lang w:val="fr-CA"/>
        </w:rPr>
        <w:t>conomiques dans le contexte de l’</w:t>
      </w:r>
      <w:r w:rsidR="00674DB2" w:rsidRPr="00115221">
        <w:rPr>
          <w:rFonts w:cs="Times New Roman"/>
          <w:snapToGrid w:val="0"/>
          <w:kern w:val="22"/>
          <w:szCs w:val="22"/>
          <w:lang w:val="fr-CA"/>
        </w:rPr>
        <w:t>article 26 d</w:t>
      </w:r>
      <w:r w:rsidR="00D01974" w:rsidRPr="00115221">
        <w:rPr>
          <w:rFonts w:cs="Times New Roman"/>
          <w:snapToGrid w:val="0"/>
          <w:kern w:val="22"/>
          <w:szCs w:val="22"/>
          <w:lang w:val="fr-CA"/>
        </w:rPr>
        <w:t>u Protocole de Cartagena sur la prévention des risques biotechnologique</w:t>
      </w:r>
      <w:r w:rsidR="00876DA6">
        <w:rPr>
          <w:rFonts w:cs="Times New Roman"/>
          <w:snapToGrid w:val="0"/>
          <w:kern w:val="22"/>
          <w:szCs w:val="22"/>
          <w:lang w:val="fr-CA"/>
        </w:rPr>
        <w:t>s</w:t>
      </w:r>
      <w:r w:rsidR="00D01974" w:rsidRPr="00115221">
        <w:rPr>
          <w:rFonts w:cs="Times New Roman"/>
          <w:snapToGrid w:val="0"/>
          <w:kern w:val="22"/>
          <w:szCs w:val="22"/>
          <w:lang w:val="fr-CA"/>
        </w:rPr>
        <w:t xml:space="preserve">. </w:t>
      </w:r>
      <w:r w:rsidR="00674DB2" w:rsidRPr="00115221">
        <w:rPr>
          <w:rFonts w:cs="Times New Roman"/>
          <w:snapToGrid w:val="0"/>
          <w:kern w:val="22"/>
          <w:szCs w:val="22"/>
          <w:lang w:val="fr-CA"/>
        </w:rPr>
        <w:t xml:space="preserve">L’Orientation offre une définition opérationnelle, donne les principes et établit une démarche par étapes avisée pour un processus d’évaluation global </w:t>
      </w:r>
      <w:r w:rsidR="00DC16CF">
        <w:rPr>
          <w:rFonts w:cs="Times New Roman"/>
          <w:snapToGrid w:val="0"/>
          <w:kern w:val="22"/>
          <w:szCs w:val="22"/>
          <w:lang w:val="fr-CA"/>
        </w:rPr>
        <w:t>pour</w:t>
      </w:r>
      <w:r w:rsidR="00674DB2" w:rsidRPr="00115221">
        <w:rPr>
          <w:rFonts w:cs="Times New Roman"/>
          <w:snapToGrid w:val="0"/>
          <w:kern w:val="22"/>
          <w:szCs w:val="22"/>
          <w:lang w:val="fr-CA"/>
        </w:rPr>
        <w:t xml:space="preserve"> appliquer les principes reconnus</w:t>
      </w:r>
      <w:r w:rsidR="00AE100A" w:rsidRPr="00115221">
        <w:rPr>
          <w:rFonts w:cs="Times New Roman"/>
          <w:snapToGrid w:val="0"/>
          <w:kern w:val="22"/>
          <w:szCs w:val="22"/>
          <w:lang w:val="fr-CA"/>
        </w:rPr>
        <w:t xml:space="preserve">. La Conférence des Parties siégeant en tant que réunion des Parties au Protocole a pris note de l’Orientation dans sa décision CP-9/14. Les travaux visant à </w:t>
      </w:r>
      <w:r w:rsidR="00DC16CF">
        <w:rPr>
          <w:rFonts w:cs="Times New Roman"/>
          <w:snapToGrid w:val="0"/>
          <w:kern w:val="22"/>
          <w:szCs w:val="22"/>
          <w:lang w:val="fr-CA"/>
        </w:rPr>
        <w:t xml:space="preserve">compléter </w:t>
      </w:r>
      <w:r w:rsidR="00AE100A" w:rsidRPr="00115221">
        <w:rPr>
          <w:rFonts w:cs="Times New Roman"/>
          <w:snapToGrid w:val="0"/>
          <w:kern w:val="22"/>
          <w:szCs w:val="22"/>
          <w:lang w:val="fr-CA"/>
        </w:rPr>
        <w:t xml:space="preserve">l’orientation </w:t>
      </w:r>
      <w:r w:rsidR="00DC16CF">
        <w:rPr>
          <w:rFonts w:cs="Times New Roman"/>
          <w:snapToGrid w:val="0"/>
          <w:kern w:val="22"/>
          <w:szCs w:val="22"/>
          <w:lang w:val="fr-CA"/>
        </w:rPr>
        <w:t>en y ajoutant des données sur l</w:t>
      </w:r>
      <w:r w:rsidR="00AE100A" w:rsidRPr="00115221">
        <w:rPr>
          <w:rFonts w:cs="Times New Roman"/>
          <w:snapToGrid w:val="0"/>
          <w:kern w:val="22"/>
          <w:szCs w:val="22"/>
          <w:lang w:val="fr-CA"/>
        </w:rPr>
        <w:t>es premières expériences d</w:t>
      </w:r>
      <w:r w:rsidR="00DC16CF">
        <w:rPr>
          <w:rFonts w:cs="Times New Roman"/>
          <w:snapToGrid w:val="0"/>
          <w:kern w:val="22"/>
          <w:szCs w:val="22"/>
          <w:lang w:val="fr-CA"/>
        </w:rPr>
        <w:t>’</w:t>
      </w:r>
      <w:r w:rsidR="00AE100A" w:rsidRPr="00115221">
        <w:rPr>
          <w:rFonts w:cs="Times New Roman"/>
          <w:snapToGrid w:val="0"/>
          <w:kern w:val="22"/>
          <w:szCs w:val="22"/>
          <w:lang w:val="fr-CA"/>
        </w:rPr>
        <w:t>utilisation</w:t>
      </w:r>
      <w:r w:rsidR="00DC16CF">
        <w:rPr>
          <w:rFonts w:cs="Times New Roman"/>
          <w:snapToGrid w:val="0"/>
          <w:kern w:val="22"/>
          <w:szCs w:val="22"/>
          <w:lang w:val="fr-CA"/>
        </w:rPr>
        <w:t xml:space="preserve"> ainsi que des exemples de</w:t>
      </w:r>
      <w:r w:rsidR="00AE100A" w:rsidRPr="00115221">
        <w:rPr>
          <w:rFonts w:cs="Times New Roman"/>
          <w:snapToGrid w:val="0"/>
          <w:kern w:val="22"/>
          <w:szCs w:val="22"/>
          <w:lang w:val="fr-CA"/>
        </w:rPr>
        <w:t xml:space="preserve"> méthodes et </w:t>
      </w:r>
      <w:r w:rsidR="00DC16CF">
        <w:rPr>
          <w:rFonts w:cs="Times New Roman"/>
          <w:snapToGrid w:val="0"/>
          <w:kern w:val="22"/>
          <w:szCs w:val="22"/>
          <w:lang w:val="fr-CA"/>
        </w:rPr>
        <w:t>de l’</w:t>
      </w:r>
      <w:r w:rsidR="00AE100A" w:rsidRPr="00115221">
        <w:rPr>
          <w:rFonts w:cs="Times New Roman"/>
          <w:snapToGrid w:val="0"/>
          <w:kern w:val="22"/>
          <w:szCs w:val="22"/>
          <w:lang w:val="fr-CA"/>
        </w:rPr>
        <w:t>application des facteurs socioéconomiques se sont poursuivis au cours de la période intersessions de 2019-2020</w:t>
      </w:r>
      <w:r w:rsidR="004569FB" w:rsidRPr="00115221">
        <w:rPr>
          <w:rFonts w:cs="Times New Roman"/>
          <w:snapToGrid w:val="0"/>
          <w:kern w:val="22"/>
          <w:szCs w:val="22"/>
          <w:lang w:val="fr-CA"/>
        </w:rPr>
        <w:t>.</w:t>
      </w:r>
    </w:p>
    <w:p w14:paraId="0AE3E538" w14:textId="7063183A" w:rsidR="004569FB" w:rsidRPr="00115221" w:rsidRDefault="00FF7771"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Les contributions écrites </w:t>
      </w:r>
      <w:r w:rsidR="003C7292">
        <w:rPr>
          <w:rFonts w:cs="Times New Roman"/>
          <w:snapToGrid w:val="0"/>
          <w:kern w:val="22"/>
          <w:szCs w:val="22"/>
          <w:lang w:val="fr-CA"/>
        </w:rPr>
        <w:t>jointes aux</w:t>
      </w:r>
      <w:r w:rsidRPr="00115221">
        <w:rPr>
          <w:rFonts w:cs="Times New Roman"/>
          <w:snapToGrid w:val="0"/>
          <w:kern w:val="22"/>
          <w:szCs w:val="22"/>
          <w:lang w:val="fr-CA"/>
        </w:rPr>
        <w:t xml:space="preserve"> quatrièmes rapports nationaux révèlent que plusieurs Parties tiennent compte des facteurs socioéconomiques, mais à différents degrés. Certain</w:t>
      </w:r>
      <w:r w:rsidR="003C7292">
        <w:rPr>
          <w:rFonts w:cs="Times New Roman"/>
          <w:snapToGrid w:val="0"/>
          <w:kern w:val="22"/>
          <w:szCs w:val="22"/>
          <w:lang w:val="fr-CA"/>
        </w:rPr>
        <w:t>e</w:t>
      </w:r>
      <w:r w:rsidRPr="00115221">
        <w:rPr>
          <w:rFonts w:cs="Times New Roman"/>
          <w:snapToGrid w:val="0"/>
          <w:kern w:val="22"/>
          <w:szCs w:val="22"/>
          <w:lang w:val="fr-CA"/>
        </w:rPr>
        <w:t>s Parties ont déclaré que leurs lois nationales sur les OVM exige</w:t>
      </w:r>
      <w:r w:rsidR="003C7292">
        <w:rPr>
          <w:rFonts w:cs="Times New Roman"/>
          <w:snapToGrid w:val="0"/>
          <w:kern w:val="22"/>
          <w:szCs w:val="22"/>
          <w:lang w:val="fr-CA"/>
        </w:rPr>
        <w:t>nt</w:t>
      </w:r>
      <w:r w:rsidRPr="00115221">
        <w:rPr>
          <w:rFonts w:cs="Times New Roman"/>
          <w:snapToGrid w:val="0"/>
          <w:kern w:val="22"/>
          <w:szCs w:val="22"/>
          <w:lang w:val="fr-CA"/>
        </w:rPr>
        <w:t xml:space="preserve"> la prise en compte à part entière des facteurs socioéconomiques dans le processus décisionnel et fournissent plus d’explications y compris, dans certains cas, le texte </w:t>
      </w:r>
      <w:r w:rsidR="00D54BEA" w:rsidRPr="00115221">
        <w:rPr>
          <w:rFonts w:cs="Times New Roman"/>
          <w:snapToGrid w:val="0"/>
          <w:kern w:val="22"/>
          <w:szCs w:val="22"/>
          <w:lang w:val="fr-CA"/>
        </w:rPr>
        <w:t>de la loi concernée ou un compte rendu du processus décisionnel ou du contexte national de prise en compte des facteurs socioéconomiques. D’autres Parties ont indiqué que les facteurs socioéconomiques n’étaient pris en compte que pour les essais sur le terrain ou les déploiements commerciaux</w:t>
      </w:r>
      <w:r w:rsidR="004569FB" w:rsidRPr="00115221">
        <w:rPr>
          <w:rFonts w:cs="Times New Roman"/>
          <w:snapToGrid w:val="0"/>
          <w:kern w:val="22"/>
          <w:szCs w:val="22"/>
          <w:lang w:val="fr-CA"/>
        </w:rPr>
        <w:t xml:space="preserve">. </w:t>
      </w:r>
    </w:p>
    <w:p w14:paraId="3A791AE3" w14:textId="0B8066AE" w:rsidR="004569FB" w:rsidRPr="00115221" w:rsidRDefault="00AC6389"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Quant aux diffic</w:t>
      </w:r>
      <w:r w:rsidR="00B864DB">
        <w:rPr>
          <w:rFonts w:cs="Times New Roman"/>
          <w:snapToGrid w:val="0"/>
          <w:kern w:val="22"/>
          <w:szCs w:val="22"/>
          <w:lang w:val="fr-CA"/>
        </w:rPr>
        <w:t>ultés, les Parties ont souligné</w:t>
      </w:r>
      <w:r w:rsidRPr="00115221">
        <w:rPr>
          <w:rFonts w:cs="Times New Roman"/>
          <w:snapToGrid w:val="0"/>
          <w:kern w:val="22"/>
          <w:szCs w:val="22"/>
          <w:lang w:val="fr-CA"/>
        </w:rPr>
        <w:t xml:space="preserve"> dans leurs exposés écrits, que la rareté des données était un problème important, </w:t>
      </w:r>
      <w:r w:rsidR="003C7292">
        <w:rPr>
          <w:rFonts w:cs="Times New Roman"/>
          <w:snapToGrid w:val="0"/>
          <w:kern w:val="22"/>
          <w:szCs w:val="22"/>
          <w:lang w:val="fr-CA"/>
        </w:rPr>
        <w:t xml:space="preserve">et souligné </w:t>
      </w:r>
      <w:r w:rsidRPr="00115221">
        <w:rPr>
          <w:rFonts w:cs="Times New Roman"/>
          <w:snapToGrid w:val="0"/>
          <w:kern w:val="22"/>
          <w:szCs w:val="22"/>
          <w:lang w:val="fr-CA"/>
        </w:rPr>
        <w:t xml:space="preserve">la nécessité de </w:t>
      </w:r>
      <w:r w:rsidR="003C7292">
        <w:rPr>
          <w:rFonts w:cs="Times New Roman"/>
          <w:snapToGrid w:val="0"/>
          <w:kern w:val="22"/>
          <w:szCs w:val="22"/>
          <w:lang w:val="fr-CA"/>
        </w:rPr>
        <w:t>réaliser</w:t>
      </w:r>
      <w:r w:rsidRPr="00115221">
        <w:rPr>
          <w:rFonts w:cs="Times New Roman"/>
          <w:snapToGrid w:val="0"/>
          <w:kern w:val="22"/>
          <w:szCs w:val="22"/>
          <w:lang w:val="fr-CA"/>
        </w:rPr>
        <w:t xml:space="preserve"> des études locales et plus de </w:t>
      </w:r>
      <w:r w:rsidR="00BC1FAD" w:rsidRPr="00115221">
        <w:rPr>
          <w:rFonts w:cs="Times New Roman"/>
          <w:snapToGrid w:val="0"/>
          <w:kern w:val="22"/>
          <w:szCs w:val="22"/>
          <w:lang w:val="fr-CA"/>
        </w:rPr>
        <w:t>recherches afin de développer u</w:t>
      </w:r>
      <w:r w:rsidRPr="00115221">
        <w:rPr>
          <w:rFonts w:cs="Times New Roman"/>
          <w:snapToGrid w:val="0"/>
          <w:kern w:val="22"/>
          <w:szCs w:val="22"/>
          <w:lang w:val="fr-CA"/>
        </w:rPr>
        <w:t>n cadre méth</w:t>
      </w:r>
      <w:r w:rsidR="00BC1FAD" w:rsidRPr="00115221">
        <w:rPr>
          <w:rFonts w:cs="Times New Roman"/>
          <w:snapToGrid w:val="0"/>
          <w:kern w:val="22"/>
          <w:szCs w:val="22"/>
          <w:lang w:val="fr-CA"/>
        </w:rPr>
        <w:t>odo</w:t>
      </w:r>
      <w:r w:rsidRPr="00115221">
        <w:rPr>
          <w:rFonts w:cs="Times New Roman"/>
          <w:snapToGrid w:val="0"/>
          <w:kern w:val="22"/>
          <w:szCs w:val="22"/>
          <w:lang w:val="fr-CA"/>
        </w:rPr>
        <w:t>logique visant pour définir les indicateurs socioéconomiques pertinents et des r</w:t>
      </w:r>
      <w:r w:rsidR="00BC1FAD" w:rsidRPr="00115221">
        <w:rPr>
          <w:rFonts w:cs="Times New Roman"/>
          <w:snapToGrid w:val="0"/>
          <w:kern w:val="22"/>
          <w:szCs w:val="22"/>
          <w:lang w:val="fr-CA"/>
        </w:rPr>
        <w:t>ègles de colle</w:t>
      </w:r>
      <w:r w:rsidRPr="00115221">
        <w:rPr>
          <w:rFonts w:cs="Times New Roman"/>
          <w:snapToGrid w:val="0"/>
          <w:kern w:val="22"/>
          <w:szCs w:val="22"/>
          <w:lang w:val="fr-CA"/>
        </w:rPr>
        <w:t>cte de données. Certaines Parties ont déclaré qu’elles sont en voie de réaliser des études sur l’</w:t>
      </w:r>
      <w:r w:rsidR="00BC1FAD" w:rsidRPr="00115221">
        <w:rPr>
          <w:rFonts w:cs="Times New Roman"/>
          <w:snapToGrid w:val="0"/>
          <w:kern w:val="22"/>
          <w:szCs w:val="22"/>
          <w:lang w:val="fr-CA"/>
        </w:rPr>
        <w:t>intégrat</w:t>
      </w:r>
      <w:r w:rsidRPr="00115221">
        <w:rPr>
          <w:rFonts w:cs="Times New Roman"/>
          <w:snapToGrid w:val="0"/>
          <w:kern w:val="22"/>
          <w:szCs w:val="22"/>
          <w:lang w:val="fr-CA"/>
        </w:rPr>
        <w:t xml:space="preserve">ion des facteurs socioéconomiques dans les politiques et le processus décisionnel concernant les OVM. </w:t>
      </w:r>
      <w:r w:rsidR="00DD3B01" w:rsidRPr="00115221">
        <w:rPr>
          <w:rFonts w:cs="Times New Roman"/>
          <w:snapToGrid w:val="0"/>
          <w:kern w:val="22"/>
          <w:szCs w:val="22"/>
          <w:lang w:val="fr-CA"/>
        </w:rPr>
        <w:t xml:space="preserve">Certaines Parties ont précisé qu’elles </w:t>
      </w:r>
      <w:r w:rsidR="00B864DB">
        <w:rPr>
          <w:rFonts w:cs="Times New Roman"/>
          <w:snapToGrid w:val="0"/>
          <w:kern w:val="22"/>
          <w:szCs w:val="22"/>
          <w:lang w:val="fr-CA"/>
        </w:rPr>
        <w:t>pourraient tirer</w:t>
      </w:r>
      <w:r w:rsidR="00DD3B01" w:rsidRPr="00115221">
        <w:rPr>
          <w:rFonts w:cs="Times New Roman"/>
          <w:snapToGrid w:val="0"/>
          <w:kern w:val="22"/>
          <w:szCs w:val="22"/>
          <w:lang w:val="fr-CA"/>
        </w:rPr>
        <w:t xml:space="preserve"> profit des échanges en cours au titre du Protocole de Cartagena </w:t>
      </w:r>
      <w:r w:rsidR="006337E8" w:rsidRPr="00115221">
        <w:rPr>
          <w:rFonts w:cs="Times New Roman"/>
          <w:snapToGrid w:val="0"/>
          <w:kern w:val="22"/>
          <w:szCs w:val="22"/>
          <w:lang w:val="fr-CA"/>
        </w:rPr>
        <w:t>sur</w:t>
      </w:r>
      <w:r w:rsidR="00DD3B01" w:rsidRPr="00115221">
        <w:rPr>
          <w:rFonts w:cs="Times New Roman"/>
          <w:snapToGrid w:val="0"/>
          <w:kern w:val="22"/>
          <w:szCs w:val="22"/>
          <w:lang w:val="fr-CA"/>
        </w:rPr>
        <w:t xml:space="preserve"> l’élaboration de </w:t>
      </w:r>
      <w:r w:rsidR="006337E8" w:rsidRPr="00115221">
        <w:rPr>
          <w:rFonts w:cs="Times New Roman"/>
          <w:snapToGrid w:val="0"/>
          <w:kern w:val="22"/>
          <w:szCs w:val="22"/>
          <w:lang w:val="fr-CA"/>
        </w:rPr>
        <w:t>lignes directrices</w:t>
      </w:r>
      <w:r w:rsidR="00DD3B01" w:rsidRPr="00115221">
        <w:rPr>
          <w:rFonts w:cs="Times New Roman"/>
          <w:snapToGrid w:val="0"/>
          <w:kern w:val="22"/>
          <w:szCs w:val="22"/>
          <w:lang w:val="fr-CA"/>
        </w:rPr>
        <w:t xml:space="preserve"> sur la prise en compte des facteurs socioéconomiques afin de réaliser l’intégration des facteurs socioéconomiques dans le processus décisionnel national. D’autres Parties ont indiqué qu’elles avaient déjà entr</w:t>
      </w:r>
      <w:r w:rsidR="006337E8" w:rsidRPr="00115221">
        <w:rPr>
          <w:rFonts w:cs="Times New Roman"/>
          <w:snapToGrid w:val="0"/>
          <w:kern w:val="22"/>
          <w:szCs w:val="22"/>
          <w:lang w:val="fr-CA"/>
        </w:rPr>
        <w:t>e</w:t>
      </w:r>
      <w:r w:rsidR="00DD3B01" w:rsidRPr="00115221">
        <w:rPr>
          <w:rFonts w:cs="Times New Roman"/>
          <w:snapToGrid w:val="0"/>
          <w:kern w:val="22"/>
          <w:szCs w:val="22"/>
          <w:lang w:val="fr-CA"/>
        </w:rPr>
        <w:t xml:space="preserve">pris </w:t>
      </w:r>
      <w:r w:rsidR="00783EBD">
        <w:rPr>
          <w:rFonts w:cs="Times New Roman"/>
          <w:snapToGrid w:val="0"/>
          <w:kern w:val="22"/>
          <w:szCs w:val="22"/>
          <w:lang w:val="fr-CA"/>
        </w:rPr>
        <w:t>l’adaptation de</w:t>
      </w:r>
      <w:r w:rsidR="00DD3B01" w:rsidRPr="00115221">
        <w:rPr>
          <w:rFonts w:cs="Times New Roman"/>
          <w:snapToGrid w:val="0"/>
          <w:kern w:val="22"/>
          <w:szCs w:val="22"/>
          <w:lang w:val="fr-CA"/>
        </w:rPr>
        <w:t xml:space="preserve"> leurs mécanismes a</w:t>
      </w:r>
      <w:r w:rsidR="00783EBD">
        <w:rPr>
          <w:rFonts w:cs="Times New Roman"/>
          <w:snapToGrid w:val="0"/>
          <w:kern w:val="22"/>
          <w:szCs w:val="22"/>
          <w:lang w:val="fr-CA"/>
        </w:rPr>
        <w:t>fin d’y</w:t>
      </w:r>
      <w:r w:rsidR="00DD3B01" w:rsidRPr="00115221">
        <w:rPr>
          <w:rFonts w:cs="Times New Roman"/>
          <w:snapToGrid w:val="0"/>
          <w:kern w:val="22"/>
          <w:szCs w:val="22"/>
          <w:lang w:val="fr-CA"/>
        </w:rPr>
        <w:t xml:space="preserve"> intégrer l’Orientation élaborée à ce jour. Une Partie a soulig</w:t>
      </w:r>
      <w:r w:rsidR="006337E8" w:rsidRPr="00115221">
        <w:rPr>
          <w:rFonts w:cs="Times New Roman"/>
          <w:snapToGrid w:val="0"/>
          <w:kern w:val="22"/>
          <w:szCs w:val="22"/>
          <w:lang w:val="fr-CA"/>
        </w:rPr>
        <w:t xml:space="preserve">né </w:t>
      </w:r>
      <w:r w:rsidR="00783EBD">
        <w:rPr>
          <w:rFonts w:cs="Times New Roman"/>
          <w:snapToGrid w:val="0"/>
          <w:kern w:val="22"/>
          <w:szCs w:val="22"/>
          <w:lang w:val="fr-CA"/>
        </w:rPr>
        <w:t>le besoin d’assistance</w:t>
      </w:r>
      <w:r w:rsidR="00DD3B01" w:rsidRPr="00115221">
        <w:rPr>
          <w:rFonts w:cs="Times New Roman"/>
          <w:snapToGrid w:val="0"/>
          <w:kern w:val="22"/>
          <w:szCs w:val="22"/>
          <w:lang w:val="fr-CA"/>
        </w:rPr>
        <w:t xml:space="preserve"> afin</w:t>
      </w:r>
      <w:r w:rsidR="006337E8" w:rsidRPr="00115221">
        <w:rPr>
          <w:rFonts w:cs="Times New Roman"/>
          <w:snapToGrid w:val="0"/>
          <w:kern w:val="22"/>
          <w:szCs w:val="22"/>
          <w:lang w:val="fr-CA"/>
        </w:rPr>
        <w:t xml:space="preserve"> de développer les capacités né</w:t>
      </w:r>
      <w:r w:rsidR="00DD3B01" w:rsidRPr="00115221">
        <w:rPr>
          <w:rFonts w:cs="Times New Roman"/>
          <w:snapToGrid w:val="0"/>
          <w:kern w:val="22"/>
          <w:szCs w:val="22"/>
          <w:lang w:val="fr-CA"/>
        </w:rPr>
        <w:t>cessaires à la réalisation d’évaluations socioéconomiques</w:t>
      </w:r>
      <w:r w:rsidR="004569FB" w:rsidRPr="00115221">
        <w:rPr>
          <w:rFonts w:cs="Times New Roman"/>
          <w:snapToGrid w:val="0"/>
          <w:kern w:val="22"/>
          <w:szCs w:val="22"/>
          <w:lang w:val="fr-CA"/>
        </w:rPr>
        <w:t>.</w:t>
      </w:r>
    </w:p>
    <w:p w14:paraId="1EE3ECBB" w14:textId="62EB874C" w:rsidR="004C0BFD" w:rsidRPr="00115221" w:rsidRDefault="006337E8"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En dernier lieu, plusieurs Parties ont indiqué dans leur exposé écrit que des lois sur les facteurs socioéconomiques sont en voie d’être élaborées</w:t>
      </w:r>
      <w:r w:rsidR="004569FB" w:rsidRPr="00115221">
        <w:rPr>
          <w:rFonts w:cs="Times New Roman"/>
          <w:snapToGrid w:val="0"/>
          <w:kern w:val="22"/>
          <w:szCs w:val="22"/>
          <w:lang w:val="fr-CA"/>
        </w:rPr>
        <w:t xml:space="preserve">. </w:t>
      </w:r>
    </w:p>
    <w:p w14:paraId="23E819B6" w14:textId="2BA25B17" w:rsidR="004569FB" w:rsidRPr="00115221" w:rsidRDefault="00B74EF2" w:rsidP="000A5388">
      <w:pPr>
        <w:keepNext/>
        <w:numPr>
          <w:ilvl w:val="0"/>
          <w:numId w:val="17"/>
        </w:numPr>
        <w:suppressLineNumbers/>
        <w:tabs>
          <w:tab w:val="clear" w:pos="2070"/>
          <w:tab w:val="left" w:pos="1560"/>
        </w:tabs>
        <w:suppressAutoHyphens/>
        <w:spacing w:before="120" w:after="120"/>
        <w:ind w:left="1559" w:right="431" w:hanging="567"/>
        <w:jc w:val="left"/>
        <w:outlineLvl w:val="1"/>
        <w:rPr>
          <w:rFonts w:cs="Times New Roman"/>
          <w:b/>
          <w:iCs/>
          <w:snapToGrid w:val="0"/>
          <w:kern w:val="22"/>
          <w:szCs w:val="22"/>
          <w:lang w:val="fr-CA"/>
        </w:rPr>
      </w:pPr>
      <w:bookmarkStart w:id="12" w:name="_Hlk30609306"/>
      <w:r w:rsidRPr="00115221">
        <w:rPr>
          <w:rFonts w:cs="Times New Roman"/>
          <w:b/>
          <w:iCs/>
          <w:snapToGrid w:val="0"/>
          <w:kern w:val="22"/>
          <w:szCs w:val="22"/>
          <w:lang w:val="fr-CA"/>
        </w:rPr>
        <w:t>Acheminement</w:t>
      </w:r>
      <w:r w:rsidR="00336C1C" w:rsidRPr="00115221">
        <w:rPr>
          <w:rFonts w:cs="Times New Roman"/>
          <w:b/>
          <w:iCs/>
          <w:snapToGrid w:val="0"/>
          <w:kern w:val="22"/>
          <w:szCs w:val="22"/>
          <w:lang w:val="fr-CA"/>
        </w:rPr>
        <w:t xml:space="preserve">, utilisation </w:t>
      </w:r>
      <w:r w:rsidR="00891315" w:rsidRPr="00115221">
        <w:rPr>
          <w:rFonts w:cs="Times New Roman"/>
          <w:b/>
          <w:iCs/>
          <w:snapToGrid w:val="0"/>
          <w:kern w:val="22"/>
          <w:szCs w:val="22"/>
          <w:lang w:val="fr-CA"/>
        </w:rPr>
        <w:t>restreinte</w:t>
      </w:r>
      <w:r w:rsidR="00336C1C" w:rsidRPr="00115221">
        <w:rPr>
          <w:rFonts w:cs="Times New Roman"/>
          <w:b/>
          <w:iCs/>
          <w:snapToGrid w:val="0"/>
          <w:kern w:val="22"/>
          <w:szCs w:val="22"/>
          <w:lang w:val="fr-CA"/>
        </w:rPr>
        <w:t>, mouvement</w:t>
      </w:r>
      <w:r w:rsidR="004C7BB5" w:rsidRPr="00115221">
        <w:rPr>
          <w:rFonts w:cs="Times New Roman"/>
          <w:b/>
          <w:iCs/>
          <w:snapToGrid w:val="0"/>
          <w:kern w:val="22"/>
          <w:szCs w:val="22"/>
          <w:lang w:val="fr-CA"/>
        </w:rPr>
        <w:t>s</w:t>
      </w:r>
      <w:r w:rsidR="00336C1C" w:rsidRPr="00115221">
        <w:rPr>
          <w:rFonts w:cs="Times New Roman"/>
          <w:b/>
          <w:iCs/>
          <w:snapToGrid w:val="0"/>
          <w:kern w:val="22"/>
          <w:szCs w:val="22"/>
          <w:lang w:val="fr-CA"/>
        </w:rPr>
        <w:t xml:space="preserve"> transfrontières </w:t>
      </w:r>
      <w:r w:rsidR="007A3F17" w:rsidRPr="00115221">
        <w:rPr>
          <w:rFonts w:cs="Times New Roman"/>
          <w:b/>
          <w:iCs/>
          <w:snapToGrid w:val="0"/>
          <w:kern w:val="22"/>
          <w:szCs w:val="22"/>
          <w:lang w:val="fr-CA"/>
        </w:rPr>
        <w:t>involontaires</w:t>
      </w:r>
      <w:r w:rsidR="00336C1C" w:rsidRPr="00115221">
        <w:rPr>
          <w:rFonts w:cs="Times New Roman"/>
          <w:b/>
          <w:iCs/>
          <w:snapToGrid w:val="0"/>
          <w:kern w:val="22"/>
          <w:szCs w:val="22"/>
          <w:lang w:val="fr-CA"/>
        </w:rPr>
        <w:t xml:space="preserve"> et mesures d’urgence</w:t>
      </w:r>
      <w:r w:rsidR="004569FB" w:rsidRPr="00115221">
        <w:rPr>
          <w:rFonts w:cs="Times New Roman"/>
          <w:b/>
          <w:iCs/>
          <w:snapToGrid w:val="0"/>
          <w:kern w:val="22"/>
          <w:szCs w:val="22"/>
          <w:lang w:val="fr-CA"/>
        </w:rPr>
        <w:t xml:space="preserve"> (</w:t>
      </w:r>
      <w:r w:rsidR="00336C1C" w:rsidRPr="00115221">
        <w:rPr>
          <w:rFonts w:cs="Times New Roman"/>
          <w:b/>
          <w:iCs/>
          <w:snapToGrid w:val="0"/>
          <w:kern w:val="22"/>
          <w:szCs w:val="22"/>
          <w:lang w:val="fr-CA"/>
        </w:rPr>
        <w:t>objectif opérationnel</w:t>
      </w:r>
      <w:r w:rsidR="004569FB" w:rsidRPr="00115221">
        <w:rPr>
          <w:rFonts w:cs="Times New Roman"/>
          <w:b/>
          <w:iCs/>
          <w:snapToGrid w:val="0"/>
          <w:kern w:val="22"/>
          <w:szCs w:val="22"/>
          <w:lang w:val="fr-CA"/>
        </w:rPr>
        <w:t xml:space="preserve"> 1.8)</w:t>
      </w:r>
    </w:p>
    <w:bookmarkEnd w:id="12"/>
    <w:p w14:paraId="1A2F33AF" w14:textId="7EBEE4F3" w:rsidR="004569FB" w:rsidRPr="00115221" w:rsidRDefault="006337E8"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L’objectif opérationnel 1.8 porte sur l’élaboration d’outils et d’orientations pour faciliter l’application des dispositions du Protocole sur l’acheminement, l’utilisation </w:t>
      </w:r>
      <w:r w:rsidR="00891315" w:rsidRPr="00115221">
        <w:rPr>
          <w:rFonts w:cs="Times New Roman"/>
          <w:snapToGrid w:val="0"/>
          <w:kern w:val="22"/>
          <w:szCs w:val="22"/>
          <w:lang w:val="fr-CA"/>
        </w:rPr>
        <w:t>restreinte</w:t>
      </w:r>
      <w:r w:rsidRPr="00115221">
        <w:rPr>
          <w:rFonts w:cs="Times New Roman"/>
          <w:snapToGrid w:val="0"/>
          <w:kern w:val="22"/>
          <w:szCs w:val="22"/>
          <w:lang w:val="fr-CA"/>
        </w:rPr>
        <w:t>, les mouvements transfrontière</w:t>
      </w:r>
      <w:r w:rsidR="004625CC">
        <w:rPr>
          <w:rFonts w:cs="Times New Roman"/>
          <w:snapToGrid w:val="0"/>
          <w:kern w:val="22"/>
          <w:szCs w:val="22"/>
          <w:lang w:val="fr-CA"/>
        </w:rPr>
        <w:t>s</w:t>
      </w:r>
      <w:r w:rsidRPr="00115221">
        <w:rPr>
          <w:rFonts w:cs="Times New Roman"/>
          <w:snapToGrid w:val="0"/>
          <w:kern w:val="22"/>
          <w:szCs w:val="22"/>
          <w:lang w:val="fr-CA"/>
        </w:rPr>
        <w:t xml:space="preserve"> </w:t>
      </w:r>
      <w:r w:rsidR="00B864DB">
        <w:rPr>
          <w:rFonts w:cs="Times New Roman"/>
          <w:snapToGrid w:val="0"/>
          <w:kern w:val="22"/>
          <w:szCs w:val="22"/>
          <w:lang w:val="fr-CA"/>
        </w:rPr>
        <w:t>involontaires</w:t>
      </w:r>
      <w:r w:rsidRPr="00115221">
        <w:rPr>
          <w:rFonts w:cs="Times New Roman"/>
          <w:snapToGrid w:val="0"/>
          <w:kern w:val="22"/>
          <w:szCs w:val="22"/>
          <w:lang w:val="fr-CA"/>
        </w:rPr>
        <w:t xml:space="preserve"> et les mesures d’urgence. Trois indicateurs permettent de mesurer les progrès au titre de cet objectif opérationnel</w:t>
      </w:r>
      <w:r w:rsidR="004569FB" w:rsidRPr="00115221">
        <w:rPr>
          <w:rFonts w:cs="Times New Roman"/>
          <w:snapToGrid w:val="0"/>
          <w:kern w:val="22"/>
          <w:szCs w:val="22"/>
          <w:lang w:val="fr-CA"/>
        </w:rPr>
        <w:t xml:space="preserve">. </w:t>
      </w:r>
    </w:p>
    <w:p w14:paraId="1FDE8EE0" w14:textId="534D7D76" w:rsidR="004569FB" w:rsidRPr="00115221" w:rsidRDefault="00B74EF2"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1.8.1</w:t>
      </w:r>
      <w:r w:rsidRPr="00115221">
        <w:rPr>
          <w:rFonts w:cs="Times New Roman"/>
          <w:snapToGrid w:val="0"/>
          <w:kern w:val="22"/>
          <w:szCs w:val="22"/>
          <w:lang w:val="fr-CA"/>
        </w:rPr>
        <w:t xml:space="preserve"> (pourcentage des Parties ayant mis en place des mesures pour </w:t>
      </w:r>
      <w:r w:rsidR="00B631ED">
        <w:rPr>
          <w:rFonts w:cs="Times New Roman"/>
          <w:snapToGrid w:val="0"/>
          <w:kern w:val="22"/>
          <w:szCs w:val="22"/>
          <w:lang w:val="fr-CA"/>
        </w:rPr>
        <w:t>réguler</w:t>
      </w:r>
      <w:r w:rsidRPr="00115221">
        <w:rPr>
          <w:rFonts w:cs="Times New Roman"/>
          <w:snapToGrid w:val="0"/>
          <w:kern w:val="22"/>
          <w:szCs w:val="22"/>
          <w:lang w:val="fr-CA"/>
        </w:rPr>
        <w:t xml:space="preserve"> les OVM </w:t>
      </w:r>
      <w:r w:rsidR="004625CC">
        <w:rPr>
          <w:rFonts w:cs="Times New Roman"/>
          <w:snapToGrid w:val="0"/>
          <w:kern w:val="22"/>
          <w:szCs w:val="22"/>
          <w:lang w:val="fr-CA"/>
        </w:rPr>
        <w:t>pendant l’acheminement</w:t>
      </w:r>
      <w:r w:rsidR="004569FB" w:rsidRPr="00115221">
        <w:rPr>
          <w:rFonts w:cs="Times New Roman"/>
          <w:snapToGrid w:val="0"/>
          <w:kern w:val="22"/>
          <w:szCs w:val="22"/>
          <w:lang w:val="fr-CA"/>
        </w:rPr>
        <w:t>)</w:t>
      </w:r>
      <w:r w:rsidRPr="00115221">
        <w:rPr>
          <w:rFonts w:cs="Times New Roman"/>
          <w:snapToGrid w:val="0"/>
          <w:kern w:val="22"/>
          <w:szCs w:val="22"/>
          <w:lang w:val="fr-CA"/>
        </w:rPr>
        <w:t>, 70 p. cent des Parties (64 Parties) ont déclaré qu’elles réglementent l’acheminement des OVM, une augmentation de 7 p. cent par rap</w:t>
      </w:r>
      <w:r w:rsidR="00916C16" w:rsidRPr="00115221">
        <w:rPr>
          <w:rFonts w:cs="Times New Roman"/>
          <w:snapToGrid w:val="0"/>
          <w:kern w:val="22"/>
          <w:szCs w:val="22"/>
          <w:lang w:val="fr-CA"/>
        </w:rPr>
        <w:t>p</w:t>
      </w:r>
      <w:r w:rsidRPr="00115221">
        <w:rPr>
          <w:rFonts w:cs="Times New Roman"/>
          <w:snapToGrid w:val="0"/>
          <w:kern w:val="22"/>
          <w:szCs w:val="22"/>
          <w:lang w:val="fr-CA"/>
        </w:rPr>
        <w:t xml:space="preserve">ort </w:t>
      </w:r>
      <w:r w:rsidR="00365E33" w:rsidRPr="00115221">
        <w:rPr>
          <w:rFonts w:cs="Times New Roman"/>
          <w:snapToGrid w:val="0"/>
          <w:kern w:val="22"/>
          <w:szCs w:val="22"/>
          <w:lang w:val="fr-CA"/>
        </w:rPr>
        <w:t xml:space="preserve">à la valeur de référence. De plus, 7 p. cent des Parties (6 Parties) ont déclaré avoir </w:t>
      </w:r>
      <w:r w:rsidR="00B631ED">
        <w:rPr>
          <w:rFonts w:cs="Times New Roman"/>
          <w:snapToGrid w:val="0"/>
          <w:kern w:val="22"/>
          <w:szCs w:val="22"/>
          <w:lang w:val="fr-CA"/>
        </w:rPr>
        <w:t>régulé</w:t>
      </w:r>
      <w:r w:rsidR="00365E33" w:rsidRPr="00115221">
        <w:rPr>
          <w:rFonts w:cs="Times New Roman"/>
          <w:snapToGrid w:val="0"/>
          <w:kern w:val="22"/>
          <w:szCs w:val="22"/>
          <w:lang w:val="fr-CA"/>
        </w:rPr>
        <w:t xml:space="preserve"> l’acheminement des OVM </w:t>
      </w:r>
      <w:r w:rsidR="004625CC">
        <w:rPr>
          <w:rFonts w:cs="Times New Roman"/>
          <w:snapToGrid w:val="0"/>
          <w:kern w:val="22"/>
          <w:szCs w:val="22"/>
          <w:lang w:val="fr-CA"/>
        </w:rPr>
        <w:t>dans une certaine mesure</w:t>
      </w:r>
      <w:r w:rsidR="00365E33" w:rsidRPr="00115221">
        <w:rPr>
          <w:rFonts w:cs="Times New Roman"/>
          <w:snapToGrid w:val="0"/>
          <w:kern w:val="22"/>
          <w:szCs w:val="22"/>
          <w:lang w:val="fr-CA"/>
        </w:rPr>
        <w:t xml:space="preserve">. </w:t>
      </w:r>
      <w:r w:rsidR="007F1C81">
        <w:rPr>
          <w:rFonts w:cs="Times New Roman"/>
          <w:snapToGrid w:val="0"/>
          <w:kern w:val="22"/>
          <w:szCs w:val="22"/>
          <w:lang w:val="fr-CA"/>
        </w:rPr>
        <w:t>Ces résultats réunis révèlent que</w:t>
      </w:r>
      <w:r w:rsidR="00365E33" w:rsidRPr="00115221">
        <w:rPr>
          <w:rFonts w:cs="Times New Roman"/>
          <w:snapToGrid w:val="0"/>
          <w:kern w:val="22"/>
          <w:szCs w:val="22"/>
          <w:lang w:val="fr-CA"/>
        </w:rPr>
        <w:t xml:space="preserve"> 77 p. cent des Parties ont déclaré avoi</w:t>
      </w:r>
      <w:r w:rsidR="00891315" w:rsidRPr="00115221">
        <w:rPr>
          <w:rFonts w:cs="Times New Roman"/>
          <w:snapToGrid w:val="0"/>
          <w:kern w:val="22"/>
          <w:szCs w:val="22"/>
          <w:lang w:val="fr-CA"/>
        </w:rPr>
        <w:t>r</w:t>
      </w:r>
      <w:r w:rsidR="00365E33" w:rsidRPr="00115221">
        <w:rPr>
          <w:rFonts w:cs="Times New Roman"/>
          <w:snapToGrid w:val="0"/>
          <w:kern w:val="22"/>
          <w:szCs w:val="22"/>
          <w:lang w:val="fr-CA"/>
        </w:rPr>
        <w:t xml:space="preserve"> </w:t>
      </w:r>
      <w:r w:rsidR="00B631ED">
        <w:rPr>
          <w:rFonts w:cs="Times New Roman"/>
          <w:snapToGrid w:val="0"/>
          <w:kern w:val="22"/>
          <w:szCs w:val="22"/>
          <w:lang w:val="fr-CA"/>
        </w:rPr>
        <w:t>régulé</w:t>
      </w:r>
      <w:r w:rsidR="00365E33" w:rsidRPr="00115221">
        <w:rPr>
          <w:rFonts w:cs="Times New Roman"/>
          <w:snapToGrid w:val="0"/>
          <w:kern w:val="22"/>
          <w:szCs w:val="22"/>
          <w:lang w:val="fr-CA"/>
        </w:rPr>
        <w:t xml:space="preserve"> l’acheminement des OVM, du moins dans une cer</w:t>
      </w:r>
      <w:r w:rsidR="00891315" w:rsidRPr="00115221">
        <w:rPr>
          <w:rFonts w:cs="Times New Roman"/>
          <w:snapToGrid w:val="0"/>
          <w:kern w:val="22"/>
          <w:szCs w:val="22"/>
          <w:lang w:val="fr-CA"/>
        </w:rPr>
        <w:t>t</w:t>
      </w:r>
      <w:r w:rsidR="00365E33" w:rsidRPr="00115221">
        <w:rPr>
          <w:rFonts w:cs="Times New Roman"/>
          <w:snapToGrid w:val="0"/>
          <w:kern w:val="22"/>
          <w:szCs w:val="22"/>
          <w:lang w:val="fr-CA"/>
        </w:rPr>
        <w:t>aine mesure, une augmentation de 14 p. cent par rap</w:t>
      </w:r>
      <w:r w:rsidR="00891315" w:rsidRPr="00115221">
        <w:rPr>
          <w:rFonts w:cs="Times New Roman"/>
          <w:snapToGrid w:val="0"/>
          <w:kern w:val="22"/>
          <w:szCs w:val="22"/>
          <w:lang w:val="fr-CA"/>
        </w:rPr>
        <w:t>p</w:t>
      </w:r>
      <w:r w:rsidR="00365E33" w:rsidRPr="00115221">
        <w:rPr>
          <w:rFonts w:cs="Times New Roman"/>
          <w:snapToGrid w:val="0"/>
          <w:kern w:val="22"/>
          <w:szCs w:val="22"/>
          <w:lang w:val="fr-CA"/>
        </w:rPr>
        <w:t xml:space="preserve">ort </w:t>
      </w:r>
      <w:r w:rsidR="00365E33" w:rsidRPr="00115221">
        <w:rPr>
          <w:rFonts w:cs="Times New Roman"/>
          <w:snapToGrid w:val="0"/>
          <w:kern w:val="22"/>
          <w:szCs w:val="22"/>
          <w:lang w:val="fr-CA"/>
        </w:rPr>
        <w:lastRenderedPageBreak/>
        <w:t xml:space="preserve">à la valeur de référence. Au </w:t>
      </w:r>
      <w:r w:rsidR="00891315" w:rsidRPr="00115221">
        <w:rPr>
          <w:rFonts w:cs="Times New Roman"/>
          <w:snapToGrid w:val="0"/>
          <w:kern w:val="22"/>
          <w:szCs w:val="22"/>
          <w:lang w:val="fr-CA"/>
        </w:rPr>
        <w:t>niveau régional, les données dé</w:t>
      </w:r>
      <w:r w:rsidR="004B3751" w:rsidRPr="00115221">
        <w:rPr>
          <w:rFonts w:cs="Times New Roman"/>
          <w:snapToGrid w:val="0"/>
          <w:kern w:val="22"/>
          <w:szCs w:val="22"/>
          <w:lang w:val="fr-CA"/>
        </w:rPr>
        <w:t>clarées combinées sont l</w:t>
      </w:r>
      <w:r w:rsidR="00365E33" w:rsidRPr="00115221">
        <w:rPr>
          <w:rFonts w:cs="Times New Roman"/>
          <w:snapToGrid w:val="0"/>
          <w:kern w:val="22"/>
          <w:szCs w:val="22"/>
          <w:lang w:val="fr-CA"/>
        </w:rPr>
        <w:t xml:space="preserve">es suivantes : Afrique : 57 </w:t>
      </w:r>
      <w:r w:rsidR="000E5FE3">
        <w:rPr>
          <w:rFonts w:cs="Times New Roman"/>
          <w:snapToGrid w:val="0"/>
          <w:kern w:val="22"/>
          <w:szCs w:val="22"/>
          <w:lang w:val="fr-CA"/>
        </w:rPr>
        <w:t xml:space="preserve">p. cent </w:t>
      </w:r>
      <w:r w:rsidR="00365E33" w:rsidRPr="00115221">
        <w:rPr>
          <w:rFonts w:cs="Times New Roman"/>
          <w:snapToGrid w:val="0"/>
          <w:kern w:val="22"/>
          <w:szCs w:val="22"/>
          <w:lang w:val="fr-CA"/>
        </w:rPr>
        <w:t>(+7 p. cent); Asie</w:t>
      </w:r>
      <w:r w:rsidR="008126C9">
        <w:rPr>
          <w:rFonts w:cs="Times New Roman"/>
          <w:snapToGrid w:val="0"/>
          <w:kern w:val="22"/>
          <w:szCs w:val="22"/>
          <w:lang w:val="fr-CA"/>
        </w:rPr>
        <w:t>-Pacifique</w:t>
      </w:r>
      <w:r w:rsidR="00365E33" w:rsidRPr="00115221">
        <w:rPr>
          <w:rFonts w:cs="Times New Roman"/>
          <w:snapToGrid w:val="0"/>
          <w:kern w:val="22"/>
          <w:szCs w:val="22"/>
          <w:lang w:val="fr-CA"/>
        </w:rPr>
        <w:t> : 73 p. cent (+40 p. cent); ECE : 94 p. cent (+6 p. cent); GALC : 69 p. cent (+23 p. cent); EOA : 100 p. cent (aucune différence par rap</w:t>
      </w:r>
      <w:r w:rsidR="00891315" w:rsidRPr="00115221">
        <w:rPr>
          <w:rFonts w:cs="Times New Roman"/>
          <w:snapToGrid w:val="0"/>
          <w:kern w:val="22"/>
          <w:szCs w:val="22"/>
          <w:lang w:val="fr-CA"/>
        </w:rPr>
        <w:t>p</w:t>
      </w:r>
      <w:r w:rsidR="00365E33" w:rsidRPr="00115221">
        <w:rPr>
          <w:rFonts w:cs="Times New Roman"/>
          <w:snapToGrid w:val="0"/>
          <w:kern w:val="22"/>
          <w:szCs w:val="22"/>
          <w:lang w:val="fr-CA"/>
        </w:rPr>
        <w:t>ort à la valeur de référence)</w:t>
      </w:r>
      <w:r w:rsidR="00876DA6">
        <w:rPr>
          <w:rFonts w:cs="Times New Roman"/>
          <w:snapToGrid w:val="0"/>
          <w:kern w:val="22"/>
          <w:szCs w:val="22"/>
          <w:lang w:val="fr-CA"/>
        </w:rPr>
        <w:t xml:space="preserve"> (voir la figure 6)</w:t>
      </w:r>
      <w:r w:rsidR="005A204D" w:rsidRPr="00115221">
        <w:rPr>
          <w:rFonts w:cs="Times New Roman"/>
          <w:snapToGrid w:val="0"/>
          <w:kern w:val="22"/>
          <w:szCs w:val="22"/>
          <w:lang w:val="fr-CA"/>
        </w:rPr>
        <w:t>.</w:t>
      </w:r>
    </w:p>
    <w:p w14:paraId="381BFA19" w14:textId="32E20B9B" w:rsidR="004569FB" w:rsidRPr="00115221" w:rsidRDefault="00891315"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a trait à </w:t>
      </w:r>
      <w:r w:rsidRPr="00115221">
        <w:rPr>
          <w:rFonts w:cs="Times New Roman"/>
          <w:b/>
          <w:snapToGrid w:val="0"/>
          <w:kern w:val="22"/>
          <w:szCs w:val="22"/>
          <w:lang w:val="fr-CA"/>
        </w:rPr>
        <w:t>l’indicateur 1.8.2</w:t>
      </w:r>
      <w:r w:rsidRPr="00115221">
        <w:rPr>
          <w:rFonts w:cs="Times New Roman"/>
          <w:snapToGrid w:val="0"/>
          <w:kern w:val="22"/>
          <w:szCs w:val="22"/>
          <w:lang w:val="fr-CA"/>
        </w:rPr>
        <w:t xml:space="preserve"> (pourcent</w:t>
      </w:r>
      <w:r w:rsidR="004B3751" w:rsidRPr="00115221">
        <w:rPr>
          <w:rFonts w:cs="Times New Roman"/>
          <w:snapToGrid w:val="0"/>
          <w:kern w:val="22"/>
          <w:szCs w:val="22"/>
          <w:lang w:val="fr-CA"/>
        </w:rPr>
        <w:t>age des Parties ayant mis en pla</w:t>
      </w:r>
      <w:r w:rsidRPr="00115221">
        <w:rPr>
          <w:rFonts w:cs="Times New Roman"/>
          <w:snapToGrid w:val="0"/>
          <w:kern w:val="22"/>
          <w:szCs w:val="22"/>
          <w:lang w:val="fr-CA"/>
        </w:rPr>
        <w:t xml:space="preserve">ce des mesures pour l’utilisation restreinte), </w:t>
      </w:r>
      <w:r w:rsidR="004B3751" w:rsidRPr="00115221">
        <w:rPr>
          <w:rFonts w:cs="Times New Roman"/>
          <w:snapToGrid w:val="0"/>
          <w:kern w:val="22"/>
          <w:szCs w:val="22"/>
          <w:lang w:val="fr-CA"/>
        </w:rPr>
        <w:t>80 p. cent des Parties (74 Parties) ont déclaré avoir des mesures en place pour réglementer l’</w:t>
      </w:r>
      <w:r w:rsidR="004B3751" w:rsidRPr="00115221">
        <w:rPr>
          <w:rFonts w:eastAsia="Times New Roman" w:cs="Times New Roman"/>
          <w:snapToGrid w:val="0"/>
          <w:kern w:val="22"/>
          <w:szCs w:val="22"/>
          <w:lang w:val="fr-CA"/>
        </w:rPr>
        <w:t>utilisation</w:t>
      </w:r>
      <w:r w:rsidR="004B3751" w:rsidRPr="00115221">
        <w:rPr>
          <w:rFonts w:cs="Times New Roman"/>
          <w:snapToGrid w:val="0"/>
          <w:kern w:val="22"/>
          <w:szCs w:val="22"/>
          <w:lang w:val="fr-CA"/>
        </w:rPr>
        <w:t xml:space="preserve"> restreinte des OVM, une augmentation de 7 p. cent. Les données à l’échelle régionale sont : Afrique : 53 p. cent (aucune différence par rapport à la valeur de référence); Asie-Pacifique : 94 p. cent (+19 p. cent); ECE : 100 p. cent (+13 p. cent); GALC : 69 p. cent (+8 p. cent) EOA : 100 p. cent (aucune différence par rapport à la valeur de référence)</w:t>
      </w:r>
      <w:r w:rsidR="004569FB" w:rsidRPr="00115221">
        <w:rPr>
          <w:rFonts w:cs="Times New Roman"/>
          <w:snapToGrid w:val="0"/>
          <w:kern w:val="22"/>
          <w:szCs w:val="22"/>
          <w:lang w:val="fr-CA"/>
        </w:rPr>
        <w:t xml:space="preserve">. </w:t>
      </w:r>
    </w:p>
    <w:p w14:paraId="245658F1" w14:textId="7BCAFFD3" w:rsidR="004569FB" w:rsidRPr="00115221" w:rsidRDefault="004B3751"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dernier lieu, </w:t>
      </w:r>
      <w:r w:rsidR="0089226F" w:rsidRPr="00115221">
        <w:rPr>
          <w:rFonts w:cs="Times New Roman"/>
          <w:snapToGrid w:val="0"/>
          <w:kern w:val="22"/>
          <w:szCs w:val="22"/>
          <w:lang w:val="fr-CA"/>
        </w:rPr>
        <w:t>en</w:t>
      </w:r>
      <w:r w:rsidR="007F1C81">
        <w:rPr>
          <w:rFonts w:cs="Times New Roman"/>
          <w:snapToGrid w:val="0"/>
          <w:kern w:val="22"/>
          <w:szCs w:val="22"/>
          <w:lang w:val="fr-CA"/>
        </w:rPr>
        <w:t xml:space="preserve"> ce qui concerne </w:t>
      </w:r>
      <w:r w:rsidR="007F1C81" w:rsidRPr="007F1C81">
        <w:rPr>
          <w:rFonts w:cs="Times New Roman"/>
          <w:b/>
          <w:snapToGrid w:val="0"/>
          <w:kern w:val="22"/>
          <w:szCs w:val="22"/>
          <w:lang w:val="fr-CA"/>
        </w:rPr>
        <w:t>l’indicateur 1.</w:t>
      </w:r>
      <w:r w:rsidR="0089226F" w:rsidRPr="007F1C81">
        <w:rPr>
          <w:rFonts w:cs="Times New Roman"/>
          <w:b/>
          <w:snapToGrid w:val="0"/>
          <w:kern w:val="22"/>
          <w:szCs w:val="22"/>
          <w:lang w:val="fr-CA"/>
        </w:rPr>
        <w:t>8.3</w:t>
      </w:r>
      <w:r w:rsidR="0089226F" w:rsidRPr="00115221">
        <w:rPr>
          <w:rFonts w:cs="Times New Roman"/>
          <w:snapToGrid w:val="0"/>
          <w:kern w:val="22"/>
          <w:szCs w:val="22"/>
          <w:lang w:val="fr-CA"/>
        </w:rPr>
        <w:t xml:space="preserve"> (pourcentage des Parties utilisant l’</w:t>
      </w:r>
      <w:r w:rsidR="007A3F17" w:rsidRPr="00115221">
        <w:rPr>
          <w:rFonts w:cs="Times New Roman"/>
          <w:snapToGrid w:val="0"/>
          <w:kern w:val="22"/>
          <w:szCs w:val="22"/>
          <w:lang w:val="fr-CA"/>
        </w:rPr>
        <w:t>orientation afin de détec</w:t>
      </w:r>
      <w:r w:rsidR="0089226F" w:rsidRPr="00115221">
        <w:rPr>
          <w:rFonts w:cs="Times New Roman"/>
          <w:snapToGrid w:val="0"/>
          <w:kern w:val="22"/>
          <w:szCs w:val="22"/>
          <w:lang w:val="fr-CA"/>
        </w:rPr>
        <w:t xml:space="preserve">ter l’incidence des libérations </w:t>
      </w:r>
      <w:r w:rsidR="007A3F17" w:rsidRPr="00115221">
        <w:rPr>
          <w:rFonts w:cs="Times New Roman"/>
          <w:snapToGrid w:val="0"/>
          <w:kern w:val="22"/>
          <w:szCs w:val="22"/>
          <w:lang w:val="fr-CA"/>
        </w:rPr>
        <w:t>involontaires</w:t>
      </w:r>
      <w:r w:rsidR="0089226F" w:rsidRPr="00115221">
        <w:rPr>
          <w:rFonts w:cs="Times New Roman"/>
          <w:snapToGrid w:val="0"/>
          <w:kern w:val="22"/>
          <w:szCs w:val="22"/>
          <w:lang w:val="fr-CA"/>
        </w:rPr>
        <w:t xml:space="preserve"> d’organismes vivants modifiés et la capacité de </w:t>
      </w:r>
      <w:r w:rsidR="007A3F17" w:rsidRPr="00115221">
        <w:rPr>
          <w:rFonts w:cs="Times New Roman"/>
          <w:snapToGrid w:val="0"/>
          <w:kern w:val="22"/>
          <w:szCs w:val="22"/>
          <w:lang w:val="fr-CA"/>
        </w:rPr>
        <w:t>prendre</w:t>
      </w:r>
      <w:r w:rsidR="0089226F" w:rsidRPr="00115221">
        <w:rPr>
          <w:rFonts w:cs="Times New Roman"/>
          <w:snapToGrid w:val="0"/>
          <w:kern w:val="22"/>
          <w:szCs w:val="22"/>
          <w:lang w:val="fr-CA"/>
        </w:rPr>
        <w:t xml:space="preserve"> des mesures de réponse appropriées), il n’exist</w:t>
      </w:r>
      <w:r w:rsidR="007A3F17" w:rsidRPr="00115221">
        <w:rPr>
          <w:rFonts w:cs="Times New Roman"/>
          <w:snapToGrid w:val="0"/>
          <w:kern w:val="22"/>
          <w:szCs w:val="22"/>
          <w:lang w:val="fr-CA"/>
        </w:rPr>
        <w:t>e</w:t>
      </w:r>
      <w:r w:rsidR="0089226F" w:rsidRPr="00115221">
        <w:rPr>
          <w:rFonts w:cs="Times New Roman"/>
          <w:snapToGrid w:val="0"/>
          <w:kern w:val="22"/>
          <w:szCs w:val="22"/>
          <w:lang w:val="fr-CA"/>
        </w:rPr>
        <w:t xml:space="preserve"> pas d’information sur l’</w:t>
      </w:r>
      <w:r w:rsidR="0089226F" w:rsidRPr="00115221">
        <w:rPr>
          <w:rFonts w:eastAsia="Times New Roman" w:cs="Times New Roman"/>
          <w:snapToGrid w:val="0"/>
          <w:kern w:val="22"/>
          <w:szCs w:val="22"/>
          <w:lang w:val="fr-CA"/>
        </w:rPr>
        <w:t>utilisation</w:t>
      </w:r>
      <w:r w:rsidR="0089226F" w:rsidRPr="00115221">
        <w:rPr>
          <w:rFonts w:cs="Times New Roman"/>
          <w:snapToGrid w:val="0"/>
          <w:kern w:val="22"/>
          <w:szCs w:val="22"/>
          <w:lang w:val="fr-CA"/>
        </w:rPr>
        <w:t xml:space="preserve"> par les Parties de l’orientation sur la détection de l’</w:t>
      </w:r>
      <w:r w:rsidR="007A3F17" w:rsidRPr="00115221">
        <w:rPr>
          <w:rFonts w:cs="Times New Roman"/>
          <w:snapToGrid w:val="0"/>
          <w:kern w:val="22"/>
          <w:szCs w:val="22"/>
          <w:lang w:val="fr-CA"/>
        </w:rPr>
        <w:t>incidence de la libérati</w:t>
      </w:r>
      <w:r w:rsidR="0089226F" w:rsidRPr="00115221">
        <w:rPr>
          <w:rFonts w:cs="Times New Roman"/>
          <w:snapToGrid w:val="0"/>
          <w:kern w:val="22"/>
          <w:szCs w:val="22"/>
          <w:lang w:val="fr-CA"/>
        </w:rPr>
        <w:t xml:space="preserve">on </w:t>
      </w:r>
      <w:r w:rsidR="007A3F17" w:rsidRPr="00115221">
        <w:rPr>
          <w:rFonts w:cs="Times New Roman"/>
          <w:snapToGrid w:val="0"/>
          <w:kern w:val="22"/>
          <w:szCs w:val="22"/>
          <w:lang w:val="fr-CA"/>
        </w:rPr>
        <w:t>involontaire</w:t>
      </w:r>
      <w:r w:rsidR="0089226F" w:rsidRPr="00115221">
        <w:rPr>
          <w:rFonts w:cs="Times New Roman"/>
          <w:snapToGrid w:val="0"/>
          <w:kern w:val="22"/>
          <w:szCs w:val="22"/>
          <w:lang w:val="fr-CA"/>
        </w:rPr>
        <w:t xml:space="preserve"> d’organismes vivants modifiés. Les experts du Réseau de laboratoires de détection et d’identification des </w:t>
      </w:r>
      <w:r w:rsidR="0089226F" w:rsidRPr="00115221">
        <w:rPr>
          <w:rFonts w:eastAsia="Times New Roman" w:cs="Times New Roman"/>
          <w:snapToGrid w:val="0"/>
          <w:kern w:val="22"/>
          <w:szCs w:val="22"/>
          <w:lang w:val="fr-CA"/>
        </w:rPr>
        <w:t>organismes</w:t>
      </w:r>
      <w:r w:rsidR="0089226F" w:rsidRPr="00115221">
        <w:rPr>
          <w:rFonts w:cs="Times New Roman"/>
          <w:snapToGrid w:val="0"/>
          <w:kern w:val="22"/>
          <w:szCs w:val="22"/>
          <w:lang w:val="fr-CA"/>
        </w:rPr>
        <w:t xml:space="preserve"> vivants modifiés ont créé un projet de </w:t>
      </w:r>
      <w:r w:rsidR="007F1C81">
        <w:rPr>
          <w:rFonts w:cs="Times New Roman"/>
          <w:snapToGrid w:val="0"/>
          <w:kern w:val="22"/>
          <w:szCs w:val="22"/>
          <w:lang w:val="fr-CA"/>
        </w:rPr>
        <w:t>guide</w:t>
      </w:r>
      <w:r w:rsidR="0089226F" w:rsidRPr="00115221">
        <w:rPr>
          <w:rFonts w:cs="Times New Roman"/>
          <w:snapToGrid w:val="0"/>
          <w:kern w:val="22"/>
          <w:szCs w:val="22"/>
          <w:lang w:val="fr-CA"/>
        </w:rPr>
        <w:t xml:space="preserve"> de formation sur la détection et l’identification des organismes vivants modifiés qui devrait </w:t>
      </w:r>
      <w:r w:rsidR="00116221" w:rsidRPr="00115221">
        <w:rPr>
          <w:rFonts w:cs="Times New Roman"/>
          <w:snapToGrid w:val="0"/>
          <w:kern w:val="22"/>
          <w:szCs w:val="22"/>
          <w:lang w:val="fr-CA"/>
        </w:rPr>
        <w:t>être</w:t>
      </w:r>
      <w:r w:rsidR="0089226F" w:rsidRPr="00115221">
        <w:rPr>
          <w:rFonts w:cs="Times New Roman"/>
          <w:snapToGrid w:val="0"/>
          <w:kern w:val="22"/>
          <w:szCs w:val="22"/>
          <w:lang w:val="fr-CA"/>
        </w:rPr>
        <w:t xml:space="preserve"> mis au point et publié dans le </w:t>
      </w:r>
      <w:r w:rsidR="00B6412A">
        <w:rPr>
          <w:rFonts w:cs="Times New Roman"/>
          <w:snapToGrid w:val="0"/>
          <w:kern w:val="22"/>
          <w:szCs w:val="22"/>
          <w:lang w:val="fr-CA"/>
        </w:rPr>
        <w:t>centre d’échange</w:t>
      </w:r>
      <w:r w:rsidR="0089226F" w:rsidRPr="00115221">
        <w:rPr>
          <w:rFonts w:cs="Times New Roman"/>
          <w:snapToGrid w:val="0"/>
          <w:kern w:val="22"/>
          <w:szCs w:val="22"/>
          <w:lang w:val="fr-CA"/>
        </w:rPr>
        <w:t xml:space="preserve"> sur la prévention des risques biotechnologiques au cours de 2020. Les </w:t>
      </w:r>
      <w:r w:rsidR="009742CA" w:rsidRPr="00115221">
        <w:rPr>
          <w:rFonts w:cs="Times New Roman"/>
          <w:snapToGrid w:val="0"/>
          <w:kern w:val="22"/>
          <w:szCs w:val="22"/>
          <w:lang w:val="fr-CA"/>
        </w:rPr>
        <w:t xml:space="preserve">quatrièmes rapports nationaux fournissent toutefois de l’information sur la </w:t>
      </w:r>
      <w:r w:rsidR="00116221" w:rsidRPr="00115221">
        <w:rPr>
          <w:rFonts w:cs="Times New Roman"/>
          <w:snapToGrid w:val="0"/>
          <w:kern w:val="22"/>
          <w:szCs w:val="22"/>
          <w:lang w:val="fr-CA"/>
        </w:rPr>
        <w:t>capacité</w:t>
      </w:r>
      <w:r w:rsidR="009742CA" w:rsidRPr="00115221">
        <w:rPr>
          <w:rFonts w:cs="Times New Roman"/>
          <w:snapToGrid w:val="0"/>
          <w:kern w:val="22"/>
          <w:szCs w:val="22"/>
          <w:lang w:val="fr-CA"/>
        </w:rPr>
        <w:t xml:space="preserve"> </w:t>
      </w:r>
      <w:r w:rsidR="00116221" w:rsidRPr="00115221">
        <w:rPr>
          <w:rFonts w:cs="Times New Roman"/>
          <w:snapToGrid w:val="0"/>
          <w:kern w:val="22"/>
          <w:szCs w:val="22"/>
          <w:lang w:val="fr-CA"/>
        </w:rPr>
        <w:t>de pr</w:t>
      </w:r>
      <w:r w:rsidR="009742CA" w:rsidRPr="00115221">
        <w:rPr>
          <w:rFonts w:cs="Times New Roman"/>
          <w:snapToGrid w:val="0"/>
          <w:kern w:val="22"/>
          <w:szCs w:val="22"/>
          <w:lang w:val="fr-CA"/>
        </w:rPr>
        <w:t xml:space="preserve">endre des mesures de réponse dans les cas de mouvements transfrontière </w:t>
      </w:r>
      <w:r w:rsidR="00116221" w:rsidRPr="00115221">
        <w:rPr>
          <w:rFonts w:cs="Times New Roman"/>
          <w:snapToGrid w:val="0"/>
          <w:kern w:val="22"/>
          <w:szCs w:val="22"/>
          <w:lang w:val="fr-CA"/>
        </w:rPr>
        <w:t>involontaires</w:t>
      </w:r>
      <w:r w:rsidR="009742CA" w:rsidRPr="00115221">
        <w:rPr>
          <w:rFonts w:cs="Times New Roman"/>
          <w:snapToGrid w:val="0"/>
          <w:kern w:val="22"/>
          <w:szCs w:val="22"/>
          <w:lang w:val="fr-CA"/>
        </w:rPr>
        <w:t>. Soixante-dix p. cent des Parties ont déclaré avoir la capacité de prendre des mesures appropriées lors de mouv</w:t>
      </w:r>
      <w:r w:rsidR="00116221" w:rsidRPr="00115221">
        <w:rPr>
          <w:rFonts w:cs="Times New Roman"/>
          <w:snapToGrid w:val="0"/>
          <w:kern w:val="22"/>
          <w:szCs w:val="22"/>
          <w:lang w:val="fr-CA"/>
        </w:rPr>
        <w:t>ements transfro</w:t>
      </w:r>
      <w:r w:rsidR="009742CA" w:rsidRPr="00115221">
        <w:rPr>
          <w:rFonts w:cs="Times New Roman"/>
          <w:snapToGrid w:val="0"/>
          <w:kern w:val="22"/>
          <w:szCs w:val="22"/>
          <w:lang w:val="fr-CA"/>
        </w:rPr>
        <w:t xml:space="preserve">ntières </w:t>
      </w:r>
      <w:r w:rsidR="007A3F17" w:rsidRPr="00115221">
        <w:rPr>
          <w:rFonts w:cs="Times New Roman"/>
          <w:snapToGrid w:val="0"/>
          <w:kern w:val="22"/>
          <w:szCs w:val="22"/>
          <w:lang w:val="fr-CA"/>
        </w:rPr>
        <w:t>involontaires</w:t>
      </w:r>
      <w:r w:rsidR="009742CA" w:rsidRPr="00115221">
        <w:rPr>
          <w:rFonts w:cs="Times New Roman"/>
          <w:snapToGrid w:val="0"/>
          <w:kern w:val="22"/>
          <w:szCs w:val="22"/>
          <w:lang w:val="fr-CA"/>
        </w:rPr>
        <w:t>, une augmentation</w:t>
      </w:r>
      <w:r w:rsidR="00116221" w:rsidRPr="00115221">
        <w:rPr>
          <w:rFonts w:cs="Times New Roman"/>
          <w:snapToGrid w:val="0"/>
          <w:kern w:val="22"/>
          <w:szCs w:val="22"/>
          <w:lang w:val="fr-CA"/>
        </w:rPr>
        <w:t xml:space="preserve"> </w:t>
      </w:r>
      <w:r w:rsidR="009742CA" w:rsidRPr="00115221">
        <w:rPr>
          <w:rFonts w:cs="Times New Roman"/>
          <w:snapToGrid w:val="0"/>
          <w:kern w:val="22"/>
          <w:szCs w:val="22"/>
          <w:lang w:val="fr-CA"/>
        </w:rPr>
        <w:t>de 4 p. cent par rapport à la valeur de référence. À l’échelle régionale, ces chiffres sont : Afrique : 53 p. cent (+16 p. cent</w:t>
      </w:r>
      <w:r w:rsidR="007F1C81">
        <w:rPr>
          <w:rFonts w:cs="Times New Roman"/>
          <w:snapToGrid w:val="0"/>
          <w:kern w:val="22"/>
          <w:szCs w:val="22"/>
          <w:lang w:val="fr-CA"/>
        </w:rPr>
        <w:t>); Asie-Pacifique : 67 p. cent (</w:t>
      </w:r>
      <w:r w:rsidR="009742CA" w:rsidRPr="00115221">
        <w:rPr>
          <w:rFonts w:cs="Times New Roman"/>
          <w:snapToGrid w:val="0"/>
          <w:kern w:val="22"/>
          <w:szCs w:val="22"/>
          <w:lang w:val="fr-CA"/>
        </w:rPr>
        <w:t>aucune différence par rapport à la valeur de référence); ECE : 93 p. cent (+7 p. cent); GALC : 38 p. cent (-8 p. cent); EOA : 100 p. cent (aucune différence par rapport à la valeur de référence)</w:t>
      </w:r>
      <w:r w:rsidR="004569FB" w:rsidRPr="00115221">
        <w:rPr>
          <w:rFonts w:cs="Times New Roman"/>
          <w:snapToGrid w:val="0"/>
          <w:kern w:val="22"/>
          <w:szCs w:val="22"/>
          <w:lang w:val="fr-CA"/>
        </w:rPr>
        <w:t>.</w:t>
      </w:r>
    </w:p>
    <w:p w14:paraId="285E818C" w14:textId="5926A12E" w:rsidR="004569FB" w:rsidRPr="00115221" w:rsidRDefault="00E2735E" w:rsidP="004569FB">
      <w:pPr>
        <w:suppressLineNumbers/>
        <w:suppressAutoHyphens/>
        <w:spacing w:before="120" w:after="120"/>
        <w:jc w:val="center"/>
        <w:rPr>
          <w:rFonts w:cs="Times New Roman"/>
          <w:i/>
          <w:snapToGrid w:val="0"/>
          <w:kern w:val="22"/>
          <w:szCs w:val="22"/>
          <w:lang w:val="fr-CA"/>
        </w:rPr>
      </w:pPr>
      <w:r>
        <w:rPr>
          <w:rFonts w:cs="Times New Roman"/>
          <w:i/>
          <w:noProof/>
          <w:snapToGrid w:val="0"/>
          <w:kern w:val="22"/>
          <w:szCs w:val="22"/>
          <w:lang w:val="fr-CA"/>
        </w:rPr>
        <w:drawing>
          <wp:inline distT="0" distB="0" distL="0" distR="0" wp14:anchorId="6DB0E252" wp14:editId="60D52237">
            <wp:extent cx="5964072" cy="34554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36022" cy="3497181"/>
                    </a:xfrm>
                    <a:prstGeom prst="rect">
                      <a:avLst/>
                    </a:prstGeom>
                    <a:noFill/>
                  </pic:spPr>
                </pic:pic>
              </a:graphicData>
            </a:graphic>
          </wp:inline>
        </w:drawing>
      </w:r>
    </w:p>
    <w:p w14:paraId="4C9CA4CF" w14:textId="286AB389" w:rsidR="004569FB" w:rsidRPr="00115221" w:rsidRDefault="00187FFC" w:rsidP="000A5388">
      <w:pPr>
        <w:keepNext/>
        <w:numPr>
          <w:ilvl w:val="0"/>
          <w:numId w:val="17"/>
        </w:numPr>
        <w:suppressLineNumbers/>
        <w:tabs>
          <w:tab w:val="clear" w:pos="2070"/>
          <w:tab w:val="left" w:pos="2552"/>
        </w:tabs>
        <w:suppressAutoHyphens/>
        <w:spacing w:before="120" w:after="120"/>
        <w:ind w:left="2552" w:hanging="709"/>
        <w:jc w:val="left"/>
        <w:outlineLvl w:val="1"/>
        <w:rPr>
          <w:rFonts w:cs="Times New Roman"/>
          <w:b/>
          <w:iCs/>
          <w:snapToGrid w:val="0"/>
          <w:kern w:val="22"/>
          <w:szCs w:val="22"/>
          <w:lang w:val="fr-CA"/>
        </w:rPr>
      </w:pPr>
      <w:r w:rsidRPr="00115221">
        <w:rPr>
          <w:rFonts w:cs="Times New Roman"/>
          <w:b/>
          <w:iCs/>
          <w:snapToGrid w:val="0"/>
          <w:kern w:val="22"/>
          <w:szCs w:val="22"/>
          <w:lang w:val="fr-CA"/>
        </w:rPr>
        <w:t>Échange de renseignements</w:t>
      </w:r>
      <w:r w:rsidR="004569FB" w:rsidRPr="00115221">
        <w:rPr>
          <w:rFonts w:cs="Times New Roman"/>
          <w:b/>
          <w:iCs/>
          <w:snapToGrid w:val="0"/>
          <w:kern w:val="22"/>
          <w:szCs w:val="22"/>
          <w:lang w:val="fr-CA"/>
        </w:rPr>
        <w:t xml:space="preserve"> (</w:t>
      </w:r>
      <w:r w:rsidRPr="00115221">
        <w:rPr>
          <w:rFonts w:cs="Times New Roman"/>
          <w:b/>
          <w:iCs/>
          <w:snapToGrid w:val="0"/>
          <w:kern w:val="22"/>
          <w:szCs w:val="22"/>
          <w:lang w:val="fr-CA"/>
        </w:rPr>
        <w:t>objectifs opérationnels</w:t>
      </w:r>
      <w:r w:rsidR="004569FB" w:rsidRPr="00115221">
        <w:rPr>
          <w:rFonts w:cs="Times New Roman"/>
          <w:b/>
          <w:iCs/>
          <w:snapToGrid w:val="0"/>
          <w:kern w:val="22"/>
          <w:szCs w:val="22"/>
          <w:lang w:val="fr-CA"/>
        </w:rPr>
        <w:t xml:space="preserve"> 2.6, 4.1 </w:t>
      </w:r>
      <w:r w:rsidRPr="00115221">
        <w:rPr>
          <w:rFonts w:cs="Times New Roman"/>
          <w:b/>
          <w:iCs/>
          <w:snapToGrid w:val="0"/>
          <w:kern w:val="22"/>
          <w:szCs w:val="22"/>
          <w:lang w:val="fr-CA"/>
        </w:rPr>
        <w:t>et</w:t>
      </w:r>
      <w:r w:rsidR="004569FB" w:rsidRPr="00115221">
        <w:rPr>
          <w:rFonts w:cs="Times New Roman"/>
          <w:b/>
          <w:iCs/>
          <w:snapToGrid w:val="0"/>
          <w:kern w:val="22"/>
          <w:szCs w:val="22"/>
          <w:lang w:val="fr-CA"/>
        </w:rPr>
        <w:t xml:space="preserve"> 4.2)</w:t>
      </w:r>
    </w:p>
    <w:p w14:paraId="306B87F2" w14:textId="6A139357" w:rsidR="004569FB" w:rsidRPr="00115221" w:rsidRDefault="0016540D" w:rsidP="000A5388">
      <w:pPr>
        <w:keepNext/>
        <w:suppressLineNumbers/>
        <w:tabs>
          <w:tab w:val="left" w:pos="720"/>
        </w:tabs>
        <w:suppressAutoHyphens/>
        <w:spacing w:before="120" w:after="120"/>
        <w:textAlignment w:val="baseline"/>
        <w:outlineLvl w:val="2"/>
        <w:rPr>
          <w:rFonts w:cs="Times New Roman"/>
          <w:b/>
          <w:iCs/>
          <w:snapToGrid w:val="0"/>
          <w:kern w:val="22"/>
          <w:szCs w:val="22"/>
          <w:lang w:val="fr-CA"/>
        </w:rPr>
      </w:pPr>
      <w:r w:rsidRPr="00115221">
        <w:rPr>
          <w:rFonts w:cs="Times New Roman"/>
          <w:b/>
          <w:iCs/>
          <w:snapToGrid w:val="0"/>
          <w:kern w:val="22"/>
          <w:szCs w:val="22"/>
          <w:lang w:val="fr-CA"/>
        </w:rPr>
        <w:t>Objectif opérationnel 2.6 : Échange de renseignements</w:t>
      </w:r>
    </w:p>
    <w:p w14:paraId="5EBECC48" w14:textId="72E56B9B" w:rsidR="00E74131" w:rsidRPr="00115221" w:rsidRDefault="0016540D"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L’objectif opérationnel 2.6 a pour but de garantir que les parties prenantes établies </w:t>
      </w:r>
      <w:r w:rsidR="00871AEE">
        <w:rPr>
          <w:rFonts w:cs="Times New Roman"/>
          <w:snapToGrid w:val="0"/>
          <w:kern w:val="22"/>
          <w:szCs w:val="22"/>
          <w:lang w:val="fr-CA"/>
        </w:rPr>
        <w:t>aient</w:t>
      </w:r>
      <w:r w:rsidRPr="00115221">
        <w:rPr>
          <w:rFonts w:cs="Times New Roman"/>
          <w:snapToGrid w:val="0"/>
          <w:kern w:val="22"/>
          <w:szCs w:val="22"/>
          <w:lang w:val="fr-CA"/>
        </w:rPr>
        <w:t xml:space="preserve"> facilement accès au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surtout dans les pays en </w:t>
      </w:r>
      <w:r w:rsidRPr="00115221">
        <w:rPr>
          <w:rFonts w:cs="Times New Roman"/>
          <w:snapToGrid w:val="0"/>
          <w:kern w:val="22"/>
          <w:szCs w:val="22"/>
          <w:lang w:val="fr-CA"/>
        </w:rPr>
        <w:lastRenderedPageBreak/>
        <w:t>développement et les pays à économie en transition. Deux indicateurs ont été définis afin de mesurer les progr</w:t>
      </w:r>
      <w:r w:rsidR="00201CDD" w:rsidRPr="00115221">
        <w:rPr>
          <w:rFonts w:cs="Times New Roman"/>
          <w:snapToGrid w:val="0"/>
          <w:kern w:val="22"/>
          <w:szCs w:val="22"/>
          <w:lang w:val="fr-CA"/>
        </w:rPr>
        <w:t>ès accomplis dans la réalisati</w:t>
      </w:r>
      <w:r w:rsidRPr="00115221">
        <w:rPr>
          <w:rFonts w:cs="Times New Roman"/>
          <w:snapToGrid w:val="0"/>
          <w:kern w:val="22"/>
          <w:szCs w:val="22"/>
          <w:lang w:val="fr-CA"/>
        </w:rPr>
        <w:t xml:space="preserve">on de cet objectif opérationnel. Les résultats obtenus du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à la fin du quatrième cycle </w:t>
      </w:r>
      <w:r w:rsidR="005C6F2D">
        <w:rPr>
          <w:rFonts w:cs="Times New Roman"/>
          <w:snapToGrid w:val="0"/>
          <w:kern w:val="22"/>
          <w:szCs w:val="22"/>
          <w:lang w:val="fr-CA"/>
        </w:rPr>
        <w:t>de présentation des rapports</w:t>
      </w:r>
      <w:r w:rsidR="00201CDD" w:rsidRPr="00115221">
        <w:rPr>
          <w:rFonts w:cs="Times New Roman"/>
          <w:snapToGrid w:val="0"/>
          <w:kern w:val="22"/>
          <w:szCs w:val="22"/>
          <w:lang w:val="fr-CA"/>
        </w:rPr>
        <w:t xml:space="preserve"> révèlent ce qui suit lorsqu’il sont comparés à la valeur de référence</w:t>
      </w:r>
      <w:r w:rsidR="00E13D8A" w:rsidRPr="00115221">
        <w:rPr>
          <w:rFonts w:cs="Times New Roman"/>
          <w:snapToGrid w:val="0"/>
          <w:kern w:val="22"/>
          <w:szCs w:val="22"/>
          <w:lang w:val="fr-CA"/>
        </w:rPr>
        <w:t xml:space="preserve">. </w:t>
      </w:r>
    </w:p>
    <w:p w14:paraId="6DC678DE" w14:textId="7F51F16D" w:rsidR="00E74131" w:rsidRPr="00115221" w:rsidRDefault="00201CDD"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E</w:t>
      </w:r>
      <w:r w:rsidR="003361FD" w:rsidRPr="00115221">
        <w:rPr>
          <w:rFonts w:cs="Times New Roman"/>
          <w:snapToGrid w:val="0"/>
          <w:kern w:val="22"/>
          <w:szCs w:val="22"/>
          <w:lang w:val="fr-CA"/>
        </w:rPr>
        <w:t>n ce qui concerne</w:t>
      </w:r>
      <w:r w:rsidRPr="00115221">
        <w:rPr>
          <w:rFonts w:cs="Times New Roman"/>
          <w:snapToGrid w:val="0"/>
          <w:kern w:val="22"/>
          <w:szCs w:val="22"/>
          <w:lang w:val="fr-CA"/>
        </w:rPr>
        <w:t xml:space="preserve"> </w:t>
      </w:r>
      <w:r w:rsidRPr="00115221">
        <w:rPr>
          <w:rFonts w:cs="Times New Roman"/>
          <w:b/>
          <w:snapToGrid w:val="0"/>
          <w:kern w:val="22"/>
          <w:szCs w:val="22"/>
          <w:lang w:val="fr-CA"/>
        </w:rPr>
        <w:t>l’indicateur 2.6.1</w:t>
      </w:r>
      <w:r w:rsidRPr="00115221">
        <w:rPr>
          <w:rFonts w:cs="Times New Roman"/>
          <w:snapToGrid w:val="0"/>
          <w:kern w:val="22"/>
          <w:szCs w:val="22"/>
          <w:lang w:val="fr-CA"/>
        </w:rPr>
        <w:t xml:space="preserve"> (nombre de </w:t>
      </w:r>
      <w:r w:rsidR="00871AEE">
        <w:rPr>
          <w:rFonts w:cs="Times New Roman"/>
          <w:snapToGrid w:val="0"/>
          <w:kern w:val="22"/>
          <w:szCs w:val="22"/>
          <w:lang w:val="fr-CA"/>
        </w:rPr>
        <w:t>demandes d’enregistrement</w:t>
      </w:r>
      <w:r w:rsidRPr="00115221">
        <w:rPr>
          <w:rFonts w:cs="Times New Roman"/>
          <w:snapToGrid w:val="0"/>
          <w:kern w:val="22"/>
          <w:szCs w:val="22"/>
          <w:lang w:val="fr-CA"/>
        </w:rPr>
        <w:t xml:space="preserve"> au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provenant de pays en développement et </w:t>
      </w:r>
      <w:r w:rsidR="00871AEE">
        <w:rPr>
          <w:rFonts w:cs="Times New Roman"/>
          <w:snapToGrid w:val="0"/>
          <w:kern w:val="22"/>
          <w:szCs w:val="22"/>
          <w:lang w:val="fr-CA"/>
        </w:rPr>
        <w:t>de</w:t>
      </w:r>
      <w:r w:rsidRPr="00115221">
        <w:rPr>
          <w:rFonts w:cs="Times New Roman"/>
          <w:snapToGrid w:val="0"/>
          <w:kern w:val="22"/>
          <w:szCs w:val="22"/>
          <w:lang w:val="fr-CA"/>
        </w:rPr>
        <w:t xml:space="preserve"> pays à économie en transition), le nombre de </w:t>
      </w:r>
      <w:r w:rsidR="00871AEE">
        <w:rPr>
          <w:rFonts w:cs="Times New Roman"/>
          <w:snapToGrid w:val="0"/>
          <w:kern w:val="22"/>
          <w:szCs w:val="22"/>
          <w:lang w:val="fr-CA"/>
        </w:rPr>
        <w:t>demandes</w:t>
      </w:r>
      <w:r w:rsidRPr="00115221">
        <w:rPr>
          <w:rFonts w:cs="Times New Roman"/>
          <w:snapToGrid w:val="0"/>
          <w:kern w:val="22"/>
          <w:szCs w:val="22"/>
          <w:lang w:val="fr-CA"/>
        </w:rPr>
        <w:t xml:space="preserve"> d’enregistrement au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provenant de pays en développement et de pays à économie en</w:t>
      </w:r>
      <w:r w:rsidR="00871AEE">
        <w:rPr>
          <w:rFonts w:cs="Times New Roman"/>
          <w:snapToGrid w:val="0"/>
          <w:kern w:val="22"/>
          <w:szCs w:val="22"/>
          <w:lang w:val="fr-CA"/>
        </w:rPr>
        <w:t xml:space="preserve"> transition a augmenté de 1 445</w:t>
      </w:r>
      <w:r w:rsidRPr="00115221">
        <w:rPr>
          <w:rFonts w:cs="Times New Roman"/>
          <w:snapToGrid w:val="0"/>
          <w:kern w:val="22"/>
          <w:szCs w:val="22"/>
          <w:lang w:val="fr-CA"/>
        </w:rPr>
        <w:t xml:space="preserve"> </w:t>
      </w:r>
      <w:r w:rsidR="003361FD" w:rsidRPr="00115221">
        <w:rPr>
          <w:rFonts w:cs="Times New Roman"/>
          <w:snapToGrid w:val="0"/>
          <w:kern w:val="22"/>
          <w:szCs w:val="22"/>
          <w:lang w:val="fr-CA"/>
        </w:rPr>
        <w:t>au 1</w:t>
      </w:r>
      <w:r w:rsidR="003361FD" w:rsidRPr="00115221">
        <w:rPr>
          <w:rFonts w:cs="Times New Roman"/>
          <w:snapToGrid w:val="0"/>
          <w:kern w:val="22"/>
          <w:szCs w:val="22"/>
          <w:vertAlign w:val="superscript"/>
          <w:lang w:val="fr-CA"/>
        </w:rPr>
        <w:t>er</w:t>
      </w:r>
      <w:r w:rsidR="003361FD" w:rsidRPr="00115221">
        <w:rPr>
          <w:rFonts w:cs="Times New Roman"/>
          <w:snapToGrid w:val="0"/>
          <w:kern w:val="22"/>
          <w:szCs w:val="22"/>
          <w:lang w:val="fr-CA"/>
        </w:rPr>
        <w:t xml:space="preserve"> janvier 2012 à 4 438 au 1</w:t>
      </w:r>
      <w:r w:rsidR="003361FD" w:rsidRPr="00115221">
        <w:rPr>
          <w:rFonts w:cs="Times New Roman"/>
          <w:snapToGrid w:val="0"/>
          <w:kern w:val="22"/>
          <w:szCs w:val="22"/>
          <w:vertAlign w:val="superscript"/>
          <w:lang w:val="fr-CA"/>
        </w:rPr>
        <w:t>er</w:t>
      </w:r>
      <w:r w:rsidR="00871AEE">
        <w:rPr>
          <w:rFonts w:cs="Times New Roman"/>
          <w:snapToGrid w:val="0"/>
          <w:kern w:val="22"/>
          <w:szCs w:val="22"/>
          <w:lang w:val="fr-CA"/>
        </w:rPr>
        <w:t xml:space="preserve"> janvier 2020</w:t>
      </w:r>
      <w:r w:rsidR="003361FD" w:rsidRPr="00115221">
        <w:rPr>
          <w:rFonts w:cs="Times New Roman"/>
          <w:snapToGrid w:val="0"/>
          <w:kern w:val="22"/>
          <w:szCs w:val="22"/>
          <w:lang w:val="fr-CA"/>
        </w:rPr>
        <w:t xml:space="preserve">. Les </w:t>
      </w:r>
      <w:r w:rsidR="00871AEE">
        <w:rPr>
          <w:rFonts w:cs="Times New Roman"/>
          <w:snapToGrid w:val="0"/>
          <w:kern w:val="22"/>
          <w:szCs w:val="22"/>
          <w:lang w:val="fr-CA"/>
        </w:rPr>
        <w:t>demandes d’enregistrement provenant de</w:t>
      </w:r>
      <w:r w:rsidR="003361FD" w:rsidRPr="00115221">
        <w:rPr>
          <w:rFonts w:cs="Times New Roman"/>
          <w:snapToGrid w:val="0"/>
          <w:kern w:val="22"/>
          <w:szCs w:val="22"/>
          <w:lang w:val="fr-CA"/>
        </w:rPr>
        <w:t xml:space="preserve"> pays en développement et </w:t>
      </w:r>
      <w:r w:rsidR="00AD0280">
        <w:rPr>
          <w:rFonts w:cs="Times New Roman"/>
          <w:snapToGrid w:val="0"/>
          <w:kern w:val="22"/>
          <w:szCs w:val="22"/>
          <w:lang w:val="fr-CA"/>
        </w:rPr>
        <w:t>de</w:t>
      </w:r>
      <w:r w:rsidR="003361FD" w:rsidRPr="00115221">
        <w:rPr>
          <w:rFonts w:cs="Times New Roman"/>
          <w:snapToGrid w:val="0"/>
          <w:kern w:val="22"/>
          <w:szCs w:val="22"/>
          <w:lang w:val="fr-CA"/>
        </w:rPr>
        <w:t xml:space="preserve"> pays à économie en transition représentaient 51 p. cent de </w:t>
      </w:r>
      <w:r w:rsidR="00AD0280">
        <w:rPr>
          <w:rFonts w:cs="Times New Roman"/>
          <w:snapToGrid w:val="0"/>
          <w:kern w:val="22"/>
          <w:szCs w:val="22"/>
          <w:lang w:val="fr-CA"/>
        </w:rPr>
        <w:t>l’ensemble des demandes</w:t>
      </w:r>
      <w:r w:rsidR="003361FD" w:rsidRPr="00115221">
        <w:rPr>
          <w:rFonts w:cs="Times New Roman"/>
          <w:snapToGrid w:val="0"/>
          <w:kern w:val="22"/>
          <w:szCs w:val="22"/>
          <w:lang w:val="fr-CA"/>
        </w:rPr>
        <w:t xml:space="preserve"> lors de l’établissement de la valeur de référence. Ce nombre a augmenté </w:t>
      </w:r>
      <w:r w:rsidR="00AD0280">
        <w:rPr>
          <w:rFonts w:cs="Times New Roman"/>
          <w:snapToGrid w:val="0"/>
          <w:kern w:val="22"/>
          <w:szCs w:val="22"/>
          <w:lang w:val="fr-CA"/>
        </w:rPr>
        <w:t>à</w:t>
      </w:r>
      <w:r w:rsidR="003361FD" w:rsidRPr="00115221">
        <w:rPr>
          <w:rFonts w:cs="Times New Roman"/>
          <w:snapToGrid w:val="0"/>
          <w:kern w:val="22"/>
          <w:szCs w:val="22"/>
          <w:lang w:val="fr-CA"/>
        </w:rPr>
        <w:t xml:space="preserve"> 66 p. cent au 1</w:t>
      </w:r>
      <w:r w:rsidR="003361FD" w:rsidRPr="00115221">
        <w:rPr>
          <w:rFonts w:cs="Times New Roman"/>
          <w:snapToGrid w:val="0"/>
          <w:kern w:val="22"/>
          <w:szCs w:val="22"/>
          <w:vertAlign w:val="superscript"/>
          <w:lang w:val="fr-CA"/>
        </w:rPr>
        <w:t>er</w:t>
      </w:r>
      <w:r w:rsidR="003361FD" w:rsidRPr="00115221">
        <w:rPr>
          <w:rFonts w:cs="Times New Roman"/>
          <w:snapToGrid w:val="0"/>
          <w:kern w:val="22"/>
          <w:szCs w:val="22"/>
          <w:lang w:val="fr-CA"/>
        </w:rPr>
        <w:t xml:space="preserve"> janvier 2020, ce qui représente une augmentation de 15 p. cent </w:t>
      </w:r>
      <w:r w:rsidR="00AD0280">
        <w:rPr>
          <w:rFonts w:cs="Times New Roman"/>
          <w:snapToGrid w:val="0"/>
          <w:kern w:val="22"/>
          <w:szCs w:val="22"/>
          <w:lang w:val="fr-CA"/>
        </w:rPr>
        <w:t>des demandes d’enregistrement</w:t>
      </w:r>
      <w:r w:rsidR="003361FD" w:rsidRPr="00115221">
        <w:rPr>
          <w:rFonts w:cs="Times New Roman"/>
          <w:snapToGrid w:val="0"/>
          <w:kern w:val="22"/>
          <w:szCs w:val="22"/>
          <w:lang w:val="fr-CA"/>
        </w:rPr>
        <w:t xml:space="preserve"> provenant des pays en développement et des pays à économie en transition</w:t>
      </w:r>
      <w:r w:rsidR="00E13D8A" w:rsidRPr="00115221">
        <w:rPr>
          <w:rFonts w:cs="Times New Roman"/>
          <w:snapToGrid w:val="0"/>
          <w:kern w:val="22"/>
          <w:szCs w:val="22"/>
          <w:lang w:val="fr-CA"/>
        </w:rPr>
        <w:t>.</w:t>
      </w:r>
    </w:p>
    <w:p w14:paraId="6791BC0B" w14:textId="324BFA86" w:rsidR="009D668D" w:rsidRPr="00775719" w:rsidRDefault="003361FD" w:rsidP="00775719">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iCs/>
          <w:snapToGrid w:val="0"/>
          <w:kern w:val="22"/>
          <w:szCs w:val="22"/>
          <w:lang w:val="fr-CA"/>
        </w:rPr>
      </w:pPr>
      <w:r w:rsidRPr="00115221">
        <w:rPr>
          <w:rFonts w:cs="Times New Roman"/>
          <w:snapToGrid w:val="0"/>
          <w:kern w:val="22"/>
          <w:szCs w:val="22"/>
          <w:lang w:val="fr-CA"/>
        </w:rPr>
        <w:t xml:space="preserve">Quant à </w:t>
      </w:r>
      <w:r w:rsidRPr="00115221">
        <w:rPr>
          <w:rFonts w:cs="Times New Roman"/>
          <w:b/>
          <w:snapToGrid w:val="0"/>
          <w:kern w:val="22"/>
          <w:szCs w:val="22"/>
          <w:lang w:val="fr-CA"/>
        </w:rPr>
        <w:t>l’indicateur 2.6.2</w:t>
      </w:r>
      <w:r w:rsidRPr="00115221">
        <w:rPr>
          <w:rFonts w:cs="Times New Roman"/>
          <w:snapToGrid w:val="0"/>
          <w:kern w:val="22"/>
          <w:szCs w:val="22"/>
          <w:lang w:val="fr-CA"/>
        </w:rPr>
        <w:t xml:space="preserve"> (</w:t>
      </w:r>
      <w:r w:rsidR="008D725B" w:rsidRPr="00115221">
        <w:rPr>
          <w:rFonts w:cs="Times New Roman"/>
          <w:snapToGrid w:val="0"/>
          <w:kern w:val="22"/>
          <w:szCs w:val="22"/>
          <w:lang w:val="fr-CA"/>
        </w:rPr>
        <w:t xml:space="preserve">achalandage (moyenne annuelle au cours des périodes visées par les rapports) du </w:t>
      </w:r>
      <w:r w:rsidR="00B6412A">
        <w:rPr>
          <w:rFonts w:cs="Times New Roman"/>
          <w:snapToGrid w:val="0"/>
          <w:kern w:val="22"/>
          <w:szCs w:val="22"/>
          <w:lang w:val="fr-CA"/>
        </w:rPr>
        <w:t>centre d’échange</w:t>
      </w:r>
      <w:r w:rsidR="008D725B" w:rsidRPr="00115221">
        <w:rPr>
          <w:rFonts w:cs="Times New Roman"/>
          <w:snapToGrid w:val="0"/>
          <w:kern w:val="22"/>
          <w:szCs w:val="22"/>
          <w:lang w:val="fr-CA"/>
        </w:rPr>
        <w:t xml:space="preserve"> sur la prévention des risques biotechnologiques par les utilisateurs de pays en développement et de pays à économie en transition), l’achalandage (moyenne annuelle au cours des périodes visées par les rapports) du </w:t>
      </w:r>
      <w:r w:rsidR="00B6412A">
        <w:rPr>
          <w:rFonts w:cs="Times New Roman"/>
          <w:snapToGrid w:val="0"/>
          <w:kern w:val="22"/>
          <w:szCs w:val="22"/>
          <w:lang w:val="fr-CA"/>
        </w:rPr>
        <w:t>centre d’échange</w:t>
      </w:r>
      <w:r w:rsidR="008D725B" w:rsidRPr="00115221">
        <w:rPr>
          <w:rFonts w:cs="Times New Roman"/>
          <w:snapToGrid w:val="0"/>
          <w:kern w:val="22"/>
          <w:szCs w:val="22"/>
          <w:lang w:val="fr-CA"/>
        </w:rPr>
        <w:t xml:space="preserve"> sur la prévention des risques biotechnologiques par les utilisateurs de pays en développement et d</w:t>
      </w:r>
      <w:r w:rsidR="00AD0280">
        <w:rPr>
          <w:rFonts w:cs="Times New Roman"/>
          <w:snapToGrid w:val="0"/>
          <w:kern w:val="22"/>
          <w:szCs w:val="22"/>
          <w:lang w:val="fr-CA"/>
        </w:rPr>
        <w:t>e pays à économie en transition</w:t>
      </w:r>
      <w:r w:rsidR="008D725B" w:rsidRPr="00115221">
        <w:rPr>
          <w:rFonts w:cs="Times New Roman"/>
          <w:snapToGrid w:val="0"/>
          <w:kern w:val="22"/>
          <w:szCs w:val="22"/>
          <w:lang w:val="fr-CA"/>
        </w:rPr>
        <w:t xml:space="preserve"> est passé de 65 327 visites et de 39 275 visiteurs uniques par année à 106 996 visites et 68 832 visiteurs uniques par année, une augmentation importante de 64 p. cent du nombre de visites et de 75 p. cent de visiteurs uniques de pays en développement et de pays à économie en transition</w:t>
      </w:r>
      <w:r w:rsidR="00E13D8A" w:rsidRPr="00115221">
        <w:rPr>
          <w:rFonts w:cs="Times New Roman"/>
          <w:snapToGrid w:val="0"/>
          <w:kern w:val="22"/>
          <w:szCs w:val="22"/>
          <w:lang w:val="fr-CA"/>
        </w:rPr>
        <w:t>.</w:t>
      </w:r>
      <w:r w:rsidR="00A44925" w:rsidRPr="00115221">
        <w:rPr>
          <w:rStyle w:val="FootnoteReference"/>
          <w:rFonts w:cs="Times New Roman"/>
          <w:snapToGrid w:val="0"/>
          <w:kern w:val="22"/>
          <w:szCs w:val="22"/>
          <w:lang w:val="fr-CA"/>
        </w:rPr>
        <w:footnoteReference w:id="35"/>
      </w:r>
    </w:p>
    <w:p w14:paraId="4081945B" w14:textId="1EDD7AE3" w:rsidR="00775719" w:rsidRPr="00115221" w:rsidRDefault="00775719" w:rsidP="004569FB">
      <w:pPr>
        <w:suppressLineNumbers/>
        <w:tabs>
          <w:tab w:val="num" w:pos="0"/>
          <w:tab w:val="left" w:pos="720"/>
        </w:tabs>
        <w:suppressAutoHyphens/>
        <w:spacing w:before="120" w:after="120"/>
        <w:textAlignment w:val="baseline"/>
        <w:rPr>
          <w:rFonts w:cs="Times New Roman"/>
          <w:b/>
          <w:iCs/>
          <w:snapToGrid w:val="0"/>
          <w:kern w:val="22"/>
          <w:szCs w:val="22"/>
          <w:lang w:val="fr-CA"/>
        </w:rPr>
      </w:pPr>
      <w:r>
        <w:rPr>
          <w:rFonts w:cs="Times New Roman"/>
          <w:b/>
          <w:iCs/>
          <w:noProof/>
          <w:snapToGrid w:val="0"/>
          <w:kern w:val="22"/>
          <w:szCs w:val="22"/>
          <w:lang w:val="fr-CA"/>
        </w:rPr>
        <w:drawing>
          <wp:inline distT="0" distB="0" distL="0" distR="0" wp14:anchorId="3471CBE4" wp14:editId="3072493B">
            <wp:extent cx="5947028" cy="3655971"/>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4605" cy="3672924"/>
                    </a:xfrm>
                    <a:prstGeom prst="rect">
                      <a:avLst/>
                    </a:prstGeom>
                    <a:noFill/>
                  </pic:spPr>
                </pic:pic>
              </a:graphicData>
            </a:graphic>
          </wp:inline>
        </w:drawing>
      </w:r>
    </w:p>
    <w:p w14:paraId="3B8FB829" w14:textId="35FA9949" w:rsidR="004569FB" w:rsidRPr="00115221" w:rsidRDefault="00843872" w:rsidP="000A5388">
      <w:pPr>
        <w:suppressLineNumbers/>
        <w:tabs>
          <w:tab w:val="num" w:pos="0"/>
          <w:tab w:val="left" w:pos="720"/>
        </w:tabs>
        <w:suppressAutoHyphens/>
        <w:spacing w:before="120" w:after="120"/>
        <w:textAlignment w:val="baseline"/>
        <w:outlineLvl w:val="2"/>
        <w:rPr>
          <w:rFonts w:cs="Times New Roman"/>
          <w:b/>
          <w:iCs/>
          <w:snapToGrid w:val="0"/>
          <w:kern w:val="22"/>
          <w:szCs w:val="22"/>
          <w:lang w:val="fr-CA"/>
        </w:rPr>
      </w:pPr>
      <w:r w:rsidRPr="00115221">
        <w:rPr>
          <w:rFonts w:cs="Times New Roman"/>
          <w:b/>
          <w:iCs/>
          <w:snapToGrid w:val="0"/>
          <w:kern w:val="22"/>
          <w:szCs w:val="22"/>
          <w:lang w:val="fr-CA"/>
        </w:rPr>
        <w:t xml:space="preserve">Objectif opérationnel 4.1 : Efficacité du </w:t>
      </w:r>
      <w:r w:rsidR="00B6412A">
        <w:rPr>
          <w:rFonts w:cs="Times New Roman"/>
          <w:b/>
          <w:iCs/>
          <w:snapToGrid w:val="0"/>
          <w:kern w:val="22"/>
          <w:szCs w:val="22"/>
          <w:lang w:val="fr-CA"/>
        </w:rPr>
        <w:t>centre d’échange</w:t>
      </w:r>
      <w:r w:rsidRPr="00115221">
        <w:rPr>
          <w:rFonts w:cs="Times New Roman"/>
          <w:b/>
          <w:iCs/>
          <w:snapToGrid w:val="0"/>
          <w:kern w:val="22"/>
          <w:szCs w:val="22"/>
          <w:lang w:val="fr-CA"/>
        </w:rPr>
        <w:t xml:space="preserve"> sur la prévention des risques biotechnologiques </w:t>
      </w:r>
    </w:p>
    <w:p w14:paraId="12AA3AED" w14:textId="6F0EBE12" w:rsidR="00E13D8A" w:rsidRPr="00115221" w:rsidRDefault="00843872"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iCs/>
          <w:snapToGrid w:val="0"/>
          <w:kern w:val="22"/>
          <w:szCs w:val="22"/>
          <w:lang w:val="fr-CA"/>
        </w:rPr>
      </w:pPr>
      <w:r w:rsidRPr="00115221">
        <w:rPr>
          <w:rFonts w:cs="Times New Roman"/>
          <w:snapToGrid w:val="0"/>
          <w:kern w:val="22"/>
          <w:szCs w:val="22"/>
          <w:lang w:val="fr-CA"/>
        </w:rPr>
        <w:lastRenderedPageBreak/>
        <w:t xml:space="preserve">L’objectif opérationnel 4.1 sur l’efficacité du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a pour but d’augmenter la quantité et la qualité de l’information communiquée et récupérée du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w:t>
      </w:r>
      <w:r w:rsidR="006962E7">
        <w:rPr>
          <w:rFonts w:cs="Times New Roman"/>
          <w:snapToGrid w:val="0"/>
          <w:kern w:val="22"/>
          <w:szCs w:val="22"/>
          <w:lang w:val="fr-CA"/>
        </w:rPr>
        <w:t xml:space="preserve"> risques biotechnologiques. Le P</w:t>
      </w:r>
      <w:r w:rsidRPr="00115221">
        <w:rPr>
          <w:rFonts w:cs="Times New Roman"/>
          <w:snapToGrid w:val="0"/>
          <w:kern w:val="22"/>
          <w:szCs w:val="22"/>
          <w:lang w:val="fr-CA"/>
        </w:rPr>
        <w:t xml:space="preserve">lan stratégique comprend huit indicateurs pour mesurer le progrès dans la réalisation de cet objectif opérationnel. La comparaison des données contenues dans les quatrièmes </w:t>
      </w:r>
      <w:r w:rsidRPr="00115221">
        <w:rPr>
          <w:rFonts w:eastAsia="Times New Roman" w:cs="Times New Roman"/>
          <w:snapToGrid w:val="0"/>
          <w:kern w:val="22"/>
          <w:szCs w:val="22"/>
          <w:lang w:val="fr-CA"/>
        </w:rPr>
        <w:t>rapports</w:t>
      </w:r>
      <w:r w:rsidRPr="00115221">
        <w:rPr>
          <w:rFonts w:cs="Times New Roman"/>
          <w:snapToGrid w:val="0"/>
          <w:kern w:val="22"/>
          <w:szCs w:val="22"/>
          <w:lang w:val="fr-CA"/>
        </w:rPr>
        <w:t xml:space="preserve"> nationaux aux valeurs de référence révèle ce qui suit</w:t>
      </w:r>
      <w:r w:rsidR="00E13D8A" w:rsidRPr="00115221">
        <w:rPr>
          <w:rFonts w:cs="Times New Roman"/>
          <w:snapToGrid w:val="0"/>
          <w:kern w:val="22"/>
          <w:szCs w:val="22"/>
          <w:lang w:val="fr-CA"/>
        </w:rPr>
        <w:t>.</w:t>
      </w:r>
    </w:p>
    <w:p w14:paraId="27A3448E" w14:textId="1B7E1EA2" w:rsidR="00E13D8A" w:rsidRPr="00115221" w:rsidRDefault="00F50306"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4.1.1</w:t>
      </w:r>
      <w:r w:rsidRPr="00115221">
        <w:rPr>
          <w:rFonts w:cs="Times New Roman"/>
          <w:snapToGrid w:val="0"/>
          <w:kern w:val="22"/>
          <w:szCs w:val="22"/>
          <w:lang w:val="fr-CA"/>
        </w:rPr>
        <w:t xml:space="preserve"> (</w:t>
      </w:r>
      <w:r w:rsidR="00100984">
        <w:rPr>
          <w:rFonts w:cs="Times New Roman"/>
          <w:snapToGrid w:val="0"/>
          <w:kern w:val="22"/>
          <w:szCs w:val="22"/>
          <w:lang w:val="fr-CA"/>
        </w:rPr>
        <w:t>nombre</w:t>
      </w:r>
      <w:r w:rsidRPr="00115221">
        <w:rPr>
          <w:rFonts w:cs="Times New Roman"/>
          <w:snapToGrid w:val="0"/>
          <w:kern w:val="22"/>
          <w:szCs w:val="22"/>
          <w:lang w:val="fr-CA"/>
        </w:rPr>
        <w:t xml:space="preserve"> rapports sommaires d’évaluation des risques par rapport au nombre de décisions sur les OVM), le </w:t>
      </w:r>
      <w:r w:rsidR="00100984">
        <w:rPr>
          <w:rFonts w:cs="Times New Roman"/>
          <w:snapToGrid w:val="0"/>
          <w:kern w:val="22"/>
          <w:szCs w:val="22"/>
          <w:lang w:val="fr-CA"/>
        </w:rPr>
        <w:t>nombre</w:t>
      </w:r>
      <w:r w:rsidRPr="00115221">
        <w:rPr>
          <w:rFonts w:cs="Times New Roman"/>
          <w:snapToGrid w:val="0"/>
          <w:kern w:val="22"/>
          <w:szCs w:val="22"/>
          <w:lang w:val="fr-CA"/>
        </w:rPr>
        <w:t xml:space="preserve"> de rapports d’évaluation des risques par rapport au nombre de décisions sur les OVM</w:t>
      </w:r>
      <w:r w:rsidR="00E13D8A" w:rsidRPr="00115221">
        <w:rPr>
          <w:rStyle w:val="FootnoteReference"/>
          <w:rFonts w:cs="Times New Roman"/>
          <w:snapToGrid w:val="0"/>
          <w:kern w:val="22"/>
          <w:szCs w:val="22"/>
          <w:lang w:val="fr-CA"/>
        </w:rPr>
        <w:footnoteReference w:id="36"/>
      </w:r>
      <w:r w:rsidR="00E13D8A" w:rsidRPr="00115221">
        <w:rPr>
          <w:rFonts w:cs="Times New Roman"/>
          <w:snapToGrid w:val="0"/>
          <w:kern w:val="22"/>
          <w:szCs w:val="22"/>
          <w:lang w:val="fr-CA"/>
        </w:rPr>
        <w:t xml:space="preserve"> </w:t>
      </w:r>
      <w:r w:rsidRPr="00115221">
        <w:rPr>
          <w:rFonts w:cs="Times New Roman"/>
          <w:snapToGrid w:val="0"/>
          <w:kern w:val="22"/>
          <w:szCs w:val="22"/>
          <w:lang w:val="fr-CA"/>
        </w:rPr>
        <w:t xml:space="preserve">dans le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a augmenté de 79 p. cent (514 évaluations des risques pour 650 décisions) en janvier 2010 </w:t>
      </w:r>
      <w:r w:rsidR="00100984">
        <w:rPr>
          <w:rFonts w:cs="Times New Roman"/>
          <w:snapToGrid w:val="0"/>
          <w:kern w:val="22"/>
          <w:szCs w:val="22"/>
          <w:lang w:val="fr-CA"/>
        </w:rPr>
        <w:t>et</w:t>
      </w:r>
      <w:r w:rsidRPr="00115221">
        <w:rPr>
          <w:rFonts w:cs="Times New Roman"/>
          <w:snapToGrid w:val="0"/>
          <w:kern w:val="22"/>
          <w:szCs w:val="22"/>
          <w:lang w:val="fr-CA"/>
        </w:rPr>
        <w:t xml:space="preserve"> 92 p. cent (1 198 évaluations des risques pour 1</w:t>
      </w:r>
      <w:r w:rsidR="00100984">
        <w:rPr>
          <w:rFonts w:cs="Times New Roman"/>
          <w:snapToGrid w:val="0"/>
          <w:kern w:val="22"/>
          <w:szCs w:val="22"/>
          <w:lang w:val="fr-CA"/>
        </w:rPr>
        <w:t> 299 décisions) en janvier 2016</w:t>
      </w:r>
      <w:r w:rsidRPr="00115221">
        <w:rPr>
          <w:rFonts w:cs="Times New Roman"/>
          <w:snapToGrid w:val="0"/>
          <w:kern w:val="22"/>
          <w:szCs w:val="22"/>
          <w:lang w:val="fr-CA"/>
        </w:rPr>
        <w:t xml:space="preserve"> </w:t>
      </w:r>
      <w:r w:rsidR="00100984">
        <w:rPr>
          <w:rFonts w:cs="Times New Roman"/>
          <w:snapToGrid w:val="0"/>
          <w:kern w:val="22"/>
          <w:szCs w:val="22"/>
          <w:lang w:val="fr-CA"/>
        </w:rPr>
        <w:t>à 96 p. cent (2 055 </w:t>
      </w:r>
      <w:r w:rsidRPr="00115221">
        <w:rPr>
          <w:rFonts w:cs="Times New Roman"/>
          <w:snapToGrid w:val="0"/>
          <w:kern w:val="22"/>
          <w:szCs w:val="22"/>
          <w:lang w:val="fr-CA"/>
        </w:rPr>
        <w:t>évaluations des risques pour 2 134 décisions) en date de janvier 2020, ce qui représente une augmentation de 17 p. cent par rapport à la valeur de référence</w:t>
      </w:r>
      <w:r w:rsidR="00E13D8A" w:rsidRPr="00115221">
        <w:rPr>
          <w:rFonts w:cs="Times New Roman"/>
          <w:snapToGrid w:val="0"/>
          <w:kern w:val="22"/>
          <w:szCs w:val="22"/>
          <w:lang w:val="fr-CA"/>
        </w:rPr>
        <w:t>.</w:t>
      </w:r>
    </w:p>
    <w:p w14:paraId="3D89C6BD" w14:textId="00F2F624" w:rsidR="00E13D8A" w:rsidRPr="00115221" w:rsidRDefault="00CE1FF0"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a trait à </w:t>
      </w:r>
      <w:r w:rsidRPr="00115221">
        <w:rPr>
          <w:rFonts w:cs="Times New Roman"/>
          <w:b/>
          <w:snapToGrid w:val="0"/>
          <w:kern w:val="22"/>
          <w:szCs w:val="22"/>
          <w:lang w:val="fr-CA"/>
        </w:rPr>
        <w:t>l’indicateur 4.1.2</w:t>
      </w:r>
      <w:r w:rsidRPr="00115221">
        <w:rPr>
          <w:rFonts w:cs="Times New Roman"/>
          <w:snapToGrid w:val="0"/>
          <w:kern w:val="22"/>
          <w:szCs w:val="22"/>
          <w:lang w:val="fr-CA"/>
        </w:rPr>
        <w:t xml:space="preserve"> (nombre de publications contenues au Centre d’information sur la prévention des risques biotechnologiques</w:t>
      </w:r>
      <w:r w:rsidR="003378E4" w:rsidRPr="00115221">
        <w:rPr>
          <w:rFonts w:cs="Times New Roman"/>
          <w:snapToGrid w:val="0"/>
          <w:kern w:val="22"/>
          <w:szCs w:val="22"/>
          <w:lang w:val="fr-CA"/>
        </w:rPr>
        <w:t>), le nombre de publications contenu au Centre d’information sur la prévention des risques biotechnologiques est passé de</w:t>
      </w:r>
      <w:r w:rsidR="00100984">
        <w:rPr>
          <w:rFonts w:cs="Times New Roman"/>
          <w:snapToGrid w:val="0"/>
          <w:kern w:val="22"/>
          <w:szCs w:val="22"/>
          <w:lang w:val="fr-CA"/>
        </w:rPr>
        <w:t xml:space="preserve"> 1 223 en décembre 2012 à 1 527 </w:t>
      </w:r>
      <w:r w:rsidR="003378E4" w:rsidRPr="00115221">
        <w:rPr>
          <w:rFonts w:cs="Times New Roman"/>
          <w:snapToGrid w:val="0"/>
          <w:kern w:val="22"/>
          <w:szCs w:val="22"/>
          <w:lang w:val="fr-CA"/>
        </w:rPr>
        <w:t>en janvier 2020, une augmentation de 25 p. cent par rapport à la valeur de référence</w:t>
      </w:r>
      <w:r w:rsidR="00E13D8A" w:rsidRPr="00115221">
        <w:rPr>
          <w:rFonts w:cs="Times New Roman"/>
          <w:iCs/>
          <w:snapToGrid w:val="0"/>
          <w:kern w:val="22"/>
          <w:szCs w:val="22"/>
          <w:lang w:val="fr-CA"/>
        </w:rPr>
        <w:t>;</w:t>
      </w:r>
    </w:p>
    <w:p w14:paraId="699A219D" w14:textId="0D05B7B2" w:rsidR="00E13D8A" w:rsidRPr="00115221" w:rsidRDefault="003378E4"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Quant à </w:t>
      </w:r>
      <w:r w:rsidRPr="00115221">
        <w:rPr>
          <w:rFonts w:cs="Times New Roman"/>
          <w:b/>
          <w:snapToGrid w:val="0"/>
          <w:kern w:val="22"/>
          <w:szCs w:val="22"/>
          <w:lang w:val="fr-CA"/>
        </w:rPr>
        <w:t>l’indicateur 4.1.3</w:t>
      </w:r>
      <w:r w:rsidRPr="00115221">
        <w:rPr>
          <w:rFonts w:cs="Times New Roman"/>
          <w:snapToGrid w:val="0"/>
          <w:kern w:val="22"/>
          <w:szCs w:val="22"/>
          <w:lang w:val="fr-CA"/>
        </w:rPr>
        <w:t xml:space="preserve"> (achalandage (moyenne annuelle au cours des périodes visées par les rapports) </w:t>
      </w:r>
      <w:r w:rsidRPr="00115221">
        <w:rPr>
          <w:rFonts w:cs="Times New Roman"/>
          <w:iCs/>
          <w:snapToGrid w:val="0"/>
          <w:kern w:val="22"/>
          <w:szCs w:val="22"/>
          <w:lang w:val="fr-CA"/>
        </w:rPr>
        <w:t xml:space="preserve">par les utilisateurs du </w:t>
      </w:r>
      <w:r w:rsidR="00B6412A">
        <w:rPr>
          <w:rFonts w:cs="Times New Roman"/>
          <w:iCs/>
          <w:snapToGrid w:val="0"/>
          <w:kern w:val="22"/>
          <w:szCs w:val="22"/>
          <w:lang w:val="fr-CA"/>
        </w:rPr>
        <w:t>centre d’échange</w:t>
      </w:r>
      <w:r w:rsidRPr="00115221">
        <w:rPr>
          <w:rFonts w:cs="Times New Roman"/>
          <w:iCs/>
          <w:snapToGrid w:val="0"/>
          <w:kern w:val="22"/>
          <w:szCs w:val="22"/>
          <w:lang w:val="fr-CA"/>
        </w:rPr>
        <w:t xml:space="preserve"> sur la prévention des risques biotechnologiques (mesuré mondialement)), le nombre moyen de visites a été de 136 450 et</w:t>
      </w:r>
      <w:r w:rsidR="000737D8" w:rsidRPr="00115221">
        <w:rPr>
          <w:rFonts w:cs="Times New Roman"/>
          <w:iCs/>
          <w:snapToGrid w:val="0"/>
          <w:kern w:val="22"/>
          <w:szCs w:val="22"/>
          <w:lang w:val="fr-CA"/>
        </w:rPr>
        <w:t xml:space="preserve"> la moyenne annuelle de visiteur</w:t>
      </w:r>
      <w:r w:rsidRPr="00115221">
        <w:rPr>
          <w:rFonts w:cs="Times New Roman"/>
          <w:iCs/>
          <w:snapToGrid w:val="0"/>
          <w:kern w:val="22"/>
          <w:szCs w:val="22"/>
          <w:lang w:val="fr-CA"/>
        </w:rPr>
        <w:t xml:space="preserve">s uniques a été de 83 159 pendant le deuxième cycle </w:t>
      </w:r>
      <w:r w:rsidR="005C6F2D">
        <w:rPr>
          <w:rFonts w:cs="Times New Roman"/>
          <w:iCs/>
          <w:snapToGrid w:val="0"/>
          <w:kern w:val="22"/>
          <w:szCs w:val="22"/>
          <w:lang w:val="fr-CA"/>
        </w:rPr>
        <w:t>de présentation des rapports</w:t>
      </w:r>
      <w:r w:rsidRPr="00115221">
        <w:rPr>
          <w:rFonts w:cs="Times New Roman"/>
          <w:iCs/>
          <w:snapToGrid w:val="0"/>
          <w:kern w:val="22"/>
          <w:szCs w:val="22"/>
          <w:lang w:val="fr-CA"/>
        </w:rPr>
        <w:t xml:space="preserve">. </w:t>
      </w:r>
      <w:r w:rsidR="000737D8" w:rsidRPr="00115221">
        <w:rPr>
          <w:rFonts w:cs="Times New Roman"/>
          <w:iCs/>
          <w:snapToGrid w:val="0"/>
          <w:kern w:val="22"/>
          <w:szCs w:val="22"/>
          <w:lang w:val="fr-CA"/>
        </w:rPr>
        <w:t xml:space="preserve">Ces moyennes </w:t>
      </w:r>
      <w:r w:rsidR="00556B55">
        <w:rPr>
          <w:rFonts w:cs="Times New Roman"/>
          <w:iCs/>
          <w:snapToGrid w:val="0"/>
          <w:kern w:val="22"/>
          <w:szCs w:val="22"/>
          <w:lang w:val="fr-CA"/>
        </w:rPr>
        <w:t xml:space="preserve">annuelles </w:t>
      </w:r>
      <w:r w:rsidR="000737D8" w:rsidRPr="00115221">
        <w:rPr>
          <w:rFonts w:cs="Times New Roman"/>
          <w:iCs/>
          <w:snapToGrid w:val="0"/>
          <w:kern w:val="22"/>
          <w:szCs w:val="22"/>
          <w:lang w:val="fr-CA"/>
        </w:rPr>
        <w:t>ont augm</w:t>
      </w:r>
      <w:r w:rsidRPr="00115221">
        <w:rPr>
          <w:rFonts w:cs="Times New Roman"/>
          <w:iCs/>
          <w:snapToGrid w:val="0"/>
          <w:kern w:val="22"/>
          <w:szCs w:val="22"/>
          <w:lang w:val="fr-CA"/>
        </w:rPr>
        <w:t xml:space="preserve">enté à 169 864 </w:t>
      </w:r>
      <w:r w:rsidR="000737D8" w:rsidRPr="00115221">
        <w:rPr>
          <w:rFonts w:cs="Times New Roman"/>
          <w:iCs/>
          <w:snapToGrid w:val="0"/>
          <w:kern w:val="22"/>
          <w:szCs w:val="22"/>
          <w:lang w:val="fr-CA"/>
        </w:rPr>
        <w:t>visites</w:t>
      </w:r>
      <w:r w:rsidRPr="00115221">
        <w:rPr>
          <w:rFonts w:cs="Times New Roman"/>
          <w:iCs/>
          <w:snapToGrid w:val="0"/>
          <w:kern w:val="22"/>
          <w:szCs w:val="22"/>
          <w:lang w:val="fr-CA"/>
        </w:rPr>
        <w:t xml:space="preserve"> et 106 184 </w:t>
      </w:r>
      <w:r w:rsidR="000737D8" w:rsidRPr="00115221">
        <w:rPr>
          <w:rFonts w:cs="Times New Roman"/>
          <w:iCs/>
          <w:snapToGrid w:val="0"/>
          <w:kern w:val="22"/>
          <w:szCs w:val="22"/>
          <w:lang w:val="fr-CA"/>
        </w:rPr>
        <w:t>vi</w:t>
      </w:r>
      <w:r w:rsidRPr="00115221">
        <w:rPr>
          <w:rFonts w:cs="Times New Roman"/>
          <w:iCs/>
          <w:snapToGrid w:val="0"/>
          <w:kern w:val="22"/>
          <w:szCs w:val="22"/>
          <w:lang w:val="fr-CA"/>
        </w:rPr>
        <w:t>siteurs uniques pendant le quatrième c</w:t>
      </w:r>
      <w:r w:rsidR="000737D8" w:rsidRPr="00115221">
        <w:rPr>
          <w:rFonts w:cs="Times New Roman"/>
          <w:iCs/>
          <w:snapToGrid w:val="0"/>
          <w:kern w:val="22"/>
          <w:szCs w:val="22"/>
          <w:lang w:val="fr-CA"/>
        </w:rPr>
        <w:t>y</w:t>
      </w:r>
      <w:r w:rsidRPr="00115221">
        <w:rPr>
          <w:rFonts w:cs="Times New Roman"/>
          <w:iCs/>
          <w:snapToGrid w:val="0"/>
          <w:kern w:val="22"/>
          <w:szCs w:val="22"/>
          <w:lang w:val="fr-CA"/>
        </w:rPr>
        <w:t xml:space="preserve">cle </w:t>
      </w:r>
      <w:r w:rsidR="005C6F2D">
        <w:rPr>
          <w:rFonts w:cs="Times New Roman"/>
          <w:iCs/>
          <w:snapToGrid w:val="0"/>
          <w:kern w:val="22"/>
          <w:szCs w:val="22"/>
          <w:lang w:val="fr-CA"/>
        </w:rPr>
        <w:t>de présentation des rapports</w:t>
      </w:r>
      <w:r w:rsidR="000737D8" w:rsidRPr="00115221">
        <w:rPr>
          <w:rFonts w:cs="Times New Roman"/>
          <w:iCs/>
          <w:snapToGrid w:val="0"/>
          <w:kern w:val="22"/>
          <w:szCs w:val="22"/>
          <w:lang w:val="fr-CA"/>
        </w:rPr>
        <w:t>, ce qui représente une augmentation de 24 p. cent des visites et de 28 p. cent des visiteurs uniques par rapport à la valeur de référence (voir la figure 7, ci-dessus)</w:t>
      </w:r>
      <w:r w:rsidR="00E13D8A" w:rsidRPr="00115221">
        <w:rPr>
          <w:rFonts w:cs="Times New Roman"/>
          <w:iCs/>
          <w:snapToGrid w:val="0"/>
          <w:kern w:val="22"/>
          <w:szCs w:val="22"/>
          <w:lang w:val="fr-CA"/>
        </w:rPr>
        <w:t>.</w:t>
      </w:r>
    </w:p>
    <w:p w14:paraId="590885E2" w14:textId="6B0254AF" w:rsidR="00E13D8A" w:rsidRPr="00115221" w:rsidRDefault="000737D8"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22"/>
          <w:lang w:val="fr-CA"/>
        </w:rPr>
      </w:pPr>
      <w:r w:rsidRPr="00115221">
        <w:rPr>
          <w:rFonts w:cs="Times New Roman"/>
          <w:iCs/>
          <w:snapToGrid w:val="0"/>
          <w:kern w:val="22"/>
          <w:szCs w:val="22"/>
          <w:lang w:val="fr-CA"/>
        </w:rPr>
        <w:t xml:space="preserve">L’analyse </w:t>
      </w:r>
      <w:r w:rsidR="00675075" w:rsidRPr="00115221">
        <w:rPr>
          <w:rFonts w:cs="Times New Roman"/>
          <w:iCs/>
          <w:snapToGrid w:val="0"/>
          <w:kern w:val="22"/>
          <w:szCs w:val="22"/>
          <w:lang w:val="fr-CA"/>
        </w:rPr>
        <w:t xml:space="preserve">réalisée pour </w:t>
      </w:r>
      <w:r w:rsidR="00675075" w:rsidRPr="00115221">
        <w:rPr>
          <w:rFonts w:cs="Times New Roman"/>
          <w:b/>
          <w:iCs/>
          <w:snapToGrid w:val="0"/>
          <w:kern w:val="22"/>
          <w:szCs w:val="22"/>
          <w:lang w:val="fr-CA"/>
        </w:rPr>
        <w:t xml:space="preserve">l’indicateur </w:t>
      </w:r>
      <w:r w:rsidRPr="00115221">
        <w:rPr>
          <w:rFonts w:cs="Times New Roman"/>
          <w:b/>
          <w:iCs/>
          <w:snapToGrid w:val="0"/>
          <w:kern w:val="22"/>
          <w:szCs w:val="22"/>
          <w:lang w:val="fr-CA"/>
        </w:rPr>
        <w:t>4.1.4</w:t>
      </w:r>
      <w:r w:rsidRPr="00115221">
        <w:rPr>
          <w:rFonts w:cs="Times New Roman"/>
          <w:iCs/>
          <w:snapToGrid w:val="0"/>
          <w:kern w:val="22"/>
          <w:szCs w:val="22"/>
          <w:lang w:val="fr-CA"/>
        </w:rPr>
        <w:t xml:space="preserve"> (nombre de renvois au </w:t>
      </w:r>
      <w:r w:rsidR="00B6412A">
        <w:rPr>
          <w:rFonts w:cs="Times New Roman"/>
          <w:iCs/>
          <w:snapToGrid w:val="0"/>
          <w:kern w:val="22"/>
          <w:szCs w:val="22"/>
          <w:lang w:val="fr-CA"/>
        </w:rPr>
        <w:t>centre d’échange</w:t>
      </w:r>
      <w:r w:rsidRPr="00115221">
        <w:rPr>
          <w:rFonts w:cs="Times New Roman"/>
          <w:iCs/>
          <w:snapToGrid w:val="0"/>
          <w:kern w:val="22"/>
          <w:szCs w:val="22"/>
          <w:lang w:val="fr-CA"/>
        </w:rPr>
        <w:t xml:space="preserve"> sur la prévention des risques biotechnologiques)</w:t>
      </w:r>
      <w:r w:rsidR="00675075" w:rsidRPr="00115221">
        <w:rPr>
          <w:rFonts w:cs="Times New Roman"/>
          <w:iCs/>
          <w:snapToGrid w:val="0"/>
          <w:kern w:val="22"/>
          <w:szCs w:val="22"/>
          <w:lang w:val="fr-CA"/>
        </w:rPr>
        <w:t xml:space="preserve"> a porté sur les renvois faits dans les médias sociaux. Le nombre de visiteurs au </w:t>
      </w:r>
      <w:r w:rsidR="00B6412A">
        <w:rPr>
          <w:rFonts w:cs="Times New Roman"/>
          <w:iCs/>
          <w:snapToGrid w:val="0"/>
          <w:kern w:val="22"/>
          <w:szCs w:val="22"/>
          <w:lang w:val="fr-CA"/>
        </w:rPr>
        <w:t>centre d’échange</w:t>
      </w:r>
      <w:r w:rsidR="00675075" w:rsidRPr="00115221">
        <w:rPr>
          <w:rFonts w:cs="Times New Roman"/>
          <w:iCs/>
          <w:snapToGrid w:val="0"/>
          <w:kern w:val="22"/>
          <w:szCs w:val="22"/>
          <w:lang w:val="fr-CA"/>
        </w:rPr>
        <w:t xml:space="preserve"> sur la prévention des risques biotechnologiques y ayant accédé en cliquant sur des liens dans les médias sociaux a augmenté de 1 458 au deuxième cycle </w:t>
      </w:r>
      <w:r w:rsidR="005C6F2D">
        <w:rPr>
          <w:rFonts w:cs="Times New Roman"/>
          <w:iCs/>
          <w:snapToGrid w:val="0"/>
          <w:kern w:val="22"/>
          <w:szCs w:val="22"/>
          <w:lang w:val="fr-CA"/>
        </w:rPr>
        <w:t>de présentation des rapports</w:t>
      </w:r>
      <w:r w:rsidR="00675075" w:rsidRPr="00115221">
        <w:rPr>
          <w:rFonts w:cs="Times New Roman"/>
          <w:iCs/>
          <w:snapToGrid w:val="0"/>
          <w:kern w:val="22"/>
          <w:szCs w:val="22"/>
          <w:lang w:val="fr-CA"/>
        </w:rPr>
        <w:t xml:space="preserve"> à 3 791 visites au cours du quatrième cycle </w:t>
      </w:r>
      <w:r w:rsidR="005C6F2D">
        <w:rPr>
          <w:rFonts w:cs="Times New Roman"/>
          <w:iCs/>
          <w:snapToGrid w:val="0"/>
          <w:kern w:val="22"/>
          <w:szCs w:val="22"/>
          <w:lang w:val="fr-CA"/>
        </w:rPr>
        <w:t>de présentation des rapports</w:t>
      </w:r>
      <w:r w:rsidR="00675075" w:rsidRPr="00115221">
        <w:rPr>
          <w:rFonts w:cs="Times New Roman"/>
          <w:iCs/>
          <w:snapToGrid w:val="0"/>
          <w:kern w:val="22"/>
          <w:szCs w:val="22"/>
          <w:lang w:val="fr-CA"/>
        </w:rPr>
        <w:t xml:space="preserve">, </w:t>
      </w:r>
      <w:r w:rsidR="00556B55">
        <w:rPr>
          <w:rFonts w:cs="Times New Roman"/>
          <w:iCs/>
          <w:snapToGrid w:val="0"/>
          <w:kern w:val="22"/>
          <w:szCs w:val="22"/>
          <w:lang w:val="fr-CA"/>
        </w:rPr>
        <w:t>une augmentation globale de 160 </w:t>
      </w:r>
      <w:r w:rsidR="00675075" w:rsidRPr="00115221">
        <w:rPr>
          <w:rFonts w:cs="Times New Roman"/>
          <w:iCs/>
          <w:snapToGrid w:val="0"/>
          <w:kern w:val="22"/>
          <w:szCs w:val="22"/>
          <w:lang w:val="fr-CA"/>
        </w:rPr>
        <w:t>p. cent par rapport à la valeur de référence. La plupart de ces renvois provenaient de Facebook (69 p. cent), suivi de Twitter (22 p. cent)</w:t>
      </w:r>
      <w:r w:rsidRPr="00115221">
        <w:rPr>
          <w:rFonts w:cs="Times New Roman"/>
          <w:iCs/>
          <w:snapToGrid w:val="0"/>
          <w:kern w:val="22"/>
          <w:szCs w:val="22"/>
          <w:lang w:val="fr-CA"/>
        </w:rPr>
        <w:t xml:space="preserve">, </w:t>
      </w:r>
    </w:p>
    <w:p w14:paraId="370526FD" w14:textId="30CFCE76" w:rsidR="00E13D8A" w:rsidRPr="00115221" w:rsidRDefault="00904CA0"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iCs/>
          <w:snapToGrid w:val="0"/>
          <w:kern w:val="22"/>
          <w:szCs w:val="22"/>
          <w:lang w:val="fr-CA"/>
        </w:rPr>
        <w:t xml:space="preserve">L’information suivante a été fournie pour </w:t>
      </w:r>
      <w:r w:rsidRPr="00115221">
        <w:rPr>
          <w:rFonts w:cs="Times New Roman"/>
          <w:b/>
          <w:iCs/>
          <w:snapToGrid w:val="0"/>
          <w:kern w:val="22"/>
          <w:szCs w:val="22"/>
          <w:lang w:val="fr-CA"/>
        </w:rPr>
        <w:t>l’indicateur 4.1.5</w:t>
      </w:r>
      <w:r w:rsidRPr="00115221">
        <w:rPr>
          <w:rFonts w:cs="Times New Roman"/>
          <w:iCs/>
          <w:snapToGrid w:val="0"/>
          <w:kern w:val="22"/>
          <w:szCs w:val="22"/>
          <w:lang w:val="fr-CA"/>
        </w:rPr>
        <w:t xml:space="preserve"> (nombre de pays ayant un correspondant national enregistré au </w:t>
      </w:r>
      <w:r w:rsidR="00B6412A">
        <w:rPr>
          <w:rFonts w:cs="Times New Roman"/>
          <w:iCs/>
          <w:snapToGrid w:val="0"/>
          <w:kern w:val="22"/>
          <w:szCs w:val="22"/>
          <w:lang w:val="fr-CA"/>
        </w:rPr>
        <w:t>centre d’échange</w:t>
      </w:r>
      <w:r w:rsidRPr="00115221">
        <w:rPr>
          <w:rFonts w:cs="Times New Roman"/>
          <w:iCs/>
          <w:snapToGrid w:val="0"/>
          <w:kern w:val="22"/>
          <w:szCs w:val="22"/>
          <w:lang w:val="fr-CA"/>
        </w:rPr>
        <w:t xml:space="preserve"> sur la prévention des risques biotechnologiques) </w:t>
      </w:r>
      <w:r w:rsidR="00685803" w:rsidRPr="00115221">
        <w:rPr>
          <w:rFonts w:cs="Times New Roman"/>
          <w:snapToGrid w:val="0"/>
          <w:kern w:val="22"/>
          <w:szCs w:val="22"/>
          <w:lang w:val="fr-CA"/>
        </w:rPr>
        <w:t>:</w:t>
      </w:r>
      <w:r w:rsidR="00E13D8A" w:rsidRPr="00115221">
        <w:rPr>
          <w:rStyle w:val="FootnoteReference"/>
          <w:rFonts w:cs="Times New Roman"/>
          <w:snapToGrid w:val="0"/>
          <w:kern w:val="22"/>
          <w:szCs w:val="22"/>
          <w:lang w:val="fr-CA"/>
        </w:rPr>
        <w:footnoteReference w:id="37"/>
      </w:r>
    </w:p>
    <w:p w14:paraId="5BB5835D" w14:textId="523FE81C" w:rsidR="00E13D8A" w:rsidRPr="00115221" w:rsidRDefault="00904CA0" w:rsidP="00904CA0">
      <w:pPr>
        <w:pStyle w:val="ListParagraph"/>
        <w:numPr>
          <w:ilvl w:val="0"/>
          <w:numId w:val="35"/>
        </w:numPr>
        <w:suppressLineNumbers/>
        <w:suppressAutoHyphens/>
        <w:snapToGrid w:val="0"/>
        <w:spacing w:before="120" w:after="120"/>
        <w:ind w:left="0" w:firstLine="810"/>
        <w:contextualSpacing w:val="0"/>
        <w:rPr>
          <w:rFonts w:cs="Times New Roman"/>
          <w:iCs/>
          <w:snapToGrid w:val="0"/>
          <w:kern w:val="22"/>
          <w:szCs w:val="22"/>
          <w:lang w:val="fr-CA"/>
        </w:rPr>
      </w:pPr>
      <w:r w:rsidRPr="00115221">
        <w:rPr>
          <w:rFonts w:cs="Times New Roman"/>
          <w:iCs/>
          <w:snapToGrid w:val="0"/>
          <w:kern w:val="22"/>
          <w:szCs w:val="22"/>
          <w:lang w:val="fr-CA"/>
        </w:rPr>
        <w:t>Correspondant national du Protocole de Cartagena : 181 pays (92 p. cent des pays) avaient désigné leur correspondant national pour le Protocole au 1</w:t>
      </w:r>
      <w:r w:rsidRPr="00115221">
        <w:rPr>
          <w:rFonts w:cs="Times New Roman"/>
          <w:iCs/>
          <w:snapToGrid w:val="0"/>
          <w:kern w:val="22"/>
          <w:szCs w:val="22"/>
          <w:vertAlign w:val="superscript"/>
          <w:lang w:val="fr-CA"/>
        </w:rPr>
        <w:t>er</w:t>
      </w:r>
      <w:r w:rsidRPr="00115221">
        <w:rPr>
          <w:rFonts w:cs="Times New Roman"/>
          <w:iCs/>
          <w:snapToGrid w:val="0"/>
          <w:kern w:val="22"/>
          <w:szCs w:val="22"/>
          <w:lang w:val="fr-CA"/>
        </w:rPr>
        <w:t xml:space="preserve"> janvier 2020. </w:t>
      </w:r>
      <w:r w:rsidR="006B279B" w:rsidRPr="00115221">
        <w:rPr>
          <w:rFonts w:cs="Times New Roman"/>
          <w:iCs/>
          <w:snapToGrid w:val="0"/>
          <w:kern w:val="22"/>
          <w:szCs w:val="22"/>
          <w:lang w:val="fr-CA"/>
        </w:rPr>
        <w:t>Cent soixante-seize pays (91 p. </w:t>
      </w:r>
      <w:r w:rsidRPr="00115221">
        <w:rPr>
          <w:rFonts w:cs="Times New Roman"/>
          <w:iCs/>
          <w:snapToGrid w:val="0"/>
          <w:kern w:val="22"/>
          <w:szCs w:val="22"/>
          <w:lang w:val="fr-CA"/>
        </w:rPr>
        <w:t>cent des pays) avaient désigné leur correspondant national pour le Protocole au 1</w:t>
      </w:r>
      <w:r w:rsidRPr="00115221">
        <w:rPr>
          <w:rFonts w:cs="Times New Roman"/>
          <w:iCs/>
          <w:snapToGrid w:val="0"/>
          <w:kern w:val="22"/>
          <w:szCs w:val="22"/>
          <w:vertAlign w:val="superscript"/>
          <w:lang w:val="fr-CA"/>
        </w:rPr>
        <w:t>er</w:t>
      </w:r>
      <w:r w:rsidRPr="00115221">
        <w:rPr>
          <w:rFonts w:cs="Times New Roman"/>
          <w:iCs/>
          <w:snapToGrid w:val="0"/>
          <w:kern w:val="22"/>
          <w:szCs w:val="22"/>
          <w:lang w:val="fr-CA"/>
        </w:rPr>
        <w:t xml:space="preserve"> janvier 2010</w:t>
      </w:r>
      <w:r w:rsidR="006B279B" w:rsidRPr="00115221">
        <w:rPr>
          <w:rFonts w:cs="Times New Roman"/>
          <w:iCs/>
          <w:snapToGrid w:val="0"/>
          <w:kern w:val="22"/>
          <w:szCs w:val="22"/>
          <w:lang w:val="fr-CA"/>
        </w:rPr>
        <w:t>. Cela représente une augmentation de 1 p. cent par rapport à la valeur de référence</w:t>
      </w:r>
      <w:r w:rsidR="001C1AEF" w:rsidRPr="00115221">
        <w:rPr>
          <w:rFonts w:cs="Times New Roman"/>
          <w:iCs/>
          <w:snapToGrid w:val="0"/>
          <w:kern w:val="22"/>
          <w:szCs w:val="22"/>
          <w:lang w:val="fr-CA"/>
        </w:rPr>
        <w:t>;</w:t>
      </w:r>
    </w:p>
    <w:p w14:paraId="5D7D5D40" w14:textId="77F74BA5" w:rsidR="00E13D8A" w:rsidRPr="00115221" w:rsidRDefault="006B279B" w:rsidP="00B44100">
      <w:pPr>
        <w:pStyle w:val="ListParagraph"/>
        <w:numPr>
          <w:ilvl w:val="0"/>
          <w:numId w:val="35"/>
        </w:numPr>
        <w:suppressLineNumbers/>
        <w:suppressAutoHyphens/>
        <w:snapToGrid w:val="0"/>
        <w:spacing w:before="120" w:after="120"/>
        <w:ind w:left="0" w:firstLine="828"/>
        <w:contextualSpacing w:val="0"/>
        <w:rPr>
          <w:rFonts w:cs="Times New Roman"/>
          <w:iCs/>
          <w:snapToGrid w:val="0"/>
          <w:kern w:val="22"/>
          <w:szCs w:val="22"/>
          <w:lang w:val="fr-CA"/>
        </w:rPr>
      </w:pPr>
      <w:r w:rsidRPr="00115221">
        <w:rPr>
          <w:rFonts w:cs="Times New Roman"/>
          <w:iCs/>
          <w:snapToGrid w:val="0"/>
          <w:kern w:val="22"/>
          <w:szCs w:val="22"/>
          <w:lang w:val="fr-CA"/>
        </w:rPr>
        <w:t xml:space="preserve">Correspondant national pour le </w:t>
      </w:r>
      <w:r w:rsidR="00B6412A">
        <w:rPr>
          <w:rFonts w:cs="Times New Roman"/>
          <w:iCs/>
          <w:snapToGrid w:val="0"/>
          <w:kern w:val="22"/>
          <w:szCs w:val="22"/>
          <w:lang w:val="fr-CA"/>
        </w:rPr>
        <w:t>centre d’échange</w:t>
      </w:r>
      <w:r w:rsidRPr="00115221">
        <w:rPr>
          <w:rFonts w:cs="Times New Roman"/>
          <w:iCs/>
          <w:snapToGrid w:val="0"/>
          <w:kern w:val="22"/>
          <w:szCs w:val="22"/>
          <w:lang w:val="fr-CA"/>
        </w:rPr>
        <w:t xml:space="preserve"> sur la prévention des risques biotechnologiques : 191 pays (97 p. cent des pays) avaient désigné leur correspondant national pour le </w:t>
      </w:r>
      <w:r w:rsidR="00B6412A">
        <w:rPr>
          <w:rFonts w:cs="Times New Roman"/>
          <w:iCs/>
          <w:snapToGrid w:val="0"/>
          <w:kern w:val="22"/>
          <w:szCs w:val="22"/>
          <w:lang w:val="fr-CA"/>
        </w:rPr>
        <w:t>centre d’échange</w:t>
      </w:r>
      <w:r w:rsidRPr="00115221">
        <w:rPr>
          <w:rFonts w:cs="Times New Roman"/>
          <w:iCs/>
          <w:snapToGrid w:val="0"/>
          <w:kern w:val="22"/>
          <w:szCs w:val="22"/>
          <w:lang w:val="fr-CA"/>
        </w:rPr>
        <w:t xml:space="preserve"> sur la prévention des risques biotechnologiques en date de janvier 2020. Cent quatre-vingt-douze pays (98 p. cent des pays) avaient désigné leur correspondant national pour le </w:t>
      </w:r>
      <w:r w:rsidR="00B6412A">
        <w:rPr>
          <w:rFonts w:cs="Times New Roman"/>
          <w:iCs/>
          <w:snapToGrid w:val="0"/>
          <w:kern w:val="22"/>
          <w:szCs w:val="22"/>
          <w:lang w:val="fr-CA"/>
        </w:rPr>
        <w:t>centre d’échange</w:t>
      </w:r>
      <w:r w:rsidRPr="00115221">
        <w:rPr>
          <w:rFonts w:cs="Times New Roman"/>
          <w:iCs/>
          <w:snapToGrid w:val="0"/>
          <w:kern w:val="22"/>
          <w:szCs w:val="22"/>
          <w:lang w:val="fr-CA"/>
        </w:rPr>
        <w:t xml:space="preserve"> </w:t>
      </w:r>
      <w:r w:rsidRPr="00115221">
        <w:rPr>
          <w:rFonts w:cs="Times New Roman"/>
          <w:iCs/>
          <w:snapToGrid w:val="0"/>
          <w:kern w:val="22"/>
          <w:szCs w:val="22"/>
          <w:lang w:val="fr-CA"/>
        </w:rPr>
        <w:lastRenderedPageBreak/>
        <w:t xml:space="preserve">sur la prévention des risques biotechnologiques en date de janvier 2012. Cela représente une augmentation de 1 p. cent par rapport à </w:t>
      </w:r>
      <w:r w:rsidR="00083A41">
        <w:rPr>
          <w:rFonts w:cs="Times New Roman"/>
          <w:iCs/>
          <w:snapToGrid w:val="0"/>
          <w:kern w:val="22"/>
          <w:szCs w:val="22"/>
          <w:lang w:val="fr-CA"/>
        </w:rPr>
        <w:t>la valeur de référence</w:t>
      </w:r>
      <w:r w:rsidR="001C1AEF" w:rsidRPr="00115221">
        <w:rPr>
          <w:rFonts w:cs="Times New Roman"/>
          <w:iCs/>
          <w:snapToGrid w:val="0"/>
          <w:kern w:val="22"/>
          <w:szCs w:val="22"/>
          <w:lang w:val="fr-CA"/>
        </w:rPr>
        <w:t>;</w:t>
      </w:r>
      <w:r w:rsidR="00E13D8A" w:rsidRPr="00115221">
        <w:rPr>
          <w:rFonts w:cs="Times New Roman"/>
          <w:iCs/>
          <w:snapToGrid w:val="0"/>
          <w:kern w:val="22"/>
          <w:szCs w:val="22"/>
          <w:lang w:val="fr-CA"/>
        </w:rPr>
        <w:t xml:space="preserve"> </w:t>
      </w:r>
    </w:p>
    <w:p w14:paraId="2D6F519E" w14:textId="6671E568" w:rsidR="00E13D8A" w:rsidRPr="00115221" w:rsidRDefault="006B279B" w:rsidP="00B44100">
      <w:pPr>
        <w:pStyle w:val="ListParagraph"/>
        <w:numPr>
          <w:ilvl w:val="0"/>
          <w:numId w:val="35"/>
        </w:numPr>
        <w:suppressLineNumbers/>
        <w:suppressAutoHyphens/>
        <w:snapToGrid w:val="0"/>
        <w:spacing w:before="120" w:after="120"/>
        <w:ind w:left="0" w:firstLine="828"/>
        <w:contextualSpacing w:val="0"/>
        <w:rPr>
          <w:rFonts w:cs="Times New Roman"/>
          <w:iCs/>
          <w:snapToGrid w:val="0"/>
          <w:kern w:val="22"/>
          <w:szCs w:val="22"/>
          <w:lang w:val="fr-CA"/>
        </w:rPr>
      </w:pPr>
      <w:r w:rsidRPr="00115221">
        <w:rPr>
          <w:rFonts w:cs="Times New Roman"/>
          <w:iCs/>
          <w:snapToGrid w:val="0"/>
          <w:kern w:val="22"/>
          <w:szCs w:val="22"/>
          <w:lang w:val="fr-CA"/>
        </w:rPr>
        <w:t xml:space="preserve">Point de contact pour les mesures d’urgence (article 17) : </w:t>
      </w:r>
      <w:r w:rsidR="00AF231F" w:rsidRPr="00115221">
        <w:rPr>
          <w:rFonts w:cs="Times New Roman"/>
          <w:iCs/>
          <w:snapToGrid w:val="0"/>
          <w:kern w:val="22"/>
          <w:szCs w:val="22"/>
          <w:lang w:val="fr-CA"/>
        </w:rPr>
        <w:t>133 pays (68 p. cent des pays) avaient désigné un point de contact pour la réception de notifications au titre de l’article 17. Soixante-douze pays avaient désigné un point de contact pour la réception des notifications au titre de l’article 17 lors de l’établissement de la valeur de référence, ce qui représente une augmentation de 31 p. cent par rapport à la valeur de référence</w:t>
      </w:r>
      <w:r w:rsidR="00E13D8A" w:rsidRPr="00115221">
        <w:rPr>
          <w:rFonts w:cs="Times New Roman"/>
          <w:iCs/>
          <w:snapToGrid w:val="0"/>
          <w:kern w:val="22"/>
          <w:szCs w:val="22"/>
          <w:lang w:val="fr-CA"/>
        </w:rPr>
        <w:t xml:space="preserve">. </w:t>
      </w:r>
    </w:p>
    <w:p w14:paraId="229AED6C" w14:textId="225F411D" w:rsidR="00E13D8A" w:rsidRPr="00115221" w:rsidRDefault="00AF231F"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22"/>
          <w:lang w:val="fr-CA"/>
        </w:rPr>
      </w:pPr>
      <w:r w:rsidRPr="00115221">
        <w:rPr>
          <w:rFonts w:cs="Times New Roman"/>
          <w:iCs/>
          <w:snapToGrid w:val="0"/>
          <w:kern w:val="22"/>
          <w:szCs w:val="22"/>
          <w:lang w:val="fr-CA"/>
        </w:rPr>
        <w:t xml:space="preserve">En ce qui concerne </w:t>
      </w:r>
      <w:r w:rsidRPr="00115221">
        <w:rPr>
          <w:rFonts w:cs="Times New Roman"/>
          <w:b/>
          <w:iCs/>
          <w:snapToGrid w:val="0"/>
          <w:kern w:val="22"/>
          <w:szCs w:val="22"/>
          <w:lang w:val="fr-CA"/>
        </w:rPr>
        <w:t>l’indicateur 4.1.6</w:t>
      </w:r>
      <w:r w:rsidRPr="00115221">
        <w:rPr>
          <w:rFonts w:cs="Times New Roman"/>
          <w:iCs/>
          <w:snapToGrid w:val="0"/>
          <w:kern w:val="22"/>
          <w:szCs w:val="22"/>
          <w:lang w:val="fr-CA"/>
        </w:rPr>
        <w:t xml:space="preserve"> (nombre de pays </w:t>
      </w:r>
      <w:r w:rsidR="00705EB3" w:rsidRPr="00115221">
        <w:rPr>
          <w:rFonts w:cs="Times New Roman"/>
          <w:iCs/>
          <w:snapToGrid w:val="0"/>
          <w:kern w:val="22"/>
          <w:szCs w:val="22"/>
          <w:lang w:val="fr-CA"/>
        </w:rPr>
        <w:t xml:space="preserve">ayant publié des lois et/ou des réglementations au </w:t>
      </w:r>
      <w:r w:rsidR="00B6412A">
        <w:rPr>
          <w:rFonts w:cs="Times New Roman"/>
          <w:iCs/>
          <w:snapToGrid w:val="0"/>
          <w:kern w:val="22"/>
          <w:szCs w:val="22"/>
          <w:lang w:val="fr-CA"/>
        </w:rPr>
        <w:t>centre d’échange</w:t>
      </w:r>
      <w:r w:rsidR="00705EB3" w:rsidRPr="00115221">
        <w:rPr>
          <w:rFonts w:cs="Times New Roman"/>
          <w:iCs/>
          <w:snapToGrid w:val="0"/>
          <w:kern w:val="22"/>
          <w:szCs w:val="22"/>
          <w:lang w:val="fr-CA"/>
        </w:rPr>
        <w:t xml:space="preserve"> sur la prévention des risques biotechnologiques), 161 pays avaient publié des lois et/ou des réglementations sur la prévention des risques biotechnologiques dans le </w:t>
      </w:r>
      <w:r w:rsidR="00B6412A">
        <w:rPr>
          <w:rFonts w:cs="Times New Roman"/>
          <w:iCs/>
          <w:snapToGrid w:val="0"/>
          <w:kern w:val="22"/>
          <w:szCs w:val="22"/>
          <w:lang w:val="fr-CA"/>
        </w:rPr>
        <w:t>centre d’échange</w:t>
      </w:r>
      <w:r w:rsidR="00705EB3" w:rsidRPr="00115221">
        <w:rPr>
          <w:rFonts w:cs="Times New Roman"/>
          <w:iCs/>
          <w:snapToGrid w:val="0"/>
          <w:kern w:val="22"/>
          <w:szCs w:val="22"/>
          <w:lang w:val="fr-CA"/>
        </w:rPr>
        <w:t xml:space="preserve"> sur la prévention des risques biotechnologiques en date de janvier 2020. Cent cinquante-cinq pays l’avaient fait en janvier 2012. Cela représente une augmentation de 4 p. cent</w:t>
      </w:r>
      <w:r w:rsidR="00E13D8A" w:rsidRPr="00115221">
        <w:rPr>
          <w:rFonts w:cs="Times New Roman"/>
          <w:iCs/>
          <w:snapToGrid w:val="0"/>
          <w:kern w:val="22"/>
          <w:szCs w:val="22"/>
          <w:lang w:val="fr-CA"/>
        </w:rPr>
        <w:t>.</w:t>
      </w:r>
      <w:r w:rsidR="00E13D8A" w:rsidRPr="00115221">
        <w:rPr>
          <w:rStyle w:val="FootnoteReference"/>
          <w:rFonts w:cs="Times New Roman"/>
          <w:iCs/>
          <w:snapToGrid w:val="0"/>
          <w:kern w:val="22"/>
          <w:szCs w:val="22"/>
          <w:lang w:val="fr-CA"/>
        </w:rPr>
        <w:footnoteReference w:id="38"/>
      </w:r>
    </w:p>
    <w:p w14:paraId="2C93059A" w14:textId="28891F89" w:rsidR="00E13D8A" w:rsidRPr="00115221" w:rsidRDefault="00705EB3"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22"/>
          <w:lang w:val="fr-CA"/>
        </w:rPr>
      </w:pPr>
      <w:r w:rsidRPr="00115221">
        <w:rPr>
          <w:rFonts w:cs="Times New Roman"/>
          <w:iCs/>
          <w:snapToGrid w:val="0"/>
          <w:kern w:val="22"/>
          <w:szCs w:val="22"/>
          <w:lang w:val="fr-CA"/>
        </w:rPr>
        <w:t xml:space="preserve">Quant à </w:t>
      </w:r>
      <w:r w:rsidRPr="00115221">
        <w:rPr>
          <w:rFonts w:cs="Times New Roman"/>
          <w:b/>
          <w:iCs/>
          <w:snapToGrid w:val="0"/>
          <w:kern w:val="22"/>
          <w:szCs w:val="22"/>
          <w:lang w:val="fr-CA"/>
        </w:rPr>
        <w:t>l’indicateur 4.1.7</w:t>
      </w:r>
      <w:r w:rsidRPr="00115221">
        <w:rPr>
          <w:rFonts w:cs="Times New Roman"/>
          <w:iCs/>
          <w:snapToGrid w:val="0"/>
          <w:kern w:val="22"/>
          <w:szCs w:val="22"/>
          <w:lang w:val="fr-CA"/>
        </w:rPr>
        <w:t xml:space="preserve"> (nombre de décisions de </w:t>
      </w:r>
      <w:r w:rsidR="00B21B42" w:rsidRPr="00115221">
        <w:rPr>
          <w:rFonts w:cs="Times New Roman"/>
          <w:iCs/>
          <w:snapToGrid w:val="0"/>
          <w:kern w:val="22"/>
          <w:szCs w:val="22"/>
          <w:lang w:val="fr-CA"/>
        </w:rPr>
        <w:t>consentement préalable donné en connaissance de cause</w:t>
      </w:r>
      <w:r w:rsidRPr="00115221">
        <w:rPr>
          <w:rFonts w:cs="Times New Roman"/>
          <w:iCs/>
          <w:snapToGrid w:val="0"/>
          <w:kern w:val="22"/>
          <w:szCs w:val="22"/>
          <w:lang w:val="fr-CA"/>
        </w:rPr>
        <w:t xml:space="preserve">/nationales disponibles auprès du </w:t>
      </w:r>
      <w:r w:rsidR="00B6412A">
        <w:rPr>
          <w:rFonts w:cs="Times New Roman"/>
          <w:iCs/>
          <w:snapToGrid w:val="0"/>
          <w:kern w:val="22"/>
          <w:szCs w:val="22"/>
          <w:lang w:val="fr-CA"/>
        </w:rPr>
        <w:t>centre d’échange</w:t>
      </w:r>
      <w:r w:rsidRPr="00115221">
        <w:rPr>
          <w:rFonts w:cs="Times New Roman"/>
          <w:iCs/>
          <w:snapToGrid w:val="0"/>
          <w:kern w:val="22"/>
          <w:szCs w:val="22"/>
          <w:lang w:val="fr-CA"/>
        </w:rPr>
        <w:t xml:space="preserve"> sur la prévention des risques biotechnologiques), 2 428 </w:t>
      </w:r>
      <w:r w:rsidR="00361318" w:rsidRPr="00115221">
        <w:rPr>
          <w:rFonts w:cs="Times New Roman"/>
          <w:iCs/>
          <w:snapToGrid w:val="0"/>
          <w:kern w:val="22"/>
          <w:szCs w:val="22"/>
          <w:lang w:val="fr-CA"/>
        </w:rPr>
        <w:t>décisions étai</w:t>
      </w:r>
      <w:r w:rsidRPr="00115221">
        <w:rPr>
          <w:rFonts w:cs="Times New Roman"/>
          <w:iCs/>
          <w:snapToGrid w:val="0"/>
          <w:kern w:val="22"/>
          <w:szCs w:val="22"/>
          <w:lang w:val="fr-CA"/>
        </w:rPr>
        <w:t xml:space="preserve">ent disponibles auprès du </w:t>
      </w:r>
      <w:r w:rsidR="00B6412A">
        <w:rPr>
          <w:rFonts w:cs="Times New Roman"/>
          <w:iCs/>
          <w:snapToGrid w:val="0"/>
          <w:kern w:val="22"/>
          <w:szCs w:val="22"/>
          <w:lang w:val="fr-CA"/>
        </w:rPr>
        <w:t>centre d’échange</w:t>
      </w:r>
      <w:r w:rsidRPr="00115221">
        <w:rPr>
          <w:rFonts w:cs="Times New Roman"/>
          <w:iCs/>
          <w:snapToGrid w:val="0"/>
          <w:kern w:val="22"/>
          <w:szCs w:val="22"/>
          <w:lang w:val="fr-CA"/>
        </w:rPr>
        <w:t xml:space="preserve"> sur la prévention des risques biotechnologiques en date de janvier 2020</w:t>
      </w:r>
      <w:r w:rsidR="00361318" w:rsidRPr="00115221">
        <w:rPr>
          <w:rFonts w:cs="Times New Roman"/>
          <w:iCs/>
          <w:snapToGrid w:val="0"/>
          <w:kern w:val="22"/>
          <w:szCs w:val="22"/>
          <w:lang w:val="fr-CA"/>
        </w:rPr>
        <w:t xml:space="preserve">, </w:t>
      </w:r>
      <w:r w:rsidR="00083A41">
        <w:rPr>
          <w:rFonts w:cs="Times New Roman"/>
          <w:iCs/>
          <w:snapToGrid w:val="0"/>
          <w:kern w:val="22"/>
          <w:szCs w:val="22"/>
          <w:lang w:val="fr-CA"/>
        </w:rPr>
        <w:t>comprenant</w:t>
      </w:r>
      <w:r w:rsidR="00361318" w:rsidRPr="00115221">
        <w:rPr>
          <w:rFonts w:cs="Times New Roman"/>
          <w:iCs/>
          <w:snapToGrid w:val="0"/>
          <w:kern w:val="22"/>
          <w:szCs w:val="22"/>
          <w:lang w:val="fr-CA"/>
        </w:rPr>
        <w:t xml:space="preserve"> les décisions de Parties et des autres gouvernements. Huit cent soixante-seize décisions de </w:t>
      </w:r>
      <w:r w:rsidR="00B21B42" w:rsidRPr="00115221">
        <w:rPr>
          <w:rFonts w:cs="Times New Roman"/>
          <w:iCs/>
          <w:snapToGrid w:val="0"/>
          <w:kern w:val="22"/>
          <w:szCs w:val="22"/>
          <w:lang w:val="fr-CA"/>
        </w:rPr>
        <w:t>consentement préalable donné en connaissance de cause/</w:t>
      </w:r>
      <w:r w:rsidR="00361318" w:rsidRPr="00115221">
        <w:rPr>
          <w:rFonts w:cs="Times New Roman"/>
          <w:iCs/>
          <w:snapToGrid w:val="0"/>
          <w:kern w:val="22"/>
          <w:szCs w:val="22"/>
          <w:lang w:val="fr-CA"/>
        </w:rPr>
        <w:t xml:space="preserve">nationales étaient disponibles auprès du </w:t>
      </w:r>
      <w:r w:rsidR="00B6412A">
        <w:rPr>
          <w:rFonts w:cs="Times New Roman"/>
          <w:iCs/>
          <w:snapToGrid w:val="0"/>
          <w:kern w:val="22"/>
          <w:szCs w:val="22"/>
          <w:lang w:val="fr-CA"/>
        </w:rPr>
        <w:t>centre d’échange</w:t>
      </w:r>
      <w:r w:rsidR="00361318" w:rsidRPr="00115221">
        <w:rPr>
          <w:rFonts w:cs="Times New Roman"/>
          <w:iCs/>
          <w:snapToGrid w:val="0"/>
          <w:kern w:val="22"/>
          <w:szCs w:val="22"/>
          <w:lang w:val="fr-CA"/>
        </w:rPr>
        <w:t xml:space="preserve"> sur la prévention des risques biotechnologiques en date de janvier 2012</w:t>
      </w:r>
      <w:r w:rsidR="00157D90" w:rsidRPr="00115221">
        <w:rPr>
          <w:rFonts w:cs="Times New Roman"/>
          <w:iCs/>
          <w:snapToGrid w:val="0"/>
          <w:kern w:val="22"/>
          <w:szCs w:val="22"/>
          <w:lang w:val="fr-CA"/>
        </w:rPr>
        <w:t>.</w:t>
      </w:r>
      <w:r w:rsidR="00157D90" w:rsidRPr="00115221">
        <w:rPr>
          <w:rStyle w:val="FootnoteReference"/>
          <w:rFonts w:cs="Times New Roman"/>
          <w:iCs/>
          <w:snapToGrid w:val="0"/>
          <w:kern w:val="22"/>
          <w:szCs w:val="22"/>
          <w:lang w:val="fr-CA"/>
        </w:rPr>
        <w:t xml:space="preserve"> </w:t>
      </w:r>
      <w:r w:rsidR="00E13D8A" w:rsidRPr="00115221">
        <w:rPr>
          <w:rStyle w:val="FootnoteReference"/>
          <w:rFonts w:cs="Times New Roman"/>
          <w:iCs/>
          <w:snapToGrid w:val="0"/>
          <w:kern w:val="22"/>
          <w:szCs w:val="22"/>
          <w:lang w:val="fr-CA"/>
        </w:rPr>
        <w:footnoteReference w:id="39"/>
      </w:r>
      <w:r w:rsidR="00E13D8A" w:rsidRPr="00115221">
        <w:rPr>
          <w:rFonts w:cs="Times New Roman"/>
          <w:iCs/>
          <w:snapToGrid w:val="0"/>
          <w:kern w:val="22"/>
          <w:szCs w:val="22"/>
          <w:lang w:val="fr-CA"/>
        </w:rPr>
        <w:t xml:space="preserve"> </w:t>
      </w:r>
      <w:r w:rsidR="00361318" w:rsidRPr="00115221">
        <w:rPr>
          <w:rFonts w:cs="Times New Roman"/>
          <w:iCs/>
          <w:snapToGrid w:val="0"/>
          <w:kern w:val="22"/>
          <w:szCs w:val="22"/>
          <w:lang w:val="fr-CA"/>
        </w:rPr>
        <w:t>La différence entre janvier 2012 et janvier 2020 représente une augmentation de 177 p. cent. L’augmentation serait de 228 p. cent si l’on ne tenait compte que des décisions des Parties (de 650 décisions en janvier 2012 à 2 134 décisions en janvier 2020</w:t>
      </w:r>
      <w:r w:rsidR="00083A41">
        <w:rPr>
          <w:rFonts w:cs="Times New Roman"/>
          <w:iCs/>
          <w:snapToGrid w:val="0"/>
          <w:kern w:val="22"/>
          <w:szCs w:val="22"/>
          <w:lang w:val="fr-CA"/>
        </w:rPr>
        <w:t>)</w:t>
      </w:r>
      <w:r w:rsidR="00146C02" w:rsidRPr="00115221">
        <w:rPr>
          <w:rFonts w:cs="Times New Roman"/>
          <w:iCs/>
          <w:snapToGrid w:val="0"/>
          <w:kern w:val="22"/>
          <w:szCs w:val="22"/>
          <w:lang w:val="fr-CA"/>
        </w:rPr>
        <w:t>.</w:t>
      </w:r>
    </w:p>
    <w:p w14:paraId="1F4AB5B8" w14:textId="16CA504E" w:rsidR="00E13D8A" w:rsidRPr="00115221" w:rsidRDefault="009F307A"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22"/>
          <w:lang w:val="fr-CA"/>
        </w:rPr>
      </w:pPr>
      <w:r w:rsidRPr="00115221">
        <w:rPr>
          <w:rFonts w:cs="Times New Roman"/>
          <w:iCs/>
          <w:snapToGrid w:val="0"/>
          <w:kern w:val="22"/>
          <w:szCs w:val="22"/>
          <w:lang w:val="fr-CA"/>
        </w:rPr>
        <w:t xml:space="preserve">Aucune information n’était disponible aux fins de comparaison au titre de </w:t>
      </w:r>
      <w:r w:rsidR="006E0E8D" w:rsidRPr="00115221">
        <w:rPr>
          <w:rFonts w:cs="Times New Roman"/>
          <w:b/>
          <w:iCs/>
          <w:snapToGrid w:val="0"/>
          <w:kern w:val="22"/>
          <w:szCs w:val="22"/>
          <w:lang w:val="fr-CA"/>
        </w:rPr>
        <w:t>l’indicateur 4.1.8</w:t>
      </w:r>
      <w:r w:rsidRPr="00115221">
        <w:rPr>
          <w:rFonts w:cs="Times New Roman"/>
          <w:iCs/>
          <w:snapToGrid w:val="0"/>
          <w:kern w:val="22"/>
          <w:szCs w:val="22"/>
          <w:lang w:val="fr-CA"/>
        </w:rPr>
        <w:t xml:space="preserve"> (nombre d’utilisateurs du </w:t>
      </w:r>
      <w:r w:rsidR="00B6412A">
        <w:rPr>
          <w:rFonts w:cs="Times New Roman"/>
          <w:iCs/>
          <w:snapToGrid w:val="0"/>
          <w:kern w:val="22"/>
          <w:szCs w:val="22"/>
          <w:lang w:val="fr-CA"/>
        </w:rPr>
        <w:t>centre d’échange</w:t>
      </w:r>
      <w:r w:rsidRPr="00115221">
        <w:rPr>
          <w:rFonts w:cs="Times New Roman"/>
          <w:iCs/>
          <w:snapToGrid w:val="0"/>
          <w:kern w:val="22"/>
          <w:szCs w:val="22"/>
          <w:lang w:val="fr-CA"/>
        </w:rPr>
        <w:t xml:space="preserve"> sur la prévention des risques biotechnologiques demandant une information plus précise, pl</w:t>
      </w:r>
      <w:r w:rsidR="00A67982" w:rsidRPr="00115221">
        <w:rPr>
          <w:rFonts w:cs="Times New Roman"/>
          <w:iCs/>
          <w:snapToGrid w:val="0"/>
          <w:kern w:val="22"/>
          <w:szCs w:val="22"/>
          <w:lang w:val="fr-CA"/>
        </w:rPr>
        <w:t>us opportune et plus complète)</w:t>
      </w:r>
      <w:r w:rsidR="00E13D8A" w:rsidRPr="00115221">
        <w:rPr>
          <w:rFonts w:cs="Times New Roman"/>
          <w:iCs/>
          <w:snapToGrid w:val="0"/>
          <w:kern w:val="22"/>
          <w:szCs w:val="22"/>
          <w:lang w:val="fr-CA"/>
        </w:rPr>
        <w:t xml:space="preserve">. </w:t>
      </w:r>
    </w:p>
    <w:p w14:paraId="102A2658" w14:textId="0412DF32" w:rsidR="00E13D8A" w:rsidRPr="00115221" w:rsidRDefault="00A67982" w:rsidP="000A5388">
      <w:pPr>
        <w:keepNext/>
        <w:suppressLineNumbers/>
        <w:tabs>
          <w:tab w:val="num" w:pos="0"/>
          <w:tab w:val="left" w:pos="720"/>
        </w:tabs>
        <w:suppressAutoHyphens/>
        <w:spacing w:before="120" w:after="120"/>
        <w:textAlignment w:val="baseline"/>
        <w:outlineLvl w:val="2"/>
        <w:rPr>
          <w:rFonts w:cs="Times New Roman"/>
          <w:b/>
          <w:iCs/>
          <w:snapToGrid w:val="0"/>
          <w:kern w:val="22"/>
          <w:lang w:val="fr-CA"/>
        </w:rPr>
      </w:pPr>
      <w:r w:rsidRPr="00E87F2A">
        <w:rPr>
          <w:rFonts w:cs="Times New Roman"/>
          <w:b/>
          <w:iCs/>
          <w:snapToGrid w:val="0"/>
          <w:kern w:val="22"/>
          <w:lang w:val="fr-CA"/>
        </w:rPr>
        <w:t>Objectif</w:t>
      </w:r>
      <w:r w:rsidRPr="00115221">
        <w:rPr>
          <w:rFonts w:cs="Times New Roman"/>
          <w:b/>
          <w:iCs/>
          <w:snapToGrid w:val="0"/>
          <w:kern w:val="22"/>
          <w:lang w:val="fr-CA"/>
        </w:rPr>
        <w:t xml:space="preserve"> opérationnel 4.2 : Le </w:t>
      </w:r>
      <w:r w:rsidR="00B6412A">
        <w:rPr>
          <w:rFonts w:cs="Times New Roman"/>
          <w:b/>
          <w:iCs/>
          <w:snapToGrid w:val="0"/>
          <w:kern w:val="22"/>
          <w:lang w:val="fr-CA"/>
        </w:rPr>
        <w:t>centre d’échange</w:t>
      </w:r>
      <w:r w:rsidRPr="00115221">
        <w:rPr>
          <w:rFonts w:cs="Times New Roman"/>
          <w:b/>
          <w:iCs/>
          <w:snapToGrid w:val="0"/>
          <w:kern w:val="22"/>
          <w:lang w:val="fr-CA"/>
        </w:rPr>
        <w:t xml:space="preserve"> sur la prévention des risques biotechnologiques en tant qu’outil de discussions et de conférences en ligne</w:t>
      </w:r>
    </w:p>
    <w:p w14:paraId="3C0DB0EC" w14:textId="35F31E12" w:rsidR="00E13D8A" w:rsidRPr="00115221" w:rsidRDefault="00A67982"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L’objectif opérationnel 4.2 a pour</w:t>
      </w:r>
      <w:r w:rsidR="00E87F2A">
        <w:rPr>
          <w:rFonts w:cs="Times New Roman"/>
          <w:snapToGrid w:val="0"/>
          <w:kern w:val="22"/>
          <w:szCs w:val="22"/>
          <w:lang w:val="fr-CA"/>
        </w:rPr>
        <w:t xml:space="preserve"> but </w:t>
      </w:r>
      <w:r w:rsidRPr="00115221">
        <w:rPr>
          <w:rFonts w:cs="Times New Roman"/>
          <w:snapToGrid w:val="0"/>
          <w:kern w:val="22"/>
          <w:szCs w:val="22"/>
          <w:lang w:val="fr-CA"/>
        </w:rPr>
        <w:t xml:space="preserve">d’établir le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en tant que plateforme fonctionnelle et efficace pour aider les pays à appliquer le Protocole et à accroître la quantité et la qualité de l’in</w:t>
      </w:r>
      <w:r w:rsidR="00E87F2A">
        <w:rPr>
          <w:rFonts w:cs="Times New Roman"/>
          <w:snapToGrid w:val="0"/>
          <w:kern w:val="22"/>
          <w:szCs w:val="22"/>
          <w:lang w:val="fr-CA"/>
        </w:rPr>
        <w:t>formation soumise et récupérée a</w:t>
      </w:r>
      <w:r w:rsidRPr="00115221">
        <w:rPr>
          <w:rFonts w:cs="Times New Roman"/>
          <w:snapToGrid w:val="0"/>
          <w:kern w:val="22"/>
          <w:szCs w:val="22"/>
          <w:lang w:val="fr-CA"/>
        </w:rPr>
        <w:t xml:space="preserve">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w:t>
      </w:r>
    </w:p>
    <w:p w14:paraId="744914FD" w14:textId="4D3536BD" w:rsidR="00E13D8A" w:rsidRPr="00115221" w:rsidRDefault="00B21B42" w:rsidP="00E13D8A">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La Plan stratégique propose trois indicateurs pour mesurer le progrès dans la réalisation de cet objectif opérationnel. La comparaison des données obtenues auprès du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de 2016 à 2019 et des données obtenues au cours de la période 2010-2012, qui servent de valeurs de référence</w:t>
      </w:r>
      <w:r w:rsidR="00E13D8A" w:rsidRPr="00115221">
        <w:rPr>
          <w:rStyle w:val="FootnoteReference"/>
          <w:rFonts w:cs="Times New Roman"/>
          <w:snapToGrid w:val="0"/>
          <w:kern w:val="22"/>
          <w:szCs w:val="22"/>
          <w:lang w:val="fr-CA"/>
        </w:rPr>
        <w:footnoteReference w:id="40"/>
      </w:r>
      <w:r w:rsidR="00E13D8A" w:rsidRPr="00115221">
        <w:rPr>
          <w:rFonts w:cs="Times New Roman"/>
          <w:snapToGrid w:val="0"/>
          <w:kern w:val="22"/>
          <w:szCs w:val="22"/>
          <w:lang w:val="fr-CA"/>
        </w:rPr>
        <w:t xml:space="preserve"> </w:t>
      </w:r>
      <w:r w:rsidRPr="00115221">
        <w:rPr>
          <w:rFonts w:cs="Times New Roman"/>
          <w:snapToGrid w:val="0"/>
          <w:kern w:val="22"/>
          <w:szCs w:val="22"/>
          <w:lang w:val="fr-CA"/>
        </w:rPr>
        <w:t>pour cet objectif opérationnel, révèle ce qui suit</w:t>
      </w:r>
      <w:r w:rsidR="00E13D8A" w:rsidRPr="00115221">
        <w:rPr>
          <w:rFonts w:cs="Times New Roman"/>
          <w:snapToGrid w:val="0"/>
          <w:kern w:val="22"/>
          <w:szCs w:val="22"/>
          <w:lang w:val="fr-CA"/>
        </w:rPr>
        <w:t>.</w:t>
      </w:r>
    </w:p>
    <w:p w14:paraId="178DDE9D" w14:textId="025150E6" w:rsidR="004569FB" w:rsidRPr="00115221" w:rsidRDefault="00B21B42" w:rsidP="000B2381">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w:t>
      </w:r>
      <w:r w:rsidR="0081349E" w:rsidRPr="00115221">
        <w:rPr>
          <w:rFonts w:cs="Times New Roman"/>
          <w:b/>
          <w:snapToGrid w:val="0"/>
          <w:kern w:val="22"/>
          <w:szCs w:val="22"/>
          <w:lang w:val="fr-CA"/>
        </w:rPr>
        <w:t xml:space="preserve"> 4.2.1</w:t>
      </w:r>
      <w:r w:rsidR="0081349E" w:rsidRPr="00115221">
        <w:rPr>
          <w:rFonts w:cs="Times New Roman"/>
          <w:snapToGrid w:val="0"/>
          <w:kern w:val="22"/>
          <w:szCs w:val="22"/>
          <w:lang w:val="fr-CA"/>
        </w:rPr>
        <w:t xml:space="preserve"> (pourcentage des Parties prenant part aux discussions en ligne et aux conférences en temps réel par le biais du </w:t>
      </w:r>
      <w:r w:rsidR="00B6412A">
        <w:rPr>
          <w:rFonts w:cs="Times New Roman"/>
          <w:snapToGrid w:val="0"/>
          <w:kern w:val="22"/>
          <w:szCs w:val="22"/>
          <w:lang w:val="fr-CA"/>
        </w:rPr>
        <w:t>centre d’échange</w:t>
      </w:r>
      <w:r w:rsidR="0081349E" w:rsidRPr="00115221">
        <w:rPr>
          <w:rFonts w:cs="Times New Roman"/>
          <w:snapToGrid w:val="0"/>
          <w:kern w:val="22"/>
          <w:szCs w:val="22"/>
          <w:lang w:val="fr-CA"/>
        </w:rPr>
        <w:t xml:space="preserve"> sur la prévention des risques biotechnologiques)</w:t>
      </w:r>
      <w:r w:rsidR="00E87F2A">
        <w:rPr>
          <w:rFonts w:cs="Times New Roman"/>
          <w:snapToGrid w:val="0"/>
          <w:kern w:val="22"/>
          <w:szCs w:val="22"/>
          <w:lang w:val="fr-CA"/>
        </w:rPr>
        <w:t>,</w:t>
      </w:r>
      <w:r w:rsidR="00E301B9" w:rsidRPr="00115221">
        <w:rPr>
          <w:rFonts w:cs="Times New Roman"/>
          <w:snapToGrid w:val="0"/>
          <w:kern w:val="22"/>
          <w:szCs w:val="22"/>
          <w:lang w:val="fr-CA"/>
        </w:rPr>
        <w:t xml:space="preserve"> le pourcentage mo</w:t>
      </w:r>
      <w:r w:rsidR="0081349E" w:rsidRPr="00115221">
        <w:rPr>
          <w:rFonts w:cs="Times New Roman"/>
          <w:snapToGrid w:val="0"/>
          <w:kern w:val="22"/>
          <w:szCs w:val="22"/>
          <w:lang w:val="fr-CA"/>
        </w:rPr>
        <w:t>yen de P</w:t>
      </w:r>
      <w:r w:rsidR="00E301B9" w:rsidRPr="00115221">
        <w:rPr>
          <w:rFonts w:cs="Times New Roman"/>
          <w:snapToGrid w:val="0"/>
          <w:kern w:val="22"/>
          <w:szCs w:val="22"/>
          <w:lang w:val="fr-CA"/>
        </w:rPr>
        <w:t>a</w:t>
      </w:r>
      <w:r w:rsidR="0081349E" w:rsidRPr="00115221">
        <w:rPr>
          <w:rFonts w:cs="Times New Roman"/>
          <w:snapToGrid w:val="0"/>
          <w:kern w:val="22"/>
          <w:szCs w:val="22"/>
          <w:lang w:val="fr-CA"/>
        </w:rPr>
        <w:t xml:space="preserve">rties ayant désigné des participants aux </w:t>
      </w:r>
      <w:r w:rsidR="001C49B2" w:rsidRPr="00115221">
        <w:rPr>
          <w:rFonts w:cs="Times New Roman"/>
          <w:snapToGrid w:val="0"/>
          <w:kern w:val="22"/>
          <w:szCs w:val="22"/>
          <w:lang w:val="fr-CA"/>
        </w:rPr>
        <w:t>forums</w:t>
      </w:r>
      <w:r w:rsidR="0081349E" w:rsidRPr="00115221">
        <w:rPr>
          <w:rFonts w:cs="Times New Roman"/>
          <w:snapToGrid w:val="0"/>
          <w:kern w:val="22"/>
          <w:szCs w:val="22"/>
          <w:lang w:val="fr-CA"/>
        </w:rPr>
        <w:t xml:space="preserve"> libres du </w:t>
      </w:r>
      <w:r w:rsidR="00B6412A">
        <w:rPr>
          <w:rFonts w:cs="Times New Roman"/>
          <w:snapToGrid w:val="0"/>
          <w:kern w:val="22"/>
          <w:szCs w:val="22"/>
          <w:lang w:val="fr-CA"/>
        </w:rPr>
        <w:t>centre d’échange</w:t>
      </w:r>
      <w:r w:rsidR="0081349E" w:rsidRPr="00115221">
        <w:rPr>
          <w:rFonts w:cs="Times New Roman"/>
          <w:snapToGrid w:val="0"/>
          <w:kern w:val="22"/>
          <w:szCs w:val="22"/>
          <w:lang w:val="fr-CA"/>
        </w:rPr>
        <w:t xml:space="preserve"> sur la prévention des risques biotechnologiques a aug</w:t>
      </w:r>
      <w:r w:rsidR="00E87F2A">
        <w:rPr>
          <w:rFonts w:cs="Times New Roman"/>
          <w:snapToGrid w:val="0"/>
          <w:kern w:val="22"/>
          <w:szCs w:val="22"/>
          <w:lang w:val="fr-CA"/>
        </w:rPr>
        <w:t>menté de la valeur de référence de 18 p. cent (29 des 161 </w:t>
      </w:r>
      <w:r w:rsidR="0081349E" w:rsidRPr="00115221">
        <w:rPr>
          <w:rFonts w:cs="Times New Roman"/>
          <w:snapToGrid w:val="0"/>
          <w:kern w:val="22"/>
          <w:szCs w:val="22"/>
          <w:lang w:val="fr-CA"/>
        </w:rPr>
        <w:t>Part</w:t>
      </w:r>
      <w:r w:rsidR="00E87F2A">
        <w:rPr>
          <w:rFonts w:cs="Times New Roman"/>
          <w:snapToGrid w:val="0"/>
          <w:kern w:val="22"/>
          <w:szCs w:val="22"/>
          <w:lang w:val="fr-CA"/>
        </w:rPr>
        <w:t>ies)</w:t>
      </w:r>
      <w:r w:rsidR="00E301B9" w:rsidRPr="00115221">
        <w:rPr>
          <w:rFonts w:cs="Times New Roman"/>
          <w:snapToGrid w:val="0"/>
          <w:kern w:val="22"/>
          <w:szCs w:val="22"/>
          <w:lang w:val="fr-CA"/>
        </w:rPr>
        <w:t xml:space="preserve"> à</w:t>
      </w:r>
      <w:r w:rsidR="0081349E" w:rsidRPr="00115221">
        <w:rPr>
          <w:rFonts w:cs="Times New Roman"/>
          <w:snapToGrid w:val="0"/>
          <w:kern w:val="22"/>
          <w:szCs w:val="22"/>
          <w:lang w:val="fr-CA"/>
        </w:rPr>
        <w:t xml:space="preserve"> 27 p. cent (46 des 171 Parties) au quatrième cycle </w:t>
      </w:r>
      <w:r w:rsidR="005C6F2D">
        <w:rPr>
          <w:rFonts w:cs="Times New Roman"/>
          <w:snapToGrid w:val="0"/>
          <w:kern w:val="22"/>
          <w:szCs w:val="22"/>
          <w:lang w:val="fr-CA"/>
        </w:rPr>
        <w:t xml:space="preserve">de présentation des </w:t>
      </w:r>
      <w:r w:rsidR="005C6F2D">
        <w:rPr>
          <w:rFonts w:cs="Times New Roman"/>
          <w:snapToGrid w:val="0"/>
          <w:kern w:val="22"/>
          <w:szCs w:val="22"/>
          <w:lang w:val="fr-CA"/>
        </w:rPr>
        <w:lastRenderedPageBreak/>
        <w:t>rapports</w:t>
      </w:r>
      <w:r w:rsidR="0081349E" w:rsidRPr="00115221">
        <w:rPr>
          <w:rFonts w:cs="Times New Roman"/>
          <w:snapToGrid w:val="0"/>
          <w:kern w:val="22"/>
          <w:szCs w:val="22"/>
          <w:lang w:val="fr-CA"/>
        </w:rPr>
        <w:t xml:space="preserve"> (voir le tableau 1)</w:t>
      </w:r>
      <w:r w:rsidR="00982475">
        <w:rPr>
          <w:rFonts w:cs="Times New Roman"/>
          <w:snapToGrid w:val="0"/>
          <w:kern w:val="22"/>
          <w:szCs w:val="22"/>
          <w:lang w:val="fr-CA"/>
        </w:rPr>
        <w:t>.</w:t>
      </w:r>
      <w:r w:rsidR="00E301B9" w:rsidRPr="00115221">
        <w:rPr>
          <w:rFonts w:cs="Times New Roman"/>
          <w:snapToGrid w:val="0"/>
          <w:kern w:val="22"/>
          <w:szCs w:val="22"/>
          <w:lang w:val="fr-CA"/>
        </w:rPr>
        <w:t xml:space="preserve"> Précisons que la période de référence pour le quatrième cycle </w:t>
      </w:r>
      <w:r w:rsidR="005C6F2D">
        <w:rPr>
          <w:rFonts w:cs="Times New Roman"/>
          <w:snapToGrid w:val="0"/>
          <w:kern w:val="22"/>
          <w:szCs w:val="22"/>
          <w:lang w:val="fr-CA"/>
        </w:rPr>
        <w:t>de présentation des rapports</w:t>
      </w:r>
      <w:r w:rsidR="00E301B9" w:rsidRPr="00115221">
        <w:rPr>
          <w:rFonts w:cs="Times New Roman"/>
          <w:snapToGrid w:val="0"/>
          <w:kern w:val="22"/>
          <w:szCs w:val="22"/>
          <w:lang w:val="fr-CA"/>
        </w:rPr>
        <w:t xml:space="preserve"> </w:t>
      </w:r>
      <w:r w:rsidR="00982475">
        <w:rPr>
          <w:rFonts w:cs="Times New Roman"/>
          <w:snapToGrid w:val="0"/>
          <w:kern w:val="22"/>
          <w:szCs w:val="22"/>
          <w:lang w:val="fr-CA"/>
        </w:rPr>
        <w:t>est plus longue d’un an</w:t>
      </w:r>
      <w:r w:rsidR="00E301B9" w:rsidRPr="00115221">
        <w:rPr>
          <w:rFonts w:cs="Times New Roman"/>
          <w:snapToGrid w:val="0"/>
          <w:kern w:val="22"/>
          <w:szCs w:val="22"/>
          <w:lang w:val="fr-CA"/>
        </w:rPr>
        <w:t>, ce qui peut avoir influencé les résultats de l’analyse de cet indicateur</w:t>
      </w:r>
      <w:r w:rsidR="00E13D8A" w:rsidRPr="00115221">
        <w:rPr>
          <w:rFonts w:cs="Times New Roman"/>
          <w:snapToGrid w:val="0"/>
          <w:kern w:val="22"/>
          <w:szCs w:val="22"/>
          <w:lang w:val="fr-CA"/>
        </w:rPr>
        <w:t xml:space="preserve">. </w:t>
      </w:r>
    </w:p>
    <w:p w14:paraId="38A1DA5E" w14:textId="0C6EAB9F" w:rsidR="004569FB" w:rsidRPr="00115221" w:rsidRDefault="00E13D8A" w:rsidP="009F157F">
      <w:pPr>
        <w:jc w:val="left"/>
        <w:rPr>
          <w:rFonts w:cs="Times New Roman"/>
          <w:snapToGrid w:val="0"/>
          <w:kern w:val="22"/>
          <w:szCs w:val="22"/>
          <w:lang w:val="fr-CA"/>
        </w:rPr>
      </w:pPr>
      <w:bookmarkStart w:id="13" w:name="_GoBack"/>
      <w:bookmarkEnd w:id="13"/>
      <w:r w:rsidRPr="00115221">
        <w:rPr>
          <w:rFonts w:cs="Times New Roman"/>
          <w:snapToGrid w:val="0"/>
          <w:kern w:val="22"/>
          <w:szCs w:val="22"/>
          <w:lang w:val="fr-CA"/>
        </w:rPr>
        <w:t>Table</w:t>
      </w:r>
      <w:r w:rsidR="00E301B9" w:rsidRPr="00115221">
        <w:rPr>
          <w:rFonts w:cs="Times New Roman"/>
          <w:snapToGrid w:val="0"/>
          <w:kern w:val="22"/>
          <w:szCs w:val="22"/>
          <w:lang w:val="fr-CA"/>
        </w:rPr>
        <w:t>au</w:t>
      </w:r>
      <w:r w:rsidRPr="00115221">
        <w:rPr>
          <w:rFonts w:cs="Times New Roman"/>
          <w:snapToGrid w:val="0"/>
          <w:kern w:val="22"/>
          <w:szCs w:val="22"/>
          <w:lang w:val="fr-CA"/>
        </w:rPr>
        <w:t xml:space="preserve"> 1. </w:t>
      </w:r>
      <w:r w:rsidR="00E301B9" w:rsidRPr="00115221">
        <w:rPr>
          <w:rFonts w:cs="Times New Roman"/>
          <w:b/>
          <w:bCs/>
          <w:snapToGrid w:val="0"/>
          <w:kern w:val="22"/>
          <w:szCs w:val="22"/>
          <w:lang w:val="fr-CA"/>
        </w:rPr>
        <w:t xml:space="preserve">Nombre de Parties ayant désigné des participants aux </w:t>
      </w:r>
      <w:r w:rsidR="00982475">
        <w:rPr>
          <w:rFonts w:cs="Times New Roman"/>
          <w:b/>
          <w:bCs/>
          <w:snapToGrid w:val="0"/>
          <w:kern w:val="22"/>
          <w:szCs w:val="22"/>
          <w:lang w:val="fr-CA"/>
        </w:rPr>
        <w:t>forums libres en ligne d</w:t>
      </w:r>
      <w:r w:rsidR="00E301B9" w:rsidRPr="00115221">
        <w:rPr>
          <w:rFonts w:cs="Times New Roman"/>
          <w:b/>
          <w:bCs/>
          <w:snapToGrid w:val="0"/>
          <w:kern w:val="22"/>
          <w:szCs w:val="22"/>
          <w:lang w:val="fr-CA"/>
        </w:rPr>
        <w:t xml:space="preserve">u </w:t>
      </w:r>
      <w:r w:rsidR="00B6412A">
        <w:rPr>
          <w:rFonts w:cs="Times New Roman"/>
          <w:b/>
          <w:bCs/>
          <w:snapToGrid w:val="0"/>
          <w:kern w:val="22"/>
          <w:szCs w:val="22"/>
          <w:lang w:val="fr-CA"/>
        </w:rPr>
        <w:t>centre d’échange</w:t>
      </w:r>
      <w:r w:rsidR="00E301B9" w:rsidRPr="00115221">
        <w:rPr>
          <w:rFonts w:cs="Times New Roman"/>
          <w:b/>
          <w:bCs/>
          <w:snapToGrid w:val="0"/>
          <w:kern w:val="22"/>
          <w:szCs w:val="22"/>
          <w:lang w:val="fr-CA"/>
        </w:rPr>
        <w:t xml:space="preserve"> sur la prévention des risques biotechnologiques </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410"/>
        <w:gridCol w:w="2305"/>
      </w:tblGrid>
      <w:tr w:rsidR="004569FB" w:rsidRPr="009F157F" w14:paraId="576193F4" w14:textId="77777777" w:rsidTr="00FA1E8C">
        <w:trPr>
          <w:cantSplit/>
          <w:tblHeader/>
          <w:jc w:val="center"/>
        </w:trPr>
        <w:tc>
          <w:tcPr>
            <w:tcW w:w="2793" w:type="dxa"/>
            <w:shd w:val="clear" w:color="auto" w:fill="auto"/>
            <w:noWrap/>
            <w:vAlign w:val="center"/>
            <w:hideMark/>
          </w:tcPr>
          <w:p w14:paraId="34431DDE" w14:textId="4C4A0145" w:rsidR="004569FB" w:rsidRPr="00115221" w:rsidRDefault="0026400B" w:rsidP="00FA1E8C">
            <w:pPr>
              <w:suppressLineNumbers/>
              <w:suppressAutoHyphens/>
              <w:jc w:val="center"/>
              <w:rPr>
                <w:rFonts w:cs="Times New Roman"/>
                <w:i/>
                <w:iCs/>
                <w:snapToGrid w:val="0"/>
                <w:kern w:val="22"/>
                <w:szCs w:val="22"/>
                <w:lang w:val="fr-CA"/>
              </w:rPr>
            </w:pPr>
            <w:r>
              <w:rPr>
                <w:rFonts w:cs="Times New Roman"/>
                <w:i/>
                <w:iCs/>
                <w:snapToGrid w:val="0"/>
                <w:kern w:val="22"/>
                <w:szCs w:val="22"/>
                <w:lang w:val="fr-CA"/>
              </w:rPr>
              <w:t>Sujet</w:t>
            </w:r>
          </w:p>
        </w:tc>
        <w:tc>
          <w:tcPr>
            <w:tcW w:w="2410" w:type="dxa"/>
            <w:shd w:val="clear" w:color="auto" w:fill="auto"/>
            <w:noWrap/>
            <w:vAlign w:val="center"/>
            <w:hideMark/>
          </w:tcPr>
          <w:p w14:paraId="0DDD9FB3" w14:textId="0867584F" w:rsidR="004569FB" w:rsidRPr="00115221" w:rsidRDefault="00E301B9" w:rsidP="00FA1E8C">
            <w:pPr>
              <w:suppressLineNumbers/>
              <w:suppressAutoHyphens/>
              <w:jc w:val="center"/>
              <w:rPr>
                <w:rFonts w:cs="Times New Roman"/>
                <w:i/>
                <w:iCs/>
                <w:snapToGrid w:val="0"/>
                <w:kern w:val="22"/>
                <w:szCs w:val="22"/>
                <w:lang w:val="fr-CA"/>
              </w:rPr>
            </w:pPr>
            <w:r w:rsidRPr="00115221">
              <w:rPr>
                <w:rFonts w:cs="Times New Roman"/>
                <w:i/>
                <w:iCs/>
                <w:snapToGrid w:val="0"/>
                <w:kern w:val="22"/>
                <w:szCs w:val="22"/>
                <w:lang w:val="fr-CA"/>
              </w:rPr>
              <w:t>Référence</w:t>
            </w:r>
          </w:p>
          <w:p w14:paraId="0A444589" w14:textId="77777777" w:rsidR="004569FB" w:rsidRPr="00115221" w:rsidRDefault="004569FB" w:rsidP="00FA1E8C">
            <w:pPr>
              <w:suppressLineNumbers/>
              <w:suppressAutoHyphens/>
              <w:jc w:val="center"/>
              <w:rPr>
                <w:rFonts w:cs="Times New Roman"/>
                <w:i/>
                <w:iCs/>
                <w:snapToGrid w:val="0"/>
                <w:kern w:val="22"/>
                <w:szCs w:val="22"/>
                <w:lang w:val="fr-CA"/>
              </w:rPr>
            </w:pPr>
            <w:r w:rsidRPr="00115221">
              <w:rPr>
                <w:rFonts w:cs="Times New Roman"/>
                <w:i/>
                <w:iCs/>
                <w:snapToGrid w:val="0"/>
                <w:kern w:val="22"/>
                <w:szCs w:val="22"/>
                <w:lang w:val="fr-CA"/>
              </w:rPr>
              <w:t>(2010-2012)</w:t>
            </w:r>
          </w:p>
        </w:tc>
        <w:tc>
          <w:tcPr>
            <w:tcW w:w="2305" w:type="dxa"/>
          </w:tcPr>
          <w:p w14:paraId="782C5263" w14:textId="44C64125" w:rsidR="004569FB" w:rsidRPr="00115221" w:rsidRDefault="00E301B9" w:rsidP="00FA1E8C">
            <w:pPr>
              <w:suppressLineNumbers/>
              <w:suppressAutoHyphens/>
              <w:jc w:val="center"/>
              <w:rPr>
                <w:rFonts w:cs="Times New Roman"/>
                <w:i/>
                <w:iCs/>
                <w:snapToGrid w:val="0"/>
                <w:kern w:val="22"/>
                <w:szCs w:val="22"/>
                <w:lang w:val="fr-CA"/>
              </w:rPr>
            </w:pPr>
            <w:r w:rsidRPr="00115221">
              <w:rPr>
                <w:rFonts w:cs="Times New Roman"/>
                <w:i/>
                <w:iCs/>
                <w:snapToGrid w:val="0"/>
                <w:kern w:val="22"/>
                <w:szCs w:val="22"/>
                <w:lang w:val="fr-CA"/>
              </w:rPr>
              <w:t xml:space="preserve">Quatrième cycle </w:t>
            </w:r>
            <w:r w:rsidR="005C6F2D">
              <w:rPr>
                <w:rFonts w:cs="Times New Roman"/>
                <w:i/>
                <w:iCs/>
                <w:snapToGrid w:val="0"/>
                <w:kern w:val="22"/>
                <w:szCs w:val="22"/>
                <w:lang w:val="fr-CA"/>
              </w:rPr>
              <w:t>de présentation des rapports</w:t>
            </w:r>
            <w:r w:rsidR="004569FB" w:rsidRPr="00115221">
              <w:rPr>
                <w:rFonts w:cs="Times New Roman"/>
                <w:i/>
                <w:iCs/>
                <w:snapToGrid w:val="0"/>
                <w:kern w:val="22"/>
                <w:szCs w:val="22"/>
                <w:lang w:val="fr-CA"/>
              </w:rPr>
              <w:t xml:space="preserve"> (2016-2019)</w:t>
            </w:r>
          </w:p>
        </w:tc>
      </w:tr>
      <w:tr w:rsidR="004569FB" w:rsidRPr="00115221" w14:paraId="28F03DA9" w14:textId="77777777" w:rsidTr="00FA1E8C">
        <w:trPr>
          <w:cantSplit/>
          <w:jc w:val="center"/>
        </w:trPr>
        <w:tc>
          <w:tcPr>
            <w:tcW w:w="2793" w:type="dxa"/>
            <w:shd w:val="clear" w:color="auto" w:fill="auto"/>
            <w:noWrap/>
            <w:vAlign w:val="center"/>
            <w:hideMark/>
          </w:tcPr>
          <w:p w14:paraId="5575D85F" w14:textId="3E16C3B0" w:rsidR="004569FB" w:rsidRPr="00115221" w:rsidRDefault="00E301B9" w:rsidP="00B47810">
            <w:pPr>
              <w:suppressLineNumbers/>
              <w:suppressAutoHyphens/>
              <w:jc w:val="left"/>
              <w:rPr>
                <w:rFonts w:cs="Times New Roman"/>
                <w:snapToGrid w:val="0"/>
                <w:kern w:val="22"/>
                <w:szCs w:val="22"/>
                <w:lang w:val="fr-CA"/>
              </w:rPr>
            </w:pPr>
            <w:r w:rsidRPr="00115221">
              <w:rPr>
                <w:rFonts w:cs="Times New Roman"/>
                <w:snapToGrid w:val="0"/>
                <w:kern w:val="22"/>
                <w:szCs w:val="22"/>
                <w:lang w:val="fr-CA"/>
              </w:rPr>
              <w:t>Évaluation des risques</w:t>
            </w:r>
          </w:p>
        </w:tc>
        <w:tc>
          <w:tcPr>
            <w:tcW w:w="2410" w:type="dxa"/>
            <w:shd w:val="clear" w:color="auto" w:fill="auto"/>
            <w:noWrap/>
            <w:vAlign w:val="center"/>
            <w:hideMark/>
          </w:tcPr>
          <w:p w14:paraId="24FAA176"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50</w:t>
            </w:r>
          </w:p>
        </w:tc>
        <w:tc>
          <w:tcPr>
            <w:tcW w:w="2305" w:type="dxa"/>
          </w:tcPr>
          <w:p w14:paraId="3E10E364" w14:textId="566B5FF8" w:rsidR="004569FB" w:rsidRPr="00115221" w:rsidRDefault="00E13D8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60</w:t>
            </w:r>
          </w:p>
        </w:tc>
      </w:tr>
      <w:tr w:rsidR="004569FB" w:rsidRPr="00115221" w14:paraId="2261766C" w14:textId="77777777" w:rsidTr="00FA1E8C">
        <w:trPr>
          <w:cantSplit/>
          <w:jc w:val="center"/>
        </w:trPr>
        <w:tc>
          <w:tcPr>
            <w:tcW w:w="2793" w:type="dxa"/>
            <w:shd w:val="clear" w:color="auto" w:fill="auto"/>
            <w:noWrap/>
            <w:vAlign w:val="center"/>
            <w:hideMark/>
          </w:tcPr>
          <w:p w14:paraId="237A3711" w14:textId="12D66C4E" w:rsidR="004569FB" w:rsidRPr="00115221" w:rsidRDefault="00E301B9" w:rsidP="00B47810">
            <w:pPr>
              <w:suppressLineNumbers/>
              <w:suppressAutoHyphens/>
              <w:jc w:val="left"/>
              <w:rPr>
                <w:rFonts w:cs="Times New Roman"/>
                <w:snapToGrid w:val="0"/>
                <w:kern w:val="22"/>
                <w:szCs w:val="22"/>
                <w:lang w:val="fr-CA"/>
              </w:rPr>
            </w:pPr>
            <w:r w:rsidRPr="00115221">
              <w:rPr>
                <w:rFonts w:cs="Times New Roman"/>
                <w:snapToGrid w:val="0"/>
                <w:kern w:val="22"/>
                <w:szCs w:val="22"/>
                <w:lang w:val="fr-CA"/>
              </w:rPr>
              <w:t>Détection et identification</w:t>
            </w:r>
          </w:p>
        </w:tc>
        <w:tc>
          <w:tcPr>
            <w:tcW w:w="2410" w:type="dxa"/>
            <w:shd w:val="clear" w:color="auto" w:fill="auto"/>
            <w:noWrap/>
            <w:vAlign w:val="center"/>
            <w:hideMark/>
          </w:tcPr>
          <w:p w14:paraId="229F4345"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18</w:t>
            </w:r>
          </w:p>
        </w:tc>
        <w:tc>
          <w:tcPr>
            <w:tcW w:w="2305" w:type="dxa"/>
          </w:tcPr>
          <w:p w14:paraId="52E47B77" w14:textId="39F700B7" w:rsidR="004569FB" w:rsidRPr="00115221" w:rsidRDefault="00E13D8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46</w:t>
            </w:r>
          </w:p>
        </w:tc>
      </w:tr>
      <w:tr w:rsidR="004569FB" w:rsidRPr="00115221" w14:paraId="441CC451" w14:textId="77777777" w:rsidTr="00FA1E8C">
        <w:trPr>
          <w:cantSplit/>
          <w:jc w:val="center"/>
        </w:trPr>
        <w:tc>
          <w:tcPr>
            <w:tcW w:w="2793" w:type="dxa"/>
            <w:shd w:val="clear" w:color="auto" w:fill="auto"/>
            <w:noWrap/>
            <w:vAlign w:val="center"/>
            <w:hideMark/>
          </w:tcPr>
          <w:p w14:paraId="1008E02F" w14:textId="1DE6F316" w:rsidR="004569FB" w:rsidRPr="00115221" w:rsidRDefault="00E301B9" w:rsidP="00B47810">
            <w:pPr>
              <w:suppressLineNumbers/>
              <w:suppressAutoHyphens/>
              <w:jc w:val="left"/>
              <w:rPr>
                <w:rFonts w:cs="Times New Roman"/>
                <w:snapToGrid w:val="0"/>
                <w:kern w:val="22"/>
                <w:szCs w:val="22"/>
                <w:lang w:val="fr-CA"/>
              </w:rPr>
            </w:pPr>
            <w:r w:rsidRPr="00115221">
              <w:rPr>
                <w:rFonts w:cs="Times New Roman"/>
                <w:snapToGrid w:val="0"/>
                <w:kern w:val="22"/>
                <w:szCs w:val="22"/>
                <w:lang w:val="fr-CA"/>
              </w:rPr>
              <w:t>Douaniers</w:t>
            </w:r>
          </w:p>
        </w:tc>
        <w:tc>
          <w:tcPr>
            <w:tcW w:w="2410" w:type="dxa"/>
            <w:shd w:val="clear" w:color="auto" w:fill="auto"/>
            <w:noWrap/>
            <w:vAlign w:val="center"/>
            <w:hideMark/>
          </w:tcPr>
          <w:p w14:paraId="3F8D2179"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15</w:t>
            </w:r>
          </w:p>
        </w:tc>
        <w:tc>
          <w:tcPr>
            <w:tcW w:w="2305" w:type="dxa"/>
          </w:tcPr>
          <w:p w14:paraId="2449F3DA" w14:textId="3D7A223A" w:rsidR="004569FB" w:rsidRPr="00115221" w:rsidRDefault="00B8087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S.o.</w:t>
            </w:r>
          </w:p>
        </w:tc>
      </w:tr>
      <w:tr w:rsidR="004569FB" w:rsidRPr="00115221" w14:paraId="04D7DA0B" w14:textId="77777777" w:rsidTr="00FA1E8C">
        <w:trPr>
          <w:cantSplit/>
          <w:jc w:val="center"/>
        </w:trPr>
        <w:tc>
          <w:tcPr>
            <w:tcW w:w="2793" w:type="dxa"/>
            <w:shd w:val="clear" w:color="auto" w:fill="auto"/>
            <w:noWrap/>
            <w:vAlign w:val="center"/>
            <w:hideMark/>
          </w:tcPr>
          <w:p w14:paraId="1EA43444" w14:textId="4750A657" w:rsidR="004569FB" w:rsidRPr="00115221" w:rsidRDefault="00CD3234" w:rsidP="00B47810">
            <w:pPr>
              <w:suppressLineNumbers/>
              <w:suppressAutoHyphens/>
              <w:jc w:val="left"/>
              <w:rPr>
                <w:rFonts w:cs="Times New Roman"/>
                <w:snapToGrid w:val="0"/>
                <w:kern w:val="22"/>
                <w:szCs w:val="22"/>
                <w:lang w:val="fr-CA"/>
              </w:rPr>
            </w:pPr>
            <w:r w:rsidRPr="00115221">
              <w:rPr>
                <w:rFonts w:cs="Times New Roman"/>
                <w:snapToGrid w:val="0"/>
                <w:kern w:val="22"/>
                <w:szCs w:val="22"/>
                <w:lang w:val="fr-CA"/>
              </w:rPr>
              <w:t>Facteurs s</w:t>
            </w:r>
            <w:r w:rsidR="00E301B9" w:rsidRPr="00115221">
              <w:rPr>
                <w:rFonts w:cs="Times New Roman"/>
                <w:snapToGrid w:val="0"/>
                <w:kern w:val="22"/>
                <w:szCs w:val="22"/>
                <w:lang w:val="fr-CA"/>
              </w:rPr>
              <w:t>ocioéconomique</w:t>
            </w:r>
            <w:r w:rsidRPr="00115221">
              <w:rPr>
                <w:rFonts w:cs="Times New Roman"/>
                <w:snapToGrid w:val="0"/>
                <w:kern w:val="22"/>
                <w:szCs w:val="22"/>
                <w:lang w:val="fr-CA"/>
              </w:rPr>
              <w:t>s</w:t>
            </w:r>
          </w:p>
        </w:tc>
        <w:tc>
          <w:tcPr>
            <w:tcW w:w="2410" w:type="dxa"/>
            <w:shd w:val="clear" w:color="auto" w:fill="auto"/>
            <w:noWrap/>
            <w:vAlign w:val="center"/>
            <w:hideMark/>
          </w:tcPr>
          <w:p w14:paraId="1C75CA34"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34</w:t>
            </w:r>
          </w:p>
        </w:tc>
        <w:tc>
          <w:tcPr>
            <w:tcW w:w="2305" w:type="dxa"/>
          </w:tcPr>
          <w:p w14:paraId="6DDAFAE3" w14:textId="7E222B92" w:rsidR="004569FB" w:rsidRPr="00115221" w:rsidRDefault="00E13D8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30</w:t>
            </w:r>
          </w:p>
        </w:tc>
      </w:tr>
      <w:tr w:rsidR="004569FB" w:rsidRPr="00115221" w14:paraId="490F38E8" w14:textId="77777777" w:rsidTr="00FA1E8C">
        <w:trPr>
          <w:cantSplit/>
          <w:jc w:val="center"/>
        </w:trPr>
        <w:tc>
          <w:tcPr>
            <w:tcW w:w="2793" w:type="dxa"/>
            <w:shd w:val="clear" w:color="auto" w:fill="auto"/>
            <w:noWrap/>
            <w:vAlign w:val="center"/>
            <w:hideMark/>
          </w:tcPr>
          <w:p w14:paraId="67D489F9" w14:textId="5D8B923B" w:rsidR="004569FB" w:rsidRPr="00115221" w:rsidRDefault="00E301B9" w:rsidP="00B47810">
            <w:pPr>
              <w:suppressLineNumbers/>
              <w:suppressAutoHyphens/>
              <w:jc w:val="left"/>
              <w:rPr>
                <w:rFonts w:cs="Times New Roman"/>
                <w:snapToGrid w:val="0"/>
                <w:kern w:val="22"/>
                <w:szCs w:val="22"/>
                <w:lang w:val="fr-CA"/>
              </w:rPr>
            </w:pPr>
            <w:r w:rsidRPr="00115221">
              <w:rPr>
                <w:rFonts w:cs="Times New Roman"/>
                <w:snapToGrid w:val="0"/>
                <w:kern w:val="22"/>
                <w:szCs w:val="22"/>
                <w:lang w:val="fr-CA"/>
              </w:rPr>
              <w:t>Biologie synthétique</w:t>
            </w:r>
          </w:p>
        </w:tc>
        <w:tc>
          <w:tcPr>
            <w:tcW w:w="2410" w:type="dxa"/>
            <w:shd w:val="clear" w:color="auto" w:fill="auto"/>
            <w:noWrap/>
            <w:vAlign w:val="center"/>
            <w:hideMark/>
          </w:tcPr>
          <w:p w14:paraId="5FBDF537" w14:textId="77E0CF2E" w:rsidR="004569FB" w:rsidRPr="00115221" w:rsidRDefault="00B8087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S.o.</w:t>
            </w:r>
          </w:p>
        </w:tc>
        <w:tc>
          <w:tcPr>
            <w:tcW w:w="2305" w:type="dxa"/>
          </w:tcPr>
          <w:p w14:paraId="15751E11" w14:textId="4CB17619" w:rsidR="004569FB" w:rsidRPr="00115221" w:rsidRDefault="00E13D8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53</w:t>
            </w:r>
          </w:p>
        </w:tc>
      </w:tr>
      <w:tr w:rsidR="004569FB" w:rsidRPr="00115221" w14:paraId="35B072F2" w14:textId="77777777" w:rsidTr="00FA1E8C">
        <w:trPr>
          <w:cantSplit/>
          <w:jc w:val="center"/>
        </w:trPr>
        <w:tc>
          <w:tcPr>
            <w:tcW w:w="2793" w:type="dxa"/>
            <w:shd w:val="clear" w:color="auto" w:fill="auto"/>
            <w:noWrap/>
            <w:vAlign w:val="center"/>
          </w:tcPr>
          <w:p w14:paraId="6807081A" w14:textId="5315D139" w:rsidR="004569FB" w:rsidRPr="00115221" w:rsidRDefault="00B8087A" w:rsidP="00B47810">
            <w:pPr>
              <w:jc w:val="left"/>
              <w:rPr>
                <w:rFonts w:cs="Times New Roman"/>
                <w:snapToGrid w:val="0"/>
                <w:kern w:val="22"/>
                <w:szCs w:val="22"/>
                <w:lang w:val="fr-CA"/>
              </w:rPr>
            </w:pPr>
            <w:r w:rsidRPr="00115221">
              <w:rPr>
                <w:rFonts w:cs="Times New Roman"/>
                <w:kern w:val="22"/>
                <w:szCs w:val="22"/>
                <w:lang w:val="fr-CA"/>
              </w:rPr>
              <w:t>Plan d’application pour l’après-2020</w:t>
            </w:r>
          </w:p>
        </w:tc>
        <w:tc>
          <w:tcPr>
            <w:tcW w:w="2410" w:type="dxa"/>
            <w:shd w:val="clear" w:color="auto" w:fill="auto"/>
            <w:noWrap/>
            <w:vAlign w:val="center"/>
          </w:tcPr>
          <w:p w14:paraId="70CEB5E5" w14:textId="27695E31" w:rsidR="004569FB" w:rsidRPr="00115221" w:rsidRDefault="00B8087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S.o.</w:t>
            </w:r>
          </w:p>
        </w:tc>
        <w:tc>
          <w:tcPr>
            <w:tcW w:w="2305" w:type="dxa"/>
          </w:tcPr>
          <w:p w14:paraId="4524F3F9" w14:textId="260841D2" w:rsidR="004569FB" w:rsidRPr="00115221" w:rsidRDefault="00E13D8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29</w:t>
            </w:r>
          </w:p>
        </w:tc>
      </w:tr>
      <w:tr w:rsidR="004569FB" w:rsidRPr="00115221" w14:paraId="7448E3DC" w14:textId="77777777" w:rsidTr="00FA1E8C">
        <w:trPr>
          <w:cantSplit/>
          <w:jc w:val="center"/>
        </w:trPr>
        <w:tc>
          <w:tcPr>
            <w:tcW w:w="2793" w:type="dxa"/>
            <w:shd w:val="clear" w:color="auto" w:fill="auto"/>
            <w:noWrap/>
            <w:vAlign w:val="center"/>
          </w:tcPr>
          <w:p w14:paraId="4D367F70" w14:textId="76AF9F32" w:rsidR="004569FB" w:rsidRPr="00115221" w:rsidRDefault="00B8087A" w:rsidP="00B47810">
            <w:pPr>
              <w:jc w:val="left"/>
              <w:rPr>
                <w:rFonts w:cs="Times New Roman"/>
                <w:kern w:val="22"/>
                <w:szCs w:val="22"/>
                <w:lang w:val="fr-CA"/>
              </w:rPr>
            </w:pPr>
            <w:r w:rsidRPr="00115221">
              <w:rPr>
                <w:rFonts w:cs="Times New Roman"/>
                <w:kern w:val="22"/>
                <w:szCs w:val="22"/>
                <w:lang w:val="fr-CA"/>
              </w:rPr>
              <w:t>Sensibilisation du public</w:t>
            </w:r>
          </w:p>
        </w:tc>
        <w:tc>
          <w:tcPr>
            <w:tcW w:w="2410" w:type="dxa"/>
            <w:shd w:val="clear" w:color="auto" w:fill="auto"/>
            <w:noWrap/>
            <w:vAlign w:val="center"/>
          </w:tcPr>
          <w:p w14:paraId="3EC3B724"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N/A</w:t>
            </w:r>
          </w:p>
        </w:tc>
        <w:tc>
          <w:tcPr>
            <w:tcW w:w="2305" w:type="dxa"/>
          </w:tcPr>
          <w:p w14:paraId="7555B68B" w14:textId="748B9E03" w:rsidR="004569FB" w:rsidRPr="00115221" w:rsidRDefault="00E13D8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57</w:t>
            </w:r>
          </w:p>
        </w:tc>
      </w:tr>
      <w:tr w:rsidR="004569FB" w:rsidRPr="00115221" w14:paraId="0A9F80D2" w14:textId="77777777" w:rsidTr="00C27142">
        <w:trPr>
          <w:cantSplit/>
          <w:trHeight w:val="890"/>
          <w:jc w:val="center"/>
        </w:trPr>
        <w:tc>
          <w:tcPr>
            <w:tcW w:w="2793" w:type="dxa"/>
            <w:shd w:val="clear" w:color="auto" w:fill="auto"/>
            <w:noWrap/>
            <w:vAlign w:val="center"/>
            <w:hideMark/>
          </w:tcPr>
          <w:p w14:paraId="2B5A6862" w14:textId="1A1ECE25" w:rsidR="004569FB" w:rsidRPr="00115221" w:rsidRDefault="00B8087A" w:rsidP="00B47810">
            <w:pPr>
              <w:suppressLineNumbers/>
              <w:suppressAutoHyphens/>
              <w:jc w:val="left"/>
              <w:rPr>
                <w:rFonts w:cs="Times New Roman"/>
                <w:b/>
                <w:bCs/>
                <w:snapToGrid w:val="0"/>
                <w:kern w:val="22"/>
                <w:szCs w:val="22"/>
                <w:lang w:val="fr-CA"/>
              </w:rPr>
            </w:pPr>
            <w:r w:rsidRPr="00115221">
              <w:rPr>
                <w:rFonts w:cs="Times New Roman"/>
                <w:b/>
                <w:bCs/>
                <w:snapToGrid w:val="0"/>
                <w:kern w:val="22"/>
                <w:szCs w:val="22"/>
                <w:lang w:val="fr-CA"/>
              </w:rPr>
              <w:t>Nombre moyen de Parties ayant désigné des participants à chaque tribune</w:t>
            </w:r>
          </w:p>
        </w:tc>
        <w:tc>
          <w:tcPr>
            <w:tcW w:w="2410" w:type="dxa"/>
            <w:shd w:val="clear" w:color="auto" w:fill="auto"/>
            <w:noWrap/>
            <w:vAlign w:val="center"/>
            <w:hideMark/>
          </w:tcPr>
          <w:p w14:paraId="46633C03" w14:textId="77777777" w:rsidR="004569FB" w:rsidRPr="00115221" w:rsidRDefault="004569FB" w:rsidP="00FA1E8C">
            <w:pPr>
              <w:suppressLineNumbers/>
              <w:suppressAutoHyphens/>
              <w:jc w:val="center"/>
              <w:rPr>
                <w:rFonts w:cs="Times New Roman"/>
                <w:b/>
                <w:bCs/>
                <w:snapToGrid w:val="0"/>
                <w:kern w:val="22"/>
                <w:szCs w:val="22"/>
                <w:lang w:val="fr-CA"/>
              </w:rPr>
            </w:pPr>
            <w:r w:rsidRPr="00115221">
              <w:rPr>
                <w:rFonts w:cs="Times New Roman"/>
                <w:b/>
                <w:bCs/>
                <w:snapToGrid w:val="0"/>
                <w:kern w:val="22"/>
                <w:szCs w:val="22"/>
                <w:lang w:val="fr-CA"/>
              </w:rPr>
              <w:t>29</w:t>
            </w:r>
          </w:p>
        </w:tc>
        <w:tc>
          <w:tcPr>
            <w:tcW w:w="2305" w:type="dxa"/>
          </w:tcPr>
          <w:p w14:paraId="680212B5" w14:textId="77777777" w:rsidR="004569FB" w:rsidRPr="00115221" w:rsidRDefault="004569FB" w:rsidP="00FA1E8C">
            <w:pPr>
              <w:suppressLineNumbers/>
              <w:suppressAutoHyphens/>
              <w:jc w:val="center"/>
              <w:rPr>
                <w:rFonts w:cs="Times New Roman"/>
                <w:b/>
                <w:bCs/>
                <w:snapToGrid w:val="0"/>
                <w:kern w:val="22"/>
                <w:szCs w:val="22"/>
                <w:lang w:val="fr-CA"/>
              </w:rPr>
            </w:pPr>
          </w:p>
          <w:p w14:paraId="32949EDE" w14:textId="3F287ED5" w:rsidR="004569FB" w:rsidRPr="00115221" w:rsidRDefault="00E13D8A" w:rsidP="00FA1E8C">
            <w:pPr>
              <w:suppressLineNumbers/>
              <w:suppressAutoHyphens/>
              <w:jc w:val="center"/>
              <w:rPr>
                <w:rFonts w:cs="Times New Roman"/>
                <w:b/>
                <w:bCs/>
                <w:snapToGrid w:val="0"/>
                <w:kern w:val="22"/>
                <w:szCs w:val="22"/>
                <w:lang w:val="fr-CA"/>
              </w:rPr>
            </w:pPr>
            <w:r w:rsidRPr="00115221">
              <w:rPr>
                <w:rFonts w:cs="Times New Roman"/>
                <w:b/>
                <w:bCs/>
                <w:snapToGrid w:val="0"/>
                <w:kern w:val="22"/>
                <w:szCs w:val="22"/>
                <w:lang w:val="fr-CA"/>
              </w:rPr>
              <w:t>46</w:t>
            </w:r>
          </w:p>
        </w:tc>
      </w:tr>
    </w:tbl>
    <w:p w14:paraId="1FA6BC21" w14:textId="7EF85605" w:rsidR="0026400B" w:rsidRPr="00F416A6" w:rsidRDefault="0026400B" w:rsidP="0026400B">
      <w:pPr>
        <w:pStyle w:val="ListParagraph"/>
        <w:spacing w:before="120" w:after="120"/>
        <w:ind w:left="990" w:right="720"/>
        <w:contextualSpacing w:val="0"/>
        <w:rPr>
          <w:rFonts w:cs="Times New Roman"/>
          <w:snapToGrid w:val="0"/>
          <w:kern w:val="22"/>
          <w:sz w:val="20"/>
          <w:szCs w:val="20"/>
          <w:lang w:val="fr-CA"/>
        </w:rPr>
      </w:pPr>
      <w:r w:rsidRPr="00F416A6">
        <w:rPr>
          <w:rFonts w:cs="Times New Roman"/>
          <w:snapToGrid w:val="0"/>
          <w:kern w:val="22"/>
          <w:sz w:val="20"/>
          <w:szCs w:val="20"/>
          <w:lang w:val="fr-CA"/>
        </w:rPr>
        <w:t xml:space="preserve">Remarque : </w:t>
      </w:r>
      <w:r w:rsidRPr="00F416A6">
        <w:rPr>
          <w:rFonts w:cs="Times New Roman"/>
          <w:bCs/>
          <w:snapToGrid w:val="0"/>
          <w:kern w:val="22"/>
          <w:sz w:val="20"/>
          <w:szCs w:val="20"/>
          <w:lang w:val="fr-CA"/>
        </w:rPr>
        <w:t>Le nombre de Parties ayant fait une désignation est précisé pour les thèmes pour lesquels plus d’un participant a été désigné</w:t>
      </w:r>
      <w:r w:rsidR="00F416A6">
        <w:rPr>
          <w:rFonts w:cs="Times New Roman"/>
          <w:bCs/>
          <w:snapToGrid w:val="0"/>
          <w:kern w:val="22"/>
          <w:sz w:val="20"/>
          <w:szCs w:val="20"/>
          <w:lang w:val="fr-CA"/>
        </w:rPr>
        <w:t>.</w:t>
      </w:r>
    </w:p>
    <w:p w14:paraId="541786FE" w14:textId="09974D9A" w:rsidR="00E13D8A" w:rsidRPr="00115221" w:rsidRDefault="00027AB6" w:rsidP="00B44100">
      <w:pPr>
        <w:pStyle w:val="ListParagraph"/>
        <w:numPr>
          <w:ilvl w:val="0"/>
          <w:numId w:val="9"/>
        </w:numPr>
        <w:tabs>
          <w:tab w:val="clear" w:pos="3240"/>
        </w:tabs>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a trait à </w:t>
      </w:r>
      <w:r w:rsidRPr="00115221">
        <w:rPr>
          <w:rFonts w:cs="Times New Roman"/>
          <w:b/>
          <w:snapToGrid w:val="0"/>
          <w:kern w:val="22"/>
          <w:szCs w:val="22"/>
          <w:lang w:val="fr-CA"/>
        </w:rPr>
        <w:t>l’indicateur 4.2.2</w:t>
      </w:r>
      <w:r w:rsidRPr="00115221">
        <w:rPr>
          <w:rFonts w:cs="Times New Roman"/>
          <w:snapToGrid w:val="0"/>
          <w:kern w:val="22"/>
          <w:szCs w:val="22"/>
          <w:lang w:val="fr-CA"/>
        </w:rPr>
        <w:t xml:space="preserve"> (nombre de participants aux discussions et conférences en ligne, leur diversité et leurs antécédents), 428 participants ont pris part aux </w:t>
      </w:r>
      <w:r w:rsidR="001C49B2" w:rsidRPr="00115221">
        <w:rPr>
          <w:rFonts w:cs="Times New Roman"/>
          <w:snapToGrid w:val="0"/>
          <w:kern w:val="22"/>
          <w:szCs w:val="22"/>
          <w:lang w:val="fr-CA"/>
        </w:rPr>
        <w:t>forums</w:t>
      </w:r>
      <w:r w:rsidRPr="00115221">
        <w:rPr>
          <w:rFonts w:cs="Times New Roman"/>
          <w:snapToGrid w:val="0"/>
          <w:kern w:val="22"/>
          <w:szCs w:val="22"/>
          <w:lang w:val="fr-CA"/>
        </w:rPr>
        <w:t xml:space="preserve"> de discussion en ligne au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de 2010 </w:t>
      </w:r>
      <w:r w:rsidR="001C49B2" w:rsidRPr="00115221">
        <w:rPr>
          <w:rFonts w:cs="Times New Roman"/>
          <w:snapToGrid w:val="0"/>
          <w:kern w:val="22"/>
          <w:szCs w:val="22"/>
          <w:lang w:val="fr-CA"/>
        </w:rPr>
        <w:t>à 2012, tandis que 875 </w:t>
      </w:r>
      <w:r w:rsidRPr="00115221">
        <w:rPr>
          <w:rFonts w:cs="Times New Roman"/>
          <w:snapToGrid w:val="0"/>
          <w:kern w:val="22"/>
          <w:szCs w:val="22"/>
          <w:lang w:val="fr-CA"/>
        </w:rPr>
        <w:t xml:space="preserve">participants y ont pris part pendant le quatrième cycle </w:t>
      </w:r>
      <w:r w:rsidR="005C6F2D">
        <w:rPr>
          <w:rFonts w:cs="Times New Roman"/>
          <w:snapToGrid w:val="0"/>
          <w:kern w:val="22"/>
          <w:szCs w:val="22"/>
          <w:lang w:val="fr-CA"/>
        </w:rPr>
        <w:t>de présentation des rapports</w:t>
      </w:r>
      <w:r w:rsidRPr="00115221">
        <w:rPr>
          <w:rFonts w:cs="Times New Roman"/>
          <w:snapToGrid w:val="0"/>
          <w:kern w:val="22"/>
          <w:szCs w:val="22"/>
          <w:lang w:val="fr-CA"/>
        </w:rPr>
        <w:t>, ce qui représente une augmentation de 104 p. cent (voir le tableau 2). Deux forums</w:t>
      </w:r>
      <w:r w:rsidR="001C49B2" w:rsidRPr="00115221">
        <w:rPr>
          <w:rFonts w:cs="Times New Roman"/>
          <w:snapToGrid w:val="0"/>
          <w:kern w:val="22"/>
          <w:szCs w:val="22"/>
          <w:lang w:val="fr-CA"/>
        </w:rPr>
        <w:t xml:space="preserve"> ont eu lieu sur chacun des th</w:t>
      </w:r>
      <w:r w:rsidR="00E2577C">
        <w:rPr>
          <w:rFonts w:cs="Times New Roman"/>
          <w:snapToGrid w:val="0"/>
          <w:kern w:val="22"/>
          <w:szCs w:val="22"/>
          <w:lang w:val="fr-CA"/>
        </w:rPr>
        <w:t>èmes suivants : é</w:t>
      </w:r>
      <w:r w:rsidR="00280187" w:rsidRPr="00115221">
        <w:rPr>
          <w:rFonts w:cs="Times New Roman"/>
          <w:snapToGrid w:val="0"/>
          <w:kern w:val="22"/>
          <w:szCs w:val="22"/>
          <w:lang w:val="fr-CA"/>
        </w:rPr>
        <w:t>valuation des risques, détection et identification, biologie synthétique et sensibilisation du public</w:t>
      </w:r>
      <w:r w:rsidR="00E13D8A" w:rsidRPr="00115221">
        <w:rPr>
          <w:rFonts w:cs="Times New Roman"/>
          <w:snapToGrid w:val="0"/>
          <w:kern w:val="22"/>
          <w:szCs w:val="22"/>
          <w:lang w:val="fr-CA"/>
        </w:rPr>
        <w:t xml:space="preserve">. </w:t>
      </w:r>
    </w:p>
    <w:p w14:paraId="20AC9761" w14:textId="31A80DA3" w:rsidR="004569FB" w:rsidRPr="00115221" w:rsidRDefault="004569FB" w:rsidP="004569FB">
      <w:pPr>
        <w:keepNext/>
        <w:suppressLineNumbers/>
        <w:suppressAutoHyphens/>
        <w:spacing w:before="120" w:after="120"/>
        <w:ind w:left="990" w:right="990"/>
        <w:textAlignment w:val="baseline"/>
        <w:rPr>
          <w:rFonts w:cs="Times New Roman"/>
          <w:b/>
          <w:bCs/>
          <w:snapToGrid w:val="0"/>
          <w:kern w:val="22"/>
          <w:szCs w:val="22"/>
          <w:lang w:val="fr-CA"/>
        </w:rPr>
      </w:pPr>
      <w:r w:rsidRPr="00115221">
        <w:rPr>
          <w:rFonts w:cs="Times New Roman"/>
          <w:snapToGrid w:val="0"/>
          <w:kern w:val="22"/>
          <w:szCs w:val="22"/>
          <w:lang w:val="fr-CA"/>
        </w:rPr>
        <w:t>Table</w:t>
      </w:r>
      <w:r w:rsidR="00280187" w:rsidRPr="00115221">
        <w:rPr>
          <w:rFonts w:cs="Times New Roman"/>
          <w:snapToGrid w:val="0"/>
          <w:kern w:val="22"/>
          <w:szCs w:val="22"/>
          <w:lang w:val="fr-CA"/>
        </w:rPr>
        <w:t>au</w:t>
      </w:r>
      <w:r w:rsidR="00E2577C">
        <w:rPr>
          <w:rFonts w:cs="Times New Roman"/>
          <w:snapToGrid w:val="0"/>
          <w:kern w:val="22"/>
          <w:szCs w:val="22"/>
          <w:lang w:val="fr-CA"/>
        </w:rPr>
        <w:t xml:space="preserve"> 2</w:t>
      </w:r>
      <w:r w:rsidRPr="00115221">
        <w:rPr>
          <w:rFonts w:cs="Times New Roman"/>
          <w:snapToGrid w:val="0"/>
          <w:kern w:val="22"/>
          <w:szCs w:val="22"/>
          <w:lang w:val="fr-CA"/>
        </w:rPr>
        <w:t xml:space="preserve">. </w:t>
      </w:r>
      <w:r w:rsidR="00280187" w:rsidRPr="00115221">
        <w:rPr>
          <w:rFonts w:cs="Times New Roman"/>
          <w:b/>
          <w:bCs/>
          <w:snapToGrid w:val="0"/>
          <w:kern w:val="22"/>
          <w:szCs w:val="22"/>
          <w:lang w:val="fr-CA"/>
        </w:rPr>
        <w:t>Nombre de Parties ayant désigné des participants aux tribunes libres en li</w:t>
      </w:r>
      <w:r w:rsidR="00E2577C">
        <w:rPr>
          <w:rFonts w:cs="Times New Roman"/>
          <w:b/>
          <w:bCs/>
          <w:snapToGrid w:val="0"/>
          <w:kern w:val="22"/>
          <w:szCs w:val="22"/>
          <w:lang w:val="fr-CA"/>
        </w:rPr>
        <w:t>gne d</w:t>
      </w:r>
      <w:r w:rsidR="00280187" w:rsidRPr="00115221">
        <w:rPr>
          <w:rFonts w:cs="Times New Roman"/>
          <w:b/>
          <w:bCs/>
          <w:snapToGrid w:val="0"/>
          <w:kern w:val="22"/>
          <w:szCs w:val="22"/>
          <w:lang w:val="fr-CA"/>
        </w:rPr>
        <w:t xml:space="preserve">u </w:t>
      </w:r>
      <w:r w:rsidR="00B6412A">
        <w:rPr>
          <w:rFonts w:cs="Times New Roman"/>
          <w:b/>
          <w:bCs/>
          <w:snapToGrid w:val="0"/>
          <w:kern w:val="22"/>
          <w:szCs w:val="22"/>
          <w:lang w:val="fr-CA"/>
        </w:rPr>
        <w:t>centre d’échange</w:t>
      </w:r>
      <w:r w:rsidR="00280187" w:rsidRPr="00115221">
        <w:rPr>
          <w:rFonts w:cs="Times New Roman"/>
          <w:b/>
          <w:bCs/>
          <w:snapToGrid w:val="0"/>
          <w:kern w:val="22"/>
          <w:szCs w:val="22"/>
          <w:lang w:val="fr-CA"/>
        </w:rPr>
        <w:t xml:space="preserve"> sur la prévention des risques biotechnologiques </w:t>
      </w:r>
    </w:p>
    <w:tbl>
      <w:tblPr>
        <w:tblW w:w="7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96"/>
        <w:gridCol w:w="2224"/>
      </w:tblGrid>
      <w:tr w:rsidR="004569FB" w:rsidRPr="009F157F" w14:paraId="3304C0E3" w14:textId="77777777" w:rsidTr="00B47810">
        <w:trPr>
          <w:cantSplit/>
          <w:tblHeader/>
          <w:jc w:val="center"/>
        </w:trPr>
        <w:tc>
          <w:tcPr>
            <w:tcW w:w="2709" w:type="dxa"/>
            <w:shd w:val="clear" w:color="auto" w:fill="auto"/>
            <w:noWrap/>
            <w:vAlign w:val="center"/>
            <w:hideMark/>
          </w:tcPr>
          <w:p w14:paraId="1838201C" w14:textId="4E1F8A29" w:rsidR="004569FB" w:rsidRPr="00115221" w:rsidRDefault="0026400B" w:rsidP="00FA1E8C">
            <w:pPr>
              <w:suppressLineNumbers/>
              <w:suppressAutoHyphens/>
              <w:jc w:val="center"/>
              <w:rPr>
                <w:rFonts w:cs="Times New Roman"/>
                <w:i/>
                <w:iCs/>
                <w:snapToGrid w:val="0"/>
                <w:kern w:val="22"/>
                <w:szCs w:val="22"/>
                <w:lang w:val="fr-CA"/>
              </w:rPr>
            </w:pPr>
            <w:r>
              <w:rPr>
                <w:rFonts w:cs="Times New Roman"/>
                <w:i/>
                <w:iCs/>
                <w:snapToGrid w:val="0"/>
                <w:kern w:val="22"/>
                <w:szCs w:val="22"/>
                <w:lang w:val="fr-CA"/>
              </w:rPr>
              <w:t>Sujet</w:t>
            </w:r>
          </w:p>
        </w:tc>
        <w:tc>
          <w:tcPr>
            <w:tcW w:w="2596" w:type="dxa"/>
            <w:shd w:val="clear" w:color="auto" w:fill="auto"/>
            <w:noWrap/>
            <w:vAlign w:val="center"/>
            <w:hideMark/>
          </w:tcPr>
          <w:p w14:paraId="3C348AAB" w14:textId="769D2F98" w:rsidR="004569FB" w:rsidRPr="00115221" w:rsidRDefault="00CD3234" w:rsidP="00CE172E">
            <w:pPr>
              <w:suppressLineNumbers/>
              <w:suppressAutoHyphens/>
              <w:jc w:val="center"/>
              <w:rPr>
                <w:rFonts w:cs="Times New Roman"/>
                <w:i/>
                <w:iCs/>
                <w:snapToGrid w:val="0"/>
                <w:kern w:val="22"/>
                <w:szCs w:val="22"/>
                <w:lang w:val="fr-CA"/>
              </w:rPr>
            </w:pPr>
            <w:r w:rsidRPr="00115221">
              <w:rPr>
                <w:rFonts w:cs="Times New Roman"/>
                <w:i/>
                <w:iCs/>
                <w:snapToGrid w:val="0"/>
                <w:kern w:val="22"/>
                <w:szCs w:val="22"/>
                <w:lang w:val="fr-CA"/>
              </w:rPr>
              <w:t>Deuxième cycle d</w:t>
            </w:r>
            <w:r w:rsidR="00CE172E">
              <w:rPr>
                <w:rFonts w:cs="Times New Roman"/>
                <w:i/>
                <w:iCs/>
                <w:snapToGrid w:val="0"/>
                <w:kern w:val="22"/>
                <w:szCs w:val="22"/>
                <w:lang w:val="fr-CA"/>
              </w:rPr>
              <w:t>e présentation des</w:t>
            </w:r>
            <w:r w:rsidRPr="00115221">
              <w:rPr>
                <w:rFonts w:cs="Times New Roman"/>
                <w:i/>
                <w:iCs/>
                <w:snapToGrid w:val="0"/>
                <w:kern w:val="22"/>
                <w:szCs w:val="22"/>
                <w:lang w:val="fr-CA"/>
              </w:rPr>
              <w:t xml:space="preserve"> rap</w:t>
            </w:r>
            <w:r w:rsidR="00E2577C">
              <w:rPr>
                <w:rFonts w:cs="Times New Roman"/>
                <w:i/>
                <w:iCs/>
                <w:snapToGrid w:val="0"/>
                <w:kern w:val="22"/>
                <w:szCs w:val="22"/>
                <w:lang w:val="fr-CA"/>
              </w:rPr>
              <w:t>p</w:t>
            </w:r>
            <w:r w:rsidRPr="00115221">
              <w:rPr>
                <w:rFonts w:cs="Times New Roman"/>
                <w:i/>
                <w:iCs/>
                <w:snapToGrid w:val="0"/>
                <w:kern w:val="22"/>
                <w:szCs w:val="22"/>
                <w:lang w:val="fr-CA"/>
              </w:rPr>
              <w:t>ort</w:t>
            </w:r>
            <w:r w:rsidR="00CE172E">
              <w:rPr>
                <w:rFonts w:cs="Times New Roman"/>
                <w:i/>
                <w:iCs/>
                <w:snapToGrid w:val="0"/>
                <w:kern w:val="22"/>
                <w:szCs w:val="22"/>
                <w:lang w:val="fr-CA"/>
              </w:rPr>
              <w:t>s</w:t>
            </w:r>
            <w:r w:rsidR="004569FB" w:rsidRPr="00115221">
              <w:rPr>
                <w:rFonts w:cs="Times New Roman"/>
                <w:i/>
                <w:iCs/>
                <w:snapToGrid w:val="0"/>
                <w:kern w:val="22"/>
                <w:szCs w:val="22"/>
                <w:lang w:val="fr-CA"/>
              </w:rPr>
              <w:br/>
              <w:t>(2010-2012)</w:t>
            </w:r>
          </w:p>
        </w:tc>
        <w:tc>
          <w:tcPr>
            <w:tcW w:w="2224" w:type="dxa"/>
          </w:tcPr>
          <w:p w14:paraId="46B89A50" w14:textId="3D46B05A" w:rsidR="004569FB" w:rsidRPr="00115221" w:rsidRDefault="00CD3234" w:rsidP="00FA1E8C">
            <w:pPr>
              <w:suppressLineNumbers/>
              <w:suppressAutoHyphens/>
              <w:jc w:val="center"/>
              <w:rPr>
                <w:rFonts w:cs="Times New Roman"/>
                <w:i/>
                <w:iCs/>
                <w:snapToGrid w:val="0"/>
                <w:kern w:val="22"/>
                <w:szCs w:val="22"/>
                <w:lang w:val="fr-CA"/>
              </w:rPr>
            </w:pPr>
            <w:r w:rsidRPr="00115221">
              <w:rPr>
                <w:rFonts w:cs="Times New Roman"/>
                <w:i/>
                <w:iCs/>
                <w:snapToGrid w:val="0"/>
                <w:kern w:val="22"/>
                <w:szCs w:val="22"/>
                <w:lang w:val="fr-CA"/>
              </w:rPr>
              <w:t xml:space="preserve">Quatrième cycle </w:t>
            </w:r>
            <w:r w:rsidR="005C6F2D">
              <w:rPr>
                <w:rFonts w:cs="Times New Roman"/>
                <w:i/>
                <w:iCs/>
                <w:snapToGrid w:val="0"/>
                <w:kern w:val="22"/>
                <w:szCs w:val="22"/>
                <w:lang w:val="fr-CA"/>
              </w:rPr>
              <w:t>de présentation des rapports</w:t>
            </w:r>
            <w:r w:rsidR="004569FB" w:rsidRPr="00115221">
              <w:rPr>
                <w:rFonts w:cs="Times New Roman"/>
                <w:i/>
                <w:iCs/>
                <w:snapToGrid w:val="0"/>
                <w:kern w:val="22"/>
                <w:szCs w:val="22"/>
                <w:lang w:val="fr-CA"/>
              </w:rPr>
              <w:t xml:space="preserve"> (2016-2019)</w:t>
            </w:r>
          </w:p>
        </w:tc>
      </w:tr>
      <w:tr w:rsidR="004569FB" w:rsidRPr="00115221" w14:paraId="27373FCF" w14:textId="77777777" w:rsidTr="00B47810">
        <w:trPr>
          <w:cantSplit/>
          <w:jc w:val="center"/>
        </w:trPr>
        <w:tc>
          <w:tcPr>
            <w:tcW w:w="2709" w:type="dxa"/>
            <w:shd w:val="clear" w:color="auto" w:fill="auto"/>
            <w:noWrap/>
            <w:vAlign w:val="center"/>
            <w:hideMark/>
          </w:tcPr>
          <w:p w14:paraId="5868856D" w14:textId="288C9CC2" w:rsidR="004569FB" w:rsidRPr="00115221" w:rsidRDefault="00CD3234" w:rsidP="00B47810">
            <w:pPr>
              <w:suppressLineNumbers/>
              <w:suppressAutoHyphens/>
              <w:jc w:val="left"/>
              <w:rPr>
                <w:rFonts w:cs="Times New Roman"/>
                <w:snapToGrid w:val="0"/>
                <w:kern w:val="22"/>
                <w:szCs w:val="22"/>
                <w:lang w:val="fr-CA"/>
              </w:rPr>
            </w:pPr>
            <w:r w:rsidRPr="00115221">
              <w:rPr>
                <w:rFonts w:cs="Times New Roman"/>
                <w:snapToGrid w:val="0"/>
                <w:kern w:val="22"/>
                <w:szCs w:val="22"/>
                <w:lang w:val="fr-CA"/>
              </w:rPr>
              <w:t>Évaluation des risques</w:t>
            </w:r>
          </w:p>
        </w:tc>
        <w:tc>
          <w:tcPr>
            <w:tcW w:w="2596" w:type="dxa"/>
            <w:shd w:val="clear" w:color="auto" w:fill="auto"/>
            <w:noWrap/>
            <w:vAlign w:val="center"/>
            <w:hideMark/>
          </w:tcPr>
          <w:p w14:paraId="3CD392F2"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281</w:t>
            </w:r>
          </w:p>
        </w:tc>
        <w:tc>
          <w:tcPr>
            <w:tcW w:w="2224" w:type="dxa"/>
          </w:tcPr>
          <w:p w14:paraId="1BB91A6B" w14:textId="4D636E8D" w:rsidR="004569FB" w:rsidRPr="00115221" w:rsidRDefault="00E13D8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185</w:t>
            </w:r>
          </w:p>
        </w:tc>
      </w:tr>
      <w:tr w:rsidR="004569FB" w:rsidRPr="00115221" w14:paraId="300AF956" w14:textId="77777777" w:rsidTr="00B47810">
        <w:trPr>
          <w:cantSplit/>
          <w:jc w:val="center"/>
        </w:trPr>
        <w:tc>
          <w:tcPr>
            <w:tcW w:w="2709" w:type="dxa"/>
            <w:shd w:val="clear" w:color="auto" w:fill="auto"/>
            <w:noWrap/>
            <w:vAlign w:val="center"/>
            <w:hideMark/>
          </w:tcPr>
          <w:p w14:paraId="0D979FE0" w14:textId="10D1C689" w:rsidR="004569FB" w:rsidRPr="00115221" w:rsidRDefault="00CD3234" w:rsidP="00B47810">
            <w:pPr>
              <w:suppressLineNumbers/>
              <w:suppressAutoHyphens/>
              <w:jc w:val="left"/>
              <w:rPr>
                <w:rFonts w:cs="Times New Roman"/>
                <w:snapToGrid w:val="0"/>
                <w:kern w:val="22"/>
                <w:szCs w:val="22"/>
                <w:lang w:val="fr-CA"/>
              </w:rPr>
            </w:pPr>
            <w:r w:rsidRPr="00115221">
              <w:rPr>
                <w:rFonts w:cs="Times New Roman"/>
                <w:snapToGrid w:val="0"/>
                <w:kern w:val="22"/>
                <w:szCs w:val="22"/>
                <w:lang w:val="fr-CA"/>
              </w:rPr>
              <w:t>Détection et identification</w:t>
            </w:r>
          </w:p>
        </w:tc>
        <w:tc>
          <w:tcPr>
            <w:tcW w:w="2596" w:type="dxa"/>
            <w:shd w:val="clear" w:color="auto" w:fill="auto"/>
            <w:noWrap/>
            <w:vAlign w:val="center"/>
            <w:hideMark/>
          </w:tcPr>
          <w:p w14:paraId="0CDD0648"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34</w:t>
            </w:r>
          </w:p>
        </w:tc>
        <w:tc>
          <w:tcPr>
            <w:tcW w:w="2224" w:type="dxa"/>
          </w:tcPr>
          <w:p w14:paraId="1646AA96" w14:textId="2F06FD60" w:rsidR="004569FB" w:rsidRPr="00115221" w:rsidRDefault="00E13D8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121</w:t>
            </w:r>
          </w:p>
        </w:tc>
      </w:tr>
      <w:tr w:rsidR="004569FB" w:rsidRPr="00115221" w14:paraId="3758294B" w14:textId="77777777" w:rsidTr="00B47810">
        <w:trPr>
          <w:cantSplit/>
          <w:jc w:val="center"/>
        </w:trPr>
        <w:tc>
          <w:tcPr>
            <w:tcW w:w="2709" w:type="dxa"/>
            <w:shd w:val="clear" w:color="auto" w:fill="auto"/>
            <w:noWrap/>
            <w:vAlign w:val="center"/>
            <w:hideMark/>
          </w:tcPr>
          <w:p w14:paraId="300C1E9A" w14:textId="2AB466B0" w:rsidR="004569FB" w:rsidRPr="00115221" w:rsidRDefault="00CD3234" w:rsidP="00B47810">
            <w:pPr>
              <w:suppressLineNumbers/>
              <w:suppressAutoHyphens/>
              <w:jc w:val="left"/>
              <w:rPr>
                <w:rFonts w:cs="Times New Roman"/>
                <w:snapToGrid w:val="0"/>
                <w:kern w:val="22"/>
                <w:szCs w:val="22"/>
                <w:lang w:val="fr-CA"/>
              </w:rPr>
            </w:pPr>
            <w:r w:rsidRPr="00115221">
              <w:rPr>
                <w:rFonts w:cs="Times New Roman"/>
                <w:snapToGrid w:val="0"/>
                <w:kern w:val="22"/>
                <w:szCs w:val="22"/>
                <w:lang w:val="fr-CA"/>
              </w:rPr>
              <w:t>Douaniers</w:t>
            </w:r>
          </w:p>
        </w:tc>
        <w:tc>
          <w:tcPr>
            <w:tcW w:w="2596" w:type="dxa"/>
            <w:shd w:val="clear" w:color="auto" w:fill="auto"/>
            <w:noWrap/>
            <w:vAlign w:val="center"/>
            <w:hideMark/>
          </w:tcPr>
          <w:p w14:paraId="5BFEC2ED"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21</w:t>
            </w:r>
          </w:p>
        </w:tc>
        <w:tc>
          <w:tcPr>
            <w:tcW w:w="2224" w:type="dxa"/>
          </w:tcPr>
          <w:p w14:paraId="5788D4CA" w14:textId="65C6B3C7" w:rsidR="004569FB" w:rsidRPr="00115221" w:rsidRDefault="00CD3234"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S.o.</w:t>
            </w:r>
          </w:p>
        </w:tc>
      </w:tr>
      <w:tr w:rsidR="004569FB" w:rsidRPr="00115221" w14:paraId="39F9241F" w14:textId="77777777" w:rsidTr="00B47810">
        <w:trPr>
          <w:cantSplit/>
          <w:jc w:val="center"/>
        </w:trPr>
        <w:tc>
          <w:tcPr>
            <w:tcW w:w="2709" w:type="dxa"/>
            <w:shd w:val="clear" w:color="auto" w:fill="auto"/>
            <w:noWrap/>
            <w:vAlign w:val="center"/>
            <w:hideMark/>
          </w:tcPr>
          <w:p w14:paraId="4C34E8E7" w14:textId="0D90C9CB" w:rsidR="004569FB" w:rsidRPr="00115221" w:rsidRDefault="00CD3234" w:rsidP="00B47810">
            <w:pPr>
              <w:suppressLineNumbers/>
              <w:suppressAutoHyphens/>
              <w:jc w:val="left"/>
              <w:rPr>
                <w:rFonts w:cs="Times New Roman"/>
                <w:snapToGrid w:val="0"/>
                <w:kern w:val="22"/>
                <w:szCs w:val="22"/>
                <w:lang w:val="fr-CA"/>
              </w:rPr>
            </w:pPr>
            <w:r w:rsidRPr="00115221">
              <w:rPr>
                <w:rFonts w:cs="Times New Roman"/>
                <w:snapToGrid w:val="0"/>
                <w:kern w:val="22"/>
                <w:szCs w:val="22"/>
                <w:lang w:val="fr-CA"/>
              </w:rPr>
              <w:t>Facteurs socioéconomiques</w:t>
            </w:r>
          </w:p>
        </w:tc>
        <w:tc>
          <w:tcPr>
            <w:tcW w:w="2596" w:type="dxa"/>
            <w:shd w:val="clear" w:color="auto" w:fill="auto"/>
            <w:noWrap/>
            <w:vAlign w:val="center"/>
            <w:hideMark/>
          </w:tcPr>
          <w:p w14:paraId="24D7CAC6"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92</w:t>
            </w:r>
          </w:p>
        </w:tc>
        <w:tc>
          <w:tcPr>
            <w:tcW w:w="2224" w:type="dxa"/>
          </w:tcPr>
          <w:p w14:paraId="058AD424"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75</w:t>
            </w:r>
          </w:p>
        </w:tc>
      </w:tr>
      <w:tr w:rsidR="004569FB" w:rsidRPr="00115221" w14:paraId="7566B8E5" w14:textId="77777777" w:rsidTr="00B47810">
        <w:trPr>
          <w:cantSplit/>
          <w:jc w:val="center"/>
        </w:trPr>
        <w:tc>
          <w:tcPr>
            <w:tcW w:w="2709" w:type="dxa"/>
            <w:shd w:val="clear" w:color="auto" w:fill="auto"/>
            <w:noWrap/>
            <w:vAlign w:val="center"/>
            <w:hideMark/>
          </w:tcPr>
          <w:p w14:paraId="25EB9833" w14:textId="1B0DBEDC" w:rsidR="004569FB" w:rsidRPr="00115221" w:rsidRDefault="00CD3234" w:rsidP="00B47810">
            <w:pPr>
              <w:suppressLineNumbers/>
              <w:suppressAutoHyphens/>
              <w:jc w:val="left"/>
              <w:rPr>
                <w:rFonts w:cs="Times New Roman"/>
                <w:snapToGrid w:val="0"/>
                <w:kern w:val="22"/>
                <w:szCs w:val="22"/>
                <w:lang w:val="fr-CA"/>
              </w:rPr>
            </w:pPr>
            <w:r w:rsidRPr="00115221">
              <w:rPr>
                <w:rFonts w:cs="Times New Roman"/>
                <w:snapToGrid w:val="0"/>
                <w:kern w:val="22"/>
                <w:szCs w:val="22"/>
                <w:lang w:val="fr-CA"/>
              </w:rPr>
              <w:t>Biologie synthétique</w:t>
            </w:r>
          </w:p>
        </w:tc>
        <w:tc>
          <w:tcPr>
            <w:tcW w:w="2596" w:type="dxa"/>
            <w:shd w:val="clear" w:color="auto" w:fill="auto"/>
            <w:noWrap/>
            <w:vAlign w:val="center"/>
            <w:hideMark/>
          </w:tcPr>
          <w:p w14:paraId="5A3A9552" w14:textId="7EE14A58" w:rsidR="004569FB" w:rsidRPr="00115221" w:rsidRDefault="00CD3234"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S.o.</w:t>
            </w:r>
          </w:p>
        </w:tc>
        <w:tc>
          <w:tcPr>
            <w:tcW w:w="2224" w:type="dxa"/>
          </w:tcPr>
          <w:p w14:paraId="147F5EDB" w14:textId="6DC41633" w:rsidR="004569FB" w:rsidRPr="00115221" w:rsidRDefault="00E13D8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205</w:t>
            </w:r>
          </w:p>
        </w:tc>
      </w:tr>
      <w:tr w:rsidR="004569FB" w:rsidRPr="00115221" w14:paraId="3E18A8AA" w14:textId="77777777" w:rsidTr="00B47810">
        <w:trPr>
          <w:cantSplit/>
          <w:jc w:val="center"/>
        </w:trPr>
        <w:tc>
          <w:tcPr>
            <w:tcW w:w="2709" w:type="dxa"/>
            <w:shd w:val="clear" w:color="auto" w:fill="auto"/>
            <w:noWrap/>
            <w:vAlign w:val="center"/>
          </w:tcPr>
          <w:p w14:paraId="00D01205" w14:textId="32FB6630" w:rsidR="004569FB" w:rsidRPr="00115221" w:rsidRDefault="00CD3234" w:rsidP="00B47810">
            <w:pPr>
              <w:suppressLineNumbers/>
              <w:suppressAutoHyphens/>
              <w:jc w:val="left"/>
              <w:rPr>
                <w:rFonts w:cs="Times New Roman"/>
                <w:snapToGrid w:val="0"/>
                <w:kern w:val="22"/>
                <w:szCs w:val="22"/>
                <w:lang w:val="fr-CA"/>
              </w:rPr>
            </w:pPr>
            <w:r w:rsidRPr="00115221">
              <w:rPr>
                <w:rFonts w:cs="Times New Roman"/>
                <w:kern w:val="22"/>
                <w:szCs w:val="22"/>
                <w:lang w:val="fr-CA"/>
              </w:rPr>
              <w:t>Plan d’application pour l’après-2020</w:t>
            </w:r>
          </w:p>
        </w:tc>
        <w:tc>
          <w:tcPr>
            <w:tcW w:w="2596" w:type="dxa"/>
            <w:shd w:val="clear" w:color="auto" w:fill="auto"/>
            <w:noWrap/>
            <w:vAlign w:val="center"/>
          </w:tcPr>
          <w:p w14:paraId="495001CA" w14:textId="42234D36" w:rsidR="004569FB" w:rsidRPr="00115221" w:rsidRDefault="00CD3234"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S.o.</w:t>
            </w:r>
          </w:p>
        </w:tc>
        <w:tc>
          <w:tcPr>
            <w:tcW w:w="2224" w:type="dxa"/>
          </w:tcPr>
          <w:p w14:paraId="1D617029" w14:textId="77777777" w:rsidR="004569FB" w:rsidRPr="00115221" w:rsidRDefault="004569FB"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109</w:t>
            </w:r>
          </w:p>
        </w:tc>
      </w:tr>
      <w:tr w:rsidR="004569FB" w:rsidRPr="00115221" w14:paraId="7D64755D" w14:textId="77777777" w:rsidTr="00B47810">
        <w:trPr>
          <w:cantSplit/>
          <w:jc w:val="center"/>
        </w:trPr>
        <w:tc>
          <w:tcPr>
            <w:tcW w:w="2709" w:type="dxa"/>
            <w:shd w:val="clear" w:color="auto" w:fill="auto"/>
            <w:noWrap/>
            <w:vAlign w:val="center"/>
          </w:tcPr>
          <w:p w14:paraId="530B5E71" w14:textId="15FDCD18" w:rsidR="004569FB" w:rsidRPr="00115221" w:rsidRDefault="00CD3234" w:rsidP="00B47810">
            <w:pPr>
              <w:suppressLineNumbers/>
              <w:suppressAutoHyphens/>
              <w:jc w:val="left"/>
              <w:rPr>
                <w:rFonts w:cs="Times New Roman"/>
                <w:kern w:val="22"/>
                <w:szCs w:val="22"/>
                <w:lang w:val="fr-CA"/>
              </w:rPr>
            </w:pPr>
            <w:r w:rsidRPr="00115221">
              <w:rPr>
                <w:rFonts w:cs="Times New Roman"/>
                <w:kern w:val="22"/>
                <w:szCs w:val="22"/>
                <w:lang w:val="fr-CA"/>
              </w:rPr>
              <w:t>Sensibilisation du public</w:t>
            </w:r>
          </w:p>
        </w:tc>
        <w:tc>
          <w:tcPr>
            <w:tcW w:w="2596" w:type="dxa"/>
            <w:shd w:val="clear" w:color="auto" w:fill="auto"/>
            <w:noWrap/>
            <w:vAlign w:val="center"/>
          </w:tcPr>
          <w:p w14:paraId="76330956" w14:textId="39E5ACE2" w:rsidR="004569FB" w:rsidRPr="00115221" w:rsidRDefault="00CD3234"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S.o.</w:t>
            </w:r>
          </w:p>
        </w:tc>
        <w:tc>
          <w:tcPr>
            <w:tcW w:w="2224" w:type="dxa"/>
          </w:tcPr>
          <w:p w14:paraId="1EFA24DA" w14:textId="6198EB55" w:rsidR="004569FB" w:rsidRPr="00115221" w:rsidRDefault="00E13D8A" w:rsidP="00FA1E8C">
            <w:pPr>
              <w:suppressLineNumbers/>
              <w:suppressAutoHyphens/>
              <w:jc w:val="center"/>
              <w:rPr>
                <w:rFonts w:cs="Times New Roman"/>
                <w:snapToGrid w:val="0"/>
                <w:kern w:val="22"/>
                <w:szCs w:val="22"/>
                <w:lang w:val="fr-CA"/>
              </w:rPr>
            </w:pPr>
            <w:r w:rsidRPr="00115221">
              <w:rPr>
                <w:rFonts w:cs="Times New Roman"/>
                <w:snapToGrid w:val="0"/>
                <w:kern w:val="22"/>
                <w:szCs w:val="22"/>
                <w:lang w:val="fr-CA"/>
              </w:rPr>
              <w:t>180</w:t>
            </w:r>
          </w:p>
        </w:tc>
      </w:tr>
      <w:tr w:rsidR="004569FB" w:rsidRPr="00115221" w14:paraId="00243E30" w14:textId="77777777" w:rsidTr="00B47810">
        <w:trPr>
          <w:cantSplit/>
          <w:jc w:val="center"/>
        </w:trPr>
        <w:tc>
          <w:tcPr>
            <w:tcW w:w="2709" w:type="dxa"/>
            <w:shd w:val="clear" w:color="auto" w:fill="auto"/>
            <w:noWrap/>
            <w:vAlign w:val="center"/>
            <w:hideMark/>
          </w:tcPr>
          <w:p w14:paraId="11F77D81" w14:textId="77777777" w:rsidR="004569FB" w:rsidRPr="00115221" w:rsidRDefault="004569FB" w:rsidP="00B47810">
            <w:pPr>
              <w:suppressLineNumbers/>
              <w:suppressAutoHyphens/>
              <w:jc w:val="left"/>
              <w:rPr>
                <w:rFonts w:cs="Times New Roman"/>
                <w:b/>
                <w:bCs/>
                <w:snapToGrid w:val="0"/>
                <w:kern w:val="22"/>
                <w:szCs w:val="22"/>
                <w:lang w:val="fr-CA"/>
              </w:rPr>
            </w:pPr>
            <w:r w:rsidRPr="00115221">
              <w:rPr>
                <w:rFonts w:cs="Times New Roman"/>
                <w:b/>
                <w:bCs/>
                <w:snapToGrid w:val="0"/>
                <w:kern w:val="22"/>
                <w:szCs w:val="22"/>
                <w:lang w:val="fr-CA"/>
              </w:rPr>
              <w:t>Total</w:t>
            </w:r>
          </w:p>
        </w:tc>
        <w:tc>
          <w:tcPr>
            <w:tcW w:w="2596" w:type="dxa"/>
            <w:shd w:val="clear" w:color="auto" w:fill="auto"/>
            <w:noWrap/>
            <w:vAlign w:val="center"/>
            <w:hideMark/>
          </w:tcPr>
          <w:p w14:paraId="5E967622" w14:textId="77777777" w:rsidR="004569FB" w:rsidRPr="00115221" w:rsidRDefault="004569FB" w:rsidP="00FA1E8C">
            <w:pPr>
              <w:suppressLineNumbers/>
              <w:suppressAutoHyphens/>
              <w:jc w:val="center"/>
              <w:rPr>
                <w:rFonts w:cs="Times New Roman"/>
                <w:b/>
                <w:bCs/>
                <w:snapToGrid w:val="0"/>
                <w:kern w:val="22"/>
                <w:szCs w:val="22"/>
                <w:lang w:val="fr-CA"/>
              </w:rPr>
            </w:pPr>
            <w:r w:rsidRPr="00115221">
              <w:rPr>
                <w:rFonts w:cs="Times New Roman"/>
                <w:b/>
                <w:bCs/>
                <w:snapToGrid w:val="0"/>
                <w:kern w:val="22"/>
                <w:szCs w:val="22"/>
                <w:lang w:val="fr-CA"/>
              </w:rPr>
              <w:t>428</w:t>
            </w:r>
          </w:p>
        </w:tc>
        <w:tc>
          <w:tcPr>
            <w:tcW w:w="2224" w:type="dxa"/>
          </w:tcPr>
          <w:p w14:paraId="4D3EE000" w14:textId="0E65EB21" w:rsidR="004569FB" w:rsidRPr="00115221" w:rsidRDefault="00E13D8A" w:rsidP="00FA1E8C">
            <w:pPr>
              <w:suppressLineNumbers/>
              <w:suppressAutoHyphens/>
              <w:jc w:val="center"/>
              <w:rPr>
                <w:rFonts w:cs="Times New Roman"/>
                <w:b/>
                <w:bCs/>
                <w:snapToGrid w:val="0"/>
                <w:kern w:val="22"/>
                <w:szCs w:val="22"/>
                <w:lang w:val="fr-CA"/>
              </w:rPr>
            </w:pPr>
            <w:r w:rsidRPr="00115221">
              <w:rPr>
                <w:rFonts w:cs="Times New Roman"/>
                <w:b/>
                <w:bCs/>
                <w:snapToGrid w:val="0"/>
                <w:kern w:val="22"/>
                <w:szCs w:val="22"/>
                <w:lang w:val="fr-CA"/>
              </w:rPr>
              <w:t>875</w:t>
            </w:r>
          </w:p>
        </w:tc>
      </w:tr>
    </w:tbl>
    <w:p w14:paraId="4C5715B0" w14:textId="1808F7A7" w:rsidR="00122860" w:rsidRPr="00F416A6" w:rsidRDefault="0026400B" w:rsidP="00F416A6">
      <w:pPr>
        <w:pStyle w:val="ListParagraph"/>
        <w:suppressLineNumbers/>
        <w:suppressAutoHyphens/>
        <w:snapToGrid w:val="0"/>
        <w:spacing w:before="120" w:after="120"/>
        <w:ind w:left="900" w:right="900"/>
        <w:contextualSpacing w:val="0"/>
        <w:rPr>
          <w:rFonts w:cs="Times New Roman"/>
          <w:snapToGrid w:val="0"/>
          <w:kern w:val="22"/>
          <w:sz w:val="20"/>
          <w:szCs w:val="22"/>
          <w:lang w:val="fr-CA"/>
        </w:rPr>
      </w:pPr>
      <w:r w:rsidRPr="00F416A6">
        <w:rPr>
          <w:rFonts w:cs="Times New Roman"/>
          <w:snapToGrid w:val="0"/>
          <w:kern w:val="22"/>
          <w:sz w:val="20"/>
          <w:szCs w:val="22"/>
          <w:lang w:val="fr-CA"/>
        </w:rPr>
        <w:t xml:space="preserve">Remarque : </w:t>
      </w:r>
      <w:r w:rsidRPr="00F416A6">
        <w:rPr>
          <w:rFonts w:cs="Times New Roman"/>
          <w:bCs/>
          <w:snapToGrid w:val="0"/>
          <w:kern w:val="22"/>
          <w:sz w:val="20"/>
          <w:szCs w:val="22"/>
          <w:lang w:val="fr-CA"/>
        </w:rPr>
        <w:t>Le nombre de participants à chacun des forums est précisé pour les thèmes pour lesquels il y a eu plus d’un forum</w:t>
      </w:r>
      <w:r w:rsidR="00F416A6">
        <w:rPr>
          <w:rFonts w:cs="Times New Roman"/>
          <w:bCs/>
          <w:snapToGrid w:val="0"/>
          <w:kern w:val="22"/>
          <w:sz w:val="20"/>
          <w:szCs w:val="22"/>
          <w:lang w:val="fr-CA"/>
        </w:rPr>
        <w:t>.</w:t>
      </w:r>
    </w:p>
    <w:p w14:paraId="543ACD24" w14:textId="1FFB805F" w:rsidR="00F84E9C" w:rsidRPr="00115221" w:rsidRDefault="00CD3234" w:rsidP="00F84E9C">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dernier lieu, en ce qui concerne </w:t>
      </w:r>
      <w:r w:rsidRPr="00115221">
        <w:rPr>
          <w:rFonts w:cs="Times New Roman"/>
          <w:b/>
          <w:snapToGrid w:val="0"/>
          <w:kern w:val="22"/>
          <w:szCs w:val="22"/>
          <w:lang w:val="fr-CA"/>
        </w:rPr>
        <w:t>l’indicateur 4.2.3</w:t>
      </w:r>
      <w:r w:rsidRPr="00115221">
        <w:rPr>
          <w:rFonts w:cs="Times New Roman"/>
          <w:snapToGrid w:val="0"/>
          <w:kern w:val="22"/>
          <w:szCs w:val="22"/>
          <w:lang w:val="fr-CA"/>
        </w:rPr>
        <w:t xml:space="preserve"> (nombre d’</w:t>
      </w:r>
      <w:r w:rsidR="002E7125" w:rsidRPr="00115221">
        <w:rPr>
          <w:rFonts w:cs="Times New Roman"/>
          <w:snapToGrid w:val="0"/>
          <w:kern w:val="22"/>
          <w:szCs w:val="22"/>
          <w:lang w:val="fr-CA"/>
        </w:rPr>
        <w:t>activités de renforcem</w:t>
      </w:r>
      <w:r w:rsidRPr="00115221">
        <w:rPr>
          <w:rFonts w:cs="Times New Roman"/>
          <w:snapToGrid w:val="0"/>
          <w:kern w:val="22"/>
          <w:szCs w:val="22"/>
          <w:lang w:val="fr-CA"/>
        </w:rPr>
        <w:t xml:space="preserve">ent des capacités </w:t>
      </w:r>
      <w:r w:rsidR="00E2577C">
        <w:rPr>
          <w:rFonts w:cs="Times New Roman"/>
          <w:snapToGrid w:val="0"/>
          <w:kern w:val="22"/>
          <w:szCs w:val="22"/>
          <w:lang w:val="fr-CA"/>
        </w:rPr>
        <w:t>ayant pour but d’</w:t>
      </w:r>
      <w:r w:rsidRPr="00115221">
        <w:rPr>
          <w:rFonts w:cs="Times New Roman"/>
          <w:snapToGrid w:val="0"/>
          <w:kern w:val="22"/>
          <w:szCs w:val="22"/>
          <w:lang w:val="fr-CA"/>
        </w:rPr>
        <w:t xml:space="preserve">augmenter la transparence, le caractère inclusif et l’égalité de la participation au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w:t>
      </w:r>
      <w:r w:rsidR="002E7125" w:rsidRPr="00115221">
        <w:rPr>
          <w:rFonts w:cs="Times New Roman"/>
          <w:snapToGrid w:val="0"/>
          <w:kern w:val="22"/>
          <w:szCs w:val="22"/>
          <w:lang w:val="fr-CA"/>
        </w:rPr>
        <w:t>deux forums (« </w:t>
      </w:r>
      <w:r w:rsidR="00216388">
        <w:rPr>
          <w:rFonts w:cs="Times New Roman"/>
          <w:snapToGrid w:val="0"/>
          <w:kern w:val="22"/>
          <w:szCs w:val="22"/>
          <w:lang w:val="fr-CA"/>
        </w:rPr>
        <w:t>centre d’échange</w:t>
      </w:r>
      <w:r w:rsidR="002E7125" w:rsidRPr="00115221">
        <w:rPr>
          <w:rFonts w:cs="Times New Roman"/>
          <w:snapToGrid w:val="0"/>
          <w:kern w:val="22"/>
          <w:szCs w:val="22"/>
          <w:lang w:val="fr-CA"/>
        </w:rPr>
        <w:t xml:space="preserve"> sur la prévention des risques biotechnologiques sur la tribune du </w:t>
      </w:r>
      <w:r w:rsidR="00B6412A">
        <w:rPr>
          <w:rFonts w:cs="Times New Roman"/>
          <w:snapToGrid w:val="0"/>
          <w:kern w:val="22"/>
          <w:szCs w:val="22"/>
          <w:lang w:val="fr-CA"/>
        </w:rPr>
        <w:t>centre d’échange</w:t>
      </w:r>
      <w:r w:rsidR="002E7125" w:rsidRPr="00115221">
        <w:rPr>
          <w:rFonts w:cs="Times New Roman"/>
          <w:snapToGrid w:val="0"/>
          <w:kern w:val="22"/>
          <w:szCs w:val="22"/>
          <w:lang w:val="fr-CA"/>
        </w:rPr>
        <w:t xml:space="preserve"> sur la prévention des risques biotechnologiques » et « Forum sur les bases de données sur la prévention des risques biotechnologies de </w:t>
      </w:r>
      <w:r w:rsidR="002E7125" w:rsidRPr="00115221">
        <w:rPr>
          <w:rFonts w:cs="Times New Roman"/>
          <w:snapToGrid w:val="0"/>
          <w:kern w:val="22"/>
          <w:szCs w:val="22"/>
          <w:lang w:val="fr-CA"/>
        </w:rPr>
        <w:lastRenderedPageBreak/>
        <w:t xml:space="preserve">la FAO, CDB et OCDE  ») ont été ajoutés au cours du troisième cycle </w:t>
      </w:r>
      <w:r w:rsidR="005C6F2D">
        <w:rPr>
          <w:rFonts w:cs="Times New Roman"/>
          <w:snapToGrid w:val="0"/>
          <w:kern w:val="22"/>
          <w:szCs w:val="22"/>
          <w:lang w:val="fr-CA"/>
        </w:rPr>
        <w:t>de présentation des rapports</w:t>
      </w:r>
      <w:r w:rsidR="002E7125" w:rsidRPr="00115221">
        <w:rPr>
          <w:rFonts w:cs="Times New Roman"/>
          <w:snapToGrid w:val="0"/>
          <w:kern w:val="22"/>
          <w:szCs w:val="22"/>
          <w:lang w:val="fr-CA"/>
        </w:rPr>
        <w:t>. Il n’y</w:t>
      </w:r>
      <w:r w:rsidR="00696E80" w:rsidRPr="00115221">
        <w:rPr>
          <w:rFonts w:cs="Times New Roman"/>
          <w:snapToGrid w:val="0"/>
          <w:kern w:val="22"/>
          <w:szCs w:val="22"/>
          <w:lang w:val="fr-CA"/>
        </w:rPr>
        <w:t xml:space="preserve"> a eu aucune augmentation du no</w:t>
      </w:r>
      <w:r w:rsidR="002E7125" w:rsidRPr="00115221">
        <w:rPr>
          <w:rFonts w:cs="Times New Roman"/>
          <w:snapToGrid w:val="0"/>
          <w:kern w:val="22"/>
          <w:szCs w:val="22"/>
          <w:lang w:val="fr-CA"/>
        </w:rPr>
        <w:t>mbre de forums au cours du quatrième cycle. De plus, seul le forum « </w:t>
      </w:r>
      <w:r w:rsidR="00216388">
        <w:rPr>
          <w:rFonts w:cs="Times New Roman"/>
          <w:snapToGrid w:val="0"/>
          <w:kern w:val="22"/>
          <w:szCs w:val="22"/>
          <w:lang w:val="fr-CA"/>
        </w:rPr>
        <w:t>centre d’échange</w:t>
      </w:r>
      <w:r w:rsidR="002E7125" w:rsidRPr="00115221">
        <w:rPr>
          <w:rFonts w:cs="Times New Roman"/>
          <w:snapToGrid w:val="0"/>
          <w:kern w:val="22"/>
          <w:szCs w:val="22"/>
          <w:lang w:val="fr-CA"/>
        </w:rPr>
        <w:t xml:space="preserve"> sur la prévention des risques biotechnologiques sur la tribune du </w:t>
      </w:r>
      <w:r w:rsidR="00B6412A">
        <w:rPr>
          <w:rFonts w:cs="Times New Roman"/>
          <w:snapToGrid w:val="0"/>
          <w:kern w:val="22"/>
          <w:szCs w:val="22"/>
          <w:lang w:val="fr-CA"/>
        </w:rPr>
        <w:t>centre d’échange</w:t>
      </w:r>
      <w:r w:rsidR="002E7125" w:rsidRPr="00115221">
        <w:rPr>
          <w:rFonts w:cs="Times New Roman"/>
          <w:snapToGrid w:val="0"/>
          <w:kern w:val="22"/>
          <w:szCs w:val="22"/>
          <w:lang w:val="fr-CA"/>
        </w:rPr>
        <w:t xml:space="preserve"> sur la prévention des risques biotechnologiques </w:t>
      </w:r>
      <w:r w:rsidR="00696E80" w:rsidRPr="00115221">
        <w:rPr>
          <w:rFonts w:cs="Times New Roman"/>
          <w:snapToGrid w:val="0"/>
          <w:kern w:val="22"/>
          <w:szCs w:val="22"/>
          <w:lang w:val="fr-CA"/>
        </w:rPr>
        <w:t>» a été actif au cours du cycle et se poursuit</w:t>
      </w:r>
      <w:r w:rsidR="00F84E9C" w:rsidRPr="00115221">
        <w:rPr>
          <w:rFonts w:cs="Times New Roman"/>
          <w:snapToGrid w:val="0"/>
          <w:kern w:val="22"/>
          <w:szCs w:val="22"/>
          <w:lang w:val="fr-CA"/>
        </w:rPr>
        <w:t xml:space="preserve">.  </w:t>
      </w:r>
    </w:p>
    <w:p w14:paraId="6EDCB90A" w14:textId="3BB8EF2A" w:rsidR="00F84E9C" w:rsidRPr="00115221" w:rsidRDefault="00696E80" w:rsidP="00F84E9C">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Le Secrétariat de la Convention sur la diversité biologique, avec la collaboration et le soutien du projet </w:t>
      </w:r>
      <w:r w:rsidR="00CE172E">
        <w:rPr>
          <w:rFonts w:cs="Times New Roman"/>
          <w:snapToGrid w:val="0"/>
          <w:kern w:val="22"/>
          <w:szCs w:val="22"/>
          <w:lang w:val="fr-CA"/>
        </w:rPr>
        <w:t xml:space="preserve">de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du PNUE-FEM, a organisé deux </w:t>
      </w:r>
      <w:r w:rsidR="00E2577C">
        <w:rPr>
          <w:rFonts w:cs="Times New Roman"/>
          <w:snapToGrid w:val="0"/>
          <w:kern w:val="22"/>
          <w:szCs w:val="22"/>
          <w:lang w:val="fr-CA"/>
        </w:rPr>
        <w:t>ateliers</w:t>
      </w:r>
      <w:r w:rsidRPr="00115221">
        <w:rPr>
          <w:rFonts w:cs="Times New Roman"/>
          <w:snapToGrid w:val="0"/>
          <w:kern w:val="22"/>
          <w:szCs w:val="22"/>
          <w:lang w:val="fr-CA"/>
        </w:rPr>
        <w:t xml:space="preserve"> de formation du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en marge des cinquième </w:t>
      </w:r>
      <w:r w:rsidR="0045597C">
        <w:rPr>
          <w:rFonts w:cs="Times New Roman"/>
          <w:snapToGrid w:val="0"/>
          <w:kern w:val="22"/>
          <w:szCs w:val="22"/>
          <w:lang w:val="fr-CA"/>
        </w:rPr>
        <w:t xml:space="preserve">(2010) </w:t>
      </w:r>
      <w:r w:rsidRPr="00115221">
        <w:rPr>
          <w:rFonts w:cs="Times New Roman"/>
          <w:snapToGrid w:val="0"/>
          <w:kern w:val="22"/>
          <w:szCs w:val="22"/>
          <w:lang w:val="fr-CA"/>
        </w:rPr>
        <w:t>et si</w:t>
      </w:r>
      <w:r w:rsidR="00E2577C">
        <w:rPr>
          <w:rFonts w:cs="Times New Roman"/>
          <w:snapToGrid w:val="0"/>
          <w:kern w:val="22"/>
          <w:szCs w:val="22"/>
          <w:lang w:val="fr-CA"/>
        </w:rPr>
        <w:t>x</w:t>
      </w:r>
      <w:r w:rsidRPr="00115221">
        <w:rPr>
          <w:rFonts w:cs="Times New Roman"/>
          <w:snapToGrid w:val="0"/>
          <w:kern w:val="22"/>
          <w:szCs w:val="22"/>
          <w:lang w:val="fr-CA"/>
        </w:rPr>
        <w:t>ième</w:t>
      </w:r>
      <w:r w:rsidR="00F416A6">
        <w:rPr>
          <w:rFonts w:cs="Times New Roman"/>
          <w:snapToGrid w:val="0"/>
          <w:kern w:val="22"/>
          <w:szCs w:val="22"/>
          <w:lang w:val="fr-CA"/>
        </w:rPr>
        <w:t xml:space="preserve"> </w:t>
      </w:r>
      <w:r w:rsidR="0045597C">
        <w:rPr>
          <w:rFonts w:cs="Times New Roman"/>
          <w:snapToGrid w:val="0"/>
          <w:kern w:val="22"/>
          <w:szCs w:val="22"/>
          <w:lang w:val="fr-CA"/>
        </w:rPr>
        <w:t xml:space="preserve">(2012) </w:t>
      </w:r>
      <w:r w:rsidRPr="00115221">
        <w:rPr>
          <w:rFonts w:cs="Times New Roman"/>
          <w:snapToGrid w:val="0"/>
          <w:kern w:val="22"/>
          <w:szCs w:val="22"/>
          <w:lang w:val="fr-CA"/>
        </w:rPr>
        <w:t>réunions de la Conférence des Parties siégeant en tant que r</w:t>
      </w:r>
      <w:r w:rsidR="0045597C">
        <w:rPr>
          <w:rFonts w:cs="Times New Roman"/>
          <w:snapToGrid w:val="0"/>
          <w:kern w:val="22"/>
          <w:szCs w:val="22"/>
          <w:lang w:val="fr-CA"/>
        </w:rPr>
        <w:t>éunion des Parties au Protocole</w:t>
      </w:r>
      <w:r w:rsidRPr="00115221">
        <w:rPr>
          <w:rFonts w:cs="Times New Roman"/>
          <w:snapToGrid w:val="0"/>
          <w:kern w:val="22"/>
          <w:szCs w:val="22"/>
          <w:lang w:val="fr-CA"/>
        </w:rPr>
        <w:t xml:space="preserve">. </w:t>
      </w:r>
      <w:r w:rsidR="00322893" w:rsidRPr="00115221">
        <w:rPr>
          <w:rFonts w:cs="Times New Roman"/>
          <w:snapToGrid w:val="0"/>
          <w:kern w:val="22"/>
          <w:szCs w:val="22"/>
          <w:lang w:val="fr-CA"/>
        </w:rPr>
        <w:t xml:space="preserve">Deux ateliers de formation du </w:t>
      </w:r>
      <w:r w:rsidR="00B6412A">
        <w:rPr>
          <w:rFonts w:cs="Times New Roman"/>
          <w:snapToGrid w:val="0"/>
          <w:kern w:val="22"/>
          <w:szCs w:val="22"/>
          <w:lang w:val="fr-CA"/>
        </w:rPr>
        <w:t>centre d’échange</w:t>
      </w:r>
      <w:r w:rsidR="00322893" w:rsidRPr="00115221">
        <w:rPr>
          <w:rFonts w:cs="Times New Roman"/>
          <w:snapToGrid w:val="0"/>
          <w:kern w:val="22"/>
          <w:szCs w:val="22"/>
          <w:lang w:val="fr-CA"/>
        </w:rPr>
        <w:t xml:space="preserve"> sur la prévention des risques biotechnologiques ont été organisés pendant le quatrième cycle </w:t>
      </w:r>
      <w:r w:rsidR="005C6F2D">
        <w:rPr>
          <w:rFonts w:cs="Times New Roman"/>
          <w:snapToGrid w:val="0"/>
          <w:kern w:val="22"/>
          <w:szCs w:val="22"/>
          <w:lang w:val="fr-CA"/>
        </w:rPr>
        <w:t>de présentation des rapports</w:t>
      </w:r>
      <w:r w:rsidR="00322893" w:rsidRPr="00115221">
        <w:rPr>
          <w:rFonts w:cs="Times New Roman"/>
          <w:snapToGrid w:val="0"/>
          <w:kern w:val="22"/>
          <w:szCs w:val="22"/>
          <w:lang w:val="fr-CA"/>
        </w:rPr>
        <w:t xml:space="preserve"> (2016-2019) en marge des huitième et neuvième réunions de la Conférence des Parties siégeant en tant que réunion des Parties au Protocole. De plus, le projet </w:t>
      </w:r>
      <w:r w:rsidR="00F421BD">
        <w:rPr>
          <w:rFonts w:cs="Times New Roman"/>
          <w:snapToGrid w:val="0"/>
          <w:kern w:val="22"/>
          <w:szCs w:val="22"/>
          <w:lang w:val="fr-CA"/>
        </w:rPr>
        <w:t xml:space="preserve">de </w:t>
      </w:r>
      <w:r w:rsidR="00B6412A">
        <w:rPr>
          <w:rFonts w:cs="Times New Roman"/>
          <w:snapToGrid w:val="0"/>
          <w:kern w:val="22"/>
          <w:szCs w:val="22"/>
          <w:lang w:val="fr-CA"/>
        </w:rPr>
        <w:t>centre d’échange</w:t>
      </w:r>
      <w:r w:rsidR="00322893" w:rsidRPr="00115221">
        <w:rPr>
          <w:rFonts w:cs="Times New Roman"/>
          <w:snapToGrid w:val="0"/>
          <w:kern w:val="22"/>
          <w:szCs w:val="22"/>
          <w:lang w:val="fr-CA"/>
        </w:rPr>
        <w:t xml:space="preserve"> sur la prévention des risques biotechnologiques III du PNUE-FEM a entrepris de nombreuses activités de renforcement des capacités </w:t>
      </w:r>
      <w:r w:rsidR="007C066F">
        <w:rPr>
          <w:rFonts w:cs="Times New Roman"/>
          <w:snapToGrid w:val="0"/>
          <w:kern w:val="22"/>
          <w:szCs w:val="22"/>
          <w:lang w:val="fr-CA"/>
        </w:rPr>
        <w:t>par le truchement du</w:t>
      </w:r>
      <w:r w:rsidR="00322893" w:rsidRPr="00115221">
        <w:rPr>
          <w:rFonts w:cs="Times New Roman"/>
          <w:snapToGrid w:val="0"/>
          <w:kern w:val="22"/>
          <w:szCs w:val="22"/>
          <w:lang w:val="fr-CA"/>
        </w:rPr>
        <w:t xml:space="preserve"> </w:t>
      </w:r>
      <w:r w:rsidR="00B6412A">
        <w:rPr>
          <w:rFonts w:cs="Times New Roman"/>
          <w:snapToGrid w:val="0"/>
          <w:kern w:val="22"/>
          <w:szCs w:val="22"/>
          <w:lang w:val="fr-CA"/>
        </w:rPr>
        <w:t>centre d’échange</w:t>
      </w:r>
      <w:r w:rsidR="00322893" w:rsidRPr="00115221">
        <w:rPr>
          <w:rFonts w:cs="Times New Roman"/>
          <w:snapToGrid w:val="0"/>
          <w:kern w:val="22"/>
          <w:szCs w:val="22"/>
          <w:lang w:val="fr-CA"/>
        </w:rPr>
        <w:t xml:space="preserve"> sur la prévention des risques biotechnologiques dans les pays. Les informations sur ces activités sont communiqué</w:t>
      </w:r>
      <w:r w:rsidR="007C066F">
        <w:rPr>
          <w:rFonts w:cs="Times New Roman"/>
          <w:snapToGrid w:val="0"/>
          <w:kern w:val="22"/>
          <w:szCs w:val="22"/>
          <w:lang w:val="fr-CA"/>
        </w:rPr>
        <w:t>e</w:t>
      </w:r>
      <w:r w:rsidR="00322893" w:rsidRPr="00115221">
        <w:rPr>
          <w:rFonts w:cs="Times New Roman"/>
          <w:snapToGrid w:val="0"/>
          <w:kern w:val="22"/>
          <w:szCs w:val="22"/>
          <w:lang w:val="fr-CA"/>
        </w:rPr>
        <w:t xml:space="preserve">s régulièrement dans </w:t>
      </w:r>
      <w:r w:rsidR="00395849" w:rsidRPr="00115221">
        <w:rPr>
          <w:rFonts w:cs="Times New Roman"/>
          <w:snapToGrid w:val="0"/>
          <w:kern w:val="22"/>
          <w:szCs w:val="22"/>
          <w:lang w:val="fr-CA"/>
        </w:rPr>
        <w:t xml:space="preserve">« Nouvelles du </w:t>
      </w:r>
      <w:r w:rsidR="00B6412A">
        <w:rPr>
          <w:rFonts w:cs="Times New Roman"/>
          <w:snapToGrid w:val="0"/>
          <w:kern w:val="22"/>
          <w:szCs w:val="22"/>
          <w:lang w:val="fr-CA"/>
        </w:rPr>
        <w:t>centre d’échange</w:t>
      </w:r>
      <w:r w:rsidR="00322893" w:rsidRPr="00115221">
        <w:rPr>
          <w:rFonts w:cs="Times New Roman"/>
          <w:snapToGrid w:val="0"/>
          <w:kern w:val="22"/>
          <w:szCs w:val="22"/>
          <w:lang w:val="fr-CA"/>
        </w:rPr>
        <w:t xml:space="preserve"> sur la prévention des risques biotechnologiques</w:t>
      </w:r>
      <w:r w:rsidR="00395849" w:rsidRPr="00115221">
        <w:rPr>
          <w:rFonts w:cs="Times New Roman"/>
          <w:snapToGrid w:val="0"/>
          <w:kern w:val="22"/>
          <w:szCs w:val="22"/>
          <w:lang w:val="fr-CA"/>
        </w:rPr>
        <w:t> »</w:t>
      </w:r>
      <w:r w:rsidR="00F84E9C" w:rsidRPr="00115221">
        <w:rPr>
          <w:rFonts w:cs="Times New Roman"/>
          <w:kern w:val="22"/>
          <w:szCs w:val="22"/>
          <w:lang w:val="fr-CA"/>
        </w:rPr>
        <w:t>.</w:t>
      </w:r>
      <w:r w:rsidR="00F84E9C" w:rsidRPr="00115221">
        <w:rPr>
          <w:rStyle w:val="FootnoteReference"/>
          <w:rFonts w:cs="Times New Roman"/>
          <w:kern w:val="22"/>
          <w:szCs w:val="22"/>
          <w:lang w:val="fr-CA"/>
        </w:rPr>
        <w:footnoteReference w:id="41"/>
      </w:r>
    </w:p>
    <w:p w14:paraId="0EB32B68" w14:textId="1C436CF1" w:rsidR="004569FB" w:rsidRPr="00115221" w:rsidRDefault="00187FFC" w:rsidP="000A5388">
      <w:pPr>
        <w:keepNext/>
        <w:numPr>
          <w:ilvl w:val="0"/>
          <w:numId w:val="17"/>
        </w:numPr>
        <w:suppressLineNumbers/>
        <w:tabs>
          <w:tab w:val="clear" w:pos="2070"/>
        </w:tabs>
        <w:suppressAutoHyphens/>
        <w:spacing w:before="120" w:after="120"/>
        <w:ind w:left="0" w:firstLine="0"/>
        <w:jc w:val="center"/>
        <w:outlineLvl w:val="1"/>
        <w:rPr>
          <w:rFonts w:cs="Times New Roman"/>
          <w:iCs/>
          <w:snapToGrid w:val="0"/>
          <w:kern w:val="22"/>
          <w:szCs w:val="22"/>
          <w:lang w:val="fr-CA"/>
        </w:rPr>
      </w:pPr>
      <w:r w:rsidRPr="00115221">
        <w:rPr>
          <w:rFonts w:cs="Times New Roman"/>
          <w:b/>
          <w:iCs/>
          <w:snapToGrid w:val="0"/>
          <w:kern w:val="22"/>
          <w:szCs w:val="22"/>
          <w:lang w:val="fr-CA"/>
        </w:rPr>
        <w:t>Conformité et examen</w:t>
      </w:r>
      <w:r w:rsidR="004569FB" w:rsidRPr="00115221">
        <w:rPr>
          <w:rFonts w:cs="Times New Roman"/>
          <w:b/>
          <w:iCs/>
          <w:snapToGrid w:val="0"/>
          <w:kern w:val="22"/>
          <w:szCs w:val="22"/>
          <w:lang w:val="fr-CA"/>
        </w:rPr>
        <w:t xml:space="preserve"> (</w:t>
      </w:r>
      <w:r w:rsidRPr="00115221">
        <w:rPr>
          <w:rFonts w:cs="Times New Roman"/>
          <w:b/>
          <w:iCs/>
          <w:snapToGrid w:val="0"/>
          <w:kern w:val="22"/>
          <w:szCs w:val="22"/>
          <w:lang w:val="fr-CA"/>
        </w:rPr>
        <w:t>objectifs opérationnels</w:t>
      </w:r>
      <w:r w:rsidR="004569FB" w:rsidRPr="00115221">
        <w:rPr>
          <w:rFonts w:cs="Times New Roman"/>
          <w:b/>
          <w:iCs/>
          <w:snapToGrid w:val="0"/>
          <w:kern w:val="22"/>
          <w:szCs w:val="22"/>
          <w:lang w:val="fr-CA"/>
        </w:rPr>
        <w:t xml:space="preserve"> 3.1 </w:t>
      </w:r>
      <w:r w:rsidRPr="00115221">
        <w:rPr>
          <w:rFonts w:cs="Times New Roman"/>
          <w:b/>
          <w:iCs/>
          <w:snapToGrid w:val="0"/>
          <w:kern w:val="22"/>
          <w:szCs w:val="22"/>
          <w:lang w:val="fr-CA"/>
        </w:rPr>
        <w:t>et</w:t>
      </w:r>
      <w:r w:rsidR="004569FB" w:rsidRPr="00115221">
        <w:rPr>
          <w:rFonts w:cs="Times New Roman"/>
          <w:b/>
          <w:iCs/>
          <w:snapToGrid w:val="0"/>
          <w:kern w:val="22"/>
          <w:szCs w:val="22"/>
          <w:lang w:val="fr-CA"/>
        </w:rPr>
        <w:t xml:space="preserve"> 3.2)</w:t>
      </w:r>
    </w:p>
    <w:p w14:paraId="0A94E018" w14:textId="6496D543" w:rsidR="004569FB" w:rsidRPr="00115221" w:rsidRDefault="007A5B5E" w:rsidP="000A5388">
      <w:pPr>
        <w:keepNext/>
        <w:suppressLineNumbers/>
        <w:tabs>
          <w:tab w:val="num" w:pos="0"/>
          <w:tab w:val="left" w:pos="720"/>
        </w:tabs>
        <w:suppressAutoHyphens/>
        <w:spacing w:before="120" w:after="120"/>
        <w:textAlignment w:val="baseline"/>
        <w:outlineLvl w:val="2"/>
        <w:rPr>
          <w:rFonts w:cs="Times New Roman"/>
          <w:b/>
          <w:iCs/>
          <w:snapToGrid w:val="0"/>
          <w:kern w:val="22"/>
          <w:szCs w:val="22"/>
          <w:lang w:val="fr-CA"/>
        </w:rPr>
      </w:pPr>
      <w:r w:rsidRPr="00115221">
        <w:rPr>
          <w:rFonts w:cs="Times New Roman"/>
          <w:b/>
          <w:iCs/>
          <w:snapToGrid w:val="0"/>
          <w:kern w:val="22"/>
          <w:szCs w:val="22"/>
          <w:lang w:val="fr-CA"/>
        </w:rPr>
        <w:t>Objectif opérationnel 3.1 : Conformité au Protocole</w:t>
      </w:r>
    </w:p>
    <w:p w14:paraId="0C65ABC0" w14:textId="50894FB1" w:rsidR="004569FB" w:rsidRPr="00115221" w:rsidRDefault="007A5B5E"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3.1.1</w:t>
      </w:r>
      <w:r w:rsidRPr="00115221">
        <w:rPr>
          <w:rFonts w:cs="Times New Roman"/>
          <w:snapToGrid w:val="0"/>
          <w:kern w:val="22"/>
          <w:szCs w:val="22"/>
          <w:lang w:val="fr-CA"/>
        </w:rPr>
        <w:t xml:space="preserve"> (</w:t>
      </w:r>
      <w:r w:rsidR="003E6604" w:rsidRPr="00115221">
        <w:rPr>
          <w:rFonts w:cs="Times New Roman"/>
          <w:snapToGrid w:val="0"/>
          <w:kern w:val="22"/>
          <w:szCs w:val="22"/>
          <w:lang w:val="fr-CA"/>
        </w:rPr>
        <w:t>nombre de Parties ayant identifié et corrigé leurs problèmes de no</w:t>
      </w:r>
      <w:r w:rsidR="007C066F">
        <w:rPr>
          <w:rFonts w:cs="Times New Roman"/>
          <w:snapToGrid w:val="0"/>
          <w:kern w:val="22"/>
          <w:szCs w:val="22"/>
          <w:lang w:val="fr-CA"/>
        </w:rPr>
        <w:t>n-conformité), l’expérience du C</w:t>
      </w:r>
      <w:r w:rsidR="003E6604" w:rsidRPr="00115221">
        <w:rPr>
          <w:rFonts w:cs="Times New Roman"/>
          <w:snapToGrid w:val="0"/>
          <w:kern w:val="22"/>
          <w:szCs w:val="22"/>
          <w:lang w:val="fr-CA"/>
        </w:rPr>
        <w:t>omité de conformité en ce qui a trait à l’examen du respect des obligations au titre du Protocole par les Parties</w:t>
      </w:r>
      <w:r w:rsidR="00F749C9" w:rsidRPr="00115221">
        <w:rPr>
          <w:rFonts w:cs="Times New Roman"/>
          <w:snapToGrid w:val="0"/>
          <w:kern w:val="22"/>
          <w:szCs w:val="22"/>
          <w:lang w:val="fr-CA"/>
        </w:rPr>
        <w:t xml:space="preserve"> et la prise de mesures pour favoriser la conformité et corriger les cas de non-conformité pourrait être prise en compte</w:t>
      </w:r>
      <w:r w:rsidR="004569FB" w:rsidRPr="00115221">
        <w:rPr>
          <w:rFonts w:cs="Times New Roman"/>
          <w:snapToGrid w:val="0"/>
          <w:kern w:val="22"/>
          <w:szCs w:val="22"/>
          <w:lang w:val="fr-CA"/>
        </w:rPr>
        <w:t xml:space="preserve">. </w:t>
      </w:r>
    </w:p>
    <w:p w14:paraId="20522D07" w14:textId="24426646" w:rsidR="00953188" w:rsidRPr="00115221" w:rsidRDefault="00F749C9"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Conformément aux Procédures et mécanismes de conformité au titre du Protocole de Cartagena sur la prévention des ri</w:t>
      </w:r>
      <w:r w:rsidR="007C066F">
        <w:rPr>
          <w:rFonts w:cs="Times New Roman"/>
          <w:snapToGrid w:val="0"/>
          <w:kern w:val="22"/>
          <w:szCs w:val="22"/>
          <w:lang w:val="fr-CA"/>
        </w:rPr>
        <w:t>sques biotechnologiques, annexés à la décision BS-I/7, le C</w:t>
      </w:r>
      <w:r w:rsidRPr="00115221">
        <w:rPr>
          <w:rFonts w:cs="Times New Roman"/>
          <w:snapToGrid w:val="0"/>
          <w:kern w:val="22"/>
          <w:szCs w:val="22"/>
          <w:lang w:val="fr-CA"/>
        </w:rPr>
        <w:t>omité de conformité peut recevoir un exposé sur le respect des obligations d’une Part</w:t>
      </w:r>
      <w:r w:rsidR="00781F4D" w:rsidRPr="00115221">
        <w:rPr>
          <w:rFonts w:cs="Times New Roman"/>
          <w:snapToGrid w:val="0"/>
          <w:kern w:val="22"/>
          <w:szCs w:val="22"/>
          <w:lang w:val="fr-CA"/>
        </w:rPr>
        <w:t>ie concernant cette Partie ou d’</w:t>
      </w:r>
      <w:r w:rsidRPr="00115221">
        <w:rPr>
          <w:rFonts w:cs="Times New Roman"/>
          <w:snapToGrid w:val="0"/>
          <w:kern w:val="22"/>
          <w:szCs w:val="22"/>
          <w:lang w:val="fr-CA"/>
        </w:rPr>
        <w:t>une Partie concernant une autre Partie</w:t>
      </w:r>
      <w:r w:rsidR="00781F4D" w:rsidRPr="00115221">
        <w:rPr>
          <w:rFonts w:cs="Times New Roman"/>
          <w:snapToGrid w:val="0"/>
          <w:kern w:val="22"/>
          <w:szCs w:val="22"/>
          <w:lang w:val="fr-CA"/>
        </w:rPr>
        <w:t xml:space="preserve"> et, par la suite, prendre les mesures nécessaires pour corriger la situation. L’expérience ainsi acquise con</w:t>
      </w:r>
      <w:r w:rsidR="00996EAF" w:rsidRPr="00115221">
        <w:rPr>
          <w:rFonts w:cs="Times New Roman"/>
          <w:snapToGrid w:val="0"/>
          <w:kern w:val="22"/>
          <w:szCs w:val="22"/>
          <w:lang w:val="fr-CA"/>
        </w:rPr>
        <w:t>s</w:t>
      </w:r>
      <w:r w:rsidR="00781F4D" w:rsidRPr="00115221">
        <w:rPr>
          <w:rFonts w:cs="Times New Roman"/>
          <w:snapToGrid w:val="0"/>
          <w:kern w:val="22"/>
          <w:szCs w:val="22"/>
          <w:lang w:val="fr-CA"/>
        </w:rPr>
        <w:t xml:space="preserve">tituerait vraisemblablement la base la plus pertinente pour évaluer les progrès réalisés au titre de l’indicateur 3.1.1. Aucun exposé </w:t>
      </w:r>
      <w:r w:rsidR="00996EAF" w:rsidRPr="00115221">
        <w:rPr>
          <w:rFonts w:cs="Times New Roman"/>
          <w:snapToGrid w:val="0"/>
          <w:kern w:val="22"/>
          <w:szCs w:val="22"/>
          <w:lang w:val="fr-CA"/>
        </w:rPr>
        <w:t xml:space="preserve">recevable </w:t>
      </w:r>
      <w:r w:rsidR="00781F4D" w:rsidRPr="00115221">
        <w:rPr>
          <w:rFonts w:cs="Times New Roman"/>
          <w:snapToGrid w:val="0"/>
          <w:kern w:val="22"/>
          <w:szCs w:val="22"/>
          <w:lang w:val="fr-CA"/>
        </w:rPr>
        <w:t>n’a été reçu à ce jour</w:t>
      </w:r>
      <w:r w:rsidR="004569FB" w:rsidRPr="00115221">
        <w:rPr>
          <w:rFonts w:cs="Times New Roman"/>
          <w:snapToGrid w:val="0"/>
          <w:kern w:val="22"/>
          <w:szCs w:val="22"/>
          <w:lang w:val="fr-CA"/>
        </w:rPr>
        <w:t xml:space="preserve">. </w:t>
      </w:r>
    </w:p>
    <w:p w14:paraId="337A8C9D" w14:textId="59F6D60F" w:rsidR="004569FB" w:rsidRPr="00115221" w:rsidRDefault="00996EA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Dans sa décision BS-V/1, après avoir examiné comment améliorer le rôle de soutien du Comité de conformité, la Conférence des Parties siégeant en tant que réunion des Parties au Protocole a décidé que le Comité pourrait a</w:t>
      </w:r>
      <w:r w:rsidR="00AE26DB" w:rsidRPr="00115221">
        <w:rPr>
          <w:rFonts w:cs="Times New Roman"/>
          <w:snapToGrid w:val="0"/>
          <w:kern w:val="22"/>
          <w:szCs w:val="22"/>
          <w:lang w:val="fr-CA"/>
        </w:rPr>
        <w:t>ussi prendre des mesures lorsqu’</w:t>
      </w:r>
      <w:r w:rsidRPr="00115221">
        <w:rPr>
          <w:rFonts w:cs="Times New Roman"/>
          <w:snapToGrid w:val="0"/>
          <w:kern w:val="22"/>
          <w:szCs w:val="22"/>
          <w:lang w:val="fr-CA"/>
        </w:rPr>
        <w:t xml:space="preserve">une Partie omet de remettre son rapport national, </w:t>
      </w:r>
      <w:r w:rsidR="0003630E" w:rsidRPr="00115221">
        <w:rPr>
          <w:rFonts w:cs="Times New Roman"/>
          <w:snapToGrid w:val="0"/>
          <w:kern w:val="22"/>
          <w:szCs w:val="22"/>
          <w:lang w:val="fr-CA"/>
        </w:rPr>
        <w:t>ou lorsque de l’information reçue dans un rapport nation</w:t>
      </w:r>
      <w:r w:rsidR="00B318D1">
        <w:rPr>
          <w:rFonts w:cs="Times New Roman"/>
          <w:snapToGrid w:val="0"/>
          <w:kern w:val="22"/>
          <w:szCs w:val="22"/>
          <w:lang w:val="fr-CA"/>
        </w:rPr>
        <w:t>al ou de la part du Secrétariat</w:t>
      </w:r>
      <w:r w:rsidR="0003630E" w:rsidRPr="00115221">
        <w:rPr>
          <w:rFonts w:cs="Times New Roman"/>
          <w:snapToGrid w:val="0"/>
          <w:kern w:val="22"/>
          <w:szCs w:val="22"/>
          <w:lang w:val="fr-CA"/>
        </w:rPr>
        <w:t xml:space="preserve"> </w:t>
      </w:r>
      <w:r w:rsidR="00B318D1">
        <w:rPr>
          <w:rFonts w:cs="Times New Roman"/>
          <w:snapToGrid w:val="0"/>
          <w:kern w:val="22"/>
          <w:szCs w:val="22"/>
          <w:lang w:val="fr-CA"/>
        </w:rPr>
        <w:t xml:space="preserve">provient </w:t>
      </w:r>
      <w:r w:rsidR="0003630E" w:rsidRPr="00115221">
        <w:rPr>
          <w:rFonts w:cs="Times New Roman"/>
          <w:snapToGrid w:val="0"/>
          <w:kern w:val="22"/>
          <w:szCs w:val="22"/>
          <w:lang w:val="fr-CA"/>
        </w:rPr>
        <w:t xml:space="preserve">d’information </w:t>
      </w:r>
      <w:r w:rsidR="00B318D1">
        <w:rPr>
          <w:rFonts w:cs="Times New Roman"/>
          <w:snapToGrid w:val="0"/>
          <w:kern w:val="22"/>
          <w:szCs w:val="22"/>
          <w:lang w:val="fr-CA"/>
        </w:rPr>
        <w:t>venant</w:t>
      </w:r>
      <w:r w:rsidR="0003630E" w:rsidRPr="00115221">
        <w:rPr>
          <w:rFonts w:cs="Times New Roman"/>
          <w:snapToGrid w:val="0"/>
          <w:kern w:val="22"/>
          <w:szCs w:val="22"/>
          <w:lang w:val="fr-CA"/>
        </w:rPr>
        <w:t xml:space="preserve"> du </w:t>
      </w:r>
      <w:r w:rsidR="00B6412A">
        <w:rPr>
          <w:rFonts w:cs="Times New Roman"/>
          <w:snapToGrid w:val="0"/>
          <w:kern w:val="22"/>
          <w:szCs w:val="22"/>
          <w:lang w:val="fr-CA"/>
        </w:rPr>
        <w:t>centre d’échange</w:t>
      </w:r>
      <w:r w:rsidR="0003630E" w:rsidRPr="00115221">
        <w:rPr>
          <w:rFonts w:cs="Times New Roman"/>
          <w:snapToGrid w:val="0"/>
          <w:kern w:val="22"/>
          <w:szCs w:val="22"/>
          <w:lang w:val="fr-CA"/>
        </w:rPr>
        <w:t xml:space="preserve"> sur la prévention des risques biotechnologiques, </w:t>
      </w:r>
      <w:r w:rsidR="0020534F" w:rsidRPr="00115221">
        <w:rPr>
          <w:rFonts w:cs="Times New Roman"/>
          <w:snapToGrid w:val="0"/>
          <w:kern w:val="22"/>
          <w:szCs w:val="22"/>
          <w:lang w:val="fr-CA"/>
        </w:rPr>
        <w:t>indiquant</w:t>
      </w:r>
      <w:r w:rsidR="0003630E" w:rsidRPr="00115221">
        <w:rPr>
          <w:rFonts w:cs="Times New Roman"/>
          <w:snapToGrid w:val="0"/>
          <w:kern w:val="22"/>
          <w:szCs w:val="22"/>
          <w:lang w:val="fr-CA"/>
        </w:rPr>
        <w:t xml:space="preserve"> que la </w:t>
      </w:r>
      <w:r w:rsidR="00AE26DB" w:rsidRPr="00115221">
        <w:rPr>
          <w:rFonts w:cs="Times New Roman"/>
          <w:snapToGrid w:val="0"/>
          <w:kern w:val="22"/>
          <w:szCs w:val="22"/>
          <w:lang w:val="fr-CA"/>
        </w:rPr>
        <w:t xml:space="preserve">Partie concernée éprouve des difficultés à respecter ses obligations au titre du Protocole. </w:t>
      </w:r>
      <w:r w:rsidR="00B318D1">
        <w:rPr>
          <w:rFonts w:cs="Times New Roman"/>
          <w:snapToGrid w:val="0"/>
          <w:kern w:val="22"/>
          <w:szCs w:val="22"/>
          <w:lang w:val="fr-CA"/>
        </w:rPr>
        <w:t>Voilà pourquoi</w:t>
      </w:r>
      <w:r w:rsidR="00AE26DB" w:rsidRPr="00115221">
        <w:rPr>
          <w:rFonts w:cs="Times New Roman"/>
          <w:snapToGrid w:val="0"/>
          <w:kern w:val="22"/>
          <w:szCs w:val="22"/>
          <w:lang w:val="fr-CA"/>
        </w:rPr>
        <w:t xml:space="preserve"> l’expérience acquise par le Comité d’application dans d’autres activités</w:t>
      </w:r>
      <w:r w:rsidRPr="00115221">
        <w:rPr>
          <w:rFonts w:cs="Times New Roman"/>
          <w:snapToGrid w:val="0"/>
          <w:kern w:val="22"/>
          <w:szCs w:val="22"/>
          <w:lang w:val="fr-CA"/>
        </w:rPr>
        <w:t xml:space="preserve"> </w:t>
      </w:r>
      <w:r w:rsidR="00AE26DB" w:rsidRPr="00115221">
        <w:rPr>
          <w:rFonts w:cs="Times New Roman"/>
          <w:snapToGrid w:val="0"/>
          <w:kern w:val="22"/>
          <w:szCs w:val="22"/>
          <w:lang w:val="fr-CA"/>
        </w:rPr>
        <w:t>est fournie ci-dessous</w:t>
      </w:r>
      <w:r w:rsidR="004569FB" w:rsidRPr="00115221">
        <w:rPr>
          <w:rFonts w:cs="Times New Roman"/>
          <w:snapToGrid w:val="0"/>
          <w:kern w:val="22"/>
          <w:szCs w:val="22"/>
          <w:lang w:val="fr-CA"/>
        </w:rPr>
        <w:t xml:space="preserve">.   </w:t>
      </w:r>
    </w:p>
    <w:p w14:paraId="7F712EC9" w14:textId="3A183563" w:rsidR="004569FB" w:rsidRPr="00115221" w:rsidRDefault="0003630E"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Le Comité a c</w:t>
      </w:r>
      <w:r w:rsidR="0020534F" w:rsidRPr="00115221">
        <w:rPr>
          <w:rFonts w:cs="Times New Roman"/>
          <w:snapToGrid w:val="0"/>
          <w:kern w:val="22"/>
          <w:szCs w:val="22"/>
          <w:lang w:val="fr-CA"/>
        </w:rPr>
        <w:t>onsacré une part importante de s</w:t>
      </w:r>
      <w:r w:rsidRPr="00115221">
        <w:rPr>
          <w:rFonts w:cs="Times New Roman"/>
          <w:snapToGrid w:val="0"/>
          <w:kern w:val="22"/>
          <w:szCs w:val="22"/>
          <w:lang w:val="fr-CA"/>
        </w:rPr>
        <w:t xml:space="preserve">es activités à </w:t>
      </w:r>
      <w:r w:rsidR="0020534F" w:rsidRPr="00115221">
        <w:rPr>
          <w:rFonts w:cs="Times New Roman"/>
          <w:snapToGrid w:val="0"/>
          <w:kern w:val="22"/>
          <w:szCs w:val="22"/>
          <w:lang w:val="fr-CA"/>
        </w:rPr>
        <w:t>examiner les</w:t>
      </w:r>
      <w:r w:rsidRPr="00115221">
        <w:rPr>
          <w:rFonts w:cs="Times New Roman"/>
          <w:snapToGrid w:val="0"/>
          <w:kern w:val="22"/>
          <w:szCs w:val="22"/>
          <w:lang w:val="fr-CA"/>
        </w:rPr>
        <w:t xml:space="preserve"> problèmes de conformité de façon générale et </w:t>
      </w:r>
      <w:r w:rsidR="0020534F" w:rsidRPr="00115221">
        <w:rPr>
          <w:rFonts w:cs="Times New Roman"/>
          <w:snapToGrid w:val="0"/>
          <w:kern w:val="22"/>
          <w:szCs w:val="22"/>
          <w:lang w:val="fr-CA"/>
        </w:rPr>
        <w:t>les</w:t>
      </w:r>
      <w:r w:rsidRPr="00115221">
        <w:rPr>
          <w:rFonts w:cs="Times New Roman"/>
          <w:snapToGrid w:val="0"/>
          <w:kern w:val="22"/>
          <w:szCs w:val="22"/>
          <w:lang w:val="fr-CA"/>
        </w:rPr>
        <w:t xml:space="preserve"> cas individuels de non-conformité, le respect par les Parties de  plusieurs obligations au titre du Protocole, </w:t>
      </w:r>
      <w:r w:rsidR="0020534F" w:rsidRPr="00115221">
        <w:rPr>
          <w:rFonts w:cs="Times New Roman"/>
          <w:snapToGrid w:val="0"/>
          <w:kern w:val="22"/>
          <w:szCs w:val="22"/>
          <w:lang w:val="fr-CA"/>
        </w:rPr>
        <w:t>en particulier</w:t>
      </w:r>
      <w:r w:rsidRPr="00115221">
        <w:rPr>
          <w:rFonts w:cs="Times New Roman"/>
          <w:snapToGrid w:val="0"/>
          <w:kern w:val="22"/>
          <w:szCs w:val="22"/>
          <w:lang w:val="fr-CA"/>
        </w:rPr>
        <w:t xml:space="preserve"> l’obligation de faire rapport sur l’application du Protocole conformément à l’article 33 du Protocole, l’oblig</w:t>
      </w:r>
      <w:r w:rsidR="0020534F" w:rsidRPr="00115221">
        <w:rPr>
          <w:rFonts w:cs="Times New Roman"/>
          <w:snapToGrid w:val="0"/>
          <w:kern w:val="22"/>
          <w:szCs w:val="22"/>
          <w:lang w:val="fr-CA"/>
        </w:rPr>
        <w:t>ation de prendre le</w:t>
      </w:r>
      <w:r w:rsidRPr="00115221">
        <w:rPr>
          <w:rFonts w:cs="Times New Roman"/>
          <w:snapToGrid w:val="0"/>
          <w:kern w:val="22"/>
          <w:szCs w:val="22"/>
          <w:lang w:val="fr-CA"/>
        </w:rPr>
        <w:t>s</w:t>
      </w:r>
      <w:r w:rsidR="0020534F" w:rsidRPr="00115221">
        <w:rPr>
          <w:rFonts w:cs="Times New Roman"/>
          <w:snapToGrid w:val="0"/>
          <w:kern w:val="22"/>
          <w:szCs w:val="22"/>
          <w:lang w:val="fr-CA"/>
        </w:rPr>
        <w:t xml:space="preserve"> </w:t>
      </w:r>
      <w:r w:rsidRPr="00115221">
        <w:rPr>
          <w:rFonts w:cs="Times New Roman"/>
          <w:snapToGrid w:val="0"/>
          <w:kern w:val="22"/>
          <w:szCs w:val="22"/>
          <w:lang w:val="fr-CA"/>
        </w:rPr>
        <w:t>mesures nécessaires pour appliquer le Protocole conformément au paragraphe 1 de l’article 2 et l’o</w:t>
      </w:r>
      <w:r w:rsidR="0020534F" w:rsidRPr="00115221">
        <w:rPr>
          <w:rFonts w:cs="Times New Roman"/>
          <w:snapToGrid w:val="0"/>
          <w:kern w:val="22"/>
          <w:szCs w:val="22"/>
          <w:lang w:val="fr-CA"/>
        </w:rPr>
        <w:t>bligation de mettre certains ty</w:t>
      </w:r>
      <w:r w:rsidRPr="00115221">
        <w:rPr>
          <w:rFonts w:cs="Times New Roman"/>
          <w:snapToGrid w:val="0"/>
          <w:kern w:val="22"/>
          <w:szCs w:val="22"/>
          <w:lang w:val="fr-CA"/>
        </w:rPr>
        <w:t xml:space="preserve">pes de renseignements à la disposition du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conformément au paragraphe 3 de l’article 20 et autres dispositions du Protocole</w:t>
      </w:r>
      <w:r w:rsidR="004569FB" w:rsidRPr="00115221">
        <w:rPr>
          <w:rFonts w:cs="Times New Roman"/>
          <w:snapToGrid w:val="0"/>
          <w:kern w:val="22"/>
          <w:szCs w:val="22"/>
          <w:lang w:val="fr-CA"/>
        </w:rPr>
        <w:t xml:space="preserve">. </w:t>
      </w:r>
    </w:p>
    <w:p w14:paraId="341CC75C" w14:textId="3C84211D" w:rsidR="004569FB" w:rsidRPr="00115221" w:rsidRDefault="0020534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Dans ce context</w:t>
      </w:r>
      <w:r w:rsidR="00534A21" w:rsidRPr="00115221">
        <w:rPr>
          <w:rFonts w:cs="Times New Roman"/>
          <w:snapToGrid w:val="0"/>
          <w:kern w:val="22"/>
          <w:szCs w:val="22"/>
          <w:lang w:val="fr-CA"/>
        </w:rPr>
        <w:t>e</w:t>
      </w:r>
      <w:r w:rsidRPr="00115221">
        <w:rPr>
          <w:rFonts w:cs="Times New Roman"/>
          <w:snapToGrid w:val="0"/>
          <w:kern w:val="22"/>
          <w:szCs w:val="22"/>
          <w:lang w:val="fr-CA"/>
        </w:rPr>
        <w:t>, le Comité a examiné le r</w:t>
      </w:r>
      <w:r w:rsidR="00534A21" w:rsidRPr="00115221">
        <w:rPr>
          <w:rFonts w:cs="Times New Roman"/>
          <w:snapToGrid w:val="0"/>
          <w:kern w:val="22"/>
          <w:szCs w:val="22"/>
          <w:lang w:val="fr-CA"/>
        </w:rPr>
        <w:t>esp</w:t>
      </w:r>
      <w:r w:rsidRPr="00115221">
        <w:rPr>
          <w:rFonts w:cs="Times New Roman"/>
          <w:snapToGrid w:val="0"/>
          <w:kern w:val="22"/>
          <w:szCs w:val="22"/>
          <w:lang w:val="fr-CA"/>
        </w:rPr>
        <w:t>ect par les Parties de l’obligation de remettre leurs deu</w:t>
      </w:r>
      <w:r w:rsidR="00534A21" w:rsidRPr="00115221">
        <w:rPr>
          <w:rFonts w:cs="Times New Roman"/>
          <w:snapToGrid w:val="0"/>
          <w:kern w:val="22"/>
          <w:szCs w:val="22"/>
          <w:lang w:val="fr-CA"/>
        </w:rPr>
        <w:t>x</w:t>
      </w:r>
      <w:r w:rsidRPr="00115221">
        <w:rPr>
          <w:rFonts w:cs="Times New Roman"/>
          <w:snapToGrid w:val="0"/>
          <w:kern w:val="22"/>
          <w:szCs w:val="22"/>
          <w:lang w:val="fr-CA"/>
        </w:rPr>
        <w:t xml:space="preserve">ième et troisième rapports </w:t>
      </w:r>
      <w:r w:rsidRPr="00115221">
        <w:rPr>
          <w:rFonts w:eastAsia="Times New Roman" w:cs="Times New Roman"/>
          <w:snapToGrid w:val="0"/>
          <w:kern w:val="22"/>
          <w:szCs w:val="22"/>
          <w:lang w:val="fr-CA"/>
        </w:rPr>
        <w:t>nationaux</w:t>
      </w:r>
      <w:r w:rsidRPr="00115221">
        <w:rPr>
          <w:rFonts w:cs="Times New Roman"/>
          <w:snapToGrid w:val="0"/>
          <w:kern w:val="22"/>
          <w:szCs w:val="22"/>
          <w:lang w:val="fr-CA"/>
        </w:rPr>
        <w:t xml:space="preserve"> et a pris une série de mesures </w:t>
      </w:r>
      <w:r w:rsidR="00534A21" w:rsidRPr="00115221">
        <w:rPr>
          <w:rFonts w:cs="Times New Roman"/>
          <w:snapToGrid w:val="0"/>
          <w:kern w:val="22"/>
          <w:szCs w:val="22"/>
          <w:lang w:val="fr-CA"/>
        </w:rPr>
        <w:t xml:space="preserve">de suivi progressives à cet égard. Le Comité a </w:t>
      </w:r>
      <w:r w:rsidR="0070473F">
        <w:rPr>
          <w:rFonts w:cs="Times New Roman"/>
          <w:snapToGrid w:val="0"/>
          <w:kern w:val="22"/>
          <w:szCs w:val="22"/>
          <w:lang w:val="fr-CA"/>
        </w:rPr>
        <w:t>constaté les</w:t>
      </w:r>
      <w:r w:rsidR="00534A21" w:rsidRPr="00115221">
        <w:rPr>
          <w:rFonts w:cs="Times New Roman"/>
          <w:snapToGrid w:val="0"/>
          <w:kern w:val="22"/>
          <w:szCs w:val="22"/>
          <w:lang w:val="fr-CA"/>
        </w:rPr>
        <w:t xml:space="preserve"> conséquences positives de ses efforts continus de soutien aux Parties dans la </w:t>
      </w:r>
      <w:r w:rsidR="00534A21" w:rsidRPr="00115221">
        <w:rPr>
          <w:rFonts w:cs="Times New Roman"/>
          <w:snapToGrid w:val="0"/>
          <w:kern w:val="22"/>
          <w:szCs w:val="22"/>
          <w:lang w:val="fr-CA"/>
        </w:rPr>
        <w:lastRenderedPageBreak/>
        <w:t>préparation et la remise de leurs rapports nationaux, notamment grâce à des mesures prises pour les Parties n’ayant pas rem</w:t>
      </w:r>
      <w:r w:rsidR="0070473F">
        <w:rPr>
          <w:rFonts w:cs="Times New Roman"/>
          <w:snapToGrid w:val="0"/>
          <w:kern w:val="22"/>
          <w:szCs w:val="22"/>
          <w:lang w:val="fr-CA"/>
        </w:rPr>
        <w:t>i</w:t>
      </w:r>
      <w:r w:rsidR="00534A21" w:rsidRPr="00115221">
        <w:rPr>
          <w:rFonts w:cs="Times New Roman"/>
          <w:snapToGrid w:val="0"/>
          <w:kern w:val="22"/>
          <w:szCs w:val="22"/>
          <w:lang w:val="fr-CA"/>
        </w:rPr>
        <w:t xml:space="preserve">s de rapport national pour plusieurs </w:t>
      </w:r>
      <w:r w:rsidR="00015D73" w:rsidRPr="00115221">
        <w:rPr>
          <w:rFonts w:cs="Times New Roman"/>
          <w:snapToGrid w:val="0"/>
          <w:kern w:val="22"/>
          <w:szCs w:val="22"/>
          <w:lang w:val="fr-CA"/>
        </w:rPr>
        <w:t>cycles</w:t>
      </w:r>
      <w:r w:rsidR="00534A21" w:rsidRPr="00115221">
        <w:rPr>
          <w:rFonts w:cs="Times New Roman"/>
          <w:snapToGrid w:val="0"/>
          <w:kern w:val="22"/>
          <w:szCs w:val="22"/>
          <w:lang w:val="fr-CA"/>
        </w:rPr>
        <w:t xml:space="preserve"> </w:t>
      </w:r>
      <w:r w:rsidR="005C6F2D">
        <w:rPr>
          <w:rFonts w:cs="Times New Roman"/>
          <w:snapToGrid w:val="0"/>
          <w:kern w:val="22"/>
          <w:szCs w:val="22"/>
          <w:lang w:val="fr-CA"/>
        </w:rPr>
        <w:t>de présentation des rapports</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42"/>
      </w:r>
      <w:r w:rsidR="004569FB" w:rsidRPr="00115221">
        <w:rPr>
          <w:rFonts w:cs="Times New Roman"/>
          <w:snapToGrid w:val="0"/>
          <w:kern w:val="22"/>
          <w:szCs w:val="22"/>
          <w:lang w:val="fr-CA"/>
        </w:rPr>
        <w:t xml:space="preserve"> </w:t>
      </w:r>
    </w:p>
    <w:p w14:paraId="4F18F574" w14:textId="4F346607" w:rsidR="004569FB" w:rsidRPr="00115221" w:rsidRDefault="00015D73"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Le Comité a également examiné et effectué le suivi de problèmes de conformité en lien avec l’intégralité de l’information sur le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comme indiqué dans l’indicateur 3.1.5, ci-dessous. Dans ce contexte, la Conférence des Parties siégeant en tant que réunion des Parties au Protocole a pris note avec satisfaction</w:t>
      </w:r>
      <w:r w:rsidR="0070473F">
        <w:rPr>
          <w:rFonts w:cs="Times New Roman"/>
          <w:snapToGrid w:val="0"/>
          <w:kern w:val="22"/>
          <w:szCs w:val="22"/>
          <w:lang w:val="fr-CA"/>
        </w:rPr>
        <w:t>,</w:t>
      </w:r>
      <w:r w:rsidRPr="00115221">
        <w:rPr>
          <w:rFonts w:cs="Times New Roman"/>
          <w:snapToGrid w:val="0"/>
          <w:kern w:val="22"/>
          <w:szCs w:val="22"/>
          <w:lang w:val="fr-CA"/>
        </w:rPr>
        <w:t xml:space="preserve"> à sa neuvième réunion, des efforts des Parties pour respecter leur obligation au titre du Pro</w:t>
      </w:r>
      <w:r w:rsidR="008B5EDF" w:rsidRPr="00115221">
        <w:rPr>
          <w:rFonts w:cs="Times New Roman"/>
          <w:snapToGrid w:val="0"/>
          <w:kern w:val="22"/>
          <w:szCs w:val="22"/>
          <w:lang w:val="fr-CA"/>
        </w:rPr>
        <w:t>tocole</w:t>
      </w:r>
      <w:r w:rsidR="00622280">
        <w:rPr>
          <w:rFonts w:cs="Times New Roman"/>
          <w:snapToGrid w:val="0"/>
          <w:kern w:val="22"/>
          <w:szCs w:val="22"/>
          <w:lang w:val="fr-CA"/>
        </w:rPr>
        <w:t>, à savoir</w:t>
      </w:r>
      <w:r w:rsidR="008B5EDF" w:rsidRPr="00115221">
        <w:rPr>
          <w:rFonts w:cs="Times New Roman"/>
          <w:snapToGrid w:val="0"/>
          <w:kern w:val="22"/>
          <w:szCs w:val="22"/>
          <w:lang w:val="fr-CA"/>
        </w:rPr>
        <w:t xml:space="preserve"> de mettre cette informati</w:t>
      </w:r>
      <w:r w:rsidRPr="00115221">
        <w:rPr>
          <w:rFonts w:cs="Times New Roman"/>
          <w:snapToGrid w:val="0"/>
          <w:kern w:val="22"/>
          <w:szCs w:val="22"/>
          <w:lang w:val="fr-CA"/>
        </w:rPr>
        <w:t xml:space="preserve">on </w:t>
      </w:r>
      <w:r w:rsidR="008B5EDF" w:rsidRPr="00115221">
        <w:rPr>
          <w:rFonts w:cs="Times New Roman"/>
          <w:snapToGrid w:val="0"/>
          <w:kern w:val="22"/>
          <w:szCs w:val="22"/>
          <w:lang w:val="fr-CA"/>
        </w:rPr>
        <w:t xml:space="preserve">à </w:t>
      </w:r>
      <w:r w:rsidRPr="00115221">
        <w:rPr>
          <w:rFonts w:cs="Times New Roman"/>
          <w:snapToGrid w:val="0"/>
          <w:kern w:val="22"/>
          <w:szCs w:val="22"/>
          <w:lang w:val="fr-CA"/>
        </w:rPr>
        <w:t xml:space="preserve">disposition au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(décision CP-9/1). Le Comité a aussi examiné le resp</w:t>
      </w:r>
      <w:r w:rsidR="008B5EDF" w:rsidRPr="00115221">
        <w:rPr>
          <w:rFonts w:cs="Times New Roman"/>
          <w:snapToGrid w:val="0"/>
          <w:kern w:val="22"/>
          <w:szCs w:val="22"/>
          <w:lang w:val="fr-CA"/>
        </w:rPr>
        <w:t>e</w:t>
      </w:r>
      <w:r w:rsidRPr="00115221">
        <w:rPr>
          <w:rFonts w:cs="Times New Roman"/>
          <w:snapToGrid w:val="0"/>
          <w:kern w:val="22"/>
          <w:szCs w:val="22"/>
          <w:lang w:val="fr-CA"/>
        </w:rPr>
        <w:t>ct de l’</w:t>
      </w:r>
      <w:r w:rsidR="008B5EDF" w:rsidRPr="00115221">
        <w:rPr>
          <w:rFonts w:cs="Times New Roman"/>
          <w:snapToGrid w:val="0"/>
          <w:kern w:val="22"/>
          <w:szCs w:val="22"/>
          <w:lang w:val="fr-CA"/>
        </w:rPr>
        <w:t>obligation de prendre le</w:t>
      </w:r>
      <w:r w:rsidRPr="00115221">
        <w:rPr>
          <w:rFonts w:cs="Times New Roman"/>
          <w:snapToGrid w:val="0"/>
          <w:kern w:val="22"/>
          <w:szCs w:val="22"/>
          <w:lang w:val="fr-CA"/>
        </w:rPr>
        <w:t>s</w:t>
      </w:r>
      <w:r w:rsidR="008B5EDF" w:rsidRPr="00115221">
        <w:rPr>
          <w:rFonts w:cs="Times New Roman"/>
          <w:snapToGrid w:val="0"/>
          <w:kern w:val="22"/>
          <w:szCs w:val="22"/>
          <w:lang w:val="fr-CA"/>
        </w:rPr>
        <w:t xml:space="preserve"> </w:t>
      </w:r>
      <w:r w:rsidRPr="00115221">
        <w:rPr>
          <w:rFonts w:cs="Times New Roman"/>
          <w:snapToGrid w:val="0"/>
          <w:kern w:val="22"/>
          <w:szCs w:val="22"/>
          <w:lang w:val="fr-CA"/>
        </w:rPr>
        <w:t xml:space="preserve">mesures nécessaires </w:t>
      </w:r>
      <w:r w:rsidR="008B5EDF" w:rsidRPr="00115221">
        <w:rPr>
          <w:rFonts w:cs="Times New Roman"/>
          <w:snapToGrid w:val="0"/>
          <w:kern w:val="22"/>
          <w:szCs w:val="22"/>
          <w:lang w:val="fr-CA"/>
        </w:rPr>
        <w:t>pour appliquer le Protocole et a fait le suivi auprès des Parties à cet égard après la troisième évaluation et examen et l’examen de mi-mandat</w:t>
      </w:r>
      <w:r w:rsidR="004569FB" w:rsidRPr="00115221">
        <w:rPr>
          <w:rFonts w:cs="Times New Roman"/>
          <w:snapToGrid w:val="0"/>
          <w:kern w:val="22"/>
          <w:szCs w:val="22"/>
          <w:lang w:val="fr-CA"/>
        </w:rPr>
        <w:t xml:space="preserve">. </w:t>
      </w:r>
    </w:p>
    <w:p w14:paraId="0B8D459A" w14:textId="621D2C50" w:rsidR="004569FB" w:rsidRPr="00115221" w:rsidRDefault="008B5ED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Le rôle de soutien du Comité au titre de la décision</w:t>
      </w:r>
      <w:r w:rsidR="004569FB" w:rsidRPr="00115221">
        <w:rPr>
          <w:rFonts w:cs="Times New Roman"/>
          <w:snapToGrid w:val="0"/>
          <w:kern w:val="22"/>
          <w:szCs w:val="22"/>
          <w:lang w:val="fr-CA"/>
        </w:rPr>
        <w:t xml:space="preserve"> BS-V/1,</w:t>
      </w:r>
      <w:r w:rsidR="004569FB" w:rsidRPr="00115221">
        <w:rPr>
          <w:rStyle w:val="FootnoteReference"/>
          <w:rFonts w:cs="Times New Roman"/>
          <w:snapToGrid w:val="0"/>
          <w:kern w:val="22"/>
          <w:szCs w:val="22"/>
          <w:lang w:val="fr-CA"/>
        </w:rPr>
        <w:footnoteReference w:id="43"/>
      </w:r>
      <w:r w:rsidR="004569FB" w:rsidRPr="00115221">
        <w:rPr>
          <w:rFonts w:cs="Times New Roman"/>
          <w:snapToGrid w:val="0"/>
          <w:kern w:val="22"/>
          <w:szCs w:val="22"/>
          <w:lang w:val="fr-CA"/>
        </w:rPr>
        <w:t xml:space="preserve"> </w:t>
      </w:r>
      <w:r w:rsidRPr="00115221">
        <w:rPr>
          <w:rFonts w:cs="Times New Roman"/>
          <w:snapToGrid w:val="0"/>
          <w:kern w:val="22"/>
          <w:szCs w:val="22"/>
          <w:lang w:val="fr-CA"/>
        </w:rPr>
        <w:t xml:space="preserve">a été bien reçu par la Conférence des Parties siégeant en tant que réunion des Parties </w:t>
      </w:r>
      <w:r w:rsidR="0070473F">
        <w:rPr>
          <w:rFonts w:cs="Times New Roman"/>
          <w:snapToGrid w:val="0"/>
          <w:kern w:val="22"/>
          <w:szCs w:val="22"/>
          <w:lang w:val="fr-CA"/>
        </w:rPr>
        <w:t xml:space="preserve">au Protocole </w:t>
      </w:r>
      <w:r w:rsidRPr="00115221">
        <w:rPr>
          <w:rFonts w:cs="Times New Roman"/>
          <w:snapToGrid w:val="0"/>
          <w:kern w:val="22"/>
          <w:szCs w:val="22"/>
          <w:lang w:val="fr-CA"/>
        </w:rPr>
        <w:t>en tant que contribution au</w:t>
      </w:r>
      <w:r w:rsidR="0070473F">
        <w:rPr>
          <w:rFonts w:cs="Times New Roman"/>
          <w:snapToGrid w:val="0"/>
          <w:kern w:val="22"/>
          <w:szCs w:val="22"/>
          <w:lang w:val="fr-CA"/>
        </w:rPr>
        <w:t>x</w:t>
      </w:r>
      <w:r w:rsidRPr="00115221">
        <w:rPr>
          <w:rFonts w:cs="Times New Roman"/>
          <w:snapToGrid w:val="0"/>
          <w:kern w:val="22"/>
          <w:szCs w:val="22"/>
          <w:lang w:val="fr-CA"/>
        </w:rPr>
        <w:t xml:space="preserve"> progrès déclarés dans le contexte de la troisième évaluation et examen du Protocole et l’évaluation de mi-mandat du Plan stratégique (décision CP-VIII/15)</w:t>
      </w:r>
      <w:r w:rsidR="004569FB" w:rsidRPr="00115221">
        <w:rPr>
          <w:rFonts w:cs="Times New Roman"/>
          <w:snapToGrid w:val="0"/>
          <w:kern w:val="22"/>
          <w:szCs w:val="22"/>
          <w:lang w:val="fr-CA"/>
        </w:rPr>
        <w:t xml:space="preserve">.  </w:t>
      </w:r>
    </w:p>
    <w:p w14:paraId="0680EA6C" w14:textId="7BAA37D9" w:rsidR="00AD6896" w:rsidRPr="00115221" w:rsidRDefault="008B5ED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Une description plus détaillée de l’expérience du Comité dans son rôle de soutien aux Parties co</w:t>
      </w:r>
      <w:r w:rsidR="00CF28B4" w:rsidRPr="00115221">
        <w:rPr>
          <w:rFonts w:cs="Times New Roman"/>
          <w:snapToGrid w:val="0"/>
          <w:kern w:val="22"/>
          <w:szCs w:val="22"/>
          <w:lang w:val="fr-CA"/>
        </w:rPr>
        <w:t>n</w:t>
      </w:r>
      <w:r w:rsidRPr="00115221">
        <w:rPr>
          <w:rFonts w:cs="Times New Roman"/>
          <w:snapToGrid w:val="0"/>
          <w:kern w:val="22"/>
          <w:szCs w:val="22"/>
          <w:lang w:val="fr-CA"/>
        </w:rPr>
        <w:t xml:space="preserve">cernant le respect </w:t>
      </w:r>
      <w:r w:rsidR="00CF28B4" w:rsidRPr="00115221">
        <w:rPr>
          <w:rFonts w:cs="Times New Roman"/>
          <w:snapToGrid w:val="0"/>
          <w:kern w:val="22"/>
          <w:szCs w:val="22"/>
          <w:lang w:val="fr-CA"/>
        </w:rPr>
        <w:t>des</w:t>
      </w:r>
      <w:r w:rsidRPr="00115221">
        <w:rPr>
          <w:rFonts w:cs="Times New Roman"/>
          <w:snapToGrid w:val="0"/>
          <w:kern w:val="22"/>
          <w:szCs w:val="22"/>
          <w:lang w:val="fr-CA"/>
        </w:rPr>
        <w:t xml:space="preserve"> obligations </w:t>
      </w:r>
      <w:r w:rsidR="00CF28B4" w:rsidRPr="00115221">
        <w:rPr>
          <w:rFonts w:cs="Times New Roman"/>
          <w:snapToGrid w:val="0"/>
          <w:kern w:val="22"/>
          <w:szCs w:val="22"/>
          <w:lang w:val="fr-CA"/>
        </w:rPr>
        <w:t xml:space="preserve">de celles-ci </w:t>
      </w:r>
      <w:r w:rsidRPr="00115221">
        <w:rPr>
          <w:rFonts w:cs="Times New Roman"/>
          <w:snapToGrid w:val="0"/>
          <w:kern w:val="22"/>
          <w:szCs w:val="22"/>
          <w:lang w:val="fr-CA"/>
        </w:rPr>
        <w:t>au titre du Protocole</w:t>
      </w:r>
      <w:r w:rsidR="00CF28B4" w:rsidRPr="00115221">
        <w:rPr>
          <w:rFonts w:cs="Times New Roman"/>
          <w:snapToGrid w:val="0"/>
          <w:kern w:val="22"/>
          <w:szCs w:val="22"/>
          <w:lang w:val="fr-CA"/>
        </w:rPr>
        <w:t xml:space="preserve"> dans le contexte des indicateurs du Plan stratégique est offerte dans le document</w:t>
      </w:r>
      <w:r w:rsidR="00AD6896" w:rsidRPr="00115221">
        <w:rPr>
          <w:rFonts w:cs="Times New Roman"/>
          <w:snapToGrid w:val="0"/>
          <w:kern w:val="22"/>
          <w:szCs w:val="22"/>
          <w:lang w:val="fr-CA"/>
        </w:rPr>
        <w:t xml:space="preserve"> CBD/CP/CC/17/3.</w:t>
      </w:r>
    </w:p>
    <w:p w14:paraId="1DA54E60" w14:textId="0767F610" w:rsidR="004569FB" w:rsidRPr="00115221" w:rsidRDefault="00CF28B4" w:rsidP="00B44100">
      <w:pPr>
        <w:pStyle w:val="ListParagraph"/>
        <w:numPr>
          <w:ilvl w:val="0"/>
          <w:numId w:val="9"/>
        </w:numPr>
        <w:tabs>
          <w:tab w:val="clear" w:pos="3240"/>
        </w:tabs>
        <w:snapToGrid w:val="0"/>
        <w:spacing w:before="120" w:after="120"/>
        <w:ind w:left="0" w:firstLine="0"/>
        <w:contextualSpacing w:val="0"/>
        <w:rPr>
          <w:rFonts w:cs="Times New Roman"/>
          <w:iCs/>
          <w:snapToGrid w:val="0"/>
          <w:kern w:val="22"/>
          <w:szCs w:val="22"/>
          <w:lang w:val="fr-CA"/>
        </w:rPr>
      </w:pPr>
      <w:r w:rsidRPr="00115221">
        <w:rPr>
          <w:rFonts w:cs="Times New Roman"/>
          <w:snapToGrid w:val="0"/>
          <w:kern w:val="22"/>
          <w:szCs w:val="22"/>
          <w:lang w:val="fr-CA"/>
        </w:rPr>
        <w:t xml:space="preserve">En ce qui concerne </w:t>
      </w:r>
      <w:r w:rsidRPr="00115221">
        <w:rPr>
          <w:rFonts w:cs="Times New Roman"/>
          <w:b/>
          <w:snapToGrid w:val="0"/>
          <w:kern w:val="22"/>
          <w:szCs w:val="22"/>
          <w:lang w:val="fr-CA"/>
        </w:rPr>
        <w:t>l’indicateur 3.1.2</w:t>
      </w:r>
      <w:r w:rsidRPr="00115221">
        <w:rPr>
          <w:rFonts w:cs="Times New Roman"/>
          <w:snapToGrid w:val="0"/>
          <w:kern w:val="22"/>
          <w:szCs w:val="22"/>
          <w:lang w:val="fr-CA"/>
        </w:rPr>
        <w:t xml:space="preserve"> (no</w:t>
      </w:r>
      <w:r w:rsidR="00391AB7" w:rsidRPr="00115221">
        <w:rPr>
          <w:rFonts w:cs="Times New Roman"/>
          <w:snapToGrid w:val="0"/>
          <w:kern w:val="22"/>
          <w:szCs w:val="22"/>
          <w:lang w:val="fr-CA"/>
        </w:rPr>
        <w:t>mbre de Parties ayant mis en place de</w:t>
      </w:r>
      <w:r w:rsidRPr="00115221">
        <w:rPr>
          <w:rFonts w:cs="Times New Roman"/>
          <w:snapToGrid w:val="0"/>
          <w:kern w:val="22"/>
          <w:szCs w:val="22"/>
          <w:lang w:val="fr-CA"/>
        </w:rPr>
        <w:t>s</w:t>
      </w:r>
      <w:r w:rsidR="00391AB7" w:rsidRPr="00115221">
        <w:rPr>
          <w:rFonts w:cs="Times New Roman"/>
          <w:snapToGrid w:val="0"/>
          <w:kern w:val="22"/>
          <w:szCs w:val="22"/>
          <w:lang w:val="fr-CA"/>
        </w:rPr>
        <w:t xml:space="preserve"> </w:t>
      </w:r>
      <w:r w:rsidRPr="00115221">
        <w:rPr>
          <w:rFonts w:cs="Times New Roman"/>
          <w:snapToGrid w:val="0"/>
          <w:kern w:val="22"/>
          <w:szCs w:val="22"/>
          <w:lang w:val="fr-CA"/>
        </w:rPr>
        <w:t xml:space="preserve">mesures légales, administratives et autres mesures </w:t>
      </w:r>
      <w:r w:rsidR="00391AB7" w:rsidRPr="00115221">
        <w:rPr>
          <w:rFonts w:cs="Times New Roman"/>
          <w:snapToGrid w:val="0"/>
          <w:kern w:val="22"/>
          <w:szCs w:val="22"/>
          <w:lang w:val="fr-CA"/>
        </w:rPr>
        <w:t xml:space="preserve">nationales </w:t>
      </w:r>
      <w:r w:rsidRPr="00115221">
        <w:rPr>
          <w:rFonts w:cs="Times New Roman"/>
          <w:snapToGrid w:val="0"/>
          <w:kern w:val="22"/>
          <w:szCs w:val="22"/>
          <w:lang w:val="fr-CA"/>
        </w:rPr>
        <w:t>approuvées et fonctionnelles</w:t>
      </w:r>
      <w:r w:rsidR="00391AB7" w:rsidRPr="00115221">
        <w:rPr>
          <w:rFonts w:cs="Times New Roman"/>
          <w:snapToGrid w:val="0"/>
          <w:kern w:val="22"/>
          <w:szCs w:val="22"/>
          <w:lang w:val="fr-CA"/>
        </w:rPr>
        <w:t xml:space="preserve"> pour appliquer le Protocole</w:t>
      </w:r>
      <w:r w:rsidR="004569FB" w:rsidRPr="00115221">
        <w:rPr>
          <w:rFonts w:cs="Times New Roman"/>
          <w:iCs/>
          <w:snapToGrid w:val="0"/>
          <w:kern w:val="22"/>
          <w:szCs w:val="22"/>
          <w:lang w:val="fr-CA"/>
        </w:rPr>
        <w:t>)</w:t>
      </w:r>
      <w:r w:rsidR="00A10B0D">
        <w:rPr>
          <w:rFonts w:cs="Times New Roman"/>
          <w:iCs/>
          <w:snapToGrid w:val="0"/>
          <w:kern w:val="22"/>
          <w:szCs w:val="22"/>
          <w:lang w:val="fr-CA"/>
        </w:rPr>
        <w:t>, 55 </w:t>
      </w:r>
      <w:r w:rsidR="00391AB7" w:rsidRPr="00115221">
        <w:rPr>
          <w:rFonts w:cs="Times New Roman"/>
          <w:iCs/>
          <w:snapToGrid w:val="0"/>
          <w:kern w:val="22"/>
          <w:szCs w:val="22"/>
          <w:lang w:val="fr-CA"/>
        </w:rPr>
        <w:t>p. cent des Parties (51 Parties) ont déclaré que les mesures pour appliquer le Protoc</w:t>
      </w:r>
      <w:r w:rsidR="007F0260" w:rsidRPr="00115221">
        <w:rPr>
          <w:rFonts w:cs="Times New Roman"/>
          <w:iCs/>
          <w:snapToGrid w:val="0"/>
          <w:kern w:val="22"/>
          <w:szCs w:val="22"/>
          <w:lang w:val="fr-CA"/>
        </w:rPr>
        <w:t xml:space="preserve">ole </w:t>
      </w:r>
      <w:r w:rsidR="00A10B0D">
        <w:rPr>
          <w:rFonts w:cs="Times New Roman"/>
          <w:iCs/>
          <w:snapToGrid w:val="0"/>
          <w:kern w:val="22"/>
          <w:szCs w:val="22"/>
          <w:lang w:val="fr-CA"/>
        </w:rPr>
        <w:t>s</w:t>
      </w:r>
      <w:r w:rsidR="007F0260" w:rsidRPr="00115221">
        <w:rPr>
          <w:rFonts w:cs="Times New Roman"/>
          <w:iCs/>
          <w:snapToGrid w:val="0"/>
          <w:kern w:val="22"/>
          <w:szCs w:val="22"/>
          <w:lang w:val="fr-CA"/>
        </w:rPr>
        <w:t>ont entièrement mises en pla</w:t>
      </w:r>
      <w:r w:rsidR="00391AB7" w:rsidRPr="00115221">
        <w:rPr>
          <w:rFonts w:cs="Times New Roman"/>
          <w:iCs/>
          <w:snapToGrid w:val="0"/>
          <w:kern w:val="22"/>
          <w:szCs w:val="22"/>
          <w:lang w:val="fr-CA"/>
        </w:rPr>
        <w:t>ce, une augmentation de 8 p. cent</w:t>
      </w:r>
      <w:r w:rsidR="007F0260" w:rsidRPr="00115221">
        <w:rPr>
          <w:rFonts w:cs="Times New Roman"/>
          <w:iCs/>
          <w:snapToGrid w:val="0"/>
          <w:kern w:val="22"/>
          <w:szCs w:val="22"/>
          <w:lang w:val="fr-CA"/>
        </w:rPr>
        <w:t xml:space="preserve"> par rappor</w:t>
      </w:r>
      <w:r w:rsidR="00391AB7" w:rsidRPr="00115221">
        <w:rPr>
          <w:rFonts w:cs="Times New Roman"/>
          <w:iCs/>
          <w:snapToGrid w:val="0"/>
          <w:kern w:val="22"/>
          <w:szCs w:val="22"/>
          <w:lang w:val="fr-CA"/>
        </w:rPr>
        <w:t>t à la valeur de référence. Trente-neuf p. cent des Parties (36 Parties) ont déclaré q</w:t>
      </w:r>
      <w:r w:rsidR="007F0260" w:rsidRPr="00115221">
        <w:rPr>
          <w:rFonts w:cs="Times New Roman"/>
          <w:iCs/>
          <w:snapToGrid w:val="0"/>
          <w:kern w:val="22"/>
          <w:szCs w:val="22"/>
          <w:lang w:val="fr-CA"/>
        </w:rPr>
        <w:t xml:space="preserve">ue des mesures nationales </w:t>
      </w:r>
      <w:r w:rsidR="00A10B0D">
        <w:rPr>
          <w:rFonts w:cs="Times New Roman"/>
          <w:iCs/>
          <w:snapToGrid w:val="0"/>
          <w:kern w:val="22"/>
          <w:szCs w:val="22"/>
          <w:lang w:val="fr-CA"/>
        </w:rPr>
        <w:t>s</w:t>
      </w:r>
      <w:r w:rsidR="007F0260" w:rsidRPr="00115221">
        <w:rPr>
          <w:rFonts w:cs="Times New Roman"/>
          <w:iCs/>
          <w:snapToGrid w:val="0"/>
          <w:kern w:val="22"/>
          <w:szCs w:val="22"/>
          <w:lang w:val="fr-CA"/>
        </w:rPr>
        <w:t>ont pa</w:t>
      </w:r>
      <w:r w:rsidR="00391AB7" w:rsidRPr="00115221">
        <w:rPr>
          <w:rFonts w:cs="Times New Roman"/>
          <w:iCs/>
          <w:snapToGrid w:val="0"/>
          <w:kern w:val="22"/>
          <w:szCs w:val="22"/>
          <w:lang w:val="fr-CA"/>
        </w:rPr>
        <w:t>rtiellement mise</w:t>
      </w:r>
      <w:r w:rsidR="00A10B0D">
        <w:rPr>
          <w:rFonts w:cs="Times New Roman"/>
          <w:iCs/>
          <w:snapToGrid w:val="0"/>
          <w:kern w:val="22"/>
          <w:szCs w:val="22"/>
          <w:lang w:val="fr-CA"/>
        </w:rPr>
        <w:t>s en place, une diminution de 1 </w:t>
      </w:r>
      <w:r w:rsidR="00391AB7" w:rsidRPr="00115221">
        <w:rPr>
          <w:rFonts w:cs="Times New Roman"/>
          <w:iCs/>
          <w:snapToGrid w:val="0"/>
          <w:kern w:val="22"/>
          <w:szCs w:val="22"/>
          <w:lang w:val="fr-CA"/>
        </w:rPr>
        <w:t>p. cent par rapport à la valeur de référence. Une Partie, représentant 1 p. cent des Parties, a déclaré que seules des mesures tempor</w:t>
      </w:r>
      <w:r w:rsidR="007F0260" w:rsidRPr="00115221">
        <w:rPr>
          <w:rFonts w:cs="Times New Roman"/>
          <w:iCs/>
          <w:snapToGrid w:val="0"/>
          <w:kern w:val="22"/>
          <w:szCs w:val="22"/>
          <w:lang w:val="fr-CA"/>
        </w:rPr>
        <w:t>aires ont été apportées, une di</w:t>
      </w:r>
      <w:r w:rsidR="00391AB7" w:rsidRPr="00115221">
        <w:rPr>
          <w:rFonts w:cs="Times New Roman"/>
          <w:iCs/>
          <w:snapToGrid w:val="0"/>
          <w:kern w:val="22"/>
          <w:szCs w:val="22"/>
          <w:lang w:val="fr-CA"/>
        </w:rPr>
        <w:t>minution de 2 Parties par rapport</w:t>
      </w:r>
      <w:r w:rsidR="00A10B0D">
        <w:rPr>
          <w:rFonts w:cs="Times New Roman"/>
          <w:iCs/>
          <w:snapToGrid w:val="0"/>
          <w:kern w:val="22"/>
          <w:szCs w:val="22"/>
          <w:lang w:val="fr-CA"/>
        </w:rPr>
        <w:t xml:space="preserve"> à la valeur de référence (-2 p.</w:t>
      </w:r>
      <w:r w:rsidR="00391AB7" w:rsidRPr="00115221">
        <w:rPr>
          <w:rFonts w:cs="Times New Roman"/>
          <w:iCs/>
          <w:snapToGrid w:val="0"/>
          <w:kern w:val="22"/>
          <w:szCs w:val="22"/>
          <w:lang w:val="fr-CA"/>
        </w:rPr>
        <w:t xml:space="preserve"> cent). Cinq parties ont déclaré que la moitié seulement des mesures ont été mises</w:t>
      </w:r>
      <w:r w:rsidR="000E7121">
        <w:rPr>
          <w:rFonts w:cs="Times New Roman"/>
          <w:iCs/>
          <w:snapToGrid w:val="0"/>
          <w:kern w:val="22"/>
          <w:szCs w:val="22"/>
          <w:lang w:val="fr-CA"/>
        </w:rPr>
        <w:t xml:space="preserve"> en place, une diminution de 1 P</w:t>
      </w:r>
      <w:r w:rsidR="00391AB7" w:rsidRPr="00115221">
        <w:rPr>
          <w:rFonts w:cs="Times New Roman"/>
          <w:iCs/>
          <w:snapToGrid w:val="0"/>
          <w:kern w:val="22"/>
          <w:szCs w:val="22"/>
          <w:lang w:val="fr-CA"/>
        </w:rPr>
        <w:t>artie (-1 p. cent). Aucune Partie n’a déc</w:t>
      </w:r>
      <w:r w:rsidR="007F0260" w:rsidRPr="00115221">
        <w:rPr>
          <w:rFonts w:cs="Times New Roman"/>
          <w:iCs/>
          <w:snapToGrid w:val="0"/>
          <w:kern w:val="22"/>
          <w:szCs w:val="22"/>
          <w:lang w:val="fr-CA"/>
        </w:rPr>
        <w:t>laré qu’aucune mesure n’avait é</w:t>
      </w:r>
      <w:r w:rsidR="00391AB7" w:rsidRPr="00115221">
        <w:rPr>
          <w:rFonts w:cs="Times New Roman"/>
          <w:iCs/>
          <w:snapToGrid w:val="0"/>
          <w:kern w:val="22"/>
          <w:szCs w:val="22"/>
          <w:lang w:val="fr-CA"/>
        </w:rPr>
        <w:t xml:space="preserve">té prise, une diminution de 3 Parties par rapport à la valeur de référence </w:t>
      </w:r>
      <w:r w:rsidR="00A10B0D">
        <w:rPr>
          <w:rFonts w:cs="Times New Roman"/>
          <w:iCs/>
          <w:snapToGrid w:val="0"/>
          <w:kern w:val="22"/>
          <w:szCs w:val="22"/>
          <w:lang w:val="fr-CA"/>
        </w:rPr>
        <w:t xml:space="preserve">(-3 p. cent) </w:t>
      </w:r>
      <w:r w:rsidR="00391AB7" w:rsidRPr="00115221">
        <w:rPr>
          <w:rFonts w:cs="Times New Roman"/>
          <w:iCs/>
          <w:snapToGrid w:val="0"/>
          <w:kern w:val="22"/>
          <w:szCs w:val="22"/>
          <w:lang w:val="fr-CA"/>
        </w:rPr>
        <w:t xml:space="preserve">(voir la figure 8) (voir aussi les </w:t>
      </w:r>
      <w:r w:rsidR="007F0260" w:rsidRPr="00115221">
        <w:rPr>
          <w:rFonts w:cs="Times New Roman"/>
          <w:b/>
          <w:iCs/>
          <w:snapToGrid w:val="0"/>
          <w:kern w:val="22"/>
          <w:szCs w:val="22"/>
          <w:lang w:val="fr-CA"/>
        </w:rPr>
        <w:t>indicateurs </w:t>
      </w:r>
      <w:r w:rsidR="00391AB7" w:rsidRPr="00115221">
        <w:rPr>
          <w:rFonts w:cs="Times New Roman"/>
          <w:b/>
          <w:iCs/>
          <w:snapToGrid w:val="0"/>
          <w:kern w:val="22"/>
          <w:szCs w:val="22"/>
          <w:lang w:val="fr-CA"/>
        </w:rPr>
        <w:t xml:space="preserve">1.1.1 </w:t>
      </w:r>
      <w:r w:rsidR="00391AB7" w:rsidRPr="00115221">
        <w:rPr>
          <w:rFonts w:cs="Times New Roman"/>
          <w:iCs/>
          <w:snapToGrid w:val="0"/>
          <w:kern w:val="22"/>
          <w:szCs w:val="22"/>
          <w:lang w:val="fr-CA"/>
        </w:rPr>
        <w:t xml:space="preserve">et </w:t>
      </w:r>
      <w:r w:rsidR="00391AB7" w:rsidRPr="00115221">
        <w:rPr>
          <w:rFonts w:cs="Times New Roman"/>
          <w:b/>
          <w:iCs/>
          <w:snapToGrid w:val="0"/>
          <w:kern w:val="22"/>
          <w:szCs w:val="22"/>
          <w:lang w:val="fr-CA"/>
        </w:rPr>
        <w:t>2.1.2</w:t>
      </w:r>
      <w:r w:rsidR="00391AB7" w:rsidRPr="00115221">
        <w:rPr>
          <w:rFonts w:cs="Times New Roman"/>
          <w:iCs/>
          <w:snapToGrid w:val="0"/>
          <w:kern w:val="22"/>
          <w:szCs w:val="22"/>
          <w:lang w:val="fr-CA"/>
        </w:rPr>
        <w:t>, ci-dessus)</w:t>
      </w:r>
      <w:r w:rsidR="004569FB" w:rsidRPr="00115221">
        <w:rPr>
          <w:rFonts w:cs="Times New Roman"/>
          <w:iCs/>
          <w:snapToGrid w:val="0"/>
          <w:kern w:val="22"/>
          <w:szCs w:val="22"/>
          <w:lang w:val="fr-CA"/>
        </w:rPr>
        <w:t xml:space="preserve">. </w:t>
      </w:r>
    </w:p>
    <w:p w14:paraId="014CD40E" w14:textId="66AD2232" w:rsidR="004569FB" w:rsidRPr="00115221" w:rsidRDefault="007F0260" w:rsidP="00B44100">
      <w:pPr>
        <w:pStyle w:val="ListParagraph"/>
        <w:numPr>
          <w:ilvl w:val="0"/>
          <w:numId w:val="9"/>
        </w:numPr>
        <w:tabs>
          <w:tab w:val="clear" w:pos="3240"/>
        </w:tabs>
        <w:snapToGrid w:val="0"/>
        <w:spacing w:before="120" w:after="120"/>
        <w:ind w:left="0" w:firstLine="0"/>
        <w:contextualSpacing w:val="0"/>
        <w:rPr>
          <w:rFonts w:cs="Times New Roman"/>
          <w:iCs/>
          <w:snapToGrid w:val="0"/>
          <w:kern w:val="22"/>
          <w:szCs w:val="22"/>
          <w:lang w:val="fr-CA"/>
        </w:rPr>
      </w:pPr>
      <w:r w:rsidRPr="00115221">
        <w:rPr>
          <w:rFonts w:cs="Times New Roman"/>
          <w:iCs/>
          <w:snapToGrid w:val="0"/>
          <w:kern w:val="22"/>
          <w:szCs w:val="22"/>
          <w:lang w:val="fr-CA"/>
        </w:rPr>
        <w:t xml:space="preserve">Cinquante-huit p. cent des Parties (53 Parties) ont déclaré avoir mis en place un mécanisme d’affectation budgétaire pour le fonctionnement de leurs mesures </w:t>
      </w:r>
      <w:r w:rsidRPr="00115221">
        <w:rPr>
          <w:rFonts w:eastAsia="Times New Roman" w:cs="Times New Roman"/>
          <w:iCs/>
          <w:snapToGrid w:val="0"/>
          <w:kern w:val="22"/>
          <w:szCs w:val="22"/>
          <w:lang w:val="fr-CA"/>
        </w:rPr>
        <w:t>nationales</w:t>
      </w:r>
      <w:r w:rsidRPr="00115221">
        <w:rPr>
          <w:rFonts w:cs="Times New Roman"/>
          <w:iCs/>
          <w:snapToGrid w:val="0"/>
          <w:kern w:val="22"/>
          <w:szCs w:val="22"/>
          <w:lang w:val="fr-CA"/>
        </w:rPr>
        <w:t xml:space="preserve"> de prévention des risques biotechnologiques, une diminution de 10 p. cent. Vingt-trois p. cent des Parties (21 Parties) ont déclaré avoir mis de telles mesures en place </w:t>
      </w:r>
      <w:r w:rsidR="00410688">
        <w:rPr>
          <w:rFonts w:cs="Times New Roman"/>
          <w:iCs/>
          <w:snapToGrid w:val="0"/>
          <w:kern w:val="22"/>
          <w:szCs w:val="22"/>
          <w:lang w:val="fr-CA"/>
        </w:rPr>
        <w:t>dans une certaine mesure</w:t>
      </w:r>
      <w:r w:rsidRPr="00115221">
        <w:rPr>
          <w:rFonts w:cs="Times New Roman"/>
          <w:iCs/>
          <w:snapToGrid w:val="0"/>
          <w:kern w:val="22"/>
          <w:szCs w:val="22"/>
          <w:lang w:val="fr-CA"/>
        </w:rPr>
        <w:t>, une augmentation de 24 p. cent</w:t>
      </w:r>
      <w:r w:rsidR="004569FB" w:rsidRPr="00115221">
        <w:rPr>
          <w:rFonts w:cs="Times New Roman"/>
          <w:iCs/>
          <w:snapToGrid w:val="0"/>
          <w:kern w:val="22"/>
          <w:szCs w:val="22"/>
          <w:lang w:val="fr-CA"/>
        </w:rPr>
        <w:t>.</w:t>
      </w:r>
      <w:r w:rsidR="004569FB" w:rsidRPr="00115221">
        <w:rPr>
          <w:rStyle w:val="FootnoteReference"/>
          <w:rFonts w:cs="Times New Roman"/>
          <w:iCs/>
          <w:snapToGrid w:val="0"/>
          <w:kern w:val="22"/>
          <w:szCs w:val="22"/>
          <w:lang w:val="fr-CA"/>
        </w:rPr>
        <w:footnoteReference w:id="44"/>
      </w:r>
      <w:r w:rsidR="004569FB" w:rsidRPr="00115221">
        <w:rPr>
          <w:rFonts w:cs="Times New Roman"/>
          <w:iCs/>
          <w:snapToGrid w:val="0"/>
          <w:kern w:val="22"/>
          <w:szCs w:val="22"/>
          <w:lang w:val="fr-CA"/>
        </w:rPr>
        <w:t xml:space="preserve"> </w:t>
      </w:r>
      <w:r w:rsidRPr="00115221">
        <w:rPr>
          <w:rFonts w:cs="Times New Roman"/>
          <w:iCs/>
          <w:snapToGrid w:val="0"/>
          <w:kern w:val="22"/>
          <w:szCs w:val="22"/>
          <w:lang w:val="fr-CA"/>
        </w:rPr>
        <w:t xml:space="preserve">En réunissant ces deux groupes, 74 Parties (81 p. cent) ont déclaré qu’un mécanisme est en place ou est en place </w:t>
      </w:r>
      <w:r w:rsidR="00410688">
        <w:rPr>
          <w:rFonts w:cs="Times New Roman"/>
          <w:iCs/>
          <w:snapToGrid w:val="0"/>
          <w:kern w:val="22"/>
          <w:szCs w:val="22"/>
          <w:lang w:val="fr-CA"/>
        </w:rPr>
        <w:t>dans une certaine mesure</w:t>
      </w:r>
      <w:r w:rsidRPr="00115221">
        <w:rPr>
          <w:rFonts w:cs="Times New Roman"/>
          <w:iCs/>
          <w:snapToGrid w:val="0"/>
          <w:kern w:val="22"/>
          <w:szCs w:val="22"/>
          <w:lang w:val="fr-CA"/>
        </w:rPr>
        <w:t xml:space="preserve">, une augmentation de 13 p. cent par rapport à la valeur de référence (les différences combinées </w:t>
      </w:r>
      <w:r w:rsidR="00CD1D43" w:rsidRPr="00115221">
        <w:rPr>
          <w:rFonts w:cs="Times New Roman"/>
          <w:iCs/>
          <w:snapToGrid w:val="0"/>
          <w:kern w:val="22"/>
          <w:szCs w:val="22"/>
          <w:lang w:val="fr-CA"/>
        </w:rPr>
        <w:t>représentent dans les régions : Asie-Pacifique : +25 p. cent</w:t>
      </w:r>
      <w:r w:rsidR="00CA572D">
        <w:rPr>
          <w:rFonts w:cs="Times New Roman"/>
          <w:iCs/>
          <w:snapToGrid w:val="0"/>
          <w:kern w:val="22"/>
          <w:szCs w:val="22"/>
          <w:lang w:val="fr-CA"/>
        </w:rPr>
        <w:t>;</w:t>
      </w:r>
      <w:r w:rsidR="00CD1D43" w:rsidRPr="00115221">
        <w:rPr>
          <w:rFonts w:cs="Times New Roman"/>
          <w:iCs/>
          <w:snapToGrid w:val="0"/>
          <w:kern w:val="22"/>
          <w:szCs w:val="22"/>
          <w:lang w:val="fr-CA"/>
        </w:rPr>
        <w:t xml:space="preserve"> ECE : +24 p. cent</w:t>
      </w:r>
      <w:r w:rsidR="00CA572D">
        <w:rPr>
          <w:rFonts w:cs="Times New Roman"/>
          <w:iCs/>
          <w:snapToGrid w:val="0"/>
          <w:kern w:val="22"/>
          <w:szCs w:val="22"/>
          <w:lang w:val="fr-CA"/>
        </w:rPr>
        <w:t>;</w:t>
      </w:r>
      <w:r w:rsidR="00CD1D43" w:rsidRPr="00115221">
        <w:rPr>
          <w:rFonts w:cs="Times New Roman"/>
          <w:iCs/>
          <w:snapToGrid w:val="0"/>
          <w:kern w:val="22"/>
          <w:szCs w:val="22"/>
          <w:lang w:val="fr-CA"/>
        </w:rPr>
        <w:t xml:space="preserve"> Afrique : +13 p. cent; GALC : -1 p. cent et EOA : aucune différence)</w:t>
      </w:r>
      <w:r w:rsidR="004569FB" w:rsidRPr="00115221">
        <w:rPr>
          <w:rFonts w:cs="Times New Roman"/>
          <w:iCs/>
          <w:snapToGrid w:val="0"/>
          <w:kern w:val="22"/>
          <w:szCs w:val="22"/>
          <w:lang w:val="fr-CA"/>
        </w:rPr>
        <w:t>.</w:t>
      </w:r>
    </w:p>
    <w:p w14:paraId="0AE33E86" w14:textId="05F85471" w:rsidR="004569FB" w:rsidRPr="00115221" w:rsidRDefault="00CD1D43" w:rsidP="00B44100">
      <w:pPr>
        <w:pStyle w:val="ListParagraph"/>
        <w:numPr>
          <w:ilvl w:val="0"/>
          <w:numId w:val="9"/>
        </w:numPr>
        <w:tabs>
          <w:tab w:val="clear" w:pos="3240"/>
        </w:tabs>
        <w:snapToGrid w:val="0"/>
        <w:spacing w:before="120" w:after="120"/>
        <w:ind w:left="0" w:firstLine="0"/>
        <w:contextualSpacing w:val="0"/>
        <w:rPr>
          <w:rFonts w:cs="Times New Roman"/>
          <w:iCs/>
          <w:snapToGrid w:val="0"/>
          <w:kern w:val="22"/>
          <w:szCs w:val="22"/>
          <w:lang w:val="fr-CA"/>
        </w:rPr>
      </w:pPr>
      <w:r w:rsidRPr="00115221">
        <w:rPr>
          <w:rFonts w:cs="Times New Roman"/>
          <w:iCs/>
          <w:snapToGrid w:val="0"/>
          <w:kern w:val="22"/>
          <w:szCs w:val="22"/>
          <w:lang w:val="fr-CA"/>
        </w:rPr>
        <w:t>Q</w:t>
      </w:r>
      <w:r w:rsidR="004A0988" w:rsidRPr="00115221">
        <w:rPr>
          <w:rFonts w:cs="Times New Roman"/>
          <w:iCs/>
          <w:snapToGrid w:val="0"/>
          <w:kern w:val="22"/>
          <w:szCs w:val="22"/>
          <w:lang w:val="fr-CA"/>
        </w:rPr>
        <w:t>uatre-vingt-quatorze p. cen</w:t>
      </w:r>
      <w:r w:rsidRPr="00115221">
        <w:rPr>
          <w:rFonts w:cs="Times New Roman"/>
          <w:iCs/>
          <w:snapToGrid w:val="0"/>
          <w:kern w:val="22"/>
          <w:szCs w:val="22"/>
          <w:lang w:val="fr-CA"/>
        </w:rPr>
        <w:t>t des Parties (87 Parties) ont d</w:t>
      </w:r>
      <w:r w:rsidR="004A0988" w:rsidRPr="00115221">
        <w:rPr>
          <w:rFonts w:cs="Times New Roman"/>
          <w:iCs/>
          <w:snapToGrid w:val="0"/>
          <w:kern w:val="22"/>
          <w:szCs w:val="22"/>
          <w:lang w:val="fr-CA"/>
        </w:rPr>
        <w:t xml:space="preserve">éclaré avoir un </w:t>
      </w:r>
      <w:r w:rsidR="000E7121">
        <w:rPr>
          <w:rFonts w:cs="Times New Roman"/>
          <w:iCs/>
          <w:snapToGrid w:val="0"/>
          <w:kern w:val="22"/>
          <w:szCs w:val="22"/>
          <w:lang w:val="fr-CA"/>
        </w:rPr>
        <w:t>effectif</w:t>
      </w:r>
      <w:r w:rsidR="004A0988" w:rsidRPr="00115221">
        <w:rPr>
          <w:rFonts w:cs="Times New Roman"/>
          <w:iCs/>
          <w:snapToGrid w:val="0"/>
          <w:kern w:val="22"/>
          <w:szCs w:val="22"/>
          <w:lang w:val="fr-CA"/>
        </w:rPr>
        <w:t xml:space="preserve"> perman</w:t>
      </w:r>
      <w:r w:rsidRPr="00115221">
        <w:rPr>
          <w:rFonts w:cs="Times New Roman"/>
          <w:iCs/>
          <w:snapToGrid w:val="0"/>
          <w:kern w:val="22"/>
          <w:szCs w:val="22"/>
          <w:lang w:val="fr-CA"/>
        </w:rPr>
        <w:t>ent chargé d’administrer les fonctions directement liées à la prévention des risques biotechnologiques, une augmentation de 8 p. cent (les différences entre les régions sont les suivantes : Afrique : +17 p. cent</w:t>
      </w:r>
      <w:r w:rsidR="00CA572D">
        <w:rPr>
          <w:rFonts w:cs="Times New Roman"/>
          <w:iCs/>
          <w:snapToGrid w:val="0"/>
          <w:kern w:val="22"/>
          <w:szCs w:val="22"/>
          <w:lang w:val="fr-CA"/>
        </w:rPr>
        <w:t>;</w:t>
      </w:r>
      <w:r w:rsidRPr="00115221">
        <w:rPr>
          <w:rFonts w:cs="Times New Roman"/>
          <w:iCs/>
          <w:snapToGrid w:val="0"/>
          <w:kern w:val="22"/>
          <w:szCs w:val="22"/>
          <w:lang w:val="fr-CA"/>
        </w:rPr>
        <w:t xml:space="preserve"> GALC : + 8 p. cent; ECE : + 6 p. cent; Asie-Pacifique et EOA : aucune différence par rapport à la valeur de référence). </w:t>
      </w:r>
      <w:r w:rsidR="004A0988" w:rsidRPr="00115221">
        <w:rPr>
          <w:rFonts w:cs="Times New Roman"/>
          <w:iCs/>
          <w:snapToGrid w:val="0"/>
          <w:kern w:val="22"/>
          <w:szCs w:val="22"/>
          <w:lang w:val="fr-CA"/>
        </w:rPr>
        <w:t xml:space="preserve">Malgré l’absence de données permettant de comparer les différences à la valeur de référence, 47 p. cent des Parties ont déclaré que le nombre d’employés était adéquat. Des différences importantes ont </w:t>
      </w:r>
      <w:r w:rsidR="004A0988" w:rsidRPr="00115221">
        <w:rPr>
          <w:rFonts w:cs="Times New Roman"/>
          <w:iCs/>
          <w:snapToGrid w:val="0"/>
          <w:kern w:val="22"/>
          <w:szCs w:val="22"/>
          <w:lang w:val="fr-CA"/>
        </w:rPr>
        <w:lastRenderedPageBreak/>
        <w:t>toutefois été déclarées par région (EOA : 87 p. cent; ECE : 71 p. cent</w:t>
      </w:r>
      <w:r w:rsidR="00CA572D">
        <w:rPr>
          <w:rFonts w:cs="Times New Roman"/>
          <w:iCs/>
          <w:snapToGrid w:val="0"/>
          <w:kern w:val="22"/>
          <w:szCs w:val="22"/>
          <w:lang w:val="fr-CA"/>
        </w:rPr>
        <w:t>;</w:t>
      </w:r>
      <w:r w:rsidR="004A0988" w:rsidRPr="00115221">
        <w:rPr>
          <w:rFonts w:cs="Times New Roman"/>
          <w:iCs/>
          <w:snapToGrid w:val="0"/>
          <w:kern w:val="22"/>
          <w:szCs w:val="22"/>
          <w:lang w:val="fr-CA"/>
        </w:rPr>
        <w:t xml:space="preserve"> Asie-Pacifique : 44 p. cent</w:t>
      </w:r>
      <w:r w:rsidR="00CA572D">
        <w:rPr>
          <w:rFonts w:cs="Times New Roman"/>
          <w:iCs/>
          <w:snapToGrid w:val="0"/>
          <w:kern w:val="22"/>
          <w:szCs w:val="22"/>
          <w:lang w:val="fr-CA"/>
        </w:rPr>
        <w:t>; GAL</w:t>
      </w:r>
      <w:r w:rsidR="004A0988" w:rsidRPr="00115221">
        <w:rPr>
          <w:rFonts w:cs="Times New Roman"/>
          <w:iCs/>
          <w:snapToGrid w:val="0"/>
          <w:kern w:val="22"/>
          <w:szCs w:val="22"/>
          <w:lang w:val="fr-CA"/>
        </w:rPr>
        <w:t>C : 27 p. cent et Afrique : 20 p. cent)</w:t>
      </w:r>
      <w:r w:rsidR="004569FB" w:rsidRPr="00115221">
        <w:rPr>
          <w:rFonts w:cs="Times New Roman"/>
          <w:iCs/>
          <w:snapToGrid w:val="0"/>
          <w:kern w:val="22"/>
          <w:szCs w:val="22"/>
          <w:lang w:val="fr-CA"/>
        </w:rPr>
        <w:t>.</w:t>
      </w:r>
      <w:r w:rsidR="004569FB" w:rsidRPr="00115221">
        <w:rPr>
          <w:rStyle w:val="FootnoteReference"/>
          <w:rFonts w:cs="Times New Roman"/>
          <w:iCs/>
          <w:snapToGrid w:val="0"/>
          <w:kern w:val="22"/>
          <w:szCs w:val="22"/>
          <w:lang w:val="fr-CA"/>
        </w:rPr>
        <w:footnoteReference w:id="45"/>
      </w:r>
    </w:p>
    <w:p w14:paraId="6474C9B7" w14:textId="2A4B0926" w:rsidR="004569FB" w:rsidRPr="00087262" w:rsidRDefault="00D04518" w:rsidP="004569FB">
      <w:pPr>
        <w:pStyle w:val="ListParagraph"/>
        <w:numPr>
          <w:ilvl w:val="0"/>
          <w:numId w:val="9"/>
        </w:numPr>
        <w:tabs>
          <w:tab w:val="clear" w:pos="3240"/>
        </w:tabs>
        <w:snapToGrid w:val="0"/>
        <w:spacing w:before="120" w:after="120"/>
        <w:ind w:left="0" w:firstLine="0"/>
        <w:contextualSpacing w:val="0"/>
        <w:rPr>
          <w:rFonts w:cs="Times New Roman"/>
          <w:i/>
          <w:iCs/>
          <w:snapToGrid w:val="0"/>
          <w:kern w:val="22"/>
          <w:szCs w:val="22"/>
          <w:lang w:val="fr-CA"/>
        </w:rPr>
      </w:pPr>
      <w:r w:rsidRPr="00115221">
        <w:rPr>
          <w:rFonts w:cs="Times New Roman"/>
          <w:iCs/>
          <w:snapToGrid w:val="0"/>
          <w:kern w:val="22"/>
          <w:szCs w:val="22"/>
          <w:lang w:val="fr-CA"/>
        </w:rPr>
        <w:t>Plusieur</w:t>
      </w:r>
      <w:r w:rsidR="000E7121">
        <w:rPr>
          <w:rFonts w:cs="Times New Roman"/>
          <w:iCs/>
          <w:snapToGrid w:val="0"/>
          <w:kern w:val="22"/>
          <w:szCs w:val="22"/>
          <w:lang w:val="fr-CA"/>
        </w:rPr>
        <w:t>s Parties ont indiqué dans leur</w:t>
      </w:r>
      <w:r w:rsidRPr="00115221">
        <w:rPr>
          <w:rFonts w:cs="Times New Roman"/>
          <w:iCs/>
          <w:snapToGrid w:val="0"/>
          <w:kern w:val="22"/>
          <w:szCs w:val="22"/>
          <w:lang w:val="fr-CA"/>
        </w:rPr>
        <w:t xml:space="preserve"> exposé écrit que des instruments légaux sont en voie d’élabo</w:t>
      </w:r>
      <w:r w:rsidR="00CA572D">
        <w:rPr>
          <w:rFonts w:cs="Times New Roman"/>
          <w:iCs/>
          <w:snapToGrid w:val="0"/>
          <w:kern w:val="22"/>
          <w:szCs w:val="22"/>
          <w:lang w:val="fr-CA"/>
        </w:rPr>
        <w:t>ration ou en attente d’adoption.</w:t>
      </w:r>
      <w:r w:rsidRPr="00115221">
        <w:rPr>
          <w:rFonts w:cs="Times New Roman"/>
          <w:iCs/>
          <w:snapToGrid w:val="0"/>
          <w:kern w:val="22"/>
          <w:szCs w:val="22"/>
          <w:lang w:val="fr-CA"/>
        </w:rPr>
        <w:t xml:space="preserve"> Certain</w:t>
      </w:r>
      <w:r w:rsidR="00CA572D">
        <w:rPr>
          <w:rFonts w:cs="Times New Roman"/>
          <w:iCs/>
          <w:snapToGrid w:val="0"/>
          <w:kern w:val="22"/>
          <w:szCs w:val="22"/>
          <w:lang w:val="fr-CA"/>
        </w:rPr>
        <w:t>e</w:t>
      </w:r>
      <w:r w:rsidRPr="00115221">
        <w:rPr>
          <w:rFonts w:cs="Times New Roman"/>
          <w:iCs/>
          <w:snapToGrid w:val="0"/>
          <w:kern w:val="22"/>
          <w:szCs w:val="22"/>
          <w:lang w:val="fr-CA"/>
        </w:rPr>
        <w:t>s de ces Parties ont précisé que l’adoption de ces instruments d</w:t>
      </w:r>
      <w:r w:rsidR="00882C2A" w:rsidRPr="00115221">
        <w:rPr>
          <w:rFonts w:cs="Times New Roman"/>
          <w:iCs/>
          <w:snapToGrid w:val="0"/>
          <w:kern w:val="22"/>
          <w:szCs w:val="22"/>
          <w:lang w:val="fr-CA"/>
        </w:rPr>
        <w:t>evrait avoir des conséquences bé</w:t>
      </w:r>
      <w:r w:rsidRPr="00115221">
        <w:rPr>
          <w:rFonts w:cs="Times New Roman"/>
          <w:iCs/>
          <w:snapToGrid w:val="0"/>
          <w:kern w:val="22"/>
          <w:szCs w:val="22"/>
          <w:lang w:val="fr-CA"/>
        </w:rPr>
        <w:t>néfiques pour les structures institutionnelles et la disp</w:t>
      </w:r>
      <w:r w:rsidR="00882C2A" w:rsidRPr="00115221">
        <w:rPr>
          <w:rFonts w:cs="Times New Roman"/>
          <w:iCs/>
          <w:snapToGrid w:val="0"/>
          <w:kern w:val="22"/>
          <w:szCs w:val="22"/>
          <w:lang w:val="fr-CA"/>
        </w:rPr>
        <w:t>o</w:t>
      </w:r>
      <w:r w:rsidRPr="00115221">
        <w:rPr>
          <w:rFonts w:cs="Times New Roman"/>
          <w:iCs/>
          <w:snapToGrid w:val="0"/>
          <w:kern w:val="22"/>
          <w:szCs w:val="22"/>
          <w:lang w:val="fr-CA"/>
        </w:rPr>
        <w:t xml:space="preserve">nibilité des ressources. Certaines Parties ont mentionné l’importance d’intégrer la prévention des risques biotechnologiques </w:t>
      </w:r>
      <w:r w:rsidR="00CA572D">
        <w:rPr>
          <w:rFonts w:cs="Times New Roman"/>
          <w:iCs/>
          <w:snapToGrid w:val="0"/>
          <w:kern w:val="22"/>
          <w:szCs w:val="22"/>
          <w:lang w:val="fr-CA"/>
        </w:rPr>
        <w:t>à</w:t>
      </w:r>
      <w:r w:rsidRPr="00115221">
        <w:rPr>
          <w:rFonts w:cs="Times New Roman"/>
          <w:iCs/>
          <w:snapToGrid w:val="0"/>
          <w:kern w:val="22"/>
          <w:szCs w:val="22"/>
          <w:lang w:val="fr-CA"/>
        </w:rPr>
        <w:t xml:space="preserve"> divers instruments </w:t>
      </w:r>
      <w:r w:rsidR="00882C2A" w:rsidRPr="00115221">
        <w:rPr>
          <w:rFonts w:cs="Times New Roman"/>
          <w:iCs/>
          <w:snapToGrid w:val="0"/>
          <w:kern w:val="22"/>
          <w:szCs w:val="22"/>
          <w:lang w:val="fr-CA"/>
        </w:rPr>
        <w:t xml:space="preserve">de politique et légaux sectoriels et intersectoriels. Certaines Parties ont indiqué avoir abordé efficacement la question de la prévention des risques biotechnologiques dans les lois et politiques sectorielles et intersectorielles. Plusieurs Parties ont indiqué que le manque de </w:t>
      </w:r>
      <w:r w:rsidR="00882C2A" w:rsidRPr="00115221">
        <w:rPr>
          <w:rFonts w:eastAsia="Times New Roman" w:cs="Times New Roman"/>
          <w:iCs/>
          <w:snapToGrid w:val="0"/>
          <w:kern w:val="22"/>
          <w:szCs w:val="22"/>
          <w:lang w:val="fr-CA"/>
        </w:rPr>
        <w:t>ressources</w:t>
      </w:r>
      <w:r w:rsidR="00882C2A" w:rsidRPr="00115221">
        <w:rPr>
          <w:rFonts w:cs="Times New Roman"/>
          <w:iCs/>
          <w:snapToGrid w:val="0"/>
          <w:kern w:val="22"/>
          <w:szCs w:val="22"/>
          <w:lang w:val="fr-CA"/>
        </w:rPr>
        <w:t xml:space="preserve"> et de capacités a eu des conséquences négatives sur l’application du Protocole.</w:t>
      </w:r>
    </w:p>
    <w:p w14:paraId="6F6B6AF0" w14:textId="5EC68E6A" w:rsidR="004569FB" w:rsidRDefault="004569FB" w:rsidP="004569FB">
      <w:pPr>
        <w:pStyle w:val="ListParagraph"/>
        <w:snapToGrid w:val="0"/>
        <w:ind w:left="0"/>
        <w:contextualSpacing w:val="0"/>
        <w:rPr>
          <w:rFonts w:cs="Times New Roman"/>
          <w:i/>
          <w:iCs/>
          <w:snapToGrid w:val="0"/>
          <w:kern w:val="22"/>
          <w:szCs w:val="22"/>
          <w:lang w:val="fr-CA"/>
        </w:rPr>
      </w:pPr>
    </w:p>
    <w:p w14:paraId="78AE8B83" w14:textId="2C937E6F" w:rsidR="006947E5" w:rsidRPr="00115221" w:rsidRDefault="006947E5" w:rsidP="004569FB">
      <w:pPr>
        <w:pStyle w:val="ListParagraph"/>
        <w:snapToGrid w:val="0"/>
        <w:ind w:left="0"/>
        <w:contextualSpacing w:val="0"/>
        <w:rPr>
          <w:rFonts w:cs="Times New Roman"/>
          <w:i/>
          <w:iCs/>
          <w:snapToGrid w:val="0"/>
          <w:kern w:val="22"/>
          <w:szCs w:val="22"/>
          <w:lang w:val="fr-CA"/>
        </w:rPr>
      </w:pPr>
      <w:r>
        <w:rPr>
          <w:rFonts w:cs="Times New Roman"/>
          <w:i/>
          <w:iCs/>
          <w:noProof/>
          <w:snapToGrid w:val="0"/>
          <w:kern w:val="22"/>
          <w:szCs w:val="22"/>
          <w:lang w:val="fr-CA"/>
        </w:rPr>
        <w:drawing>
          <wp:inline distT="0" distB="0" distL="0" distR="0" wp14:anchorId="107C569E" wp14:editId="229C7280">
            <wp:extent cx="5933661" cy="37785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85892" cy="3811826"/>
                    </a:xfrm>
                    <a:prstGeom prst="rect">
                      <a:avLst/>
                    </a:prstGeom>
                    <a:noFill/>
                  </pic:spPr>
                </pic:pic>
              </a:graphicData>
            </a:graphic>
          </wp:inline>
        </w:drawing>
      </w:r>
    </w:p>
    <w:p w14:paraId="1BEEC81E" w14:textId="78682968" w:rsidR="004569FB" w:rsidRPr="00115221" w:rsidRDefault="00861853" w:rsidP="003434D7">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Quant à </w:t>
      </w:r>
      <w:r w:rsidRPr="00100512">
        <w:rPr>
          <w:rFonts w:cs="Times New Roman"/>
          <w:b/>
          <w:snapToGrid w:val="0"/>
          <w:kern w:val="22"/>
          <w:szCs w:val="22"/>
          <w:lang w:val="fr-CA"/>
        </w:rPr>
        <w:t>l’indicateur 3.1.3</w:t>
      </w:r>
      <w:r w:rsidRPr="00115221">
        <w:rPr>
          <w:rFonts w:cs="Times New Roman"/>
          <w:snapToGrid w:val="0"/>
          <w:kern w:val="22"/>
          <w:szCs w:val="22"/>
          <w:lang w:val="fr-CA"/>
        </w:rPr>
        <w:t xml:space="preserve"> (pourcentage des Parties ayant désigné tous les correspondants nationaux), 98 p. cent </w:t>
      </w:r>
      <w:r w:rsidR="009D4E28">
        <w:rPr>
          <w:rFonts w:cs="Times New Roman"/>
          <w:snapToGrid w:val="0"/>
          <w:kern w:val="22"/>
          <w:szCs w:val="22"/>
          <w:lang w:val="fr-CA"/>
        </w:rPr>
        <w:t>des</w:t>
      </w:r>
      <w:r w:rsidRPr="00115221">
        <w:rPr>
          <w:rFonts w:cs="Times New Roman"/>
          <w:snapToGrid w:val="0"/>
          <w:kern w:val="22"/>
          <w:szCs w:val="22"/>
          <w:lang w:val="fr-CA"/>
        </w:rPr>
        <w:t xml:space="preserve"> Parties au Protocole (168 Parties) ont désigné leurs correspondants nationaux</w:t>
      </w:r>
      <w:r w:rsidR="009D4E28">
        <w:rPr>
          <w:rFonts w:cs="Times New Roman"/>
          <w:snapToGrid w:val="0"/>
          <w:kern w:val="22"/>
          <w:szCs w:val="22"/>
          <w:lang w:val="fr-CA"/>
        </w:rPr>
        <w:t xml:space="preserve"> pour le Protocole de Cartagena, u</w:t>
      </w:r>
      <w:r w:rsidRPr="00115221">
        <w:rPr>
          <w:rFonts w:cs="Times New Roman"/>
          <w:snapToGrid w:val="0"/>
          <w:kern w:val="22"/>
          <w:szCs w:val="22"/>
          <w:lang w:val="fr-CA"/>
        </w:rPr>
        <w:t>ne diminution de 1 p. cent par rapport à la valeur de référence, qui était de 99 p. cent (159 des 161 Parties, à l’époque). Quatre-vingt-dix-neuf p. cen</w:t>
      </w:r>
      <w:r w:rsidR="009D4E28">
        <w:rPr>
          <w:rFonts w:cs="Times New Roman"/>
          <w:snapToGrid w:val="0"/>
          <w:kern w:val="22"/>
          <w:szCs w:val="22"/>
          <w:lang w:val="fr-CA"/>
        </w:rPr>
        <w:t>t des Parties au Protocole (169 </w:t>
      </w:r>
      <w:r w:rsidRPr="00115221">
        <w:rPr>
          <w:rFonts w:cs="Times New Roman"/>
          <w:snapToGrid w:val="0"/>
          <w:kern w:val="22"/>
          <w:szCs w:val="22"/>
          <w:lang w:val="fr-CA"/>
        </w:rPr>
        <w:t xml:space="preserve">Parties) ont désigné leurs correspondants nationaux pour le </w:t>
      </w:r>
      <w:r w:rsidR="00B6412A">
        <w:rPr>
          <w:rFonts w:cs="Times New Roman"/>
          <w:snapToGrid w:val="0"/>
          <w:kern w:val="22"/>
          <w:szCs w:val="22"/>
          <w:lang w:val="fr-CA"/>
        </w:rPr>
        <w:t>centre d’échange</w:t>
      </w:r>
      <w:r w:rsidRPr="00115221">
        <w:rPr>
          <w:rFonts w:cs="Times New Roman"/>
          <w:snapToGrid w:val="0"/>
          <w:kern w:val="22"/>
          <w:szCs w:val="22"/>
          <w:lang w:val="fr-CA"/>
        </w:rPr>
        <w:t xml:space="preserve"> sur la prévention des risques biotechnologiques, ce qui ne représente aucune différence par rapport </w:t>
      </w:r>
      <w:r w:rsidR="00231AC8" w:rsidRPr="00115221">
        <w:rPr>
          <w:rFonts w:cs="Times New Roman"/>
          <w:snapToGrid w:val="0"/>
          <w:kern w:val="22"/>
          <w:szCs w:val="22"/>
          <w:lang w:val="fr-CA"/>
        </w:rPr>
        <w:t>à</w:t>
      </w:r>
      <w:r w:rsidRPr="00115221">
        <w:rPr>
          <w:rFonts w:cs="Times New Roman"/>
          <w:snapToGrid w:val="0"/>
          <w:kern w:val="22"/>
          <w:szCs w:val="22"/>
          <w:lang w:val="fr-CA"/>
        </w:rPr>
        <w:t xml:space="preserve"> la valeur de référe</w:t>
      </w:r>
      <w:r w:rsidR="000F558B">
        <w:rPr>
          <w:rFonts w:cs="Times New Roman"/>
          <w:snapToGrid w:val="0"/>
          <w:kern w:val="22"/>
          <w:szCs w:val="22"/>
          <w:lang w:val="fr-CA"/>
        </w:rPr>
        <w:t>nce, qui était de 99 p. cent (1</w:t>
      </w:r>
      <w:r w:rsidRPr="00115221">
        <w:rPr>
          <w:rFonts w:cs="Times New Roman"/>
          <w:snapToGrid w:val="0"/>
          <w:kern w:val="22"/>
          <w:szCs w:val="22"/>
          <w:lang w:val="fr-CA"/>
        </w:rPr>
        <w:t>60 des 161 Parties à l’époque)</w:t>
      </w:r>
      <w:r w:rsidR="009D4E28">
        <w:rPr>
          <w:rFonts w:cs="Times New Roman"/>
          <w:snapToGrid w:val="0"/>
          <w:kern w:val="22"/>
          <w:szCs w:val="22"/>
          <w:lang w:val="fr-CA"/>
        </w:rPr>
        <w:t>.</w:t>
      </w:r>
      <w:r w:rsidR="00EC10CA" w:rsidRPr="00115221">
        <w:rPr>
          <w:rFonts w:cs="Times New Roman"/>
          <w:snapToGrid w:val="0"/>
          <w:kern w:val="22"/>
          <w:szCs w:val="22"/>
          <w:lang w:val="fr-CA"/>
        </w:rPr>
        <w:t xml:space="preserve"> Quatre-vingt-neuf p. cent </w:t>
      </w:r>
      <w:r w:rsidR="00285E90">
        <w:rPr>
          <w:rFonts w:cs="Times New Roman"/>
          <w:snapToGrid w:val="0"/>
          <w:kern w:val="22"/>
          <w:szCs w:val="22"/>
          <w:lang w:val="fr-CA"/>
        </w:rPr>
        <w:t>des Parties au Protocole (152 </w:t>
      </w:r>
      <w:r w:rsidR="00EC10CA" w:rsidRPr="00115221">
        <w:rPr>
          <w:rFonts w:cs="Times New Roman"/>
          <w:snapToGrid w:val="0"/>
          <w:kern w:val="22"/>
          <w:szCs w:val="22"/>
          <w:lang w:val="fr-CA"/>
        </w:rPr>
        <w:t>Parties) ont désigné une autorité nationale comp</w:t>
      </w:r>
      <w:r w:rsidR="00231AC8" w:rsidRPr="00115221">
        <w:rPr>
          <w:rFonts w:cs="Times New Roman"/>
          <w:snapToGrid w:val="0"/>
          <w:kern w:val="22"/>
          <w:szCs w:val="22"/>
          <w:lang w:val="fr-CA"/>
        </w:rPr>
        <w:t>étent</w:t>
      </w:r>
      <w:r w:rsidR="00EC10CA" w:rsidRPr="00115221">
        <w:rPr>
          <w:rFonts w:cs="Times New Roman"/>
          <w:snapToGrid w:val="0"/>
          <w:kern w:val="22"/>
          <w:szCs w:val="22"/>
          <w:lang w:val="fr-CA"/>
        </w:rPr>
        <w:t xml:space="preserve">e ou plus, une augmentation de 1 p. cent par rapport à la valeur de référence, qui était de 88 p. cent (142 des 161 parties, à l’époque). De plus, 78 p. cent </w:t>
      </w:r>
      <w:r w:rsidR="00285E90">
        <w:rPr>
          <w:rFonts w:cs="Times New Roman"/>
          <w:snapToGrid w:val="0"/>
          <w:kern w:val="22"/>
          <w:szCs w:val="22"/>
          <w:lang w:val="fr-CA"/>
        </w:rPr>
        <w:t>des</w:t>
      </w:r>
      <w:r w:rsidR="00EC10CA" w:rsidRPr="00115221">
        <w:rPr>
          <w:rFonts w:cs="Times New Roman"/>
          <w:snapToGrid w:val="0"/>
          <w:kern w:val="22"/>
          <w:szCs w:val="22"/>
          <w:lang w:val="fr-CA"/>
        </w:rPr>
        <w:t xml:space="preserve"> Parties au Protocole (133</w:t>
      </w:r>
      <w:r w:rsidR="00285E90">
        <w:rPr>
          <w:rFonts w:cs="Times New Roman"/>
          <w:snapToGrid w:val="0"/>
          <w:kern w:val="22"/>
          <w:szCs w:val="22"/>
          <w:lang w:val="fr-CA"/>
        </w:rPr>
        <w:t xml:space="preserve"> P</w:t>
      </w:r>
      <w:r w:rsidR="00231AC8" w:rsidRPr="00115221">
        <w:rPr>
          <w:rFonts w:cs="Times New Roman"/>
          <w:snapToGrid w:val="0"/>
          <w:kern w:val="22"/>
          <w:szCs w:val="22"/>
          <w:lang w:val="fr-CA"/>
        </w:rPr>
        <w:t>arties) ont mis les coordonné</w:t>
      </w:r>
      <w:r w:rsidR="00EC10CA" w:rsidRPr="00115221">
        <w:rPr>
          <w:rFonts w:cs="Times New Roman"/>
          <w:snapToGrid w:val="0"/>
          <w:kern w:val="22"/>
          <w:szCs w:val="22"/>
          <w:lang w:val="fr-CA"/>
        </w:rPr>
        <w:t xml:space="preserve">es de leur point </w:t>
      </w:r>
      <w:r w:rsidR="00231AC8" w:rsidRPr="00115221">
        <w:rPr>
          <w:rFonts w:cs="Times New Roman"/>
          <w:snapToGrid w:val="0"/>
          <w:kern w:val="22"/>
          <w:szCs w:val="22"/>
          <w:lang w:val="fr-CA"/>
        </w:rPr>
        <w:t>de contact pour la réception de</w:t>
      </w:r>
      <w:r w:rsidR="00EC10CA" w:rsidRPr="00115221">
        <w:rPr>
          <w:rFonts w:cs="Times New Roman"/>
          <w:snapToGrid w:val="0"/>
          <w:kern w:val="22"/>
          <w:szCs w:val="22"/>
          <w:lang w:val="fr-CA"/>
        </w:rPr>
        <w:t>s</w:t>
      </w:r>
      <w:r w:rsidR="00231AC8" w:rsidRPr="00115221">
        <w:rPr>
          <w:rFonts w:cs="Times New Roman"/>
          <w:snapToGrid w:val="0"/>
          <w:kern w:val="22"/>
          <w:szCs w:val="22"/>
          <w:lang w:val="fr-CA"/>
        </w:rPr>
        <w:t xml:space="preserve"> </w:t>
      </w:r>
      <w:r w:rsidR="00EC10CA" w:rsidRPr="00115221">
        <w:rPr>
          <w:rFonts w:cs="Times New Roman"/>
          <w:snapToGrid w:val="0"/>
          <w:kern w:val="22"/>
          <w:szCs w:val="22"/>
          <w:lang w:val="fr-CA"/>
        </w:rPr>
        <w:t>n</w:t>
      </w:r>
      <w:r w:rsidR="00231AC8" w:rsidRPr="00115221">
        <w:rPr>
          <w:rFonts w:cs="Times New Roman"/>
          <w:snapToGrid w:val="0"/>
          <w:kern w:val="22"/>
          <w:szCs w:val="22"/>
          <w:lang w:val="fr-CA"/>
        </w:rPr>
        <w:t>otificati</w:t>
      </w:r>
      <w:r w:rsidR="00EC10CA" w:rsidRPr="00115221">
        <w:rPr>
          <w:rFonts w:cs="Times New Roman"/>
          <w:snapToGrid w:val="0"/>
          <w:kern w:val="22"/>
          <w:szCs w:val="22"/>
          <w:lang w:val="fr-CA"/>
        </w:rPr>
        <w:t xml:space="preserve">ons à la disposition du </w:t>
      </w:r>
      <w:r w:rsidR="00B6412A">
        <w:rPr>
          <w:rFonts w:cs="Times New Roman"/>
          <w:snapToGrid w:val="0"/>
          <w:kern w:val="22"/>
          <w:szCs w:val="22"/>
          <w:lang w:val="fr-CA"/>
        </w:rPr>
        <w:t>centre d’échange</w:t>
      </w:r>
      <w:r w:rsidR="00EC10CA" w:rsidRPr="00115221">
        <w:rPr>
          <w:rFonts w:cs="Times New Roman"/>
          <w:snapToGrid w:val="0"/>
          <w:kern w:val="22"/>
          <w:szCs w:val="22"/>
          <w:lang w:val="fr-CA"/>
        </w:rPr>
        <w:t xml:space="preserve"> sur la prévention des risques biotechnologiques, conformément à l’article 17, une augmentation de 34 p. cent par rapport à la v</w:t>
      </w:r>
      <w:r w:rsidR="00231AC8" w:rsidRPr="00115221">
        <w:rPr>
          <w:rFonts w:cs="Times New Roman"/>
          <w:snapToGrid w:val="0"/>
          <w:kern w:val="22"/>
          <w:szCs w:val="22"/>
          <w:lang w:val="fr-CA"/>
        </w:rPr>
        <w:t>a</w:t>
      </w:r>
      <w:r w:rsidR="00EC10CA" w:rsidRPr="00115221">
        <w:rPr>
          <w:rFonts w:cs="Times New Roman"/>
          <w:snapToGrid w:val="0"/>
          <w:kern w:val="22"/>
          <w:szCs w:val="22"/>
          <w:lang w:val="fr-CA"/>
        </w:rPr>
        <w:t>leur de référence, qui était de 44 p. cent</w:t>
      </w:r>
      <w:r w:rsidR="00231AC8" w:rsidRPr="00115221">
        <w:rPr>
          <w:rFonts w:cs="Times New Roman"/>
          <w:snapToGrid w:val="0"/>
          <w:kern w:val="22"/>
          <w:szCs w:val="22"/>
          <w:lang w:val="fr-CA"/>
        </w:rPr>
        <w:t xml:space="preserve"> (71 des 161 Parties, à l’époque</w:t>
      </w:r>
      <w:r w:rsidR="00122860" w:rsidRPr="00115221">
        <w:rPr>
          <w:rFonts w:cs="Times New Roman"/>
          <w:snapToGrid w:val="0"/>
          <w:kern w:val="22"/>
          <w:szCs w:val="22"/>
          <w:lang w:val="fr-CA"/>
        </w:rPr>
        <w:t>)</w:t>
      </w:r>
      <w:r w:rsidR="004569FB" w:rsidRPr="00115221">
        <w:rPr>
          <w:rFonts w:cs="Times New Roman"/>
          <w:iCs/>
          <w:snapToGrid w:val="0"/>
          <w:kern w:val="22"/>
          <w:szCs w:val="22"/>
          <w:lang w:val="fr-CA"/>
        </w:rPr>
        <w:t>.</w:t>
      </w:r>
    </w:p>
    <w:p w14:paraId="7A3C4C41" w14:textId="42807E04" w:rsidR="00FA1E8C" w:rsidRPr="00115221" w:rsidRDefault="00231AC8"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iCs/>
          <w:snapToGrid w:val="0"/>
          <w:kern w:val="22"/>
          <w:szCs w:val="22"/>
          <w:lang w:val="fr-CA"/>
        </w:rPr>
        <w:t xml:space="preserve">Pour ce qui concerne </w:t>
      </w:r>
      <w:r w:rsidRPr="00115221">
        <w:rPr>
          <w:rFonts w:cs="Times New Roman"/>
          <w:b/>
          <w:iCs/>
          <w:snapToGrid w:val="0"/>
          <w:kern w:val="22"/>
          <w:szCs w:val="22"/>
          <w:lang w:val="fr-CA"/>
        </w:rPr>
        <w:t>l’indicateur 3.1.4</w:t>
      </w:r>
      <w:r w:rsidR="00285E90">
        <w:rPr>
          <w:rFonts w:cs="Times New Roman"/>
          <w:iCs/>
          <w:snapToGrid w:val="0"/>
          <w:kern w:val="22"/>
          <w:szCs w:val="22"/>
          <w:lang w:val="fr-CA"/>
        </w:rPr>
        <w:t xml:space="preserve"> (nombre de P</w:t>
      </w:r>
      <w:r w:rsidRPr="00115221">
        <w:rPr>
          <w:rFonts w:cs="Times New Roman"/>
          <w:iCs/>
          <w:snapToGrid w:val="0"/>
          <w:kern w:val="22"/>
          <w:szCs w:val="22"/>
          <w:lang w:val="fr-CA"/>
        </w:rPr>
        <w:t>arties ayant mis en place un système de traitement des demandes, y compris le consentement préalable donné en connaissance de ca</w:t>
      </w:r>
      <w:r w:rsidR="00285E90">
        <w:rPr>
          <w:rFonts w:cs="Times New Roman"/>
          <w:iCs/>
          <w:snapToGrid w:val="0"/>
          <w:kern w:val="22"/>
          <w:szCs w:val="22"/>
          <w:lang w:val="fr-CA"/>
        </w:rPr>
        <w:t>u</w:t>
      </w:r>
      <w:r w:rsidRPr="00115221">
        <w:rPr>
          <w:rFonts w:cs="Times New Roman"/>
          <w:iCs/>
          <w:snapToGrid w:val="0"/>
          <w:kern w:val="22"/>
          <w:szCs w:val="22"/>
          <w:lang w:val="fr-CA"/>
        </w:rPr>
        <w:t xml:space="preserve">se), 66 p. cent </w:t>
      </w:r>
      <w:r w:rsidRPr="00115221">
        <w:rPr>
          <w:rFonts w:cs="Times New Roman"/>
          <w:iCs/>
          <w:snapToGrid w:val="0"/>
          <w:kern w:val="22"/>
          <w:szCs w:val="22"/>
          <w:lang w:val="fr-CA"/>
        </w:rPr>
        <w:lastRenderedPageBreak/>
        <w:t xml:space="preserve">des Parties (61 Parties) </w:t>
      </w:r>
      <w:r w:rsidR="00402D9F" w:rsidRPr="00115221">
        <w:rPr>
          <w:rFonts w:cs="Times New Roman"/>
          <w:iCs/>
          <w:snapToGrid w:val="0"/>
          <w:kern w:val="22"/>
          <w:szCs w:val="22"/>
          <w:lang w:val="fr-CA"/>
        </w:rPr>
        <w:t>ont déclaré avoir mis en place des exigences légales pour les exportateurs au tit</w:t>
      </w:r>
      <w:r w:rsidR="00FA05CA" w:rsidRPr="00115221">
        <w:rPr>
          <w:rFonts w:cs="Times New Roman"/>
          <w:iCs/>
          <w:snapToGrid w:val="0"/>
          <w:kern w:val="22"/>
          <w:szCs w:val="22"/>
          <w:lang w:val="fr-CA"/>
        </w:rPr>
        <w:t>r</w:t>
      </w:r>
      <w:r w:rsidR="00402D9F" w:rsidRPr="00115221">
        <w:rPr>
          <w:rFonts w:cs="Times New Roman"/>
          <w:iCs/>
          <w:snapToGrid w:val="0"/>
          <w:kern w:val="22"/>
          <w:szCs w:val="22"/>
          <w:lang w:val="fr-CA"/>
        </w:rPr>
        <w:t xml:space="preserve">e de leur cadre national de notification par écrit des autorités </w:t>
      </w:r>
      <w:r w:rsidR="00402D9F" w:rsidRPr="00115221">
        <w:rPr>
          <w:rFonts w:eastAsia="Times New Roman" w:cs="Times New Roman"/>
          <w:iCs/>
          <w:snapToGrid w:val="0"/>
          <w:kern w:val="22"/>
          <w:szCs w:val="22"/>
          <w:lang w:val="fr-CA"/>
        </w:rPr>
        <w:t>nationales</w:t>
      </w:r>
      <w:r w:rsidR="00402D9F" w:rsidRPr="00115221">
        <w:rPr>
          <w:rFonts w:cs="Times New Roman"/>
          <w:iCs/>
          <w:snapToGrid w:val="0"/>
          <w:kern w:val="22"/>
          <w:szCs w:val="22"/>
          <w:lang w:val="fr-CA"/>
        </w:rPr>
        <w:t xml:space="preserve"> compétentes de la Partie importatrice avant le mouvement </w:t>
      </w:r>
      <w:r w:rsidR="00FA05CA" w:rsidRPr="00115221">
        <w:rPr>
          <w:rFonts w:cs="Times New Roman"/>
          <w:iCs/>
          <w:snapToGrid w:val="0"/>
          <w:kern w:val="22"/>
          <w:szCs w:val="22"/>
          <w:lang w:val="fr-CA"/>
        </w:rPr>
        <w:t>transfrontière</w:t>
      </w:r>
      <w:r w:rsidR="00402D9F" w:rsidRPr="00115221">
        <w:rPr>
          <w:rFonts w:cs="Times New Roman"/>
          <w:iCs/>
          <w:snapToGrid w:val="0"/>
          <w:kern w:val="22"/>
          <w:szCs w:val="22"/>
          <w:lang w:val="fr-CA"/>
        </w:rPr>
        <w:t xml:space="preserve"> intentionnel d’un OVM</w:t>
      </w:r>
      <w:r w:rsidR="00FA05CA" w:rsidRPr="00115221">
        <w:rPr>
          <w:rFonts w:cs="Times New Roman"/>
          <w:iCs/>
          <w:snapToGrid w:val="0"/>
          <w:kern w:val="22"/>
          <w:szCs w:val="22"/>
          <w:lang w:val="fr-CA"/>
        </w:rPr>
        <w:t xml:space="preserve"> visé par l’accord de consentement préalable donné en connaissance de cause, une augmentation de 5 p. cent par rapport à la valeur de référence. De plus, 10 p. cent des Parties (9 Parties) ont déclaré avoir mis en place ces exigences légales p</w:t>
      </w:r>
      <w:r w:rsidR="00285E90">
        <w:rPr>
          <w:rFonts w:cs="Times New Roman"/>
          <w:iCs/>
          <w:snapToGrid w:val="0"/>
          <w:kern w:val="22"/>
          <w:szCs w:val="22"/>
          <w:lang w:val="fr-CA"/>
        </w:rPr>
        <w:t>o</w:t>
      </w:r>
      <w:r w:rsidR="00FA05CA" w:rsidRPr="00115221">
        <w:rPr>
          <w:rFonts w:cs="Times New Roman"/>
          <w:iCs/>
          <w:snapToGrid w:val="0"/>
          <w:kern w:val="22"/>
          <w:szCs w:val="22"/>
          <w:lang w:val="fr-CA"/>
        </w:rPr>
        <w:t xml:space="preserve">ur les importateurs </w:t>
      </w:r>
      <w:r w:rsidR="00410688">
        <w:rPr>
          <w:rFonts w:cs="Times New Roman"/>
          <w:iCs/>
          <w:snapToGrid w:val="0"/>
          <w:kern w:val="22"/>
          <w:szCs w:val="22"/>
          <w:lang w:val="fr-CA"/>
        </w:rPr>
        <w:t>dans une certaine mesure</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46"/>
      </w:r>
      <w:r w:rsidR="004569FB" w:rsidRPr="00115221">
        <w:rPr>
          <w:rFonts w:cs="Times New Roman"/>
          <w:snapToGrid w:val="0"/>
          <w:kern w:val="22"/>
          <w:szCs w:val="22"/>
          <w:lang w:val="fr-CA"/>
        </w:rPr>
        <w:t xml:space="preserve"> </w:t>
      </w:r>
      <w:r w:rsidR="00FA05CA" w:rsidRPr="00115221">
        <w:rPr>
          <w:rFonts w:cs="Times New Roman"/>
          <w:snapToGrid w:val="0"/>
          <w:kern w:val="22"/>
          <w:szCs w:val="22"/>
          <w:lang w:val="fr-CA"/>
        </w:rPr>
        <w:t xml:space="preserve">Ces résultats réunis révèlent </w:t>
      </w:r>
      <w:r w:rsidR="00285E90">
        <w:rPr>
          <w:rFonts w:cs="Times New Roman"/>
          <w:snapToGrid w:val="0"/>
          <w:kern w:val="22"/>
          <w:szCs w:val="22"/>
          <w:lang w:val="fr-CA"/>
        </w:rPr>
        <w:t>que</w:t>
      </w:r>
      <w:r w:rsidR="00FA05CA" w:rsidRPr="00115221">
        <w:rPr>
          <w:rFonts w:cs="Times New Roman"/>
          <w:snapToGrid w:val="0"/>
          <w:kern w:val="22"/>
          <w:szCs w:val="22"/>
          <w:lang w:val="fr-CA"/>
        </w:rPr>
        <w:t xml:space="preserve"> 76 p. cent des Parties ont déclaré avoir mis en place ces exigences légales, une augmentation de 14 p. c</w:t>
      </w:r>
      <w:r w:rsidR="00264149" w:rsidRPr="00115221">
        <w:rPr>
          <w:rFonts w:cs="Times New Roman"/>
          <w:snapToGrid w:val="0"/>
          <w:kern w:val="22"/>
          <w:szCs w:val="22"/>
          <w:lang w:val="fr-CA"/>
        </w:rPr>
        <w:t>ent</w:t>
      </w:r>
      <w:r w:rsidR="006C163A" w:rsidRPr="00115221">
        <w:rPr>
          <w:rStyle w:val="FootnoteReference"/>
          <w:rFonts w:cs="Times New Roman"/>
          <w:snapToGrid w:val="0"/>
          <w:kern w:val="22"/>
          <w:szCs w:val="22"/>
          <w:lang w:val="fr-CA"/>
        </w:rPr>
        <w:footnoteReference w:id="47"/>
      </w:r>
      <w:r w:rsidR="004569FB" w:rsidRPr="00115221">
        <w:rPr>
          <w:rFonts w:cs="Times New Roman"/>
          <w:snapToGrid w:val="0"/>
          <w:kern w:val="22"/>
          <w:szCs w:val="22"/>
          <w:lang w:val="fr-CA"/>
        </w:rPr>
        <w:t xml:space="preserve"> </w:t>
      </w:r>
      <w:r w:rsidR="00264149" w:rsidRPr="00115221">
        <w:rPr>
          <w:rFonts w:cs="Times New Roman"/>
          <w:snapToGrid w:val="0"/>
          <w:kern w:val="22"/>
          <w:szCs w:val="22"/>
          <w:lang w:val="fr-CA"/>
        </w:rPr>
        <w:t>par rapport à la valeur de référence (comprenant les différences régionales suivantes : Asie-Pacifique : +38 p. cent</w:t>
      </w:r>
      <w:r w:rsidR="00285E90">
        <w:rPr>
          <w:rFonts w:cs="Times New Roman"/>
          <w:snapToGrid w:val="0"/>
          <w:kern w:val="22"/>
          <w:szCs w:val="22"/>
          <w:lang w:val="fr-CA"/>
        </w:rPr>
        <w:t>;</w:t>
      </w:r>
      <w:r w:rsidR="00264149" w:rsidRPr="00115221">
        <w:rPr>
          <w:rFonts w:cs="Times New Roman"/>
          <w:snapToGrid w:val="0"/>
          <w:kern w:val="22"/>
          <w:szCs w:val="22"/>
          <w:lang w:val="fr-CA"/>
        </w:rPr>
        <w:t xml:space="preserve"> GALC : +31 p. cen</w:t>
      </w:r>
      <w:r w:rsidR="00285E90">
        <w:rPr>
          <w:rFonts w:cs="Times New Roman"/>
          <w:snapToGrid w:val="0"/>
          <w:kern w:val="22"/>
          <w:szCs w:val="22"/>
          <w:lang w:val="fr-CA"/>
        </w:rPr>
        <w:t>t; Afrique : +7 p. cent;</w:t>
      </w:r>
      <w:r w:rsidR="00264149" w:rsidRPr="00115221">
        <w:rPr>
          <w:rFonts w:cs="Times New Roman"/>
          <w:snapToGrid w:val="0"/>
          <w:kern w:val="22"/>
          <w:szCs w:val="22"/>
          <w:lang w:val="fr-CA"/>
        </w:rPr>
        <w:t xml:space="preserve"> EOA : +6 p. cent</w:t>
      </w:r>
      <w:r w:rsidR="00285E90">
        <w:rPr>
          <w:rFonts w:cs="Times New Roman"/>
          <w:snapToGrid w:val="0"/>
          <w:kern w:val="22"/>
          <w:szCs w:val="22"/>
          <w:lang w:val="fr-CA"/>
        </w:rPr>
        <w:t>;</w:t>
      </w:r>
      <w:r w:rsidR="00264149" w:rsidRPr="00115221">
        <w:rPr>
          <w:rFonts w:cs="Times New Roman"/>
          <w:snapToGrid w:val="0"/>
          <w:kern w:val="22"/>
          <w:szCs w:val="22"/>
          <w:lang w:val="fr-CA"/>
        </w:rPr>
        <w:t xml:space="preserve"> ECE : aucune différence par rapport à la valeur de référence)</w:t>
      </w:r>
      <w:r w:rsidR="005D5405" w:rsidRPr="00115221">
        <w:rPr>
          <w:rFonts w:cs="Times New Roman"/>
          <w:snapToGrid w:val="0"/>
          <w:kern w:val="22"/>
          <w:szCs w:val="22"/>
          <w:lang w:val="fr-CA"/>
        </w:rPr>
        <w:t xml:space="preserve">. Vingt-cinq </w:t>
      </w:r>
      <w:r w:rsidR="00285E90">
        <w:rPr>
          <w:rFonts w:cs="Times New Roman"/>
          <w:snapToGrid w:val="0"/>
          <w:kern w:val="22"/>
          <w:szCs w:val="22"/>
          <w:lang w:val="fr-CA"/>
        </w:rPr>
        <w:t xml:space="preserve">pour cent des </w:t>
      </w:r>
      <w:r w:rsidR="005D5405" w:rsidRPr="00115221">
        <w:rPr>
          <w:rFonts w:cs="Times New Roman"/>
          <w:snapToGrid w:val="0"/>
          <w:kern w:val="22"/>
          <w:szCs w:val="22"/>
          <w:lang w:val="fr-CA"/>
        </w:rPr>
        <w:t>Parties (23 Parties) ont déclaré ne pas avoir mis en place des mesures légales, une diminution de 14 p. cent.</w:t>
      </w:r>
      <w:r w:rsidR="00264149" w:rsidRPr="00115221">
        <w:rPr>
          <w:rFonts w:cs="Times New Roman"/>
          <w:snapToGrid w:val="0"/>
          <w:kern w:val="22"/>
          <w:szCs w:val="22"/>
          <w:lang w:val="fr-CA"/>
        </w:rPr>
        <w:t xml:space="preserve"> </w:t>
      </w:r>
    </w:p>
    <w:p w14:paraId="729DD05B" w14:textId="63E47E28" w:rsidR="004569FB" w:rsidRPr="00115221" w:rsidRDefault="005D5405"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Vingt et un pour cent des Parties (19 Parties) ont déclaré avoir reçu une notification au sujet des mouvements transfrontières intentionnels d’OVM aux fins d’introduction intentionnelle dans l’environnement, une diminution de 13 p. cent par rapport à la valeur de référence (comprenant les différences régional</w:t>
      </w:r>
      <w:r w:rsidR="00321F1A">
        <w:rPr>
          <w:rFonts w:cs="Times New Roman"/>
          <w:snapToGrid w:val="0"/>
          <w:kern w:val="22"/>
          <w:szCs w:val="22"/>
          <w:lang w:val="fr-CA"/>
        </w:rPr>
        <w:t>es suivantes : </w:t>
      </w:r>
      <w:r w:rsidRPr="00115221">
        <w:rPr>
          <w:rFonts w:cs="Times New Roman"/>
          <w:snapToGrid w:val="0"/>
          <w:kern w:val="22"/>
          <w:szCs w:val="22"/>
          <w:lang w:val="fr-CA"/>
        </w:rPr>
        <w:t xml:space="preserve"> EAO : -45 p.</w:t>
      </w:r>
      <w:r w:rsidR="005B74DC">
        <w:rPr>
          <w:rFonts w:cs="Times New Roman"/>
          <w:snapToGrid w:val="0"/>
          <w:kern w:val="22"/>
          <w:szCs w:val="22"/>
          <w:lang w:val="fr-CA"/>
        </w:rPr>
        <w:t xml:space="preserve"> cent; ECE : -19 p. cent; GALC : -8 p. cent;</w:t>
      </w:r>
      <w:r w:rsidRPr="00115221">
        <w:rPr>
          <w:rFonts w:cs="Times New Roman"/>
          <w:snapToGrid w:val="0"/>
          <w:kern w:val="22"/>
          <w:szCs w:val="22"/>
          <w:lang w:val="fr-CA"/>
        </w:rPr>
        <w:t xml:space="preserve"> Afrique et Asie-Pacifique : </w:t>
      </w:r>
      <w:r w:rsidR="005B74DC">
        <w:rPr>
          <w:rFonts w:cs="Times New Roman"/>
          <w:snapToGrid w:val="0"/>
          <w:kern w:val="22"/>
          <w:szCs w:val="22"/>
          <w:lang w:val="fr-CA"/>
        </w:rPr>
        <w:t>a</w:t>
      </w:r>
      <w:r w:rsidRPr="00115221">
        <w:rPr>
          <w:rFonts w:cs="Times New Roman"/>
          <w:snapToGrid w:val="0"/>
          <w:kern w:val="22"/>
          <w:szCs w:val="22"/>
          <w:lang w:val="fr-CA"/>
        </w:rPr>
        <w:t>ucune différence par rapport à la valeur de référence</w:t>
      </w:r>
      <w:r w:rsidR="004569FB"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48"/>
      </w:r>
      <w:r w:rsidR="004569FB" w:rsidRPr="00115221">
        <w:rPr>
          <w:rFonts w:cs="Times New Roman"/>
          <w:snapToGrid w:val="0"/>
          <w:kern w:val="22"/>
          <w:szCs w:val="22"/>
          <w:lang w:val="fr-CA"/>
        </w:rPr>
        <w:t xml:space="preserve"> </w:t>
      </w:r>
    </w:p>
    <w:p w14:paraId="2B4F3270" w14:textId="67563D64" w:rsidR="004569FB" w:rsidRPr="00115221" w:rsidRDefault="0013704A"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Dix-neuf p. cent des Parties (15 Parties) ont déclaré avoir pris des décisions en réponse à la notification concernant les mouvements transfrontières intentionnels d’OVM aux fins d’introduction intentionnelle pendant la période visée par le rapport, une diminution de 15 p. cent (comprenant les différences régionales suivantes : EOA : -41 p. cent</w:t>
      </w:r>
      <w:r w:rsidR="005B74DC">
        <w:rPr>
          <w:rFonts w:cs="Times New Roman"/>
          <w:snapToGrid w:val="0"/>
          <w:kern w:val="22"/>
          <w:szCs w:val="22"/>
          <w:lang w:val="fr-CA"/>
        </w:rPr>
        <w:t>; ECE : -20 p. cent;</w:t>
      </w:r>
      <w:r w:rsidRPr="00115221">
        <w:rPr>
          <w:rFonts w:cs="Times New Roman"/>
          <w:snapToGrid w:val="0"/>
          <w:kern w:val="22"/>
          <w:szCs w:val="22"/>
          <w:lang w:val="fr-CA"/>
        </w:rPr>
        <w:t xml:space="preserve"> GALC : -10 </w:t>
      </w:r>
      <w:r w:rsidR="005B74DC">
        <w:rPr>
          <w:rFonts w:cs="Times New Roman"/>
          <w:snapToGrid w:val="0"/>
          <w:kern w:val="22"/>
          <w:szCs w:val="22"/>
          <w:lang w:val="fr-CA"/>
        </w:rPr>
        <w:t>p. cent;</w:t>
      </w:r>
      <w:r w:rsidRPr="00115221">
        <w:rPr>
          <w:rFonts w:cs="Times New Roman"/>
          <w:snapToGrid w:val="0"/>
          <w:kern w:val="22"/>
          <w:szCs w:val="22"/>
          <w:lang w:val="fr-CA"/>
        </w:rPr>
        <w:t xml:space="preserve"> Asie-Pac</w:t>
      </w:r>
      <w:r w:rsidR="005B74DC">
        <w:rPr>
          <w:rFonts w:cs="Times New Roman"/>
          <w:snapToGrid w:val="0"/>
          <w:kern w:val="22"/>
          <w:szCs w:val="22"/>
          <w:lang w:val="fr-CA"/>
        </w:rPr>
        <w:t>ifique : -8 p. cent, Afrique : a</w:t>
      </w:r>
      <w:r w:rsidRPr="00115221">
        <w:rPr>
          <w:rFonts w:cs="Times New Roman"/>
          <w:snapToGrid w:val="0"/>
          <w:kern w:val="22"/>
          <w:szCs w:val="22"/>
          <w:lang w:val="fr-CA"/>
        </w:rPr>
        <w:t>ucune différence par rapport à la valeur de référence</w:t>
      </w:r>
      <w:r w:rsidR="004569FB" w:rsidRPr="00115221">
        <w:rPr>
          <w:rFonts w:cs="Times New Roman"/>
          <w:snapToGrid w:val="0"/>
          <w:kern w:val="22"/>
          <w:szCs w:val="22"/>
          <w:lang w:val="fr-CA"/>
        </w:rPr>
        <w:t>).</w:t>
      </w:r>
      <w:r w:rsidR="00646A10" w:rsidRPr="00115221">
        <w:rPr>
          <w:rStyle w:val="FootnoteReference"/>
          <w:rFonts w:cs="Times New Roman"/>
          <w:snapToGrid w:val="0"/>
          <w:kern w:val="22"/>
          <w:szCs w:val="22"/>
          <w:lang w:val="fr-CA"/>
        </w:rPr>
        <w:footnoteReference w:id="49"/>
      </w:r>
      <w:r w:rsidR="004569FB" w:rsidRPr="00115221">
        <w:rPr>
          <w:rFonts w:cs="Times New Roman"/>
          <w:snapToGrid w:val="0"/>
          <w:kern w:val="22"/>
          <w:szCs w:val="22"/>
          <w:lang w:val="fr-CA"/>
        </w:rPr>
        <w:t xml:space="preserve"> </w:t>
      </w:r>
      <w:r w:rsidRPr="00115221">
        <w:rPr>
          <w:rFonts w:cs="Times New Roman"/>
          <w:snapToGrid w:val="0"/>
          <w:kern w:val="22"/>
          <w:szCs w:val="22"/>
          <w:lang w:val="fr-CA"/>
        </w:rPr>
        <w:t xml:space="preserve">Sept Parties ayant pris une telle </w:t>
      </w:r>
      <w:r w:rsidR="001A6BE7" w:rsidRPr="00115221">
        <w:rPr>
          <w:rFonts w:cs="Times New Roman"/>
          <w:snapToGrid w:val="0"/>
          <w:kern w:val="22"/>
          <w:szCs w:val="22"/>
          <w:lang w:val="fr-CA"/>
        </w:rPr>
        <w:t>dé</w:t>
      </w:r>
      <w:r w:rsidRPr="00115221">
        <w:rPr>
          <w:rFonts w:cs="Times New Roman"/>
          <w:snapToGrid w:val="0"/>
          <w:kern w:val="22"/>
          <w:szCs w:val="22"/>
          <w:lang w:val="fr-CA"/>
        </w:rPr>
        <w:t xml:space="preserve">cision ont déclaré que la </w:t>
      </w:r>
      <w:r w:rsidR="001A6BE7" w:rsidRPr="00115221">
        <w:rPr>
          <w:rFonts w:cs="Times New Roman"/>
          <w:snapToGrid w:val="0"/>
          <w:kern w:val="22"/>
          <w:szCs w:val="22"/>
          <w:lang w:val="fr-CA"/>
        </w:rPr>
        <w:t>dé</w:t>
      </w:r>
      <w:r w:rsidRPr="00115221">
        <w:rPr>
          <w:rFonts w:cs="Times New Roman"/>
          <w:snapToGrid w:val="0"/>
          <w:kern w:val="22"/>
          <w:szCs w:val="22"/>
          <w:lang w:val="fr-CA"/>
        </w:rPr>
        <w:t>cision liée à l’acceptation de l’impor</w:t>
      </w:r>
      <w:r w:rsidR="001A6BE7" w:rsidRPr="00115221">
        <w:rPr>
          <w:rFonts w:cs="Times New Roman"/>
          <w:snapToGrid w:val="0"/>
          <w:kern w:val="22"/>
          <w:szCs w:val="22"/>
          <w:lang w:val="fr-CA"/>
        </w:rPr>
        <w:t>t</w:t>
      </w:r>
      <w:r w:rsidRPr="00115221">
        <w:rPr>
          <w:rFonts w:cs="Times New Roman"/>
          <w:snapToGrid w:val="0"/>
          <w:kern w:val="22"/>
          <w:szCs w:val="22"/>
          <w:lang w:val="fr-CA"/>
        </w:rPr>
        <w:t xml:space="preserve">ation </w:t>
      </w:r>
      <w:r w:rsidR="001A6BE7" w:rsidRPr="00115221">
        <w:rPr>
          <w:rFonts w:cs="Times New Roman"/>
          <w:snapToGrid w:val="0"/>
          <w:kern w:val="22"/>
          <w:szCs w:val="22"/>
          <w:lang w:val="fr-CA"/>
        </w:rPr>
        <w:t>était assujettie à certaines c</w:t>
      </w:r>
      <w:r w:rsidRPr="00115221">
        <w:rPr>
          <w:rFonts w:cs="Times New Roman"/>
          <w:snapToGrid w:val="0"/>
          <w:kern w:val="22"/>
          <w:szCs w:val="22"/>
          <w:lang w:val="fr-CA"/>
        </w:rPr>
        <w:t>onditions</w:t>
      </w:r>
      <w:r w:rsidR="001A6BE7" w:rsidRPr="00115221">
        <w:rPr>
          <w:rFonts w:cs="Times New Roman"/>
          <w:snapToGrid w:val="0"/>
          <w:kern w:val="22"/>
          <w:szCs w:val="22"/>
          <w:lang w:val="fr-CA"/>
        </w:rPr>
        <w:t>, tandis que 2 Parties ont déclaré que les décisions liées à l’approbation ne comportait aucune condition. Deux autres Parties ont déclaré que la décision portait sur une inte</w:t>
      </w:r>
      <w:r w:rsidR="005B74DC">
        <w:rPr>
          <w:rFonts w:cs="Times New Roman"/>
          <w:snapToGrid w:val="0"/>
          <w:kern w:val="22"/>
          <w:szCs w:val="22"/>
          <w:lang w:val="fr-CA"/>
        </w:rPr>
        <w:t>rdiction d’importer. Parmi les P</w:t>
      </w:r>
      <w:r w:rsidR="001A6BE7" w:rsidRPr="00115221">
        <w:rPr>
          <w:rFonts w:cs="Times New Roman"/>
          <w:snapToGrid w:val="0"/>
          <w:kern w:val="22"/>
          <w:szCs w:val="22"/>
          <w:lang w:val="fr-CA"/>
        </w:rPr>
        <w:t xml:space="preserve">arties ayant pris une telle décision, 10 ont déclaré que des mesures nationales sont entièrement en place pour appliquer le Protocole, tandis que cinq d’entre-elles ont indiqué que les mesures </w:t>
      </w:r>
      <w:r w:rsidR="001A6BE7" w:rsidRPr="00115221">
        <w:rPr>
          <w:rFonts w:eastAsia="Times New Roman" w:cs="Times New Roman"/>
          <w:snapToGrid w:val="0"/>
          <w:kern w:val="22"/>
          <w:szCs w:val="22"/>
          <w:lang w:val="fr-CA"/>
        </w:rPr>
        <w:t>nationales</w:t>
      </w:r>
      <w:r w:rsidR="001A6BE7" w:rsidRPr="00115221">
        <w:rPr>
          <w:rFonts w:cs="Times New Roman"/>
          <w:snapToGrid w:val="0"/>
          <w:kern w:val="22"/>
          <w:szCs w:val="22"/>
          <w:lang w:val="fr-CA"/>
        </w:rPr>
        <w:t xml:space="preserve"> pour appliquer le Protocole sont partiellement en place</w:t>
      </w:r>
      <w:r w:rsidR="00875174" w:rsidRPr="00115221">
        <w:rPr>
          <w:rFonts w:cs="Times New Roman"/>
          <w:snapToGrid w:val="0"/>
          <w:kern w:val="22"/>
          <w:szCs w:val="22"/>
          <w:lang w:val="fr-CA"/>
        </w:rPr>
        <w:t>.</w:t>
      </w:r>
    </w:p>
    <w:p w14:paraId="184EC470" w14:textId="5339B96D" w:rsidR="004569FB" w:rsidRPr="00115221" w:rsidRDefault="00BF0FB7"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Quatre-vi</w:t>
      </w:r>
      <w:r w:rsidR="005B74DC">
        <w:rPr>
          <w:rFonts w:cs="Times New Roman"/>
          <w:snapToGrid w:val="0"/>
          <w:kern w:val="22"/>
          <w:szCs w:val="22"/>
          <w:lang w:val="fr-CA"/>
        </w:rPr>
        <w:t>ngt-quatre p. cent des Parties (</w:t>
      </w:r>
      <w:r w:rsidRPr="00115221">
        <w:rPr>
          <w:rFonts w:cs="Times New Roman"/>
          <w:snapToGrid w:val="0"/>
          <w:kern w:val="22"/>
          <w:szCs w:val="22"/>
          <w:lang w:val="fr-CA"/>
        </w:rPr>
        <w:t>78 Parties) ont déclaré avoir mis en place des lois, réglementations et mesures administratives pour la prise de décisions concernan</w:t>
      </w:r>
      <w:r w:rsidR="005B74DC">
        <w:rPr>
          <w:rFonts w:cs="Times New Roman"/>
          <w:snapToGrid w:val="0"/>
          <w:kern w:val="22"/>
          <w:szCs w:val="22"/>
          <w:lang w:val="fr-CA"/>
        </w:rPr>
        <w:t>t l’utilisation au pays</w:t>
      </w:r>
      <w:r w:rsidRPr="00115221">
        <w:rPr>
          <w:rFonts w:cs="Times New Roman"/>
          <w:snapToGrid w:val="0"/>
          <w:kern w:val="22"/>
          <w:szCs w:val="22"/>
          <w:lang w:val="fr-CA"/>
        </w:rPr>
        <w:t xml:space="preserve"> d’OVM destinés à être utilisés directement pour l’alimentation humaines ou animale ou la transformation, </w:t>
      </w:r>
      <w:r w:rsidR="00121429">
        <w:rPr>
          <w:rFonts w:cs="Times New Roman"/>
          <w:snapToGrid w:val="0"/>
          <w:kern w:val="22"/>
          <w:szCs w:val="22"/>
          <w:lang w:val="fr-CA"/>
        </w:rPr>
        <w:t>dont la</w:t>
      </w:r>
      <w:r w:rsidR="00121429" w:rsidRPr="00115221">
        <w:rPr>
          <w:rFonts w:cs="Times New Roman"/>
          <w:snapToGrid w:val="0"/>
          <w:kern w:val="22"/>
          <w:szCs w:val="22"/>
          <w:lang w:val="fr-CA"/>
        </w:rPr>
        <w:t xml:space="preserve"> mise sur le marché</w:t>
      </w:r>
      <w:r w:rsidR="00121429">
        <w:rPr>
          <w:rFonts w:cs="Times New Roman"/>
          <w:snapToGrid w:val="0"/>
          <w:kern w:val="22"/>
          <w:szCs w:val="22"/>
          <w:lang w:val="fr-CA"/>
        </w:rPr>
        <w:t xml:space="preserve">, </w:t>
      </w:r>
      <w:r w:rsidRPr="00115221">
        <w:rPr>
          <w:rFonts w:cs="Times New Roman"/>
          <w:snapToGrid w:val="0"/>
          <w:kern w:val="22"/>
          <w:szCs w:val="22"/>
          <w:lang w:val="fr-CA"/>
        </w:rPr>
        <w:t>une augmentation de 15 p. cent par rapport à la valeur de référence. Des augmentations ont été observées dans trois régions : Asie-Pacifique (+31 p. cent); GALC (+32 p. cent) et Afrique (+20 p. cent). Aucune différence par rapport à la valeur de référence n’a été déclarée en ECE et en EOA</w:t>
      </w:r>
      <w:r w:rsidR="004569FB" w:rsidRPr="00115221">
        <w:rPr>
          <w:rFonts w:cs="Times New Roman"/>
          <w:snapToGrid w:val="0"/>
          <w:kern w:val="22"/>
          <w:szCs w:val="22"/>
          <w:lang w:val="fr-CA"/>
        </w:rPr>
        <w:t>.</w:t>
      </w:r>
    </w:p>
    <w:p w14:paraId="20D2B6AF" w14:textId="718810E5" w:rsidR="004569FB" w:rsidRPr="00115221" w:rsidRDefault="0027756A"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Soixante-dix p. cent des Parties (21 Parties) ont déclaré avoir pris des décisions concernant l’utilisation au pays des OVM pouvant faire l’objet de mouvements transfrontières afin d’être utilisés directement pour l’alimentation humaine ou animale ou la transformation</w:t>
      </w:r>
      <w:r w:rsidR="00121429" w:rsidRPr="00115221">
        <w:rPr>
          <w:rFonts w:cs="Times New Roman"/>
          <w:snapToGrid w:val="0"/>
          <w:kern w:val="22"/>
          <w:szCs w:val="22"/>
          <w:lang w:val="fr-CA"/>
        </w:rPr>
        <w:t xml:space="preserve">, </w:t>
      </w:r>
      <w:r w:rsidR="00121429">
        <w:rPr>
          <w:rFonts w:cs="Times New Roman"/>
          <w:snapToGrid w:val="0"/>
          <w:kern w:val="22"/>
          <w:szCs w:val="22"/>
          <w:lang w:val="fr-CA"/>
        </w:rPr>
        <w:t>y compris la mise sur le marché</w:t>
      </w:r>
      <w:r w:rsidRPr="00115221">
        <w:rPr>
          <w:rFonts w:cs="Times New Roman"/>
          <w:snapToGrid w:val="0"/>
          <w:kern w:val="22"/>
          <w:szCs w:val="22"/>
          <w:lang w:val="fr-CA"/>
        </w:rPr>
        <w:t>,</w:t>
      </w:r>
      <w:r w:rsidR="004569FB" w:rsidRPr="00115221">
        <w:rPr>
          <w:rStyle w:val="FootnoteReference"/>
          <w:rFonts w:cs="Times New Roman"/>
          <w:snapToGrid w:val="0"/>
          <w:kern w:val="22"/>
          <w:szCs w:val="22"/>
          <w:lang w:val="fr-CA"/>
        </w:rPr>
        <w:footnoteReference w:id="50"/>
      </w:r>
      <w:r w:rsidR="004569FB" w:rsidRPr="00115221">
        <w:rPr>
          <w:rFonts w:cs="Times New Roman"/>
          <w:snapToGrid w:val="0"/>
          <w:kern w:val="22"/>
          <w:szCs w:val="22"/>
          <w:lang w:val="fr-CA"/>
        </w:rPr>
        <w:t xml:space="preserve"> </w:t>
      </w:r>
      <w:r w:rsidRPr="00115221">
        <w:rPr>
          <w:rFonts w:cs="Times New Roman"/>
          <w:snapToGrid w:val="0"/>
          <w:kern w:val="22"/>
          <w:szCs w:val="22"/>
          <w:lang w:val="fr-CA"/>
        </w:rPr>
        <w:t>une diminution de 3 p. cent par rapport à la valeur de référence</w:t>
      </w:r>
      <w:r w:rsidR="004569FB" w:rsidRPr="00115221">
        <w:rPr>
          <w:rFonts w:cs="Times New Roman"/>
          <w:snapToGrid w:val="0"/>
          <w:kern w:val="22"/>
          <w:szCs w:val="22"/>
          <w:lang w:val="fr-CA"/>
        </w:rPr>
        <w:t xml:space="preserve">. </w:t>
      </w:r>
    </w:p>
    <w:p w14:paraId="4EB721AD" w14:textId="55A362FD" w:rsidR="004569FB" w:rsidRPr="00115221" w:rsidRDefault="008C0E61"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Quatre-vingt-trois p. cent des Parties (77 Parties) ont déclaré avoir en place des lois, réglementations ou mesures administratives pour la prise de décisions concernant l’importation d’OVM destinés à ê</w:t>
      </w:r>
      <w:r w:rsidR="000C14FB">
        <w:rPr>
          <w:rFonts w:cs="Times New Roman"/>
          <w:snapToGrid w:val="0"/>
          <w:kern w:val="22"/>
          <w:szCs w:val="22"/>
          <w:lang w:val="fr-CA"/>
        </w:rPr>
        <w:t>tre utilisés directement pour l</w:t>
      </w:r>
      <w:r w:rsidRPr="00115221">
        <w:rPr>
          <w:rFonts w:cs="Times New Roman"/>
          <w:snapToGrid w:val="0"/>
          <w:kern w:val="22"/>
          <w:szCs w:val="22"/>
          <w:lang w:val="fr-CA"/>
        </w:rPr>
        <w:t xml:space="preserve">’alimentation humaine ou animale ou la transformation, une augmentation de 13 p. cent par rapport à la valeur de référence. Des augmentations ont été observées dans </w:t>
      </w:r>
      <w:r w:rsidRPr="00115221">
        <w:rPr>
          <w:rFonts w:eastAsia="Times New Roman" w:cs="Times New Roman"/>
          <w:snapToGrid w:val="0"/>
          <w:kern w:val="22"/>
          <w:szCs w:val="22"/>
          <w:lang w:val="fr-CA"/>
        </w:rPr>
        <w:lastRenderedPageBreak/>
        <w:t>toutes</w:t>
      </w:r>
      <w:r w:rsidRPr="00115221">
        <w:rPr>
          <w:rFonts w:cs="Times New Roman"/>
          <w:snapToGrid w:val="0"/>
          <w:kern w:val="22"/>
          <w:szCs w:val="22"/>
          <w:lang w:val="fr-CA"/>
        </w:rPr>
        <w:t xml:space="preserve"> </w:t>
      </w:r>
      <w:r w:rsidR="00121429">
        <w:rPr>
          <w:rFonts w:cs="Times New Roman"/>
          <w:snapToGrid w:val="0"/>
          <w:kern w:val="22"/>
          <w:szCs w:val="22"/>
          <w:lang w:val="fr-CA"/>
        </w:rPr>
        <w:t>les régions (GALC : +31 p. cent;</w:t>
      </w:r>
      <w:r w:rsidRPr="00115221">
        <w:rPr>
          <w:rFonts w:cs="Times New Roman"/>
          <w:snapToGrid w:val="0"/>
          <w:kern w:val="22"/>
          <w:szCs w:val="22"/>
          <w:lang w:val="fr-CA"/>
        </w:rPr>
        <w:t xml:space="preserve"> Asie-Pacifique : +19 p. cent; EOA : +11 p. cent, Afrique : +7 p. cent, ECE : +6 p. cent)</w:t>
      </w:r>
      <w:r w:rsidR="004569FB" w:rsidRPr="00115221">
        <w:rPr>
          <w:rFonts w:cs="Times New Roman"/>
          <w:snapToGrid w:val="0"/>
          <w:kern w:val="22"/>
          <w:szCs w:val="22"/>
          <w:lang w:val="fr-CA"/>
        </w:rPr>
        <w:t>.</w:t>
      </w:r>
    </w:p>
    <w:p w14:paraId="6293DC56" w14:textId="6BDED148" w:rsidR="004569FB" w:rsidRPr="00115221" w:rsidRDefault="008330F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Soixante-dix p. cent des Parties (21 Parties) ont déclaré dans le quatrième rapport </w:t>
      </w:r>
      <w:r w:rsidRPr="00115221">
        <w:rPr>
          <w:rFonts w:eastAsia="Times New Roman" w:cs="Times New Roman"/>
          <w:snapToGrid w:val="0"/>
          <w:kern w:val="22"/>
          <w:szCs w:val="22"/>
          <w:lang w:val="fr-CA"/>
        </w:rPr>
        <w:t>national</w:t>
      </w:r>
      <w:r w:rsidRPr="00115221">
        <w:rPr>
          <w:rFonts w:cs="Times New Roman"/>
          <w:snapToGrid w:val="0"/>
          <w:kern w:val="22"/>
          <w:szCs w:val="22"/>
          <w:lang w:val="fr-CA"/>
        </w:rPr>
        <w:t xml:space="preserve"> avoir pris des décisions concernant l’importation d’OVM destinés à être utilisés directement pour l’alimentation humaine ou animale ou la transformation,</w:t>
      </w:r>
      <w:r w:rsidR="004569FB" w:rsidRPr="00115221">
        <w:rPr>
          <w:rStyle w:val="FootnoteReference"/>
          <w:rFonts w:cs="Times New Roman"/>
          <w:snapToGrid w:val="0"/>
          <w:kern w:val="22"/>
          <w:szCs w:val="22"/>
          <w:lang w:val="fr-CA"/>
        </w:rPr>
        <w:footnoteReference w:id="51"/>
      </w:r>
      <w:r w:rsidR="00D41FC6" w:rsidRPr="00115221">
        <w:rPr>
          <w:rFonts w:cs="Times New Roman"/>
          <w:snapToGrid w:val="0"/>
          <w:kern w:val="22"/>
          <w:szCs w:val="22"/>
          <w:lang w:val="fr-CA"/>
        </w:rPr>
        <w:t xml:space="preserve"> </w:t>
      </w:r>
      <w:r w:rsidRPr="00115221">
        <w:rPr>
          <w:rFonts w:cs="Times New Roman"/>
          <w:snapToGrid w:val="0"/>
          <w:kern w:val="22"/>
          <w:szCs w:val="22"/>
          <w:lang w:val="fr-CA"/>
        </w:rPr>
        <w:t>une diminution de 6 p. cent par rapport à la valeur de référence</w:t>
      </w:r>
      <w:r w:rsidR="004569FB" w:rsidRPr="00115221">
        <w:rPr>
          <w:rFonts w:cs="Times New Roman"/>
          <w:snapToGrid w:val="0"/>
          <w:kern w:val="22"/>
          <w:szCs w:val="22"/>
          <w:lang w:val="fr-CA"/>
        </w:rPr>
        <w:t xml:space="preserve">. </w:t>
      </w:r>
    </w:p>
    <w:p w14:paraId="15CAD4EB" w14:textId="25703903" w:rsidR="00327D31" w:rsidRPr="00115221" w:rsidRDefault="00D17ACA" w:rsidP="00AD37DF">
      <w:pPr>
        <w:pStyle w:val="ListParagraph"/>
        <w:numPr>
          <w:ilvl w:val="0"/>
          <w:numId w:val="9"/>
        </w:numPr>
        <w:tabs>
          <w:tab w:val="clear" w:pos="3240"/>
        </w:tabs>
        <w:ind w:left="0" w:firstLine="0"/>
        <w:contextualSpacing w:val="0"/>
        <w:rPr>
          <w:rFonts w:cs="Times New Roman"/>
          <w:snapToGrid w:val="0"/>
          <w:kern w:val="22"/>
          <w:szCs w:val="22"/>
          <w:lang w:val="fr-CA"/>
        </w:rPr>
      </w:pPr>
      <w:r w:rsidRPr="00115221">
        <w:rPr>
          <w:rFonts w:cs="Times New Roman"/>
          <w:snapToGrid w:val="0"/>
          <w:kern w:val="22"/>
          <w:szCs w:val="22"/>
          <w:lang w:val="fr-CA"/>
        </w:rPr>
        <w:t xml:space="preserve">Pour ce qui est du nombre de Parties ayant des </w:t>
      </w:r>
      <w:r w:rsidR="0079579A">
        <w:rPr>
          <w:rFonts w:cs="Times New Roman"/>
          <w:snapToGrid w:val="0"/>
          <w:kern w:val="22"/>
          <w:szCs w:val="22"/>
          <w:lang w:val="fr-CA"/>
        </w:rPr>
        <w:t>systèmes</w:t>
      </w:r>
      <w:r w:rsidRPr="00115221">
        <w:rPr>
          <w:rFonts w:cs="Times New Roman"/>
          <w:snapToGrid w:val="0"/>
          <w:kern w:val="22"/>
          <w:szCs w:val="22"/>
          <w:lang w:val="fr-CA"/>
        </w:rPr>
        <w:t xml:space="preserve"> en place pour traiter les demandes, dont le consentement préalable donné en connaissance de cause, la majorité des Parties a déclaré avoir en place des cadres de réglementation pour les décisions concernant l’</w:t>
      </w:r>
      <w:r w:rsidRPr="00115221">
        <w:rPr>
          <w:rFonts w:eastAsia="Times New Roman" w:cs="Times New Roman"/>
          <w:snapToGrid w:val="0"/>
          <w:kern w:val="22"/>
          <w:szCs w:val="22"/>
          <w:lang w:val="fr-CA"/>
        </w:rPr>
        <w:t>utilisation</w:t>
      </w:r>
      <w:r w:rsidRPr="00115221">
        <w:rPr>
          <w:rFonts w:cs="Times New Roman"/>
          <w:snapToGrid w:val="0"/>
          <w:kern w:val="22"/>
          <w:szCs w:val="22"/>
          <w:lang w:val="fr-CA"/>
        </w:rPr>
        <w:t xml:space="preserve"> au pays d’OVM destinés à être utilisés directement pour l’alimentation humaine ou animale ou la transformation (84 p. cent) et pour l’importation d’OVM destinés à être utilisés directement pour l’alimentation humaine ou animale ou la transformation</w:t>
      </w:r>
      <w:r w:rsidR="00C36F9D" w:rsidRPr="00115221">
        <w:rPr>
          <w:rFonts w:cs="Times New Roman"/>
          <w:snapToGrid w:val="0"/>
          <w:kern w:val="22"/>
          <w:szCs w:val="22"/>
          <w:lang w:val="fr-CA"/>
        </w:rPr>
        <w:t xml:space="preserve"> (83 p. cent)</w:t>
      </w:r>
      <w:r w:rsidR="0079579A" w:rsidRPr="00115221">
        <w:rPr>
          <w:rFonts w:cs="Times New Roman"/>
          <w:snapToGrid w:val="0"/>
          <w:kern w:val="22"/>
          <w:szCs w:val="22"/>
          <w:lang w:val="fr-CA"/>
        </w:rPr>
        <w:t xml:space="preserve">, </w:t>
      </w:r>
      <w:r w:rsidR="0079579A">
        <w:rPr>
          <w:rFonts w:cs="Times New Roman"/>
          <w:snapToGrid w:val="0"/>
          <w:kern w:val="22"/>
          <w:szCs w:val="22"/>
          <w:lang w:val="fr-CA"/>
        </w:rPr>
        <w:t>y compris la mise sur le marché</w:t>
      </w:r>
      <w:r w:rsidR="00C36F9D" w:rsidRPr="00115221">
        <w:rPr>
          <w:rFonts w:cs="Times New Roman"/>
          <w:snapToGrid w:val="0"/>
          <w:kern w:val="22"/>
          <w:szCs w:val="22"/>
          <w:lang w:val="fr-CA"/>
        </w:rPr>
        <w:t xml:space="preserve">. Toutes les Parties ayant déclaré avoir pris des décisions sur l’utilisation au pays, y compris la mise sur le marché, et </w:t>
      </w:r>
      <w:r w:rsidR="00C36F9D" w:rsidRPr="00115221">
        <w:rPr>
          <w:rFonts w:eastAsia="Times New Roman" w:cs="Times New Roman"/>
          <w:snapToGrid w:val="0"/>
          <w:kern w:val="22"/>
          <w:szCs w:val="22"/>
          <w:lang w:val="fr-CA"/>
        </w:rPr>
        <w:t>toutes</w:t>
      </w:r>
      <w:r w:rsidR="00C36F9D" w:rsidRPr="00115221">
        <w:rPr>
          <w:rFonts w:cs="Times New Roman"/>
          <w:snapToGrid w:val="0"/>
          <w:kern w:val="22"/>
          <w:szCs w:val="22"/>
          <w:lang w:val="fr-CA"/>
        </w:rPr>
        <w:t xml:space="preserve"> les Parties ayant déclaré avoir pris des décisions concernant l’importation d’OVM destinés à être utilisés directement pour l’alimentation humaine ou animale ou la transformation ont des mesures en place pour prendre ces décisions. Soixante-dix-neuf p. cent des Parties ayant déclaré avoir reçu une notification concernant le mouvement transfrontière intentionnel d’OVM destinés à une introduction intentionnelle dans l’environnement ont déclaré avoir pris une décision à cet égard. Les deux-tiers des Parties ayant déclaré avoir pris une telle décision ont indiqué que les mesures d’application du Protocole sont entièrement en place, tandis qu’un tiers de ces Parties a déclaré que les mesures sont partiellement en place</w:t>
      </w:r>
      <w:r w:rsidR="00327D31" w:rsidRPr="00115221">
        <w:rPr>
          <w:rFonts w:cs="Times New Roman"/>
          <w:snapToGrid w:val="0"/>
          <w:kern w:val="22"/>
          <w:szCs w:val="22"/>
          <w:lang w:val="fr-CA"/>
        </w:rPr>
        <w:t>.</w:t>
      </w:r>
    </w:p>
    <w:p w14:paraId="7C203816" w14:textId="5C2DEE55" w:rsidR="004569FB" w:rsidRPr="00115221" w:rsidRDefault="007D7F65"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iCs/>
          <w:snapToGrid w:val="0"/>
          <w:spacing w:val="-2"/>
          <w:kern w:val="22"/>
          <w:szCs w:val="22"/>
          <w:lang w:val="fr-CA"/>
        </w:rPr>
      </w:pPr>
      <w:r w:rsidRPr="00115221">
        <w:rPr>
          <w:rFonts w:cs="Times New Roman"/>
          <w:snapToGrid w:val="0"/>
          <w:spacing w:val="-2"/>
          <w:kern w:val="22"/>
          <w:szCs w:val="22"/>
          <w:lang w:val="fr-CA"/>
        </w:rPr>
        <w:t xml:space="preserve">En ce qui concerne </w:t>
      </w:r>
      <w:r w:rsidRPr="00115221">
        <w:rPr>
          <w:rFonts w:cs="Times New Roman"/>
          <w:b/>
          <w:snapToGrid w:val="0"/>
          <w:spacing w:val="-2"/>
          <w:kern w:val="22"/>
          <w:szCs w:val="22"/>
          <w:lang w:val="fr-CA"/>
        </w:rPr>
        <w:t>l’indicateur 3.1.5</w:t>
      </w:r>
      <w:r w:rsidRPr="00115221">
        <w:rPr>
          <w:rFonts w:cs="Times New Roman"/>
          <w:snapToGrid w:val="0"/>
          <w:spacing w:val="-2"/>
          <w:kern w:val="22"/>
          <w:szCs w:val="22"/>
          <w:lang w:val="fr-CA"/>
        </w:rPr>
        <w:t xml:space="preserve"> (pourcentage des Parties ayant publié </w:t>
      </w:r>
      <w:r w:rsidRPr="00115221">
        <w:rPr>
          <w:rFonts w:eastAsia="Times New Roman" w:cs="Times New Roman"/>
          <w:snapToGrid w:val="0"/>
          <w:spacing w:val="-2"/>
          <w:kern w:val="22"/>
          <w:szCs w:val="22"/>
          <w:lang w:val="fr-CA"/>
        </w:rPr>
        <w:t>toutes</w:t>
      </w:r>
      <w:r w:rsidRPr="00115221">
        <w:rPr>
          <w:rFonts w:cs="Times New Roman"/>
          <w:snapToGrid w:val="0"/>
          <w:spacing w:val="-2"/>
          <w:kern w:val="22"/>
          <w:szCs w:val="22"/>
          <w:lang w:val="fr-CA"/>
        </w:rPr>
        <w:t xml:space="preserve"> les informations obligatoires </w:t>
      </w:r>
      <w:r w:rsidR="008E6B43">
        <w:rPr>
          <w:rFonts w:cs="Times New Roman"/>
          <w:snapToGrid w:val="0"/>
          <w:spacing w:val="-2"/>
          <w:kern w:val="22"/>
          <w:szCs w:val="22"/>
          <w:lang w:val="fr-CA"/>
        </w:rPr>
        <w:t>auprès</w:t>
      </w:r>
      <w:r w:rsidRPr="00115221">
        <w:rPr>
          <w:rFonts w:cs="Times New Roman"/>
          <w:snapToGrid w:val="0"/>
          <w:spacing w:val="-2"/>
          <w:kern w:val="22"/>
          <w:szCs w:val="22"/>
          <w:lang w:val="fr-CA"/>
        </w:rPr>
        <w:t xml:space="preserve"> du </w:t>
      </w:r>
      <w:r w:rsidR="00B6412A">
        <w:rPr>
          <w:rFonts w:cs="Times New Roman"/>
          <w:snapToGrid w:val="0"/>
          <w:spacing w:val="-2"/>
          <w:kern w:val="22"/>
          <w:szCs w:val="22"/>
          <w:lang w:val="fr-CA"/>
        </w:rPr>
        <w:t>centre d’échange</w:t>
      </w:r>
      <w:r w:rsidRPr="00115221">
        <w:rPr>
          <w:rFonts w:cs="Times New Roman"/>
          <w:snapToGrid w:val="0"/>
          <w:spacing w:val="-2"/>
          <w:kern w:val="22"/>
          <w:szCs w:val="22"/>
          <w:lang w:val="fr-CA"/>
        </w:rPr>
        <w:t xml:space="preserve"> sur la prévention des risques biotechnologiques), 78 p. cent des Parties (73 Parties) ont déclaré avoir remis l’information concernant les lois, réglementations et lignes directrices pour l’application du Protocole, ainsi que l’information exigée des Parties au sujet de la procédure de consentement préalable donné en connaissance de cause à transm</w:t>
      </w:r>
      <w:r w:rsidR="00465178" w:rsidRPr="00115221">
        <w:rPr>
          <w:rFonts w:cs="Times New Roman"/>
          <w:snapToGrid w:val="0"/>
          <w:spacing w:val="-2"/>
          <w:kern w:val="22"/>
          <w:szCs w:val="22"/>
          <w:lang w:val="fr-CA"/>
        </w:rPr>
        <w:t>e</w:t>
      </w:r>
      <w:r w:rsidRPr="00115221">
        <w:rPr>
          <w:rFonts w:cs="Times New Roman"/>
          <w:snapToGrid w:val="0"/>
          <w:spacing w:val="-2"/>
          <w:kern w:val="22"/>
          <w:szCs w:val="22"/>
          <w:lang w:val="fr-CA"/>
        </w:rPr>
        <w:t xml:space="preserve">ttre au </w:t>
      </w:r>
      <w:r w:rsidR="00B6412A">
        <w:rPr>
          <w:rFonts w:cs="Times New Roman"/>
          <w:snapToGrid w:val="0"/>
          <w:spacing w:val="-2"/>
          <w:kern w:val="22"/>
          <w:szCs w:val="22"/>
          <w:lang w:val="fr-CA"/>
        </w:rPr>
        <w:t>centre d’échange</w:t>
      </w:r>
      <w:r w:rsidRPr="00115221">
        <w:rPr>
          <w:rFonts w:cs="Times New Roman"/>
          <w:snapToGrid w:val="0"/>
          <w:spacing w:val="-2"/>
          <w:kern w:val="22"/>
          <w:szCs w:val="22"/>
          <w:lang w:val="fr-CA"/>
        </w:rPr>
        <w:t xml:space="preserve"> sur la prévention des risques biotechnologiques, une augmentation de 21 p. cent par rapport </w:t>
      </w:r>
      <w:r w:rsidR="00465178" w:rsidRPr="00115221">
        <w:rPr>
          <w:rFonts w:cs="Times New Roman"/>
          <w:snapToGrid w:val="0"/>
          <w:spacing w:val="-2"/>
          <w:kern w:val="22"/>
          <w:szCs w:val="22"/>
          <w:lang w:val="fr-CA"/>
        </w:rPr>
        <w:t>à la va</w:t>
      </w:r>
      <w:r w:rsidRPr="00115221">
        <w:rPr>
          <w:rFonts w:cs="Times New Roman"/>
          <w:snapToGrid w:val="0"/>
          <w:spacing w:val="-2"/>
          <w:kern w:val="22"/>
          <w:szCs w:val="22"/>
          <w:lang w:val="fr-CA"/>
        </w:rPr>
        <w:t>leur de référence (comprenant les différences régionales suivantes : Afrique</w:t>
      </w:r>
      <w:r w:rsidR="00332E18">
        <w:rPr>
          <w:rFonts w:cs="Times New Roman"/>
          <w:snapToGrid w:val="0"/>
          <w:spacing w:val="-2"/>
          <w:kern w:val="22"/>
          <w:szCs w:val="22"/>
          <w:lang w:val="fr-CA"/>
        </w:rPr>
        <w:t> :</w:t>
      </w:r>
      <w:r w:rsidRPr="00115221">
        <w:rPr>
          <w:rFonts w:cs="Times New Roman"/>
          <w:snapToGrid w:val="0"/>
          <w:spacing w:val="-2"/>
          <w:kern w:val="22"/>
          <w:szCs w:val="22"/>
          <w:lang w:val="fr-CA"/>
        </w:rPr>
        <w:t xml:space="preserve"> +37 p. cent</w:t>
      </w:r>
      <w:r w:rsidR="008E6B43">
        <w:rPr>
          <w:rFonts w:cs="Times New Roman"/>
          <w:snapToGrid w:val="0"/>
          <w:spacing w:val="-2"/>
          <w:kern w:val="22"/>
          <w:szCs w:val="22"/>
          <w:lang w:val="fr-CA"/>
        </w:rPr>
        <w:t>;</w:t>
      </w:r>
      <w:r w:rsidRPr="00115221">
        <w:rPr>
          <w:rFonts w:cs="Times New Roman"/>
          <w:snapToGrid w:val="0"/>
          <w:spacing w:val="-2"/>
          <w:kern w:val="22"/>
          <w:szCs w:val="22"/>
          <w:lang w:val="fr-CA"/>
        </w:rPr>
        <w:t xml:space="preserve"> GALC : +23 p. cen</w:t>
      </w:r>
      <w:r w:rsidR="008E6B43">
        <w:rPr>
          <w:rFonts w:cs="Times New Roman"/>
          <w:snapToGrid w:val="0"/>
          <w:spacing w:val="-2"/>
          <w:kern w:val="22"/>
          <w:szCs w:val="22"/>
          <w:lang w:val="fr-CA"/>
        </w:rPr>
        <w:t>t;</w:t>
      </w:r>
      <w:r w:rsidRPr="00115221">
        <w:rPr>
          <w:rFonts w:cs="Times New Roman"/>
          <w:snapToGrid w:val="0"/>
          <w:spacing w:val="-2"/>
          <w:kern w:val="22"/>
          <w:szCs w:val="22"/>
          <w:lang w:val="fr-CA"/>
        </w:rPr>
        <w:t xml:space="preserve"> Asie-Pacifique : +13 p. cent; ECE : +13 p. cent</w:t>
      </w:r>
      <w:r w:rsidR="00465178" w:rsidRPr="00115221">
        <w:rPr>
          <w:rFonts w:cs="Times New Roman"/>
          <w:snapToGrid w:val="0"/>
          <w:spacing w:val="-2"/>
          <w:kern w:val="22"/>
          <w:szCs w:val="22"/>
          <w:lang w:val="fr-CA"/>
        </w:rPr>
        <w:t>; ECE : +13 p. cent; EOA : +11 p. cent). Quant aux lois, réglementations et lignes directrices s’appliquant à l’</w:t>
      </w:r>
      <w:r w:rsidR="00465178" w:rsidRPr="00115221">
        <w:rPr>
          <w:rFonts w:eastAsia="Times New Roman" w:cs="Times New Roman"/>
          <w:snapToGrid w:val="0"/>
          <w:spacing w:val="-2"/>
          <w:kern w:val="22"/>
          <w:szCs w:val="22"/>
          <w:lang w:val="fr-CA"/>
        </w:rPr>
        <w:t>importation</w:t>
      </w:r>
      <w:r w:rsidR="00465178" w:rsidRPr="00115221">
        <w:rPr>
          <w:rFonts w:cs="Times New Roman"/>
          <w:snapToGrid w:val="0"/>
          <w:spacing w:val="-2"/>
          <w:kern w:val="22"/>
          <w:szCs w:val="22"/>
          <w:lang w:val="fr-CA"/>
        </w:rPr>
        <w:t xml:space="preserve"> d’OVM destinés à être utilisés directement pour l’alimentation humaine ou animale ou la transformation, 71 p. cent des Parties (66 Parties) ont déclaré que cette information avait été communiquée au </w:t>
      </w:r>
      <w:r w:rsidR="00B6412A">
        <w:rPr>
          <w:rFonts w:cs="Times New Roman"/>
          <w:snapToGrid w:val="0"/>
          <w:spacing w:val="-2"/>
          <w:kern w:val="22"/>
          <w:szCs w:val="22"/>
          <w:lang w:val="fr-CA"/>
        </w:rPr>
        <w:t>centre d’échange</w:t>
      </w:r>
      <w:r w:rsidR="00465178" w:rsidRPr="00115221">
        <w:rPr>
          <w:rFonts w:cs="Times New Roman"/>
          <w:snapToGrid w:val="0"/>
          <w:spacing w:val="-2"/>
          <w:kern w:val="22"/>
          <w:szCs w:val="22"/>
          <w:lang w:val="fr-CA"/>
        </w:rPr>
        <w:t xml:space="preserve"> sur la prévention des risques biotechnologiques, une augmentation de 18 p. cent par rapport à la valeur de référence (comprenant les différences régionales suivantes : Afrique : +27 p. cent</w:t>
      </w:r>
      <w:r w:rsidR="008E6B43">
        <w:rPr>
          <w:rFonts w:cs="Times New Roman"/>
          <w:snapToGrid w:val="0"/>
          <w:spacing w:val="-2"/>
          <w:kern w:val="22"/>
          <w:szCs w:val="22"/>
          <w:lang w:val="fr-CA"/>
        </w:rPr>
        <w:t>; GALC : +23 p. cent;</w:t>
      </w:r>
      <w:r w:rsidR="008126C9">
        <w:rPr>
          <w:rFonts w:cs="Times New Roman"/>
          <w:snapToGrid w:val="0"/>
          <w:spacing w:val="-2"/>
          <w:kern w:val="22"/>
          <w:szCs w:val="22"/>
          <w:lang w:val="fr-CA"/>
        </w:rPr>
        <w:t xml:space="preserve"> Asie-Pacifique </w:t>
      </w:r>
      <w:r w:rsidR="00465178" w:rsidRPr="00115221">
        <w:rPr>
          <w:rFonts w:cs="Times New Roman"/>
          <w:snapToGrid w:val="0"/>
          <w:spacing w:val="-2"/>
          <w:kern w:val="22"/>
          <w:szCs w:val="22"/>
          <w:lang w:val="fr-CA"/>
        </w:rPr>
        <w:t>: +19 p. cent; EOA : +11 p. cent; ECE : +6 p. cent</w:t>
      </w:r>
      <w:r w:rsidR="004569FB" w:rsidRPr="00115221">
        <w:rPr>
          <w:rFonts w:cs="Times New Roman"/>
          <w:bCs/>
          <w:iCs/>
          <w:snapToGrid w:val="0"/>
          <w:spacing w:val="-2"/>
          <w:kern w:val="22"/>
          <w:szCs w:val="22"/>
          <w:lang w:val="fr-CA"/>
        </w:rPr>
        <w:t>).</w:t>
      </w:r>
    </w:p>
    <w:p w14:paraId="7A48E5B6" w14:textId="6EA7E531" w:rsidR="00600208" w:rsidRPr="00115221" w:rsidRDefault="00465178"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iCs/>
          <w:snapToGrid w:val="0"/>
          <w:spacing w:val="-2"/>
          <w:kern w:val="22"/>
          <w:szCs w:val="22"/>
          <w:lang w:val="fr-CA"/>
        </w:rPr>
      </w:pPr>
      <w:r w:rsidRPr="00115221">
        <w:rPr>
          <w:rFonts w:cs="Times New Roman"/>
          <w:snapToGrid w:val="0"/>
          <w:spacing w:val="-2"/>
          <w:kern w:val="22"/>
          <w:szCs w:val="22"/>
          <w:lang w:val="fr-CA"/>
        </w:rPr>
        <w:t xml:space="preserve">Quant à l’état de l’information obligatoire </w:t>
      </w:r>
      <w:r w:rsidR="00030C51" w:rsidRPr="00115221">
        <w:rPr>
          <w:rFonts w:cs="Times New Roman"/>
          <w:snapToGrid w:val="0"/>
          <w:spacing w:val="-2"/>
          <w:kern w:val="22"/>
          <w:szCs w:val="22"/>
          <w:lang w:val="fr-CA"/>
        </w:rPr>
        <w:t xml:space="preserve">sur les accords et arrangements bilatéraux, multilatéraux et régionaux </w:t>
      </w:r>
      <w:r w:rsidRPr="00115221">
        <w:rPr>
          <w:rFonts w:cs="Times New Roman"/>
          <w:snapToGrid w:val="0"/>
          <w:spacing w:val="-2"/>
          <w:kern w:val="22"/>
          <w:szCs w:val="22"/>
          <w:lang w:val="fr-CA"/>
        </w:rPr>
        <w:t xml:space="preserve">communiquée au </w:t>
      </w:r>
      <w:r w:rsidR="00B6412A">
        <w:rPr>
          <w:rFonts w:cs="Times New Roman"/>
          <w:snapToGrid w:val="0"/>
          <w:spacing w:val="-2"/>
          <w:kern w:val="22"/>
          <w:szCs w:val="22"/>
          <w:lang w:val="fr-CA"/>
        </w:rPr>
        <w:t>centre d’échange</w:t>
      </w:r>
      <w:r w:rsidR="00030C51" w:rsidRPr="00115221">
        <w:rPr>
          <w:rFonts w:cs="Times New Roman"/>
          <w:snapToGrid w:val="0"/>
          <w:spacing w:val="-2"/>
          <w:kern w:val="22"/>
          <w:szCs w:val="22"/>
          <w:lang w:val="fr-CA"/>
        </w:rPr>
        <w:t xml:space="preserve"> sur la prévention des risques biotechnologiques, 54 p. cent </w:t>
      </w:r>
      <w:r w:rsidR="00332E18">
        <w:rPr>
          <w:rFonts w:cs="Times New Roman"/>
          <w:snapToGrid w:val="0"/>
          <w:spacing w:val="-2"/>
          <w:kern w:val="22"/>
          <w:szCs w:val="22"/>
          <w:lang w:val="fr-CA"/>
        </w:rPr>
        <w:t xml:space="preserve">des Parties </w:t>
      </w:r>
      <w:r w:rsidR="00030C51" w:rsidRPr="00115221">
        <w:rPr>
          <w:rFonts w:cs="Times New Roman"/>
          <w:snapToGrid w:val="0"/>
          <w:spacing w:val="-2"/>
          <w:kern w:val="22"/>
          <w:szCs w:val="22"/>
          <w:lang w:val="fr-CA"/>
        </w:rPr>
        <w:t xml:space="preserve">(14 Parties) ayant déclaré que l’information était disponible (28 p. cent, 26 Parties) ont déclaré que l’information avait aussi été </w:t>
      </w:r>
      <w:r w:rsidR="00114A8A" w:rsidRPr="00115221">
        <w:rPr>
          <w:rFonts w:cs="Times New Roman"/>
          <w:snapToGrid w:val="0"/>
          <w:spacing w:val="-2"/>
          <w:kern w:val="22"/>
          <w:szCs w:val="22"/>
          <w:lang w:val="fr-CA"/>
        </w:rPr>
        <w:t>communiquée</w:t>
      </w:r>
      <w:r w:rsidR="00030C51" w:rsidRPr="00115221">
        <w:rPr>
          <w:rFonts w:cs="Times New Roman"/>
          <w:snapToGrid w:val="0"/>
          <w:spacing w:val="-2"/>
          <w:kern w:val="22"/>
          <w:szCs w:val="22"/>
          <w:lang w:val="fr-CA"/>
        </w:rPr>
        <w:t xml:space="preserve"> au </w:t>
      </w:r>
      <w:r w:rsidR="00B6412A">
        <w:rPr>
          <w:rFonts w:cs="Times New Roman"/>
          <w:snapToGrid w:val="0"/>
          <w:spacing w:val="-2"/>
          <w:kern w:val="22"/>
          <w:szCs w:val="22"/>
          <w:lang w:val="fr-CA"/>
        </w:rPr>
        <w:t>centre d’échange</w:t>
      </w:r>
      <w:r w:rsidR="00030C51" w:rsidRPr="00115221">
        <w:rPr>
          <w:rFonts w:cs="Times New Roman"/>
          <w:snapToGrid w:val="0"/>
          <w:spacing w:val="-2"/>
          <w:kern w:val="22"/>
          <w:szCs w:val="22"/>
          <w:lang w:val="fr-CA"/>
        </w:rPr>
        <w:t xml:space="preserve"> sur la prévention des risques biotechnologiques</w:t>
      </w:r>
      <w:r w:rsidR="00114A8A" w:rsidRPr="00115221">
        <w:rPr>
          <w:rFonts w:cs="Times New Roman"/>
          <w:snapToGrid w:val="0"/>
          <w:spacing w:val="-2"/>
          <w:kern w:val="22"/>
          <w:szCs w:val="22"/>
          <w:lang w:val="fr-CA"/>
        </w:rPr>
        <w:t>, une augmentation de 15 p. cent</w:t>
      </w:r>
      <w:r w:rsidR="004569FB" w:rsidRPr="00115221">
        <w:rPr>
          <w:rFonts w:cs="Times New Roman"/>
          <w:bCs/>
          <w:iCs/>
          <w:snapToGrid w:val="0"/>
          <w:spacing w:val="-2"/>
          <w:kern w:val="22"/>
          <w:szCs w:val="22"/>
          <w:lang w:val="fr-CA"/>
        </w:rPr>
        <w:t xml:space="preserve">. </w:t>
      </w:r>
    </w:p>
    <w:p w14:paraId="60EC3B1B" w14:textId="19AAC32C" w:rsidR="004569FB" w:rsidRPr="00115221" w:rsidRDefault="00030C51"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iCs/>
          <w:snapToGrid w:val="0"/>
          <w:spacing w:val="-2"/>
          <w:kern w:val="22"/>
          <w:szCs w:val="22"/>
          <w:lang w:val="fr-CA"/>
        </w:rPr>
      </w:pPr>
      <w:r w:rsidRPr="00115221">
        <w:rPr>
          <w:rFonts w:cs="Times New Roman"/>
          <w:bCs/>
          <w:iCs/>
          <w:snapToGrid w:val="0"/>
          <w:spacing w:val="-2"/>
          <w:kern w:val="22"/>
          <w:szCs w:val="22"/>
          <w:lang w:val="fr-CA"/>
        </w:rPr>
        <w:t xml:space="preserve">Trente-trois p. cent </w:t>
      </w:r>
      <w:r w:rsidR="00332E18">
        <w:rPr>
          <w:rFonts w:cs="Times New Roman"/>
          <w:bCs/>
          <w:iCs/>
          <w:snapToGrid w:val="0"/>
          <w:spacing w:val="-2"/>
          <w:kern w:val="22"/>
          <w:szCs w:val="22"/>
          <w:lang w:val="fr-CA"/>
        </w:rPr>
        <w:t xml:space="preserve">des Parties </w:t>
      </w:r>
      <w:r w:rsidRPr="00115221">
        <w:rPr>
          <w:rFonts w:cs="Times New Roman"/>
          <w:bCs/>
          <w:iCs/>
          <w:snapToGrid w:val="0"/>
          <w:spacing w:val="-2"/>
          <w:kern w:val="22"/>
          <w:szCs w:val="22"/>
          <w:lang w:val="fr-CA"/>
        </w:rPr>
        <w:t xml:space="preserve">(5 Parties) </w:t>
      </w:r>
      <w:r w:rsidR="00385DF8">
        <w:rPr>
          <w:rFonts w:cs="Times New Roman"/>
          <w:bCs/>
          <w:iCs/>
          <w:snapToGrid w:val="0"/>
          <w:spacing w:val="-2"/>
          <w:kern w:val="22"/>
          <w:szCs w:val="22"/>
          <w:lang w:val="fr-CA"/>
        </w:rPr>
        <w:t xml:space="preserve">parmi les Parties </w:t>
      </w:r>
      <w:r w:rsidRPr="00115221">
        <w:rPr>
          <w:rFonts w:cs="Times New Roman"/>
          <w:bCs/>
          <w:iCs/>
          <w:snapToGrid w:val="0"/>
          <w:spacing w:val="-2"/>
          <w:kern w:val="22"/>
          <w:szCs w:val="22"/>
          <w:lang w:val="fr-CA"/>
        </w:rPr>
        <w:t>ayant déclaré</w:t>
      </w:r>
      <w:r w:rsidR="00114A8A" w:rsidRPr="00115221">
        <w:rPr>
          <w:rFonts w:cs="Times New Roman"/>
          <w:bCs/>
          <w:iCs/>
          <w:snapToGrid w:val="0"/>
          <w:spacing w:val="-2"/>
          <w:kern w:val="22"/>
          <w:szCs w:val="22"/>
          <w:lang w:val="fr-CA"/>
        </w:rPr>
        <w:t xml:space="preserve"> que l’information concernant les mouvements transfrontières illicites d’OVM était disponible (16 p. cent, 15 Parti</w:t>
      </w:r>
      <w:r w:rsidR="00332E18">
        <w:rPr>
          <w:rFonts w:cs="Times New Roman"/>
          <w:bCs/>
          <w:iCs/>
          <w:snapToGrid w:val="0"/>
          <w:spacing w:val="-2"/>
          <w:kern w:val="22"/>
          <w:szCs w:val="22"/>
          <w:lang w:val="fr-CA"/>
        </w:rPr>
        <w:t>e</w:t>
      </w:r>
      <w:r w:rsidR="00971B51">
        <w:rPr>
          <w:rFonts w:cs="Times New Roman"/>
          <w:bCs/>
          <w:iCs/>
          <w:snapToGrid w:val="0"/>
          <w:spacing w:val="-2"/>
          <w:kern w:val="22"/>
          <w:szCs w:val="22"/>
          <w:lang w:val="fr-CA"/>
        </w:rPr>
        <w:t>s</w:t>
      </w:r>
      <w:r w:rsidR="00114A8A" w:rsidRPr="00115221">
        <w:rPr>
          <w:rFonts w:cs="Times New Roman"/>
          <w:bCs/>
          <w:iCs/>
          <w:snapToGrid w:val="0"/>
          <w:spacing w:val="-2"/>
          <w:kern w:val="22"/>
          <w:szCs w:val="22"/>
          <w:lang w:val="fr-CA"/>
        </w:rPr>
        <w:t xml:space="preserve">) ont indiqué que l’information avait été communiquée au </w:t>
      </w:r>
      <w:r w:rsidR="00B6412A">
        <w:rPr>
          <w:rFonts w:cs="Times New Roman"/>
          <w:bCs/>
          <w:iCs/>
          <w:snapToGrid w:val="0"/>
          <w:spacing w:val="-2"/>
          <w:kern w:val="22"/>
          <w:szCs w:val="22"/>
          <w:lang w:val="fr-CA"/>
        </w:rPr>
        <w:t>centre d’échange</w:t>
      </w:r>
      <w:r w:rsidR="00114A8A" w:rsidRPr="00115221">
        <w:rPr>
          <w:rFonts w:cs="Times New Roman"/>
          <w:bCs/>
          <w:iCs/>
          <w:snapToGrid w:val="0"/>
          <w:spacing w:val="-2"/>
          <w:kern w:val="22"/>
          <w:szCs w:val="22"/>
          <w:lang w:val="fr-CA"/>
        </w:rPr>
        <w:t xml:space="preserve"> sur la prévention des risques biotechnologiques, une diminution de 17 p. cent par apport à la valeur de référence</w:t>
      </w:r>
      <w:r w:rsidR="004569FB" w:rsidRPr="00115221">
        <w:rPr>
          <w:rFonts w:cs="Times New Roman"/>
          <w:bCs/>
          <w:iCs/>
          <w:snapToGrid w:val="0"/>
          <w:spacing w:val="-2"/>
          <w:kern w:val="22"/>
          <w:szCs w:val="22"/>
          <w:lang w:val="fr-CA"/>
        </w:rPr>
        <w:t>.</w:t>
      </w:r>
    </w:p>
    <w:p w14:paraId="7A2A80A2" w14:textId="38DD3799" w:rsidR="004569FB" w:rsidRPr="00115221" w:rsidRDefault="00114A8A" w:rsidP="00B44100">
      <w:pPr>
        <w:pStyle w:val="ListParagraph"/>
        <w:numPr>
          <w:ilvl w:val="0"/>
          <w:numId w:val="9"/>
        </w:numPr>
        <w:tabs>
          <w:tab w:val="clear" w:pos="3240"/>
        </w:tabs>
        <w:spacing w:before="120" w:after="120"/>
        <w:ind w:left="0" w:firstLine="0"/>
        <w:contextualSpacing w:val="0"/>
        <w:rPr>
          <w:rFonts w:cs="Times New Roman"/>
          <w:bCs/>
          <w:iCs/>
          <w:snapToGrid w:val="0"/>
          <w:spacing w:val="-2"/>
          <w:kern w:val="22"/>
          <w:szCs w:val="22"/>
          <w:lang w:val="fr-CA"/>
        </w:rPr>
      </w:pPr>
      <w:r w:rsidRPr="00115221">
        <w:rPr>
          <w:rFonts w:cs="Times New Roman"/>
          <w:bCs/>
          <w:iCs/>
          <w:snapToGrid w:val="0"/>
          <w:spacing w:val="-2"/>
          <w:kern w:val="22"/>
          <w:szCs w:val="22"/>
          <w:lang w:val="fr-CA"/>
        </w:rPr>
        <w:t xml:space="preserve">Soixante-treize p. cent des Parties (27 Parties) </w:t>
      </w:r>
      <w:r w:rsidR="00385DF8">
        <w:rPr>
          <w:rFonts w:cs="Times New Roman"/>
          <w:bCs/>
          <w:iCs/>
          <w:snapToGrid w:val="0"/>
          <w:spacing w:val="-2"/>
          <w:kern w:val="22"/>
          <w:szCs w:val="22"/>
          <w:lang w:val="fr-CA"/>
        </w:rPr>
        <w:t xml:space="preserve">parmi les Parties </w:t>
      </w:r>
      <w:r w:rsidRPr="00115221">
        <w:rPr>
          <w:rFonts w:cs="Times New Roman"/>
          <w:bCs/>
          <w:iCs/>
          <w:snapToGrid w:val="0"/>
          <w:spacing w:val="-2"/>
          <w:kern w:val="22"/>
          <w:szCs w:val="22"/>
          <w:lang w:val="fr-CA"/>
        </w:rPr>
        <w:t>ayant déclaré</w:t>
      </w:r>
      <w:r w:rsidR="00ED4F9E" w:rsidRPr="00115221">
        <w:rPr>
          <w:rFonts w:cs="Times New Roman"/>
          <w:bCs/>
          <w:iCs/>
          <w:snapToGrid w:val="0"/>
          <w:spacing w:val="-2"/>
          <w:kern w:val="22"/>
          <w:szCs w:val="22"/>
          <w:lang w:val="fr-CA"/>
        </w:rPr>
        <w:t xml:space="preserve"> que les décisions concernant l’</w:t>
      </w:r>
      <w:r w:rsidR="00ED4F9E" w:rsidRPr="00115221">
        <w:rPr>
          <w:rFonts w:eastAsia="Times New Roman" w:cs="Times New Roman"/>
          <w:bCs/>
          <w:iCs/>
          <w:snapToGrid w:val="0"/>
          <w:spacing w:val="-2"/>
          <w:kern w:val="22"/>
          <w:szCs w:val="22"/>
          <w:lang w:val="fr-CA"/>
        </w:rPr>
        <w:t>importation</w:t>
      </w:r>
      <w:r w:rsidR="00ED4F9E" w:rsidRPr="00115221">
        <w:rPr>
          <w:rFonts w:cs="Times New Roman"/>
          <w:bCs/>
          <w:iCs/>
          <w:snapToGrid w:val="0"/>
          <w:spacing w:val="-2"/>
          <w:kern w:val="22"/>
          <w:szCs w:val="22"/>
          <w:lang w:val="fr-CA"/>
        </w:rPr>
        <w:t xml:space="preserve"> d’OVM destinés à être introduits intentionnellement dans l’environnement</w:t>
      </w:r>
      <w:r w:rsidR="00971B51">
        <w:rPr>
          <w:rFonts w:cs="Times New Roman"/>
          <w:bCs/>
          <w:iCs/>
          <w:snapToGrid w:val="0"/>
          <w:spacing w:val="-2"/>
          <w:kern w:val="22"/>
          <w:szCs w:val="22"/>
          <w:lang w:val="fr-CA"/>
        </w:rPr>
        <w:t xml:space="preserve"> </w:t>
      </w:r>
      <w:r w:rsidR="00385DF8">
        <w:rPr>
          <w:rFonts w:cs="Times New Roman"/>
          <w:bCs/>
          <w:iCs/>
          <w:snapToGrid w:val="0"/>
          <w:spacing w:val="-2"/>
          <w:kern w:val="22"/>
          <w:szCs w:val="22"/>
          <w:lang w:val="fr-CA"/>
        </w:rPr>
        <w:t xml:space="preserve">étaient disponibles </w:t>
      </w:r>
      <w:r w:rsidR="00971B51">
        <w:rPr>
          <w:rFonts w:cs="Times New Roman"/>
          <w:bCs/>
          <w:iCs/>
          <w:snapToGrid w:val="0"/>
          <w:spacing w:val="-2"/>
          <w:kern w:val="22"/>
          <w:szCs w:val="22"/>
          <w:lang w:val="fr-CA"/>
        </w:rPr>
        <w:t>(40 p. cent, 37 </w:t>
      </w:r>
      <w:r w:rsidR="00ED4F9E" w:rsidRPr="00115221">
        <w:rPr>
          <w:rFonts w:cs="Times New Roman"/>
          <w:bCs/>
          <w:iCs/>
          <w:snapToGrid w:val="0"/>
          <w:spacing w:val="-2"/>
          <w:kern w:val="22"/>
          <w:szCs w:val="22"/>
          <w:lang w:val="fr-CA"/>
        </w:rPr>
        <w:t xml:space="preserve">Parties) ont indiqué que l’information avait été communiquée au </w:t>
      </w:r>
      <w:r w:rsidR="00B6412A">
        <w:rPr>
          <w:rFonts w:cs="Times New Roman"/>
          <w:bCs/>
          <w:iCs/>
          <w:snapToGrid w:val="0"/>
          <w:spacing w:val="-2"/>
          <w:kern w:val="22"/>
          <w:szCs w:val="22"/>
          <w:lang w:val="fr-CA"/>
        </w:rPr>
        <w:t>centre d’échange</w:t>
      </w:r>
      <w:r w:rsidR="00ED4F9E" w:rsidRPr="00115221">
        <w:rPr>
          <w:rFonts w:cs="Times New Roman"/>
          <w:bCs/>
          <w:iCs/>
          <w:snapToGrid w:val="0"/>
          <w:spacing w:val="-2"/>
          <w:kern w:val="22"/>
          <w:szCs w:val="22"/>
          <w:lang w:val="fr-CA"/>
        </w:rPr>
        <w:t xml:space="preserve"> sur la prévention des risques biotechnologiques, une augmentation de 19 p. cent par rapport à la valeur de référence</w:t>
      </w:r>
      <w:r w:rsidR="004569FB" w:rsidRPr="00115221">
        <w:rPr>
          <w:rFonts w:cs="Times New Roman"/>
          <w:bCs/>
          <w:iCs/>
          <w:snapToGrid w:val="0"/>
          <w:spacing w:val="-2"/>
          <w:kern w:val="22"/>
          <w:szCs w:val="22"/>
          <w:lang w:val="fr-CA"/>
        </w:rPr>
        <w:t>.</w:t>
      </w:r>
    </w:p>
    <w:p w14:paraId="4D864473" w14:textId="29F9CBEC" w:rsidR="004569FB" w:rsidRPr="00115221" w:rsidRDefault="00ED4F9E" w:rsidP="00B44100">
      <w:pPr>
        <w:pStyle w:val="ListParagraph"/>
        <w:numPr>
          <w:ilvl w:val="0"/>
          <w:numId w:val="9"/>
        </w:numPr>
        <w:tabs>
          <w:tab w:val="clear" w:pos="3240"/>
        </w:tabs>
        <w:spacing w:before="120" w:after="120"/>
        <w:ind w:left="0" w:firstLine="0"/>
        <w:contextualSpacing w:val="0"/>
        <w:rPr>
          <w:rFonts w:cs="Times New Roman"/>
          <w:bCs/>
          <w:iCs/>
          <w:snapToGrid w:val="0"/>
          <w:spacing w:val="-2"/>
          <w:kern w:val="22"/>
          <w:szCs w:val="22"/>
          <w:lang w:val="fr-CA"/>
        </w:rPr>
      </w:pPr>
      <w:r w:rsidRPr="00115221">
        <w:rPr>
          <w:rFonts w:cs="Times New Roman"/>
          <w:bCs/>
          <w:iCs/>
          <w:snapToGrid w:val="0"/>
          <w:spacing w:val="-2"/>
          <w:kern w:val="22"/>
          <w:szCs w:val="22"/>
          <w:lang w:val="fr-CA"/>
        </w:rPr>
        <w:lastRenderedPageBreak/>
        <w:t xml:space="preserve">Quatre-vingt-trois p. cent des Parties </w:t>
      </w:r>
      <w:r w:rsidR="00832D38">
        <w:rPr>
          <w:rFonts w:cs="Times New Roman"/>
          <w:bCs/>
          <w:iCs/>
          <w:snapToGrid w:val="0"/>
          <w:spacing w:val="-2"/>
          <w:kern w:val="22"/>
          <w:szCs w:val="22"/>
          <w:lang w:val="fr-CA"/>
        </w:rPr>
        <w:t xml:space="preserve">parmi les Parties </w:t>
      </w:r>
      <w:r w:rsidRPr="00115221">
        <w:rPr>
          <w:rFonts w:cs="Times New Roman"/>
          <w:bCs/>
          <w:iCs/>
          <w:snapToGrid w:val="0"/>
          <w:spacing w:val="-2"/>
          <w:kern w:val="22"/>
          <w:szCs w:val="22"/>
          <w:lang w:val="fr-CA"/>
        </w:rPr>
        <w:t xml:space="preserve">ayant déclaré que les décisions concernant les </w:t>
      </w:r>
      <w:r w:rsidR="006135E9" w:rsidRPr="00115221">
        <w:rPr>
          <w:rFonts w:cs="Times New Roman"/>
          <w:bCs/>
          <w:iCs/>
          <w:snapToGrid w:val="0"/>
          <w:spacing w:val="-2"/>
          <w:kern w:val="22"/>
          <w:szCs w:val="22"/>
          <w:lang w:val="fr-CA"/>
        </w:rPr>
        <w:t xml:space="preserve">OVM pouvant être assujettis aux </w:t>
      </w:r>
      <w:r w:rsidRPr="00115221">
        <w:rPr>
          <w:rFonts w:cs="Times New Roman"/>
          <w:bCs/>
          <w:iCs/>
          <w:snapToGrid w:val="0"/>
          <w:spacing w:val="-2"/>
          <w:kern w:val="22"/>
          <w:szCs w:val="22"/>
          <w:lang w:val="fr-CA"/>
        </w:rPr>
        <w:t xml:space="preserve">mouvements transfrontières </w:t>
      </w:r>
      <w:r w:rsidR="006135E9" w:rsidRPr="00115221">
        <w:rPr>
          <w:rFonts w:cs="Times New Roman"/>
          <w:bCs/>
          <w:iCs/>
          <w:snapToGrid w:val="0"/>
          <w:spacing w:val="-2"/>
          <w:kern w:val="22"/>
          <w:szCs w:val="22"/>
          <w:lang w:val="fr-CA"/>
        </w:rPr>
        <w:t xml:space="preserve">afin d’être directement utilisés pour l’alimentation humaine ou animale ou la transformation </w:t>
      </w:r>
      <w:r w:rsidR="00832D38">
        <w:rPr>
          <w:rFonts w:cs="Times New Roman"/>
          <w:bCs/>
          <w:iCs/>
          <w:snapToGrid w:val="0"/>
          <w:spacing w:val="-2"/>
          <w:kern w:val="22"/>
          <w:szCs w:val="22"/>
          <w:lang w:val="fr-CA"/>
        </w:rPr>
        <w:t xml:space="preserve">étaient disponibles </w:t>
      </w:r>
      <w:r w:rsidR="006135E9" w:rsidRPr="00115221">
        <w:rPr>
          <w:rFonts w:cs="Times New Roman"/>
          <w:bCs/>
          <w:iCs/>
          <w:snapToGrid w:val="0"/>
          <w:spacing w:val="-2"/>
          <w:kern w:val="22"/>
          <w:szCs w:val="22"/>
          <w:lang w:val="fr-CA"/>
        </w:rPr>
        <w:t xml:space="preserve">(45 p. cent), ont indiqué que l’information avait été communiquée au </w:t>
      </w:r>
      <w:r w:rsidR="00B6412A">
        <w:rPr>
          <w:rFonts w:cs="Times New Roman"/>
          <w:bCs/>
          <w:iCs/>
          <w:snapToGrid w:val="0"/>
          <w:spacing w:val="-2"/>
          <w:kern w:val="22"/>
          <w:szCs w:val="22"/>
          <w:lang w:val="fr-CA"/>
        </w:rPr>
        <w:t>centre d’échange</w:t>
      </w:r>
      <w:r w:rsidR="006135E9" w:rsidRPr="00115221">
        <w:rPr>
          <w:rFonts w:cs="Times New Roman"/>
          <w:bCs/>
          <w:iCs/>
          <w:snapToGrid w:val="0"/>
          <w:spacing w:val="-2"/>
          <w:kern w:val="22"/>
          <w:szCs w:val="22"/>
          <w:lang w:val="fr-CA"/>
        </w:rPr>
        <w:t xml:space="preserve"> sur la prévention des risques biotechnologiques, une augmentation de 14 p. cent</w:t>
      </w:r>
      <w:r w:rsidR="004569FB" w:rsidRPr="00115221">
        <w:rPr>
          <w:rFonts w:cs="Times New Roman"/>
          <w:bCs/>
          <w:iCs/>
          <w:snapToGrid w:val="0"/>
          <w:spacing w:val="-2"/>
          <w:kern w:val="22"/>
          <w:szCs w:val="22"/>
          <w:lang w:val="fr-CA"/>
        </w:rPr>
        <w:t>.</w:t>
      </w:r>
    </w:p>
    <w:p w14:paraId="25F22E08" w14:textId="568BD0C2" w:rsidR="004569FB" w:rsidRPr="00115221" w:rsidRDefault="00817203" w:rsidP="00B44100">
      <w:pPr>
        <w:pStyle w:val="ListParagraph"/>
        <w:numPr>
          <w:ilvl w:val="0"/>
          <w:numId w:val="9"/>
        </w:numPr>
        <w:tabs>
          <w:tab w:val="clear" w:pos="3240"/>
        </w:tabs>
        <w:spacing w:before="120" w:after="120"/>
        <w:ind w:left="0" w:firstLine="0"/>
        <w:contextualSpacing w:val="0"/>
        <w:rPr>
          <w:rFonts w:cs="Times New Roman"/>
          <w:bCs/>
          <w:iCs/>
          <w:snapToGrid w:val="0"/>
          <w:spacing w:val="-2"/>
          <w:kern w:val="22"/>
          <w:szCs w:val="22"/>
          <w:lang w:val="fr-CA"/>
        </w:rPr>
      </w:pPr>
      <w:r w:rsidRPr="00115221">
        <w:rPr>
          <w:rFonts w:cs="Times New Roman"/>
          <w:bCs/>
          <w:iCs/>
          <w:snapToGrid w:val="0"/>
          <w:spacing w:val="-2"/>
          <w:kern w:val="22"/>
          <w:szCs w:val="22"/>
          <w:lang w:val="fr-CA"/>
        </w:rPr>
        <w:t xml:space="preserve">Quatre-vingt-deux p. cent des Parties (36 Parties) </w:t>
      </w:r>
      <w:r w:rsidR="00832D38">
        <w:rPr>
          <w:rFonts w:cs="Times New Roman"/>
          <w:bCs/>
          <w:iCs/>
          <w:snapToGrid w:val="0"/>
          <w:spacing w:val="-2"/>
          <w:kern w:val="22"/>
          <w:szCs w:val="22"/>
          <w:lang w:val="fr-CA"/>
        </w:rPr>
        <w:t xml:space="preserve">parmi les Parties </w:t>
      </w:r>
      <w:r w:rsidRPr="00115221">
        <w:rPr>
          <w:rFonts w:cs="Times New Roman"/>
          <w:bCs/>
          <w:iCs/>
          <w:snapToGrid w:val="0"/>
          <w:spacing w:val="-2"/>
          <w:kern w:val="22"/>
          <w:szCs w:val="22"/>
          <w:lang w:val="fr-CA"/>
        </w:rPr>
        <w:t>ayant déclaré que les décisions concernant l’</w:t>
      </w:r>
      <w:r w:rsidRPr="00115221">
        <w:rPr>
          <w:rFonts w:eastAsia="Times New Roman" w:cs="Times New Roman"/>
          <w:bCs/>
          <w:iCs/>
          <w:snapToGrid w:val="0"/>
          <w:spacing w:val="-2"/>
          <w:kern w:val="22"/>
          <w:szCs w:val="22"/>
          <w:lang w:val="fr-CA"/>
        </w:rPr>
        <w:t>importation</w:t>
      </w:r>
      <w:r w:rsidRPr="00115221">
        <w:rPr>
          <w:rFonts w:cs="Times New Roman"/>
          <w:bCs/>
          <w:iCs/>
          <w:snapToGrid w:val="0"/>
          <w:spacing w:val="-2"/>
          <w:kern w:val="22"/>
          <w:szCs w:val="22"/>
          <w:lang w:val="fr-CA"/>
        </w:rPr>
        <w:t xml:space="preserve"> d’OVM destinés à être utilisés directement pour l’alimentation humaine ou animale ou la transformation prises au titre des cadres de réglementation nationaux (paragraphe 4 de l’article 11) ou conformément à l’annexe III au Protocole (paragraphe 6 de l’article 11)</w:t>
      </w:r>
      <w:r w:rsidR="00832D38">
        <w:rPr>
          <w:rFonts w:cs="Times New Roman"/>
          <w:bCs/>
          <w:iCs/>
          <w:snapToGrid w:val="0"/>
          <w:spacing w:val="-2"/>
          <w:kern w:val="22"/>
          <w:szCs w:val="22"/>
          <w:lang w:val="fr-CA"/>
        </w:rPr>
        <w:t xml:space="preserve"> étaient disponibles (47 p. cent, 44 </w:t>
      </w:r>
      <w:r w:rsidRPr="00115221">
        <w:rPr>
          <w:rFonts w:cs="Times New Roman"/>
          <w:bCs/>
          <w:iCs/>
          <w:snapToGrid w:val="0"/>
          <w:spacing w:val="-2"/>
          <w:kern w:val="22"/>
          <w:szCs w:val="22"/>
          <w:lang w:val="fr-CA"/>
        </w:rPr>
        <w:t xml:space="preserve">Parties) ont indiqué que l’information avait été communiquée au </w:t>
      </w:r>
      <w:r w:rsidR="00B6412A">
        <w:rPr>
          <w:rFonts w:cs="Times New Roman"/>
          <w:bCs/>
          <w:iCs/>
          <w:snapToGrid w:val="0"/>
          <w:spacing w:val="-2"/>
          <w:kern w:val="22"/>
          <w:szCs w:val="22"/>
          <w:lang w:val="fr-CA"/>
        </w:rPr>
        <w:t>centre d’échange</w:t>
      </w:r>
      <w:r w:rsidRPr="00115221">
        <w:rPr>
          <w:rFonts w:cs="Times New Roman"/>
          <w:bCs/>
          <w:iCs/>
          <w:snapToGrid w:val="0"/>
          <w:spacing w:val="-2"/>
          <w:kern w:val="22"/>
          <w:szCs w:val="22"/>
          <w:lang w:val="fr-CA"/>
        </w:rPr>
        <w:t xml:space="preserve"> sur la prévention des risques biotechnologiques, une augmentation de 15 p. cent</w:t>
      </w:r>
      <w:r w:rsidR="004569FB" w:rsidRPr="00115221">
        <w:rPr>
          <w:rFonts w:cs="Times New Roman"/>
          <w:bCs/>
          <w:iCs/>
          <w:snapToGrid w:val="0"/>
          <w:spacing w:val="-2"/>
          <w:kern w:val="22"/>
          <w:szCs w:val="22"/>
          <w:lang w:val="fr-CA"/>
        </w:rPr>
        <w:t>.</w:t>
      </w:r>
    </w:p>
    <w:p w14:paraId="56DCA659" w14:textId="77CE6D0A" w:rsidR="004569FB" w:rsidRPr="00115221" w:rsidRDefault="00ED070C" w:rsidP="00B44100">
      <w:pPr>
        <w:pStyle w:val="ListParagraph"/>
        <w:numPr>
          <w:ilvl w:val="0"/>
          <w:numId w:val="9"/>
        </w:numPr>
        <w:tabs>
          <w:tab w:val="clear" w:pos="3240"/>
        </w:tabs>
        <w:spacing w:before="120" w:after="120"/>
        <w:ind w:left="0" w:firstLine="0"/>
        <w:contextualSpacing w:val="0"/>
        <w:rPr>
          <w:rFonts w:cs="Times New Roman"/>
          <w:bCs/>
          <w:iCs/>
          <w:snapToGrid w:val="0"/>
          <w:spacing w:val="-2"/>
          <w:kern w:val="22"/>
          <w:szCs w:val="22"/>
          <w:lang w:val="fr-CA"/>
        </w:rPr>
      </w:pPr>
      <w:r w:rsidRPr="00115221">
        <w:rPr>
          <w:rFonts w:cs="Times New Roman"/>
          <w:bCs/>
          <w:iCs/>
          <w:snapToGrid w:val="0"/>
          <w:spacing w:val="-2"/>
          <w:kern w:val="22"/>
          <w:szCs w:val="22"/>
          <w:lang w:val="fr-CA"/>
        </w:rPr>
        <w:t xml:space="preserve">Soixante-neuf p. cent des Parties (35 Parties) </w:t>
      </w:r>
      <w:r w:rsidR="00832D38">
        <w:rPr>
          <w:rFonts w:cs="Times New Roman"/>
          <w:bCs/>
          <w:iCs/>
          <w:snapToGrid w:val="0"/>
          <w:spacing w:val="-2"/>
          <w:kern w:val="22"/>
          <w:szCs w:val="22"/>
          <w:lang w:val="fr-CA"/>
        </w:rPr>
        <w:t xml:space="preserve">parmi les Parties </w:t>
      </w:r>
      <w:r w:rsidRPr="00115221">
        <w:rPr>
          <w:rFonts w:cs="Times New Roman"/>
          <w:bCs/>
          <w:iCs/>
          <w:snapToGrid w:val="0"/>
          <w:spacing w:val="-2"/>
          <w:kern w:val="22"/>
          <w:szCs w:val="22"/>
          <w:lang w:val="fr-CA"/>
        </w:rPr>
        <w:t xml:space="preserve">ayant déclaré que les rapports sommaires des évaluations des examens environnementaux d’OVM </w:t>
      </w:r>
      <w:r w:rsidR="00971B51">
        <w:rPr>
          <w:rFonts w:cs="Times New Roman"/>
          <w:bCs/>
          <w:iCs/>
          <w:snapToGrid w:val="0"/>
          <w:spacing w:val="-2"/>
          <w:kern w:val="22"/>
          <w:szCs w:val="22"/>
          <w:lang w:val="fr-CA"/>
        </w:rPr>
        <w:t>créés dans le cadre</w:t>
      </w:r>
      <w:r w:rsidRPr="00115221">
        <w:rPr>
          <w:rFonts w:cs="Times New Roman"/>
          <w:bCs/>
          <w:iCs/>
          <w:snapToGrid w:val="0"/>
          <w:spacing w:val="-2"/>
          <w:kern w:val="22"/>
          <w:szCs w:val="22"/>
          <w:lang w:val="fr-CA"/>
        </w:rPr>
        <w:t xml:space="preserve"> des processus de réglementation et de l’informati</w:t>
      </w:r>
      <w:r w:rsidR="00922C3A" w:rsidRPr="00115221">
        <w:rPr>
          <w:rFonts w:cs="Times New Roman"/>
          <w:bCs/>
          <w:iCs/>
          <w:snapToGrid w:val="0"/>
          <w:spacing w:val="-2"/>
          <w:kern w:val="22"/>
          <w:szCs w:val="22"/>
          <w:lang w:val="fr-CA"/>
        </w:rPr>
        <w:t xml:space="preserve">on pertinente sur les produits </w:t>
      </w:r>
      <w:r w:rsidRPr="00115221">
        <w:rPr>
          <w:rFonts w:cs="Times New Roman"/>
          <w:bCs/>
          <w:iCs/>
          <w:snapToGrid w:val="0"/>
          <w:spacing w:val="-2"/>
          <w:kern w:val="22"/>
          <w:szCs w:val="22"/>
          <w:lang w:val="fr-CA"/>
        </w:rPr>
        <w:t xml:space="preserve">de celles-ci </w:t>
      </w:r>
      <w:r w:rsidR="00801F9C">
        <w:rPr>
          <w:rFonts w:cs="Times New Roman"/>
          <w:bCs/>
          <w:iCs/>
          <w:snapToGrid w:val="0"/>
          <w:spacing w:val="-2"/>
          <w:kern w:val="22"/>
          <w:szCs w:val="22"/>
          <w:lang w:val="fr-CA"/>
        </w:rPr>
        <w:t>étaient disponibles (55 p. cent, 51 </w:t>
      </w:r>
      <w:r w:rsidRPr="00115221">
        <w:rPr>
          <w:rFonts w:cs="Times New Roman"/>
          <w:bCs/>
          <w:iCs/>
          <w:snapToGrid w:val="0"/>
          <w:spacing w:val="-2"/>
          <w:kern w:val="22"/>
          <w:szCs w:val="22"/>
          <w:lang w:val="fr-CA"/>
        </w:rPr>
        <w:t>Parties) ont indiqué</w:t>
      </w:r>
      <w:r w:rsidR="00922C3A" w:rsidRPr="00115221">
        <w:rPr>
          <w:rFonts w:cs="Times New Roman"/>
          <w:bCs/>
          <w:iCs/>
          <w:snapToGrid w:val="0"/>
          <w:spacing w:val="-2"/>
          <w:kern w:val="22"/>
          <w:szCs w:val="22"/>
          <w:lang w:val="fr-CA"/>
        </w:rPr>
        <w:t xml:space="preserve"> q</w:t>
      </w:r>
      <w:r w:rsidRPr="00115221">
        <w:rPr>
          <w:rFonts w:cs="Times New Roman"/>
          <w:bCs/>
          <w:iCs/>
          <w:snapToGrid w:val="0"/>
          <w:spacing w:val="-2"/>
          <w:kern w:val="22"/>
          <w:szCs w:val="22"/>
          <w:lang w:val="fr-CA"/>
        </w:rPr>
        <w:t xml:space="preserve">ue l’information avait été communiquée au </w:t>
      </w:r>
      <w:r w:rsidR="00B6412A">
        <w:rPr>
          <w:rFonts w:cs="Times New Roman"/>
          <w:bCs/>
          <w:iCs/>
          <w:snapToGrid w:val="0"/>
          <w:spacing w:val="-2"/>
          <w:kern w:val="22"/>
          <w:szCs w:val="22"/>
          <w:lang w:val="fr-CA"/>
        </w:rPr>
        <w:t>centre d’échange</w:t>
      </w:r>
      <w:r w:rsidRPr="00115221">
        <w:rPr>
          <w:rFonts w:cs="Times New Roman"/>
          <w:bCs/>
          <w:iCs/>
          <w:snapToGrid w:val="0"/>
          <w:spacing w:val="-2"/>
          <w:kern w:val="22"/>
          <w:szCs w:val="22"/>
          <w:lang w:val="fr-CA"/>
        </w:rPr>
        <w:t xml:space="preserve"> sur la prévention des risques biotechnologiques,</w:t>
      </w:r>
      <w:r w:rsidR="00922C3A" w:rsidRPr="00115221">
        <w:rPr>
          <w:rFonts w:cs="Times New Roman"/>
          <w:bCs/>
          <w:iCs/>
          <w:snapToGrid w:val="0"/>
          <w:spacing w:val="-2"/>
          <w:kern w:val="22"/>
          <w:szCs w:val="22"/>
          <w:lang w:val="fr-CA"/>
        </w:rPr>
        <w:t xml:space="preserve"> une augm</w:t>
      </w:r>
      <w:r w:rsidRPr="00115221">
        <w:rPr>
          <w:rFonts w:cs="Times New Roman"/>
          <w:bCs/>
          <w:iCs/>
          <w:snapToGrid w:val="0"/>
          <w:spacing w:val="-2"/>
          <w:kern w:val="22"/>
          <w:szCs w:val="22"/>
          <w:lang w:val="fr-CA"/>
        </w:rPr>
        <w:t>entation de 19 p. cent. L’</w:t>
      </w:r>
      <w:r w:rsidR="00922C3A" w:rsidRPr="00115221">
        <w:rPr>
          <w:rFonts w:cs="Times New Roman"/>
          <w:bCs/>
          <w:iCs/>
          <w:snapToGrid w:val="0"/>
          <w:spacing w:val="-2"/>
          <w:kern w:val="22"/>
          <w:szCs w:val="22"/>
          <w:lang w:val="fr-CA"/>
        </w:rPr>
        <w:t>informati</w:t>
      </w:r>
      <w:r w:rsidRPr="00115221">
        <w:rPr>
          <w:rFonts w:cs="Times New Roman"/>
          <w:bCs/>
          <w:iCs/>
          <w:snapToGrid w:val="0"/>
          <w:spacing w:val="-2"/>
          <w:kern w:val="22"/>
          <w:szCs w:val="22"/>
          <w:lang w:val="fr-CA"/>
        </w:rPr>
        <w:t xml:space="preserve">on trouvée au </w:t>
      </w:r>
      <w:r w:rsidR="00B6412A">
        <w:rPr>
          <w:rFonts w:cs="Times New Roman"/>
          <w:bCs/>
          <w:iCs/>
          <w:snapToGrid w:val="0"/>
          <w:spacing w:val="-2"/>
          <w:kern w:val="22"/>
          <w:szCs w:val="22"/>
          <w:lang w:val="fr-CA"/>
        </w:rPr>
        <w:t>centre d’échange</w:t>
      </w:r>
      <w:r w:rsidR="00922C3A" w:rsidRPr="00115221">
        <w:rPr>
          <w:rFonts w:cs="Times New Roman"/>
          <w:bCs/>
          <w:iCs/>
          <w:snapToGrid w:val="0"/>
          <w:spacing w:val="-2"/>
          <w:kern w:val="22"/>
          <w:szCs w:val="22"/>
          <w:lang w:val="fr-CA"/>
        </w:rPr>
        <w:t xml:space="preserve"> sur la prévention des risques biotechnologiques </w:t>
      </w:r>
      <w:r w:rsidRPr="00115221">
        <w:rPr>
          <w:rFonts w:cs="Times New Roman"/>
          <w:bCs/>
          <w:iCs/>
          <w:snapToGrid w:val="0"/>
          <w:spacing w:val="-2"/>
          <w:kern w:val="22"/>
          <w:szCs w:val="22"/>
          <w:lang w:val="fr-CA"/>
        </w:rPr>
        <w:t>au moment de la pr</w:t>
      </w:r>
      <w:r w:rsidR="00922C3A" w:rsidRPr="00115221">
        <w:rPr>
          <w:rFonts w:cs="Times New Roman"/>
          <w:bCs/>
          <w:iCs/>
          <w:snapToGrid w:val="0"/>
          <w:spacing w:val="-2"/>
          <w:kern w:val="22"/>
          <w:szCs w:val="22"/>
          <w:lang w:val="fr-CA"/>
        </w:rPr>
        <w:t>é</w:t>
      </w:r>
      <w:r w:rsidRPr="00115221">
        <w:rPr>
          <w:rFonts w:cs="Times New Roman"/>
          <w:bCs/>
          <w:iCs/>
          <w:snapToGrid w:val="0"/>
          <w:spacing w:val="-2"/>
          <w:kern w:val="22"/>
          <w:szCs w:val="22"/>
          <w:lang w:val="fr-CA"/>
        </w:rPr>
        <w:t xml:space="preserve">paration de la présente note révèle que les rapports sommaires d’évaluation des risques sont manquants pour 78 décisions </w:t>
      </w:r>
      <w:r w:rsidR="00922C3A" w:rsidRPr="00115221">
        <w:rPr>
          <w:rFonts w:cs="Times New Roman"/>
          <w:bCs/>
          <w:iCs/>
          <w:snapToGrid w:val="0"/>
          <w:spacing w:val="-2"/>
          <w:kern w:val="22"/>
          <w:szCs w:val="22"/>
          <w:lang w:val="fr-CA"/>
        </w:rPr>
        <w:t>de</w:t>
      </w:r>
      <w:r w:rsidRPr="00115221">
        <w:rPr>
          <w:rFonts w:cs="Times New Roman"/>
          <w:bCs/>
          <w:iCs/>
          <w:snapToGrid w:val="0"/>
          <w:spacing w:val="-2"/>
          <w:kern w:val="22"/>
          <w:szCs w:val="22"/>
          <w:lang w:val="fr-CA"/>
        </w:rPr>
        <w:t xml:space="preserve"> 6 Parties</w:t>
      </w:r>
      <w:r w:rsidR="004569FB" w:rsidRPr="00115221">
        <w:rPr>
          <w:rFonts w:cs="Times New Roman"/>
          <w:bCs/>
          <w:iCs/>
          <w:snapToGrid w:val="0"/>
          <w:spacing w:val="-2"/>
          <w:kern w:val="22"/>
          <w:szCs w:val="22"/>
          <w:lang w:val="fr-CA"/>
        </w:rPr>
        <w:t>.</w:t>
      </w:r>
      <w:r w:rsidR="004569FB" w:rsidRPr="00115221">
        <w:rPr>
          <w:rStyle w:val="FootnoteReference"/>
          <w:rFonts w:cs="Times New Roman"/>
          <w:bCs/>
          <w:iCs/>
          <w:snapToGrid w:val="0"/>
          <w:spacing w:val="-2"/>
          <w:kern w:val="22"/>
          <w:szCs w:val="22"/>
          <w:lang w:val="fr-CA"/>
        </w:rPr>
        <w:footnoteReference w:id="52"/>
      </w:r>
    </w:p>
    <w:p w14:paraId="69E67C12" w14:textId="7F990D8D" w:rsidR="004569FB" w:rsidRPr="00115221" w:rsidRDefault="00922C3A" w:rsidP="00B44100">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Plusieurs Parties ont indiqué dans leurs exposés écrits que plusieurs types de renseignements ne sont pas disponibles dans leur pays et que c’est pour cette raison que ces informations n’ont pas été communiquées. Certaines parties mentionnent ne pas avoir les ressources ni les capacités nécessaires pour rendre certaines informations disponibles</w:t>
      </w:r>
      <w:r w:rsidR="004569FB" w:rsidRPr="00115221">
        <w:rPr>
          <w:rFonts w:cs="Times New Roman"/>
          <w:snapToGrid w:val="0"/>
          <w:spacing w:val="-2"/>
          <w:kern w:val="22"/>
          <w:szCs w:val="22"/>
          <w:lang w:val="fr-CA"/>
        </w:rPr>
        <w:t xml:space="preserve">. </w:t>
      </w:r>
    </w:p>
    <w:p w14:paraId="2F1FC25C" w14:textId="691D146F" w:rsidR="004569FB" w:rsidRPr="00115221" w:rsidRDefault="007D2D50"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spacing w:val="-2"/>
          <w:kern w:val="22"/>
          <w:szCs w:val="22"/>
          <w:lang w:val="fr-CA"/>
        </w:rPr>
      </w:pPr>
      <w:r w:rsidRPr="00115221">
        <w:rPr>
          <w:rFonts w:cs="Times New Roman"/>
          <w:snapToGrid w:val="0"/>
          <w:spacing w:val="-2"/>
          <w:kern w:val="22"/>
          <w:szCs w:val="22"/>
          <w:lang w:val="fr-CA"/>
        </w:rPr>
        <w:t xml:space="preserve">En ce qui concerne </w:t>
      </w:r>
      <w:r w:rsidRPr="00115221">
        <w:rPr>
          <w:rFonts w:cs="Times New Roman"/>
          <w:b/>
          <w:snapToGrid w:val="0"/>
          <w:spacing w:val="-2"/>
          <w:kern w:val="22"/>
          <w:szCs w:val="22"/>
          <w:lang w:val="fr-CA"/>
        </w:rPr>
        <w:t>l’indicateur 3.1.6</w:t>
      </w:r>
      <w:r w:rsidRPr="00115221">
        <w:rPr>
          <w:rFonts w:cs="Times New Roman"/>
          <w:snapToGrid w:val="0"/>
          <w:spacing w:val="-2"/>
          <w:kern w:val="22"/>
          <w:szCs w:val="22"/>
          <w:lang w:val="fr-CA"/>
        </w:rPr>
        <w:t xml:space="preserve"> (nombre de Parties ayant en place des programmes de suivi et d’exécution), 77 p. cent des Parties (53 Parties) ont déclaré avoir en place un programme de suivi et d’exécution de l’application du Protocole de Cartagena, une augmentation de 7 p. cent par rapport à la valeur de référence (comprenant les différences régionales suivantes : Asie</w:t>
      </w:r>
      <w:r w:rsidR="008126C9">
        <w:rPr>
          <w:rFonts w:cs="Times New Roman"/>
          <w:snapToGrid w:val="0"/>
          <w:spacing w:val="-2"/>
          <w:kern w:val="22"/>
          <w:szCs w:val="22"/>
          <w:lang w:val="fr-CA"/>
        </w:rPr>
        <w:t>-Pacifique</w:t>
      </w:r>
      <w:r w:rsidRPr="00115221">
        <w:rPr>
          <w:rFonts w:cs="Times New Roman"/>
          <w:snapToGrid w:val="0"/>
          <w:spacing w:val="-2"/>
          <w:kern w:val="22"/>
          <w:szCs w:val="22"/>
          <w:lang w:val="fr-CA"/>
        </w:rPr>
        <w:t> : +22 p. cent</w:t>
      </w:r>
      <w:r w:rsidR="00E3528A">
        <w:rPr>
          <w:rFonts w:cs="Times New Roman"/>
          <w:snapToGrid w:val="0"/>
          <w:spacing w:val="-2"/>
          <w:kern w:val="22"/>
          <w:szCs w:val="22"/>
          <w:lang w:val="fr-CA"/>
        </w:rPr>
        <w:t>;</w:t>
      </w:r>
      <w:r w:rsidRPr="00115221">
        <w:rPr>
          <w:rFonts w:cs="Times New Roman"/>
          <w:snapToGrid w:val="0"/>
          <w:spacing w:val="-2"/>
          <w:kern w:val="22"/>
          <w:szCs w:val="22"/>
          <w:lang w:val="fr-CA"/>
        </w:rPr>
        <w:t xml:space="preserve"> Afrique : +17 p. cent</w:t>
      </w:r>
      <w:r w:rsidR="00E3528A">
        <w:rPr>
          <w:rFonts w:cs="Times New Roman"/>
          <w:snapToGrid w:val="0"/>
          <w:spacing w:val="-2"/>
          <w:kern w:val="22"/>
          <w:szCs w:val="22"/>
          <w:lang w:val="fr-CA"/>
        </w:rPr>
        <w:t>;</w:t>
      </w:r>
      <w:r w:rsidRPr="00115221">
        <w:rPr>
          <w:rFonts w:cs="Times New Roman"/>
          <w:snapToGrid w:val="0"/>
          <w:spacing w:val="-2"/>
          <w:kern w:val="22"/>
          <w:szCs w:val="22"/>
          <w:lang w:val="fr-CA"/>
        </w:rPr>
        <w:t xml:space="preserve"> ECE : +7 p. cen</w:t>
      </w:r>
      <w:r w:rsidR="00E3528A">
        <w:rPr>
          <w:rFonts w:cs="Times New Roman"/>
          <w:snapToGrid w:val="0"/>
          <w:spacing w:val="-2"/>
          <w:kern w:val="22"/>
          <w:szCs w:val="22"/>
          <w:lang w:val="fr-CA"/>
        </w:rPr>
        <w:t>t</w:t>
      </w:r>
      <w:r w:rsidRPr="00115221">
        <w:rPr>
          <w:rFonts w:cs="Times New Roman"/>
          <w:snapToGrid w:val="0"/>
          <w:spacing w:val="-2"/>
          <w:kern w:val="22"/>
          <w:szCs w:val="22"/>
          <w:lang w:val="fr-CA"/>
        </w:rPr>
        <w:t>; GALC : aucune différence</w:t>
      </w:r>
      <w:r w:rsidR="00E3528A">
        <w:rPr>
          <w:rFonts w:cs="Times New Roman"/>
          <w:snapToGrid w:val="0"/>
          <w:spacing w:val="-2"/>
          <w:kern w:val="22"/>
          <w:szCs w:val="22"/>
          <w:lang w:val="fr-CA"/>
        </w:rPr>
        <w:t>;</w:t>
      </w:r>
      <w:r w:rsidRPr="00115221">
        <w:rPr>
          <w:rFonts w:cs="Times New Roman"/>
          <w:snapToGrid w:val="0"/>
          <w:spacing w:val="-2"/>
          <w:kern w:val="22"/>
          <w:szCs w:val="22"/>
          <w:lang w:val="fr-CA"/>
        </w:rPr>
        <w:t xml:space="preserve"> EOA : - 7 p. cent)</w:t>
      </w:r>
      <w:r w:rsidR="004569FB" w:rsidRPr="00115221">
        <w:rPr>
          <w:rFonts w:cs="Times New Roman"/>
          <w:iCs/>
          <w:snapToGrid w:val="0"/>
          <w:spacing w:val="-2"/>
          <w:kern w:val="22"/>
          <w:szCs w:val="22"/>
          <w:lang w:val="fr-CA"/>
        </w:rPr>
        <w:t>.</w:t>
      </w:r>
      <w:r w:rsidR="004569FB" w:rsidRPr="00115221">
        <w:rPr>
          <w:rStyle w:val="FootnoteReference"/>
          <w:rFonts w:cs="Times New Roman"/>
          <w:iCs/>
          <w:snapToGrid w:val="0"/>
          <w:spacing w:val="-2"/>
          <w:kern w:val="22"/>
          <w:szCs w:val="22"/>
          <w:lang w:val="fr-CA"/>
        </w:rPr>
        <w:footnoteReference w:id="53"/>
      </w:r>
      <w:r w:rsidR="004569FB" w:rsidRPr="00115221">
        <w:rPr>
          <w:rFonts w:cs="Times New Roman"/>
          <w:iCs/>
          <w:snapToGrid w:val="0"/>
          <w:spacing w:val="-2"/>
          <w:kern w:val="22"/>
          <w:szCs w:val="22"/>
          <w:lang w:val="fr-CA"/>
        </w:rPr>
        <w:t xml:space="preserve"> </w:t>
      </w:r>
    </w:p>
    <w:p w14:paraId="70701637" w14:textId="7BF76118" w:rsidR="004569FB" w:rsidRPr="00115221" w:rsidRDefault="00A90DEA"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b/>
          <w:snapToGrid w:val="0"/>
          <w:spacing w:val="-2"/>
          <w:kern w:val="22"/>
          <w:szCs w:val="22"/>
          <w:lang w:val="fr-CA"/>
        </w:rPr>
        <w:t xml:space="preserve">L’indicateur 3.1.7 </w:t>
      </w:r>
      <w:r w:rsidRPr="00115221">
        <w:rPr>
          <w:rFonts w:cs="Times New Roman"/>
          <w:snapToGrid w:val="0"/>
          <w:spacing w:val="-2"/>
          <w:kern w:val="22"/>
          <w:szCs w:val="22"/>
          <w:lang w:val="fr-CA"/>
        </w:rPr>
        <w:t>porte sur le nombre de rapports nationaux reçus pour chacu</w:t>
      </w:r>
      <w:r w:rsidR="00EF2B2C" w:rsidRPr="00115221">
        <w:rPr>
          <w:rFonts w:cs="Times New Roman"/>
          <w:snapToGrid w:val="0"/>
          <w:spacing w:val="-2"/>
          <w:kern w:val="22"/>
          <w:szCs w:val="22"/>
          <w:lang w:val="fr-CA"/>
        </w:rPr>
        <w:t xml:space="preserve">n </w:t>
      </w:r>
      <w:r w:rsidRPr="00115221">
        <w:rPr>
          <w:rFonts w:cs="Times New Roman"/>
          <w:snapToGrid w:val="0"/>
          <w:spacing w:val="-2"/>
          <w:kern w:val="22"/>
          <w:szCs w:val="22"/>
          <w:lang w:val="fr-CA"/>
        </w:rPr>
        <w:t xml:space="preserve">des cycles </w:t>
      </w:r>
      <w:r w:rsidR="005C6F2D">
        <w:rPr>
          <w:rFonts w:cs="Times New Roman"/>
          <w:snapToGrid w:val="0"/>
          <w:spacing w:val="-2"/>
          <w:kern w:val="22"/>
          <w:szCs w:val="22"/>
          <w:lang w:val="fr-CA"/>
        </w:rPr>
        <w:t>de présentation des rapports</w:t>
      </w:r>
      <w:r w:rsidRPr="00115221">
        <w:rPr>
          <w:rFonts w:cs="Times New Roman"/>
          <w:snapToGrid w:val="0"/>
          <w:spacing w:val="-2"/>
          <w:kern w:val="22"/>
          <w:szCs w:val="22"/>
          <w:lang w:val="fr-CA"/>
        </w:rPr>
        <w:t>. Quatre-vingt-dix-neuf Parties sur les 171 Parties ayant l’obligation de le faire avaient remis leur quatrième rapport national complet au 15 janvier 2020,</w:t>
      </w:r>
      <w:r w:rsidR="00C56A0A" w:rsidRPr="00115221">
        <w:rPr>
          <w:rStyle w:val="FootnoteReference"/>
          <w:rFonts w:cs="Times New Roman"/>
          <w:snapToGrid w:val="0"/>
          <w:kern w:val="22"/>
          <w:szCs w:val="22"/>
          <w:lang w:val="fr-CA"/>
        </w:rPr>
        <w:footnoteReference w:id="54"/>
      </w:r>
      <w:r w:rsidR="004569FB" w:rsidRPr="00115221">
        <w:rPr>
          <w:rFonts w:cs="Times New Roman"/>
          <w:iCs/>
          <w:snapToGrid w:val="0"/>
          <w:spacing w:val="-2"/>
          <w:kern w:val="22"/>
          <w:szCs w:val="22"/>
          <w:lang w:val="fr-CA"/>
        </w:rPr>
        <w:t xml:space="preserve"> </w:t>
      </w:r>
      <w:r w:rsidRPr="00115221">
        <w:rPr>
          <w:rFonts w:cs="Times New Roman"/>
          <w:iCs/>
          <w:snapToGrid w:val="0"/>
          <w:spacing w:val="-2"/>
          <w:kern w:val="22"/>
          <w:szCs w:val="22"/>
          <w:lang w:val="fr-CA"/>
        </w:rPr>
        <w:t xml:space="preserve">ce qui représente un taux de remise de 58 p. cent. Le taux de remise était de 89 p. cent pour le deuxième rapport national </w:t>
      </w:r>
      <w:r w:rsidR="009824A3" w:rsidRPr="00115221">
        <w:rPr>
          <w:rFonts w:cs="Times New Roman"/>
          <w:iCs/>
          <w:snapToGrid w:val="0"/>
          <w:spacing w:val="-2"/>
          <w:kern w:val="22"/>
          <w:szCs w:val="22"/>
          <w:lang w:val="fr-CA"/>
        </w:rPr>
        <w:t>après un délai comparable</w:t>
      </w:r>
      <w:r w:rsidR="00E3528A">
        <w:rPr>
          <w:rFonts w:cs="Times New Roman"/>
          <w:iCs/>
          <w:snapToGrid w:val="0"/>
          <w:spacing w:val="-2"/>
          <w:kern w:val="22"/>
          <w:szCs w:val="22"/>
          <w:lang w:val="fr-CA"/>
        </w:rPr>
        <w:t xml:space="preserve"> par rapport à la date de remise</w:t>
      </w:r>
      <w:r w:rsidR="004569FB" w:rsidRPr="00115221">
        <w:rPr>
          <w:rFonts w:cs="Times New Roman"/>
          <w:iCs/>
          <w:snapToGrid w:val="0"/>
          <w:spacing w:val="-2"/>
          <w:kern w:val="22"/>
          <w:szCs w:val="22"/>
          <w:lang w:val="fr-CA"/>
        </w:rPr>
        <w:t>.</w:t>
      </w:r>
      <w:r w:rsidR="004569FB" w:rsidRPr="00115221">
        <w:rPr>
          <w:rStyle w:val="FootnoteReference"/>
          <w:rFonts w:cs="Times New Roman"/>
          <w:iCs/>
          <w:snapToGrid w:val="0"/>
          <w:spacing w:val="-2"/>
          <w:kern w:val="22"/>
          <w:szCs w:val="22"/>
          <w:lang w:val="fr-CA"/>
        </w:rPr>
        <w:footnoteReference w:id="55"/>
      </w:r>
    </w:p>
    <w:p w14:paraId="2B6DB2DA" w14:textId="3D53ABB3" w:rsidR="004569FB" w:rsidRPr="00115221" w:rsidRDefault="00EF2B2C"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En ce qui concerne </w:t>
      </w:r>
      <w:r w:rsidRPr="00E3528A">
        <w:rPr>
          <w:rFonts w:cs="Times New Roman"/>
          <w:b/>
          <w:snapToGrid w:val="0"/>
          <w:spacing w:val="-2"/>
          <w:kern w:val="22"/>
          <w:szCs w:val="22"/>
          <w:lang w:val="fr-CA"/>
        </w:rPr>
        <w:t>l’indicateur 3.1.8</w:t>
      </w:r>
      <w:r w:rsidRPr="00115221">
        <w:rPr>
          <w:rFonts w:cs="Times New Roman"/>
          <w:snapToGrid w:val="0"/>
          <w:spacing w:val="-2"/>
          <w:kern w:val="22"/>
          <w:szCs w:val="22"/>
          <w:lang w:val="fr-CA"/>
        </w:rPr>
        <w:t xml:space="preserve"> (nombre de Parties ayant réussi à avoir </w:t>
      </w:r>
      <w:r w:rsidR="00903619">
        <w:rPr>
          <w:rFonts w:cs="Times New Roman"/>
          <w:snapToGrid w:val="0"/>
          <w:spacing w:val="-2"/>
          <w:kern w:val="22"/>
          <w:szCs w:val="22"/>
          <w:lang w:val="fr-CA"/>
        </w:rPr>
        <w:t>accès</w:t>
      </w:r>
      <w:r w:rsidRPr="00115221">
        <w:rPr>
          <w:rFonts w:cs="Times New Roman"/>
          <w:snapToGrid w:val="0"/>
          <w:spacing w:val="-2"/>
          <w:kern w:val="22"/>
          <w:szCs w:val="22"/>
          <w:lang w:val="fr-CA"/>
        </w:rPr>
        <w:t xml:space="preserve"> à des ressources financières afin de respecter leurs obligations au titre du Protocole), </w:t>
      </w:r>
      <w:r w:rsidR="003C4D85" w:rsidRPr="00115221">
        <w:rPr>
          <w:rFonts w:cs="Times New Roman"/>
          <w:snapToGrid w:val="0"/>
          <w:spacing w:val="-2"/>
          <w:kern w:val="22"/>
          <w:szCs w:val="22"/>
          <w:lang w:val="fr-CA"/>
        </w:rPr>
        <w:t>35 p. cent des Parties (25 Parties) ont dit avoir accès à un soutien financier prévisible et fiable pour renforcer le</w:t>
      </w:r>
      <w:r w:rsidR="00903619">
        <w:rPr>
          <w:rFonts w:cs="Times New Roman"/>
          <w:snapToGrid w:val="0"/>
          <w:spacing w:val="-2"/>
          <w:kern w:val="22"/>
          <w:szCs w:val="22"/>
          <w:lang w:val="fr-CA"/>
        </w:rPr>
        <w:t>ur</w:t>
      </w:r>
      <w:r w:rsidR="003C4D85" w:rsidRPr="00115221">
        <w:rPr>
          <w:rFonts w:cs="Times New Roman"/>
          <w:snapToGrid w:val="0"/>
          <w:spacing w:val="-2"/>
          <w:kern w:val="22"/>
          <w:szCs w:val="22"/>
          <w:lang w:val="fr-CA"/>
        </w:rPr>
        <w:t xml:space="preserve">s capacités </w:t>
      </w:r>
      <w:r w:rsidR="00903619">
        <w:rPr>
          <w:rFonts w:cs="Times New Roman"/>
          <w:snapToGrid w:val="0"/>
          <w:spacing w:val="-2"/>
          <w:kern w:val="22"/>
          <w:szCs w:val="22"/>
          <w:lang w:val="fr-CA"/>
        </w:rPr>
        <w:t xml:space="preserve">d’appliquer efficacement le </w:t>
      </w:r>
      <w:r w:rsidR="003C4D85" w:rsidRPr="00115221">
        <w:rPr>
          <w:rFonts w:cs="Times New Roman"/>
          <w:snapToGrid w:val="0"/>
          <w:spacing w:val="-2"/>
          <w:kern w:val="22"/>
          <w:szCs w:val="22"/>
          <w:lang w:val="fr-CA"/>
        </w:rPr>
        <w:t>Protocole, tandis que 14 p. cent des Parties (10 Parties) o</w:t>
      </w:r>
      <w:r w:rsidR="00903619">
        <w:rPr>
          <w:rFonts w:cs="Times New Roman"/>
          <w:snapToGrid w:val="0"/>
          <w:spacing w:val="-2"/>
          <w:kern w:val="22"/>
          <w:szCs w:val="22"/>
          <w:lang w:val="fr-CA"/>
        </w:rPr>
        <w:t>nt indiqué avoir accès à un tel</w:t>
      </w:r>
      <w:r w:rsidR="003C4D85" w:rsidRPr="00115221">
        <w:rPr>
          <w:rFonts w:cs="Times New Roman"/>
          <w:snapToGrid w:val="0"/>
          <w:spacing w:val="-2"/>
          <w:kern w:val="22"/>
          <w:szCs w:val="22"/>
          <w:lang w:val="fr-CA"/>
        </w:rPr>
        <w:t xml:space="preserve"> </w:t>
      </w:r>
      <w:r w:rsidR="00C87C38" w:rsidRPr="00115221">
        <w:rPr>
          <w:rFonts w:cs="Times New Roman"/>
          <w:snapToGrid w:val="0"/>
          <w:spacing w:val="-2"/>
          <w:kern w:val="22"/>
          <w:szCs w:val="22"/>
          <w:lang w:val="fr-CA"/>
        </w:rPr>
        <w:t>f</w:t>
      </w:r>
      <w:r w:rsidR="003C4D85" w:rsidRPr="00115221">
        <w:rPr>
          <w:rFonts w:cs="Times New Roman"/>
          <w:snapToGrid w:val="0"/>
          <w:spacing w:val="-2"/>
          <w:kern w:val="22"/>
          <w:szCs w:val="22"/>
          <w:lang w:val="fr-CA"/>
        </w:rPr>
        <w:t xml:space="preserve">inancement, </w:t>
      </w:r>
      <w:r w:rsidR="00410688">
        <w:rPr>
          <w:rFonts w:cs="Times New Roman"/>
          <w:snapToGrid w:val="0"/>
          <w:spacing w:val="-2"/>
          <w:kern w:val="22"/>
          <w:szCs w:val="22"/>
          <w:lang w:val="fr-CA"/>
        </w:rPr>
        <w:t>dans une certaine mesure</w:t>
      </w:r>
      <w:r w:rsidR="003C4D85" w:rsidRPr="00115221">
        <w:rPr>
          <w:rFonts w:cs="Times New Roman"/>
          <w:snapToGrid w:val="0"/>
          <w:spacing w:val="-2"/>
          <w:kern w:val="22"/>
          <w:szCs w:val="22"/>
          <w:lang w:val="fr-CA"/>
        </w:rPr>
        <w:t>. Ces deux résultats réunis représent</w:t>
      </w:r>
      <w:r w:rsidR="00903619">
        <w:rPr>
          <w:rFonts w:cs="Times New Roman"/>
          <w:snapToGrid w:val="0"/>
          <w:spacing w:val="-2"/>
          <w:kern w:val="22"/>
          <w:szCs w:val="22"/>
          <w:lang w:val="fr-CA"/>
        </w:rPr>
        <w:t>e</w:t>
      </w:r>
      <w:r w:rsidR="003C4D85" w:rsidRPr="00115221">
        <w:rPr>
          <w:rFonts w:cs="Times New Roman"/>
          <w:snapToGrid w:val="0"/>
          <w:spacing w:val="-2"/>
          <w:kern w:val="22"/>
          <w:szCs w:val="22"/>
          <w:lang w:val="fr-CA"/>
        </w:rPr>
        <w:t>nt une augmentation de 7 p,. cent par rapport à la valeur de référence (comprenant les différences régionales combinées suivantes : Afrique : +21 p. cent</w:t>
      </w:r>
      <w:r w:rsidR="00903619">
        <w:rPr>
          <w:rFonts w:cs="Times New Roman"/>
          <w:snapToGrid w:val="0"/>
          <w:spacing w:val="-2"/>
          <w:kern w:val="22"/>
          <w:szCs w:val="22"/>
          <w:lang w:val="fr-CA"/>
        </w:rPr>
        <w:t>;</w:t>
      </w:r>
      <w:r w:rsidR="003C4D85" w:rsidRPr="00115221">
        <w:rPr>
          <w:rFonts w:cs="Times New Roman"/>
          <w:snapToGrid w:val="0"/>
          <w:spacing w:val="-2"/>
          <w:kern w:val="22"/>
          <w:szCs w:val="22"/>
          <w:lang w:val="fr-CA"/>
        </w:rPr>
        <w:t xml:space="preserve"> Asie-</w:t>
      </w:r>
      <w:r w:rsidR="003C4D85" w:rsidRPr="00115221">
        <w:rPr>
          <w:rFonts w:cs="Times New Roman"/>
          <w:snapToGrid w:val="0"/>
          <w:spacing w:val="-2"/>
          <w:kern w:val="22"/>
          <w:szCs w:val="22"/>
          <w:lang w:val="fr-CA"/>
        </w:rPr>
        <w:lastRenderedPageBreak/>
        <w:t>Pacifique : +11 p. cent</w:t>
      </w:r>
      <w:r w:rsidR="00903619">
        <w:rPr>
          <w:rFonts w:cs="Times New Roman"/>
          <w:snapToGrid w:val="0"/>
          <w:spacing w:val="-2"/>
          <w:kern w:val="22"/>
          <w:szCs w:val="22"/>
          <w:lang w:val="fr-CA"/>
        </w:rPr>
        <w:t>; GALC : + 8 p. cent;</w:t>
      </w:r>
      <w:r w:rsidR="003C4D85" w:rsidRPr="00115221">
        <w:rPr>
          <w:rFonts w:cs="Times New Roman"/>
          <w:snapToGrid w:val="0"/>
          <w:spacing w:val="-2"/>
          <w:kern w:val="22"/>
          <w:szCs w:val="22"/>
          <w:lang w:val="fr-CA"/>
        </w:rPr>
        <w:t xml:space="preserve"> EOA : aucun</w:t>
      </w:r>
      <w:r w:rsidR="006326EA">
        <w:rPr>
          <w:rFonts w:cs="Times New Roman"/>
          <w:snapToGrid w:val="0"/>
          <w:spacing w:val="-2"/>
          <w:kern w:val="22"/>
          <w:szCs w:val="22"/>
          <w:lang w:val="fr-CA"/>
        </w:rPr>
        <w:t>e</w:t>
      </w:r>
      <w:r w:rsidR="003C4D85" w:rsidRPr="00115221">
        <w:rPr>
          <w:rFonts w:cs="Times New Roman"/>
          <w:snapToGrid w:val="0"/>
          <w:spacing w:val="-2"/>
          <w:kern w:val="22"/>
          <w:szCs w:val="22"/>
          <w:lang w:val="fr-CA"/>
        </w:rPr>
        <w:t xml:space="preserve"> </w:t>
      </w:r>
      <w:r w:rsidR="006326EA">
        <w:rPr>
          <w:rFonts w:cs="Times New Roman"/>
          <w:snapToGrid w:val="0"/>
          <w:spacing w:val="-2"/>
          <w:kern w:val="22"/>
          <w:szCs w:val="22"/>
          <w:lang w:val="fr-CA"/>
        </w:rPr>
        <w:t>différence</w:t>
      </w:r>
      <w:r w:rsidR="00903619">
        <w:rPr>
          <w:rFonts w:cs="Times New Roman"/>
          <w:snapToGrid w:val="0"/>
          <w:spacing w:val="-2"/>
          <w:kern w:val="22"/>
          <w:szCs w:val="22"/>
          <w:lang w:val="fr-CA"/>
        </w:rPr>
        <w:t>; ECE : - 7 p. cent</w:t>
      </w:r>
      <w:r w:rsidR="004569FB" w:rsidRPr="00115221">
        <w:rPr>
          <w:rFonts w:cs="Times New Roman"/>
          <w:snapToGrid w:val="0"/>
          <w:spacing w:val="-2"/>
          <w:kern w:val="22"/>
          <w:szCs w:val="22"/>
          <w:lang w:val="fr-CA"/>
        </w:rPr>
        <w:t>).</w:t>
      </w:r>
      <w:r w:rsidR="004569FB" w:rsidRPr="00115221">
        <w:rPr>
          <w:rStyle w:val="FootnoteReference"/>
          <w:rFonts w:cs="Times New Roman"/>
          <w:snapToGrid w:val="0"/>
          <w:spacing w:val="-2"/>
          <w:kern w:val="22"/>
          <w:szCs w:val="22"/>
          <w:lang w:val="fr-CA"/>
        </w:rPr>
        <w:footnoteReference w:id="56"/>
      </w:r>
      <w:r w:rsidR="004569FB" w:rsidRPr="00115221">
        <w:rPr>
          <w:rFonts w:cs="Times New Roman"/>
          <w:snapToGrid w:val="0"/>
          <w:spacing w:val="-2"/>
          <w:kern w:val="22"/>
          <w:szCs w:val="22"/>
          <w:lang w:val="fr-CA"/>
        </w:rPr>
        <w:t xml:space="preserve"> (</w:t>
      </w:r>
      <w:r w:rsidR="00C87C38" w:rsidRPr="00115221">
        <w:rPr>
          <w:rFonts w:cs="Times New Roman"/>
          <w:snapToGrid w:val="0"/>
          <w:spacing w:val="-2"/>
          <w:kern w:val="22"/>
          <w:szCs w:val="22"/>
          <w:lang w:val="fr-CA"/>
        </w:rPr>
        <w:t xml:space="preserve">Voir également les informations présentées pour </w:t>
      </w:r>
      <w:r w:rsidR="00C87C38" w:rsidRPr="00115221">
        <w:rPr>
          <w:rFonts w:cs="Times New Roman"/>
          <w:b/>
          <w:snapToGrid w:val="0"/>
          <w:spacing w:val="-2"/>
          <w:kern w:val="22"/>
          <w:szCs w:val="22"/>
          <w:lang w:val="fr-CA"/>
        </w:rPr>
        <w:t>l’indicateur 1.2.6</w:t>
      </w:r>
      <w:r w:rsidR="00C87C38" w:rsidRPr="00115221">
        <w:rPr>
          <w:rFonts w:cs="Times New Roman"/>
          <w:snapToGrid w:val="0"/>
          <w:spacing w:val="-2"/>
          <w:kern w:val="22"/>
          <w:szCs w:val="22"/>
          <w:lang w:val="fr-CA"/>
        </w:rPr>
        <w:t>, ci-dessus</w:t>
      </w:r>
      <w:r w:rsidR="004569FB" w:rsidRPr="00115221">
        <w:rPr>
          <w:rFonts w:cs="Times New Roman"/>
          <w:snapToGrid w:val="0"/>
          <w:spacing w:val="-2"/>
          <w:kern w:val="22"/>
          <w:szCs w:val="22"/>
          <w:lang w:val="fr-CA"/>
        </w:rPr>
        <w:t>).</w:t>
      </w:r>
    </w:p>
    <w:p w14:paraId="2A7312B7" w14:textId="2A4982C8" w:rsidR="004569FB" w:rsidRPr="00115221" w:rsidRDefault="00AC1F7D"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Soixante-dix pour cent des Parties (31 Parties) ont déclaré avoir mobilisé du financement en plus de l’affectation budgétaire habituelle pour l’application du Protocole de Cartagena, 13 Parties de moins que la valeur de référence</w:t>
      </w:r>
      <w:r w:rsidR="004569FB" w:rsidRPr="00115221">
        <w:rPr>
          <w:rFonts w:cs="Times New Roman"/>
          <w:snapToGrid w:val="0"/>
          <w:spacing w:val="-2"/>
          <w:kern w:val="22"/>
          <w:szCs w:val="22"/>
          <w:lang w:val="fr-CA"/>
        </w:rPr>
        <w:t>.</w:t>
      </w:r>
      <w:r w:rsidR="004569FB" w:rsidRPr="00115221">
        <w:rPr>
          <w:rStyle w:val="FootnoteReference"/>
          <w:rFonts w:cs="Times New Roman"/>
          <w:snapToGrid w:val="0"/>
          <w:spacing w:val="-2"/>
          <w:kern w:val="22"/>
          <w:szCs w:val="22"/>
          <w:lang w:val="fr-CA"/>
        </w:rPr>
        <w:footnoteReference w:id="57"/>
      </w:r>
      <w:r w:rsidR="004569FB" w:rsidRPr="00115221">
        <w:rPr>
          <w:rFonts w:cs="Times New Roman"/>
          <w:snapToGrid w:val="0"/>
          <w:spacing w:val="-2"/>
          <w:kern w:val="22"/>
          <w:szCs w:val="22"/>
          <w:lang w:val="fr-CA"/>
        </w:rPr>
        <w:t xml:space="preserve"> </w:t>
      </w:r>
      <w:r w:rsidRPr="00115221">
        <w:rPr>
          <w:rFonts w:cs="Times New Roman"/>
          <w:snapToGrid w:val="0"/>
          <w:spacing w:val="-2"/>
          <w:kern w:val="22"/>
          <w:szCs w:val="22"/>
          <w:lang w:val="fr-CA"/>
        </w:rPr>
        <w:t>Des différences ont été indiquées dans les sommes reçues par rapport à la valeur de référence</w:t>
      </w:r>
      <w:r w:rsidR="00B36A0F" w:rsidRPr="00115221">
        <w:rPr>
          <w:rFonts w:cs="Times New Roman"/>
          <w:snapToGrid w:val="0"/>
          <w:spacing w:val="-2"/>
          <w:kern w:val="22"/>
          <w:szCs w:val="22"/>
          <w:lang w:val="fr-CA"/>
        </w:rPr>
        <w:t>. Une diminution de 11 p. cent a été déclaré</w:t>
      </w:r>
      <w:r w:rsidR="004463A6">
        <w:rPr>
          <w:rFonts w:cs="Times New Roman"/>
          <w:snapToGrid w:val="0"/>
          <w:spacing w:val="-2"/>
          <w:kern w:val="22"/>
          <w:szCs w:val="22"/>
          <w:lang w:val="fr-CA"/>
        </w:rPr>
        <w:t>e</w:t>
      </w:r>
      <w:r w:rsidR="00B36A0F" w:rsidRPr="00115221">
        <w:rPr>
          <w:rFonts w:cs="Times New Roman"/>
          <w:snapToGrid w:val="0"/>
          <w:spacing w:val="-2"/>
          <w:kern w:val="22"/>
          <w:szCs w:val="22"/>
          <w:lang w:val="fr-CA"/>
        </w:rPr>
        <w:t xml:space="preserve"> pour les sommes inférieures à 50 000 $US. Une diminution de 14 p. cent a été déclaré</w:t>
      </w:r>
      <w:r w:rsidR="004463A6">
        <w:rPr>
          <w:rFonts w:cs="Times New Roman"/>
          <w:snapToGrid w:val="0"/>
          <w:spacing w:val="-2"/>
          <w:kern w:val="22"/>
          <w:szCs w:val="22"/>
          <w:lang w:val="fr-CA"/>
        </w:rPr>
        <w:t>e</w:t>
      </w:r>
      <w:r w:rsidR="00B36A0F" w:rsidRPr="00115221">
        <w:rPr>
          <w:rFonts w:cs="Times New Roman"/>
          <w:snapToGrid w:val="0"/>
          <w:spacing w:val="-2"/>
          <w:kern w:val="22"/>
          <w:szCs w:val="22"/>
          <w:lang w:val="fr-CA"/>
        </w:rPr>
        <w:t xml:space="preserve"> </w:t>
      </w:r>
      <w:r w:rsidR="0041069D">
        <w:rPr>
          <w:rFonts w:cs="Times New Roman"/>
          <w:snapToGrid w:val="0"/>
          <w:spacing w:val="-2"/>
          <w:kern w:val="22"/>
          <w:szCs w:val="22"/>
          <w:lang w:val="fr-CA"/>
        </w:rPr>
        <w:t>pour</w:t>
      </w:r>
      <w:r w:rsidR="00B36A0F" w:rsidRPr="00115221">
        <w:rPr>
          <w:rFonts w:cs="Times New Roman"/>
          <w:snapToGrid w:val="0"/>
          <w:spacing w:val="-2"/>
          <w:kern w:val="22"/>
          <w:szCs w:val="22"/>
          <w:lang w:val="fr-CA"/>
        </w:rPr>
        <w:t xml:space="preserve"> les sommes reçues se situant entre 100 000 $US et 500 000 $US. Une diminution de 7 p. cent a été déclarée </w:t>
      </w:r>
      <w:r w:rsidR="0041069D">
        <w:rPr>
          <w:rFonts w:cs="Times New Roman"/>
          <w:snapToGrid w:val="0"/>
          <w:spacing w:val="-2"/>
          <w:kern w:val="22"/>
          <w:szCs w:val="22"/>
          <w:lang w:val="fr-CA"/>
        </w:rPr>
        <w:t>pour</w:t>
      </w:r>
      <w:r w:rsidR="00B36A0F" w:rsidRPr="00115221">
        <w:rPr>
          <w:rFonts w:cs="Times New Roman"/>
          <w:snapToGrid w:val="0"/>
          <w:spacing w:val="-2"/>
          <w:kern w:val="22"/>
          <w:szCs w:val="22"/>
          <w:lang w:val="fr-CA"/>
        </w:rPr>
        <w:t xml:space="preserve"> les sommes reçues dépassant les 500 000 $US. La contribution </w:t>
      </w:r>
      <w:r w:rsidR="008B4A34" w:rsidRPr="00115221">
        <w:rPr>
          <w:rFonts w:cs="Times New Roman"/>
          <w:snapToGrid w:val="0"/>
          <w:spacing w:val="-2"/>
          <w:kern w:val="22"/>
          <w:szCs w:val="22"/>
          <w:lang w:val="fr-CA"/>
        </w:rPr>
        <w:t>à la réduction semble répa</w:t>
      </w:r>
      <w:r w:rsidR="00B36A0F" w:rsidRPr="00115221">
        <w:rPr>
          <w:rFonts w:cs="Times New Roman"/>
          <w:snapToGrid w:val="0"/>
          <w:spacing w:val="-2"/>
          <w:kern w:val="22"/>
          <w:szCs w:val="22"/>
          <w:lang w:val="fr-CA"/>
        </w:rPr>
        <w:t>rtie assez également en</w:t>
      </w:r>
      <w:r w:rsidR="009824A3" w:rsidRPr="00115221">
        <w:rPr>
          <w:rFonts w:cs="Times New Roman"/>
          <w:snapToGrid w:val="0"/>
          <w:spacing w:val="-2"/>
          <w:kern w:val="22"/>
          <w:szCs w:val="22"/>
          <w:lang w:val="fr-CA"/>
        </w:rPr>
        <w:t>tre les Parties et les régions</w:t>
      </w:r>
      <w:r w:rsidR="00B36A0F" w:rsidRPr="00115221">
        <w:rPr>
          <w:rFonts w:cs="Times New Roman"/>
          <w:snapToGrid w:val="0"/>
          <w:spacing w:val="-2"/>
          <w:kern w:val="22"/>
          <w:szCs w:val="22"/>
          <w:lang w:val="fr-CA"/>
        </w:rPr>
        <w:t xml:space="preserve">. (Voir également l’information fournie à </w:t>
      </w:r>
      <w:r w:rsidR="00B36A0F" w:rsidRPr="00115221">
        <w:rPr>
          <w:rFonts w:cs="Times New Roman"/>
          <w:b/>
          <w:snapToGrid w:val="0"/>
          <w:spacing w:val="-2"/>
          <w:kern w:val="22"/>
          <w:szCs w:val="22"/>
          <w:lang w:val="fr-CA"/>
        </w:rPr>
        <w:t>l’indicateur 1.2.5</w:t>
      </w:r>
      <w:r w:rsidR="00B36A0F" w:rsidRPr="00115221">
        <w:rPr>
          <w:rFonts w:cs="Times New Roman"/>
          <w:snapToGrid w:val="0"/>
          <w:spacing w:val="-2"/>
          <w:kern w:val="22"/>
          <w:szCs w:val="22"/>
          <w:lang w:val="fr-CA"/>
        </w:rPr>
        <w:t>, ci-dessus</w:t>
      </w:r>
      <w:r w:rsidR="004569FB" w:rsidRPr="00115221">
        <w:rPr>
          <w:rFonts w:cs="Times New Roman"/>
          <w:snapToGrid w:val="0"/>
          <w:spacing w:val="-2"/>
          <w:kern w:val="22"/>
          <w:szCs w:val="22"/>
          <w:lang w:val="fr-CA"/>
        </w:rPr>
        <w:t>).</w:t>
      </w:r>
    </w:p>
    <w:p w14:paraId="146C5291" w14:textId="4812FDC5" w:rsidR="004569FB" w:rsidRPr="00115221" w:rsidRDefault="004463A6" w:rsidP="000A5388">
      <w:pPr>
        <w:pStyle w:val="ListParagraph"/>
        <w:suppressLineNumbers/>
        <w:suppressAutoHyphens/>
        <w:snapToGrid w:val="0"/>
        <w:spacing w:before="120" w:after="120"/>
        <w:ind w:left="0"/>
        <w:contextualSpacing w:val="0"/>
        <w:outlineLvl w:val="2"/>
        <w:rPr>
          <w:rFonts w:cs="Times New Roman"/>
          <w:b/>
          <w:iCs/>
          <w:snapToGrid w:val="0"/>
          <w:kern w:val="22"/>
          <w:szCs w:val="22"/>
          <w:lang w:val="fr-CA"/>
        </w:rPr>
      </w:pPr>
      <w:r>
        <w:rPr>
          <w:rFonts w:cs="Times New Roman"/>
          <w:b/>
          <w:iCs/>
          <w:snapToGrid w:val="0"/>
          <w:kern w:val="22"/>
          <w:szCs w:val="22"/>
          <w:lang w:val="fr-CA"/>
        </w:rPr>
        <w:t>Objectif opérationnel 3.2 : É</w:t>
      </w:r>
      <w:r w:rsidR="00B26026" w:rsidRPr="00115221">
        <w:rPr>
          <w:rFonts w:cs="Times New Roman"/>
          <w:b/>
          <w:iCs/>
          <w:snapToGrid w:val="0"/>
          <w:kern w:val="22"/>
          <w:szCs w:val="22"/>
          <w:lang w:val="fr-CA"/>
        </w:rPr>
        <w:t>valuation et examen</w:t>
      </w:r>
    </w:p>
    <w:p w14:paraId="1AA851C8" w14:textId="16195080" w:rsidR="004569FB" w:rsidRPr="00115221" w:rsidRDefault="00B26026"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bookmarkStart w:id="15" w:name="_Hlk33713826"/>
      <w:r w:rsidRPr="00115221">
        <w:rPr>
          <w:rFonts w:cs="Times New Roman"/>
          <w:snapToGrid w:val="0"/>
          <w:spacing w:val="-2"/>
          <w:kern w:val="22"/>
          <w:szCs w:val="22"/>
          <w:lang w:val="fr-CA"/>
        </w:rPr>
        <w:t xml:space="preserve">Pour ce qui est </w:t>
      </w:r>
      <w:r w:rsidR="00AF126E" w:rsidRPr="00115221">
        <w:rPr>
          <w:rFonts w:cs="Times New Roman"/>
          <w:snapToGrid w:val="0"/>
          <w:spacing w:val="-2"/>
          <w:kern w:val="22"/>
          <w:szCs w:val="22"/>
          <w:lang w:val="fr-CA"/>
        </w:rPr>
        <w:t xml:space="preserve">de </w:t>
      </w:r>
      <w:r w:rsidR="00AF126E" w:rsidRPr="00115221">
        <w:rPr>
          <w:rFonts w:cs="Times New Roman"/>
          <w:b/>
          <w:snapToGrid w:val="0"/>
          <w:spacing w:val="-2"/>
          <w:kern w:val="22"/>
          <w:szCs w:val="22"/>
          <w:lang w:val="fr-CA"/>
        </w:rPr>
        <w:t>l’indicateur 3.2.1</w:t>
      </w:r>
      <w:r w:rsidR="00AF126E" w:rsidRPr="00115221">
        <w:rPr>
          <w:rFonts w:cs="Times New Roman"/>
          <w:snapToGrid w:val="0"/>
          <w:spacing w:val="-2"/>
          <w:kern w:val="22"/>
          <w:szCs w:val="22"/>
          <w:lang w:val="fr-CA"/>
        </w:rPr>
        <w:t xml:space="preserve"> (nombre de rapports d’évaluation remis et d’examens publiés), 99 Parties (58 p. cent) ayant l’obligation de le faire avaient remis un quatrième rapport </w:t>
      </w:r>
      <w:r w:rsidR="00AF126E" w:rsidRPr="00115221">
        <w:rPr>
          <w:rFonts w:eastAsia="Times New Roman" w:cs="Times New Roman"/>
          <w:snapToGrid w:val="0"/>
          <w:spacing w:val="-2"/>
          <w:kern w:val="22"/>
          <w:szCs w:val="22"/>
          <w:lang w:val="fr-CA"/>
        </w:rPr>
        <w:t>national</w:t>
      </w:r>
      <w:r w:rsidR="00AF126E" w:rsidRPr="00115221">
        <w:rPr>
          <w:rFonts w:cs="Times New Roman"/>
          <w:snapToGrid w:val="0"/>
          <w:spacing w:val="-2"/>
          <w:kern w:val="22"/>
          <w:szCs w:val="22"/>
          <w:lang w:val="fr-CA"/>
        </w:rPr>
        <w:t xml:space="preserve"> complet au 15 janvier 2020. </w:t>
      </w:r>
      <w:r w:rsidR="009824A3" w:rsidRPr="00115221">
        <w:rPr>
          <w:rFonts w:cs="Times New Roman"/>
          <w:snapToGrid w:val="0"/>
          <w:spacing w:val="-2"/>
          <w:kern w:val="22"/>
          <w:szCs w:val="22"/>
          <w:lang w:val="fr-CA"/>
        </w:rPr>
        <w:t xml:space="preserve">Le taux de remise était de 89 p. cent pour le deuxième rapport </w:t>
      </w:r>
      <w:r w:rsidR="009824A3" w:rsidRPr="00115221">
        <w:rPr>
          <w:rFonts w:eastAsia="Times New Roman" w:cs="Times New Roman"/>
          <w:snapToGrid w:val="0"/>
          <w:spacing w:val="-2"/>
          <w:kern w:val="22"/>
          <w:szCs w:val="22"/>
          <w:lang w:val="fr-CA"/>
        </w:rPr>
        <w:t>national</w:t>
      </w:r>
      <w:r w:rsidR="009824A3" w:rsidRPr="00115221">
        <w:rPr>
          <w:rFonts w:cs="Times New Roman"/>
          <w:snapToGrid w:val="0"/>
          <w:spacing w:val="-2"/>
          <w:kern w:val="22"/>
          <w:szCs w:val="22"/>
          <w:lang w:val="fr-CA"/>
        </w:rPr>
        <w:t xml:space="preserve"> après un délai comparable</w:t>
      </w:r>
      <w:r w:rsidR="00CD5BE6" w:rsidRPr="00115221">
        <w:rPr>
          <w:rFonts w:cs="Times New Roman"/>
          <w:snapToGrid w:val="0"/>
          <w:spacing w:val="-2"/>
          <w:kern w:val="22"/>
          <w:szCs w:val="22"/>
          <w:lang w:val="fr-CA"/>
        </w:rPr>
        <w:t xml:space="preserve"> suivant la date d’échéance de remise du rapport</w:t>
      </w:r>
      <w:r w:rsidR="009824A3" w:rsidRPr="00115221">
        <w:rPr>
          <w:rFonts w:cs="Times New Roman"/>
          <w:snapToGrid w:val="0"/>
          <w:spacing w:val="-2"/>
          <w:kern w:val="22"/>
          <w:szCs w:val="22"/>
          <w:lang w:val="fr-CA"/>
        </w:rPr>
        <w:t>, et de 62 p. cent pour le troisième rapport après un délai comparable</w:t>
      </w:r>
      <w:r w:rsidR="0004138E">
        <w:rPr>
          <w:rFonts w:cs="Times New Roman"/>
          <w:snapToGrid w:val="0"/>
          <w:spacing w:val="-2"/>
          <w:kern w:val="22"/>
          <w:szCs w:val="22"/>
          <w:lang w:val="fr-CA"/>
        </w:rPr>
        <w:t xml:space="preserve"> après la date limite de remise</w:t>
      </w:r>
      <w:r w:rsidR="004569FB" w:rsidRPr="00115221">
        <w:rPr>
          <w:rFonts w:cs="Times New Roman"/>
          <w:snapToGrid w:val="0"/>
          <w:spacing w:val="-2"/>
          <w:kern w:val="22"/>
          <w:szCs w:val="22"/>
          <w:lang w:val="fr-CA"/>
        </w:rPr>
        <w:t xml:space="preserve">. </w:t>
      </w:r>
    </w:p>
    <w:bookmarkEnd w:id="15"/>
    <w:p w14:paraId="7D43832E" w14:textId="40BF8212" w:rsidR="002B3AD1" w:rsidRPr="00115221" w:rsidRDefault="00CD5BE6"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Bien que</w:t>
      </w:r>
      <w:r w:rsidR="0096216E" w:rsidRPr="00115221">
        <w:rPr>
          <w:rFonts w:cs="Times New Roman"/>
          <w:snapToGrid w:val="0"/>
          <w:spacing w:val="-2"/>
          <w:kern w:val="22"/>
          <w:szCs w:val="22"/>
          <w:lang w:val="fr-CA"/>
        </w:rPr>
        <w:t xml:space="preserve"> le Comité de conformité estime que</w:t>
      </w:r>
      <w:r w:rsidR="0004138E">
        <w:rPr>
          <w:rFonts w:cs="Times New Roman"/>
          <w:snapToGrid w:val="0"/>
          <w:spacing w:val="-2"/>
          <w:kern w:val="22"/>
          <w:szCs w:val="22"/>
          <w:lang w:val="fr-CA"/>
        </w:rPr>
        <w:t xml:space="preserve"> la disponibilité du</w:t>
      </w:r>
      <w:r w:rsidRPr="00115221">
        <w:rPr>
          <w:rFonts w:cs="Times New Roman"/>
          <w:snapToGrid w:val="0"/>
          <w:spacing w:val="-2"/>
          <w:kern w:val="22"/>
          <w:szCs w:val="22"/>
          <w:lang w:val="fr-CA"/>
        </w:rPr>
        <w:t xml:space="preserve"> financement du F</w:t>
      </w:r>
      <w:r w:rsidR="00761693">
        <w:rPr>
          <w:rFonts w:cs="Times New Roman"/>
          <w:snapToGrid w:val="0"/>
          <w:spacing w:val="-2"/>
          <w:kern w:val="22"/>
          <w:szCs w:val="22"/>
          <w:lang w:val="fr-CA"/>
        </w:rPr>
        <w:t>EM</w:t>
      </w:r>
      <w:r w:rsidRPr="00115221">
        <w:rPr>
          <w:rFonts w:cs="Times New Roman"/>
          <w:snapToGrid w:val="0"/>
          <w:spacing w:val="-2"/>
          <w:kern w:val="22"/>
          <w:szCs w:val="22"/>
          <w:lang w:val="fr-CA"/>
        </w:rPr>
        <w:t xml:space="preserve"> pour la </w:t>
      </w:r>
      <w:r w:rsidR="00E0587A" w:rsidRPr="00115221">
        <w:rPr>
          <w:rFonts w:cs="Times New Roman"/>
          <w:snapToGrid w:val="0"/>
          <w:spacing w:val="-2"/>
          <w:kern w:val="22"/>
          <w:szCs w:val="22"/>
          <w:lang w:val="fr-CA"/>
        </w:rPr>
        <w:t>pré</w:t>
      </w:r>
      <w:r w:rsidRPr="00115221">
        <w:rPr>
          <w:rFonts w:cs="Times New Roman"/>
          <w:snapToGrid w:val="0"/>
          <w:spacing w:val="-2"/>
          <w:kern w:val="22"/>
          <w:szCs w:val="22"/>
          <w:lang w:val="fr-CA"/>
        </w:rPr>
        <w:t xml:space="preserve">paration des </w:t>
      </w:r>
      <w:r w:rsidR="00E0587A" w:rsidRPr="00115221">
        <w:rPr>
          <w:rFonts w:cs="Times New Roman"/>
          <w:snapToGrid w:val="0"/>
          <w:spacing w:val="-2"/>
          <w:kern w:val="22"/>
          <w:szCs w:val="22"/>
          <w:lang w:val="fr-CA"/>
        </w:rPr>
        <w:t>rapports</w:t>
      </w:r>
      <w:r w:rsidRPr="00115221">
        <w:rPr>
          <w:rFonts w:cs="Times New Roman"/>
          <w:snapToGrid w:val="0"/>
          <w:spacing w:val="-2"/>
          <w:kern w:val="22"/>
          <w:szCs w:val="22"/>
          <w:lang w:val="fr-CA"/>
        </w:rPr>
        <w:t xml:space="preserve"> </w:t>
      </w:r>
      <w:r w:rsidRPr="00115221">
        <w:rPr>
          <w:rFonts w:eastAsia="Times New Roman" w:cs="Times New Roman"/>
          <w:snapToGrid w:val="0"/>
          <w:spacing w:val="-2"/>
          <w:kern w:val="22"/>
          <w:szCs w:val="22"/>
          <w:lang w:val="fr-CA"/>
        </w:rPr>
        <w:t>nationaux</w:t>
      </w:r>
      <w:r w:rsidR="00E0587A" w:rsidRPr="00115221">
        <w:rPr>
          <w:rFonts w:eastAsia="Times New Roman" w:cs="Times New Roman"/>
          <w:snapToGrid w:val="0"/>
          <w:spacing w:val="-2"/>
          <w:kern w:val="22"/>
          <w:szCs w:val="22"/>
          <w:lang w:val="fr-CA"/>
        </w:rPr>
        <w:t xml:space="preserve">, </w:t>
      </w:r>
      <w:r w:rsidRPr="00115221">
        <w:rPr>
          <w:rFonts w:cs="Times New Roman"/>
          <w:snapToGrid w:val="0"/>
          <w:spacing w:val="-2"/>
          <w:kern w:val="22"/>
          <w:szCs w:val="22"/>
          <w:lang w:val="fr-CA"/>
        </w:rPr>
        <w:t>le ren</w:t>
      </w:r>
      <w:r w:rsidR="00E0587A" w:rsidRPr="00115221">
        <w:rPr>
          <w:rFonts w:cs="Times New Roman"/>
          <w:snapToGrid w:val="0"/>
          <w:spacing w:val="-2"/>
          <w:kern w:val="22"/>
          <w:szCs w:val="22"/>
          <w:lang w:val="fr-CA"/>
        </w:rPr>
        <w:t>fo</w:t>
      </w:r>
      <w:r w:rsidRPr="00115221">
        <w:rPr>
          <w:rFonts w:cs="Times New Roman"/>
          <w:snapToGrid w:val="0"/>
          <w:spacing w:val="-2"/>
          <w:kern w:val="22"/>
          <w:szCs w:val="22"/>
          <w:lang w:val="fr-CA"/>
        </w:rPr>
        <w:t>rcement des capacités et les activités de sensibilisa</w:t>
      </w:r>
      <w:r w:rsidR="00E0587A" w:rsidRPr="00115221">
        <w:rPr>
          <w:rFonts w:cs="Times New Roman"/>
          <w:snapToGrid w:val="0"/>
          <w:spacing w:val="-2"/>
          <w:kern w:val="22"/>
          <w:szCs w:val="22"/>
          <w:lang w:val="fr-CA"/>
        </w:rPr>
        <w:t>ti</w:t>
      </w:r>
      <w:r w:rsidRPr="00115221">
        <w:rPr>
          <w:rFonts w:cs="Times New Roman"/>
          <w:snapToGrid w:val="0"/>
          <w:spacing w:val="-2"/>
          <w:kern w:val="22"/>
          <w:szCs w:val="22"/>
          <w:lang w:val="fr-CA"/>
        </w:rPr>
        <w:t xml:space="preserve">on menées par le Secrétariat à cet </w:t>
      </w:r>
      <w:r w:rsidR="00E0587A" w:rsidRPr="00115221">
        <w:rPr>
          <w:rFonts w:cs="Times New Roman"/>
          <w:snapToGrid w:val="0"/>
          <w:spacing w:val="-2"/>
          <w:kern w:val="22"/>
          <w:szCs w:val="22"/>
          <w:lang w:val="fr-CA"/>
        </w:rPr>
        <w:t xml:space="preserve">égard </w:t>
      </w:r>
      <w:r w:rsidRPr="00115221">
        <w:rPr>
          <w:rFonts w:cs="Times New Roman"/>
          <w:snapToGrid w:val="0"/>
          <w:spacing w:val="-2"/>
          <w:kern w:val="22"/>
          <w:szCs w:val="22"/>
          <w:lang w:val="fr-CA"/>
        </w:rPr>
        <w:t xml:space="preserve">ait </w:t>
      </w:r>
      <w:r w:rsidR="0004138E">
        <w:rPr>
          <w:rFonts w:cs="Times New Roman"/>
          <w:snapToGrid w:val="0"/>
          <w:spacing w:val="-2"/>
          <w:kern w:val="22"/>
          <w:szCs w:val="22"/>
          <w:lang w:val="fr-CA"/>
        </w:rPr>
        <w:t>pu</w:t>
      </w:r>
      <w:r w:rsidRPr="00115221">
        <w:rPr>
          <w:rFonts w:cs="Times New Roman"/>
          <w:snapToGrid w:val="0"/>
          <w:spacing w:val="-2"/>
          <w:kern w:val="22"/>
          <w:szCs w:val="22"/>
          <w:lang w:val="fr-CA"/>
        </w:rPr>
        <w:t xml:space="preserve"> contrib</w:t>
      </w:r>
      <w:r w:rsidR="00E0587A" w:rsidRPr="00115221">
        <w:rPr>
          <w:rFonts w:cs="Times New Roman"/>
          <w:snapToGrid w:val="0"/>
          <w:spacing w:val="-2"/>
          <w:kern w:val="22"/>
          <w:szCs w:val="22"/>
          <w:lang w:val="fr-CA"/>
        </w:rPr>
        <w:t>u</w:t>
      </w:r>
      <w:r w:rsidR="0004138E">
        <w:rPr>
          <w:rFonts w:cs="Times New Roman"/>
          <w:snapToGrid w:val="0"/>
          <w:spacing w:val="-2"/>
          <w:kern w:val="22"/>
          <w:szCs w:val="22"/>
          <w:lang w:val="fr-CA"/>
        </w:rPr>
        <w:t>er</w:t>
      </w:r>
      <w:r w:rsidR="00E0587A" w:rsidRPr="00115221">
        <w:rPr>
          <w:rFonts w:cs="Times New Roman"/>
          <w:snapToGrid w:val="0"/>
          <w:spacing w:val="-2"/>
          <w:kern w:val="22"/>
          <w:szCs w:val="22"/>
          <w:lang w:val="fr-CA"/>
        </w:rPr>
        <w:t xml:space="preserve"> a</w:t>
      </w:r>
      <w:r w:rsidRPr="00115221">
        <w:rPr>
          <w:rFonts w:cs="Times New Roman"/>
          <w:snapToGrid w:val="0"/>
          <w:spacing w:val="-2"/>
          <w:kern w:val="22"/>
          <w:szCs w:val="22"/>
          <w:lang w:val="fr-CA"/>
        </w:rPr>
        <w:t xml:space="preserve">u taux de remise élevé </w:t>
      </w:r>
      <w:r w:rsidR="0004138E">
        <w:rPr>
          <w:rFonts w:cs="Times New Roman"/>
          <w:snapToGrid w:val="0"/>
          <w:spacing w:val="-2"/>
          <w:kern w:val="22"/>
          <w:szCs w:val="22"/>
          <w:lang w:val="fr-CA"/>
        </w:rPr>
        <w:t>des</w:t>
      </w:r>
      <w:r w:rsidRPr="00115221">
        <w:rPr>
          <w:rFonts w:cs="Times New Roman"/>
          <w:snapToGrid w:val="0"/>
          <w:spacing w:val="-2"/>
          <w:kern w:val="22"/>
          <w:szCs w:val="22"/>
          <w:lang w:val="fr-CA"/>
        </w:rPr>
        <w:t xml:space="preserve"> deuxièmes rapports na</w:t>
      </w:r>
      <w:r w:rsidR="0096216E" w:rsidRPr="00115221">
        <w:rPr>
          <w:rFonts w:cs="Times New Roman"/>
          <w:snapToGrid w:val="0"/>
          <w:spacing w:val="-2"/>
          <w:kern w:val="22"/>
          <w:szCs w:val="22"/>
          <w:lang w:val="fr-CA"/>
        </w:rPr>
        <w:t>ti</w:t>
      </w:r>
      <w:r w:rsidRPr="00115221">
        <w:rPr>
          <w:rFonts w:cs="Times New Roman"/>
          <w:snapToGrid w:val="0"/>
          <w:spacing w:val="-2"/>
          <w:kern w:val="22"/>
          <w:szCs w:val="22"/>
          <w:lang w:val="fr-CA"/>
        </w:rPr>
        <w:t>onaux</w:t>
      </w:r>
      <w:r w:rsidR="004569FB" w:rsidRPr="00115221">
        <w:rPr>
          <w:rFonts w:cs="Times New Roman"/>
          <w:snapToGrid w:val="0"/>
          <w:spacing w:val="-2"/>
          <w:kern w:val="22"/>
          <w:szCs w:val="22"/>
          <w:lang w:val="fr-CA"/>
        </w:rPr>
        <w:t>,</w:t>
      </w:r>
      <w:r w:rsidR="004569FB" w:rsidRPr="00115221">
        <w:rPr>
          <w:rStyle w:val="FootnoteReference"/>
          <w:rFonts w:cs="Times New Roman"/>
          <w:snapToGrid w:val="0"/>
          <w:spacing w:val="-2"/>
          <w:kern w:val="22"/>
          <w:szCs w:val="22"/>
          <w:lang w:val="fr-CA"/>
        </w:rPr>
        <w:footnoteReference w:id="58"/>
      </w:r>
      <w:r w:rsidR="004569FB" w:rsidRPr="00115221">
        <w:rPr>
          <w:rFonts w:cs="Times New Roman"/>
          <w:snapToGrid w:val="0"/>
          <w:spacing w:val="-2"/>
          <w:kern w:val="22"/>
          <w:szCs w:val="22"/>
          <w:lang w:val="fr-CA"/>
        </w:rPr>
        <w:t xml:space="preserve"> </w:t>
      </w:r>
      <w:r w:rsidRPr="00115221">
        <w:rPr>
          <w:rFonts w:cs="Times New Roman"/>
          <w:snapToGrid w:val="0"/>
          <w:spacing w:val="-2"/>
          <w:kern w:val="22"/>
          <w:szCs w:val="22"/>
          <w:lang w:val="fr-CA"/>
        </w:rPr>
        <w:t xml:space="preserve">le Comité </w:t>
      </w:r>
      <w:r w:rsidR="00E0587A" w:rsidRPr="00115221">
        <w:rPr>
          <w:rFonts w:cs="Times New Roman"/>
          <w:snapToGrid w:val="0"/>
          <w:spacing w:val="-2"/>
          <w:kern w:val="22"/>
          <w:szCs w:val="22"/>
          <w:lang w:val="fr-CA"/>
        </w:rPr>
        <w:t>a observé que les changements admi</w:t>
      </w:r>
      <w:r w:rsidR="0096216E" w:rsidRPr="00115221">
        <w:rPr>
          <w:rFonts w:cs="Times New Roman"/>
          <w:snapToGrid w:val="0"/>
          <w:spacing w:val="-2"/>
          <w:kern w:val="22"/>
          <w:szCs w:val="22"/>
          <w:lang w:val="fr-CA"/>
        </w:rPr>
        <w:t>nistratifs au sein des Nations Unies ont créé des difficultés au ni</w:t>
      </w:r>
      <w:r w:rsidR="00E0587A" w:rsidRPr="00115221">
        <w:rPr>
          <w:rFonts w:cs="Times New Roman"/>
          <w:snapToGrid w:val="0"/>
          <w:spacing w:val="-2"/>
          <w:kern w:val="22"/>
          <w:szCs w:val="22"/>
          <w:lang w:val="fr-CA"/>
        </w:rPr>
        <w:t xml:space="preserve">veau des programmes </w:t>
      </w:r>
      <w:r w:rsidR="0096216E" w:rsidRPr="00115221">
        <w:rPr>
          <w:rFonts w:cs="Times New Roman"/>
          <w:snapToGrid w:val="0"/>
          <w:spacing w:val="-2"/>
          <w:kern w:val="22"/>
          <w:szCs w:val="22"/>
          <w:lang w:val="fr-CA"/>
        </w:rPr>
        <w:t>qui o</w:t>
      </w:r>
      <w:r w:rsidR="00E0587A" w:rsidRPr="00115221">
        <w:rPr>
          <w:rFonts w:cs="Times New Roman"/>
          <w:snapToGrid w:val="0"/>
          <w:spacing w:val="-2"/>
          <w:kern w:val="22"/>
          <w:szCs w:val="22"/>
          <w:lang w:val="fr-CA"/>
        </w:rPr>
        <w:t>nt entraîné des délais dans l’accès au financement</w:t>
      </w:r>
      <w:r w:rsidR="0096216E" w:rsidRPr="00115221">
        <w:rPr>
          <w:rFonts w:cs="Times New Roman"/>
          <w:snapToGrid w:val="0"/>
          <w:spacing w:val="-2"/>
          <w:kern w:val="22"/>
          <w:szCs w:val="22"/>
          <w:lang w:val="fr-CA"/>
        </w:rPr>
        <w:t xml:space="preserve"> pour plusieurs P</w:t>
      </w:r>
      <w:r w:rsidR="00E0587A" w:rsidRPr="00115221">
        <w:rPr>
          <w:rFonts w:cs="Times New Roman"/>
          <w:snapToGrid w:val="0"/>
          <w:spacing w:val="-2"/>
          <w:kern w:val="22"/>
          <w:szCs w:val="22"/>
          <w:lang w:val="fr-CA"/>
        </w:rPr>
        <w:t>arties admissibles</w:t>
      </w:r>
      <w:r w:rsidR="004463A6">
        <w:rPr>
          <w:rFonts w:cs="Times New Roman"/>
          <w:snapToGrid w:val="0"/>
          <w:spacing w:val="-2"/>
          <w:kern w:val="22"/>
          <w:szCs w:val="22"/>
          <w:lang w:val="fr-CA"/>
        </w:rPr>
        <w:t>,</w:t>
      </w:r>
      <w:r w:rsidR="00E0587A" w:rsidRPr="00115221">
        <w:rPr>
          <w:rFonts w:cs="Times New Roman"/>
          <w:snapToGrid w:val="0"/>
          <w:spacing w:val="-2"/>
          <w:kern w:val="22"/>
          <w:szCs w:val="22"/>
          <w:lang w:val="fr-CA"/>
        </w:rPr>
        <w:t xml:space="preserve"> </w:t>
      </w:r>
      <w:r w:rsidR="0096216E" w:rsidRPr="00115221">
        <w:rPr>
          <w:rFonts w:cs="Times New Roman"/>
          <w:snapToGrid w:val="0"/>
          <w:spacing w:val="-2"/>
          <w:kern w:val="22"/>
          <w:szCs w:val="22"/>
          <w:lang w:val="fr-CA"/>
        </w:rPr>
        <w:t xml:space="preserve">qui </w:t>
      </w:r>
      <w:r w:rsidR="0004138E">
        <w:rPr>
          <w:rFonts w:cs="Times New Roman"/>
          <w:snapToGrid w:val="0"/>
          <w:spacing w:val="-2"/>
          <w:kern w:val="22"/>
          <w:szCs w:val="22"/>
          <w:lang w:val="fr-CA"/>
        </w:rPr>
        <w:t>n’ont donc pas été en mesure de</w:t>
      </w:r>
      <w:r w:rsidR="0096216E" w:rsidRPr="00115221">
        <w:rPr>
          <w:rFonts w:cs="Times New Roman"/>
          <w:snapToGrid w:val="0"/>
          <w:spacing w:val="-2"/>
          <w:kern w:val="22"/>
          <w:szCs w:val="22"/>
          <w:lang w:val="fr-CA"/>
        </w:rPr>
        <w:t xml:space="preserve"> respecter leurs obligations au titre du Protocole</w:t>
      </w:r>
      <w:r w:rsidR="00E0587A" w:rsidRPr="00115221">
        <w:rPr>
          <w:rFonts w:cs="Times New Roman"/>
          <w:snapToGrid w:val="0"/>
          <w:spacing w:val="-2"/>
          <w:kern w:val="22"/>
          <w:szCs w:val="22"/>
          <w:lang w:val="fr-CA"/>
        </w:rPr>
        <w:t>, notamment en ce qui a trait à la remise des troisièmes rapports nationaux</w:t>
      </w:r>
      <w:r w:rsidR="004569FB" w:rsidRPr="00115221">
        <w:rPr>
          <w:rFonts w:cs="Times New Roman"/>
          <w:snapToGrid w:val="0"/>
          <w:spacing w:val="-2"/>
          <w:kern w:val="22"/>
          <w:szCs w:val="22"/>
          <w:lang w:val="fr-CA"/>
        </w:rPr>
        <w:t>.</w:t>
      </w:r>
      <w:r w:rsidR="004569FB" w:rsidRPr="00115221">
        <w:rPr>
          <w:rStyle w:val="FootnoteReference"/>
          <w:rFonts w:cs="Times New Roman"/>
          <w:snapToGrid w:val="0"/>
          <w:spacing w:val="-2"/>
          <w:kern w:val="22"/>
          <w:szCs w:val="22"/>
          <w:lang w:val="fr-CA"/>
        </w:rPr>
        <w:footnoteReference w:id="59"/>
      </w:r>
      <w:r w:rsidR="004569FB" w:rsidRPr="00115221">
        <w:rPr>
          <w:rFonts w:cs="Times New Roman"/>
          <w:snapToGrid w:val="0"/>
          <w:spacing w:val="-2"/>
          <w:kern w:val="22"/>
          <w:szCs w:val="22"/>
          <w:lang w:val="fr-CA"/>
        </w:rPr>
        <w:t xml:space="preserve"> </w:t>
      </w:r>
    </w:p>
    <w:p w14:paraId="4656159C" w14:textId="7077AFAE" w:rsidR="004569FB" w:rsidRPr="00115221" w:rsidRDefault="0096216E"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Le Comité de conformité s’est penché sur le respect des obligations de</w:t>
      </w:r>
      <w:r w:rsidR="00B91FA9">
        <w:rPr>
          <w:rFonts w:cs="Times New Roman"/>
          <w:snapToGrid w:val="0"/>
          <w:spacing w:val="-2"/>
          <w:kern w:val="22"/>
          <w:szCs w:val="22"/>
          <w:lang w:val="fr-CA"/>
        </w:rPr>
        <w:t xml:space="preserve"> remise de</w:t>
      </w:r>
      <w:r w:rsidRPr="00115221">
        <w:rPr>
          <w:rFonts w:cs="Times New Roman"/>
          <w:snapToGrid w:val="0"/>
          <w:spacing w:val="-2"/>
          <w:kern w:val="22"/>
          <w:szCs w:val="22"/>
          <w:lang w:val="fr-CA"/>
        </w:rPr>
        <w:t xml:space="preserve"> rapport</w:t>
      </w:r>
      <w:r w:rsidR="00B91FA9">
        <w:rPr>
          <w:rFonts w:cs="Times New Roman"/>
          <w:snapToGrid w:val="0"/>
          <w:spacing w:val="-2"/>
          <w:kern w:val="22"/>
          <w:szCs w:val="22"/>
          <w:lang w:val="fr-CA"/>
        </w:rPr>
        <w:t>s</w:t>
      </w:r>
      <w:r w:rsidRPr="00115221">
        <w:rPr>
          <w:rFonts w:cs="Times New Roman"/>
          <w:snapToGrid w:val="0"/>
          <w:spacing w:val="-2"/>
          <w:kern w:val="22"/>
          <w:szCs w:val="22"/>
          <w:lang w:val="fr-CA"/>
        </w:rPr>
        <w:t xml:space="preserve"> des Parties à sa dix-septième réunion. Il a examiné plusieurs facteurs pouvant avoir contribué au faible nombre de quatrièmes rapports </w:t>
      </w:r>
      <w:r w:rsidRPr="00115221">
        <w:rPr>
          <w:rFonts w:eastAsia="Times New Roman" w:cs="Times New Roman"/>
          <w:snapToGrid w:val="0"/>
          <w:spacing w:val="-2"/>
          <w:kern w:val="22"/>
          <w:szCs w:val="22"/>
          <w:lang w:val="fr-CA"/>
        </w:rPr>
        <w:t>nationaux</w:t>
      </w:r>
      <w:r w:rsidRPr="00115221">
        <w:rPr>
          <w:rFonts w:cs="Times New Roman"/>
          <w:snapToGrid w:val="0"/>
          <w:spacing w:val="-2"/>
          <w:kern w:val="22"/>
          <w:szCs w:val="22"/>
          <w:lang w:val="fr-CA"/>
        </w:rPr>
        <w:t xml:space="preserve"> remis, dont le délai d’accès au financement, l’absence de ressources humaines dédiées au niveau national et l’absence de priorité et de sensibilisation aux questions entourant la prévention des risques biotechnologiques</w:t>
      </w:r>
      <w:r w:rsidR="004569FB" w:rsidRPr="00115221">
        <w:rPr>
          <w:rFonts w:cs="Times New Roman"/>
          <w:snapToGrid w:val="0"/>
          <w:spacing w:val="-2"/>
          <w:kern w:val="22"/>
          <w:szCs w:val="22"/>
          <w:lang w:val="fr-CA"/>
        </w:rPr>
        <w:t>.</w:t>
      </w:r>
      <w:r w:rsidR="00E203A1" w:rsidRPr="00115221">
        <w:rPr>
          <w:rStyle w:val="FootnoteReference"/>
          <w:rFonts w:cs="Times New Roman"/>
          <w:snapToGrid w:val="0"/>
          <w:spacing w:val="-2"/>
          <w:kern w:val="22"/>
          <w:szCs w:val="22"/>
          <w:lang w:val="fr-CA"/>
        </w:rPr>
        <w:footnoteReference w:id="60"/>
      </w:r>
      <w:r w:rsidR="004569FB" w:rsidRPr="00115221">
        <w:rPr>
          <w:rFonts w:cs="Times New Roman"/>
          <w:snapToGrid w:val="0"/>
          <w:spacing w:val="-2"/>
          <w:kern w:val="22"/>
          <w:szCs w:val="22"/>
          <w:lang w:val="fr-CA"/>
        </w:rPr>
        <w:t xml:space="preserve"> </w:t>
      </w:r>
    </w:p>
    <w:p w14:paraId="6F87E519" w14:textId="00EFDAD0" w:rsidR="004569FB" w:rsidRPr="00115221" w:rsidRDefault="000F185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En ce qui a trait à </w:t>
      </w:r>
      <w:r w:rsidRPr="00115221">
        <w:rPr>
          <w:rFonts w:cs="Times New Roman"/>
          <w:b/>
          <w:snapToGrid w:val="0"/>
          <w:spacing w:val="-2"/>
          <w:kern w:val="22"/>
          <w:szCs w:val="22"/>
          <w:lang w:val="fr-CA"/>
        </w:rPr>
        <w:t>l’indicateur 3.2.2</w:t>
      </w:r>
      <w:r w:rsidRPr="00115221">
        <w:rPr>
          <w:rFonts w:cs="Times New Roman"/>
          <w:snapToGrid w:val="0"/>
          <w:spacing w:val="-2"/>
          <w:kern w:val="22"/>
          <w:szCs w:val="22"/>
          <w:lang w:val="fr-CA"/>
        </w:rPr>
        <w:t xml:space="preserve"> (nombre de Parties ayant modifié leur cadre national de prévention des risques biotechnologiques afin de l’harmoniser aux amendements au Protocole adoptés afin de relever le</w:t>
      </w:r>
      <w:r w:rsidR="00B91FA9">
        <w:rPr>
          <w:rFonts w:cs="Times New Roman"/>
          <w:snapToGrid w:val="0"/>
          <w:spacing w:val="-2"/>
          <w:kern w:val="22"/>
          <w:szCs w:val="22"/>
          <w:lang w:val="fr-CA"/>
        </w:rPr>
        <w:t>s nouveaux défis), il a été noté</w:t>
      </w:r>
      <w:r w:rsidRPr="00115221">
        <w:rPr>
          <w:rFonts w:cs="Times New Roman"/>
          <w:snapToGrid w:val="0"/>
          <w:spacing w:val="-2"/>
          <w:kern w:val="22"/>
          <w:szCs w:val="22"/>
          <w:lang w:val="fr-CA"/>
        </w:rPr>
        <w:t xml:space="preserve"> qu’aucun amendement n’a été apporté au Protocole à ce jour</w:t>
      </w:r>
      <w:r w:rsidR="004569FB" w:rsidRPr="00115221">
        <w:rPr>
          <w:rFonts w:cs="Times New Roman"/>
          <w:snapToGrid w:val="0"/>
          <w:spacing w:val="-2"/>
          <w:kern w:val="22"/>
          <w:szCs w:val="22"/>
          <w:lang w:val="fr-CA"/>
        </w:rPr>
        <w:t>.</w:t>
      </w:r>
    </w:p>
    <w:p w14:paraId="4B6CF1B5" w14:textId="2BE781D4" w:rsidR="004569FB" w:rsidRPr="00115221" w:rsidRDefault="00187FFC" w:rsidP="000A5388">
      <w:pPr>
        <w:keepNext/>
        <w:numPr>
          <w:ilvl w:val="0"/>
          <w:numId w:val="17"/>
        </w:numPr>
        <w:suppressLineNumbers/>
        <w:tabs>
          <w:tab w:val="clear" w:pos="2070"/>
          <w:tab w:val="left" w:pos="360"/>
        </w:tabs>
        <w:suppressAutoHyphens/>
        <w:spacing w:before="120" w:after="120"/>
        <w:ind w:left="0" w:firstLine="0"/>
        <w:jc w:val="center"/>
        <w:outlineLvl w:val="1"/>
        <w:rPr>
          <w:rFonts w:cs="Times New Roman"/>
          <w:b/>
          <w:iCs/>
          <w:snapToGrid w:val="0"/>
          <w:spacing w:val="-2"/>
          <w:kern w:val="22"/>
          <w:szCs w:val="22"/>
          <w:lang w:val="fr-CA"/>
        </w:rPr>
      </w:pPr>
      <w:r w:rsidRPr="00115221">
        <w:rPr>
          <w:rFonts w:cs="Times New Roman"/>
          <w:b/>
          <w:iCs/>
          <w:snapToGrid w:val="0"/>
          <w:spacing w:val="-2"/>
          <w:kern w:val="22"/>
          <w:szCs w:val="22"/>
          <w:lang w:val="fr-CA"/>
        </w:rPr>
        <w:t xml:space="preserve">Sensibilisation et participation du public, éducation et formation sur la prévention des risques biotechnologiques </w:t>
      </w:r>
      <w:r w:rsidR="004569FB" w:rsidRPr="00115221">
        <w:rPr>
          <w:rFonts w:cs="Times New Roman"/>
          <w:b/>
          <w:iCs/>
          <w:snapToGrid w:val="0"/>
          <w:spacing w:val="-2"/>
          <w:kern w:val="22"/>
          <w:szCs w:val="22"/>
          <w:lang w:val="fr-CA"/>
        </w:rPr>
        <w:t>(</w:t>
      </w:r>
      <w:r w:rsidRPr="00115221">
        <w:rPr>
          <w:rFonts w:cs="Times New Roman"/>
          <w:b/>
          <w:iCs/>
          <w:snapToGrid w:val="0"/>
          <w:spacing w:val="-2"/>
          <w:kern w:val="22"/>
          <w:szCs w:val="22"/>
          <w:lang w:val="fr-CA"/>
        </w:rPr>
        <w:t>objectifs opérationnels</w:t>
      </w:r>
      <w:r w:rsidR="004569FB" w:rsidRPr="00115221">
        <w:rPr>
          <w:rFonts w:cs="Times New Roman"/>
          <w:b/>
          <w:iCs/>
          <w:snapToGrid w:val="0"/>
          <w:spacing w:val="-2"/>
          <w:kern w:val="22"/>
          <w:szCs w:val="22"/>
          <w:lang w:val="fr-CA"/>
        </w:rPr>
        <w:t xml:space="preserve"> 2.5, 2.7 </w:t>
      </w:r>
      <w:r w:rsidRPr="00115221">
        <w:rPr>
          <w:rFonts w:cs="Times New Roman"/>
          <w:b/>
          <w:iCs/>
          <w:snapToGrid w:val="0"/>
          <w:spacing w:val="-2"/>
          <w:kern w:val="22"/>
          <w:szCs w:val="22"/>
          <w:lang w:val="fr-CA"/>
        </w:rPr>
        <w:t>et</w:t>
      </w:r>
      <w:r w:rsidR="004569FB" w:rsidRPr="00115221">
        <w:rPr>
          <w:rFonts w:cs="Times New Roman"/>
          <w:b/>
          <w:iCs/>
          <w:snapToGrid w:val="0"/>
          <w:spacing w:val="-2"/>
          <w:kern w:val="22"/>
          <w:szCs w:val="22"/>
          <w:lang w:val="fr-CA"/>
        </w:rPr>
        <w:t xml:space="preserve"> 4.3)</w:t>
      </w:r>
    </w:p>
    <w:p w14:paraId="3791F783" w14:textId="3C94B9A9" w:rsidR="00BE2F00" w:rsidRPr="00115221" w:rsidRDefault="00D16C78" w:rsidP="004569FB">
      <w:pPr>
        <w:pStyle w:val="Para1"/>
        <w:numPr>
          <w:ilvl w:val="0"/>
          <w:numId w:val="9"/>
        </w:numPr>
        <w:tabs>
          <w:tab w:val="clear" w:pos="3240"/>
        </w:tabs>
        <w:spacing w:before="120"/>
        <w:ind w:left="0" w:firstLine="0"/>
        <w:rPr>
          <w:rFonts w:cs="Times New Roman"/>
          <w:spacing w:val="-2"/>
          <w:kern w:val="22"/>
          <w:szCs w:val="22"/>
          <w:lang w:val="fr-CA"/>
        </w:rPr>
      </w:pPr>
      <w:r w:rsidRPr="00115221">
        <w:rPr>
          <w:rFonts w:cs="Times New Roman"/>
          <w:spacing w:val="-2"/>
          <w:kern w:val="22"/>
          <w:szCs w:val="22"/>
          <w:lang w:val="fr-CA"/>
        </w:rPr>
        <w:t>La Conférence des Parties siégeant en tant que réunion des Parties au Protocole a adopté le programme de travail sur l’article 23 en 2010, dans sa décision BS-V/13</w:t>
      </w:r>
      <w:r w:rsidR="003A5334">
        <w:rPr>
          <w:rFonts w:cs="Times New Roman"/>
          <w:spacing w:val="-2"/>
          <w:kern w:val="22"/>
          <w:szCs w:val="22"/>
          <w:lang w:val="fr-CA"/>
        </w:rPr>
        <w:t>,</w:t>
      </w:r>
      <w:r w:rsidRPr="00115221">
        <w:rPr>
          <w:rFonts w:cs="Times New Roman"/>
          <w:spacing w:val="-2"/>
          <w:kern w:val="22"/>
          <w:szCs w:val="22"/>
          <w:lang w:val="fr-CA"/>
        </w:rPr>
        <w:t xml:space="preserve"> et l’a prolongé jusqu’en 2020 dans sa décision CP-VIII/18. Le programme de travail comprend </w:t>
      </w:r>
      <w:r w:rsidR="003A5334">
        <w:rPr>
          <w:rFonts w:cs="Times New Roman"/>
          <w:spacing w:val="-2"/>
          <w:kern w:val="22"/>
          <w:szCs w:val="22"/>
          <w:lang w:val="fr-CA"/>
        </w:rPr>
        <w:t>de nombreux</w:t>
      </w:r>
      <w:r w:rsidRPr="00115221">
        <w:rPr>
          <w:rFonts w:cs="Times New Roman"/>
          <w:spacing w:val="-2"/>
          <w:kern w:val="22"/>
          <w:szCs w:val="22"/>
          <w:lang w:val="fr-CA"/>
        </w:rPr>
        <w:t xml:space="preserve"> indicateurs, dont plusieurs indicateurs communs au Plan stratégique </w:t>
      </w:r>
      <w:r w:rsidR="00C00133">
        <w:rPr>
          <w:rFonts w:cs="Times New Roman"/>
          <w:spacing w:val="-2"/>
          <w:kern w:val="22"/>
          <w:szCs w:val="22"/>
          <w:lang w:val="fr-CA"/>
        </w:rPr>
        <w:t>pour le</w:t>
      </w:r>
      <w:r w:rsidRPr="00115221">
        <w:rPr>
          <w:rFonts w:cs="Times New Roman"/>
          <w:spacing w:val="-2"/>
          <w:kern w:val="22"/>
          <w:szCs w:val="22"/>
          <w:lang w:val="fr-CA"/>
        </w:rPr>
        <w:t xml:space="preserve"> Protocole de Cartagena pour la période 2011-2020</w:t>
      </w:r>
      <w:r w:rsidR="006A079E" w:rsidRPr="00115221">
        <w:rPr>
          <w:rFonts w:cs="Times New Roman"/>
          <w:spacing w:val="-2"/>
          <w:kern w:val="22"/>
          <w:szCs w:val="22"/>
          <w:lang w:val="fr-CA"/>
        </w:rPr>
        <w:t xml:space="preserve">. Le quatrième rapport </w:t>
      </w:r>
      <w:r w:rsidR="006A079E" w:rsidRPr="00115221">
        <w:rPr>
          <w:rFonts w:eastAsia="Times New Roman" w:cs="Times New Roman"/>
          <w:spacing w:val="-2"/>
          <w:kern w:val="22"/>
          <w:szCs w:val="22"/>
          <w:lang w:val="fr-CA"/>
        </w:rPr>
        <w:t>national</w:t>
      </w:r>
      <w:r w:rsidR="006A079E" w:rsidRPr="00115221">
        <w:rPr>
          <w:rFonts w:cs="Times New Roman"/>
          <w:spacing w:val="-2"/>
          <w:kern w:val="22"/>
          <w:szCs w:val="22"/>
          <w:lang w:val="fr-CA"/>
        </w:rPr>
        <w:t xml:space="preserve"> et le </w:t>
      </w:r>
      <w:r w:rsidR="00B6412A">
        <w:rPr>
          <w:rFonts w:cs="Times New Roman"/>
          <w:spacing w:val="-2"/>
          <w:kern w:val="22"/>
          <w:szCs w:val="22"/>
          <w:lang w:val="fr-CA"/>
        </w:rPr>
        <w:t>centre d’échange</w:t>
      </w:r>
      <w:r w:rsidR="006A079E" w:rsidRPr="00115221">
        <w:rPr>
          <w:rFonts w:cs="Times New Roman"/>
          <w:spacing w:val="-2"/>
          <w:kern w:val="22"/>
          <w:szCs w:val="22"/>
          <w:lang w:val="fr-CA"/>
        </w:rPr>
        <w:t xml:space="preserve"> sur la prévention des risques biotechnologiques fournissent les renseignements nécessaires pour mesurer les progrès à cet égard</w:t>
      </w:r>
      <w:r w:rsidR="004569FB" w:rsidRPr="00115221">
        <w:rPr>
          <w:rFonts w:cs="Times New Roman"/>
          <w:spacing w:val="-2"/>
          <w:kern w:val="22"/>
          <w:szCs w:val="22"/>
          <w:lang w:val="fr-CA"/>
        </w:rPr>
        <w:t xml:space="preserve">. </w:t>
      </w:r>
    </w:p>
    <w:p w14:paraId="5E79B6DA" w14:textId="5A108E5F" w:rsidR="004569FB" w:rsidRPr="00115221" w:rsidRDefault="006A079E" w:rsidP="004569FB">
      <w:pPr>
        <w:pStyle w:val="Para1"/>
        <w:numPr>
          <w:ilvl w:val="0"/>
          <w:numId w:val="9"/>
        </w:numPr>
        <w:tabs>
          <w:tab w:val="clear" w:pos="3240"/>
        </w:tabs>
        <w:spacing w:before="120"/>
        <w:ind w:left="0" w:firstLine="0"/>
        <w:rPr>
          <w:rFonts w:cs="Times New Roman"/>
          <w:spacing w:val="-2"/>
          <w:kern w:val="22"/>
          <w:szCs w:val="22"/>
          <w:lang w:val="fr-CA"/>
        </w:rPr>
      </w:pPr>
      <w:r w:rsidRPr="00115221">
        <w:rPr>
          <w:rFonts w:cs="Times New Roman"/>
          <w:spacing w:val="-2"/>
          <w:kern w:val="22"/>
          <w:szCs w:val="22"/>
          <w:lang w:val="fr-CA"/>
        </w:rPr>
        <w:t>Un qu</w:t>
      </w:r>
      <w:r w:rsidR="0076083A" w:rsidRPr="00115221">
        <w:rPr>
          <w:rFonts w:cs="Times New Roman"/>
          <w:spacing w:val="-2"/>
          <w:kern w:val="22"/>
          <w:szCs w:val="22"/>
          <w:lang w:val="fr-CA"/>
        </w:rPr>
        <w:t>e</w:t>
      </w:r>
      <w:r w:rsidRPr="00115221">
        <w:rPr>
          <w:rFonts w:cs="Times New Roman"/>
          <w:spacing w:val="-2"/>
          <w:kern w:val="22"/>
          <w:szCs w:val="22"/>
          <w:lang w:val="fr-CA"/>
        </w:rPr>
        <w:t xml:space="preserve">stionnaire d’enquête a été élaboré, </w:t>
      </w:r>
      <w:r w:rsidR="003A5334">
        <w:rPr>
          <w:rFonts w:cs="Times New Roman"/>
          <w:i/>
          <w:spacing w:val="-2"/>
          <w:kern w:val="22"/>
          <w:szCs w:val="22"/>
          <w:lang w:val="fr-CA"/>
        </w:rPr>
        <w:t>l’E</w:t>
      </w:r>
      <w:r w:rsidRPr="00115221">
        <w:rPr>
          <w:rFonts w:cs="Times New Roman"/>
          <w:i/>
          <w:spacing w:val="-2"/>
          <w:kern w:val="22"/>
          <w:szCs w:val="22"/>
          <w:lang w:val="fr-CA"/>
        </w:rPr>
        <w:t>nquête sur les pri</w:t>
      </w:r>
      <w:r w:rsidR="0076083A" w:rsidRPr="00115221">
        <w:rPr>
          <w:rFonts w:cs="Times New Roman"/>
          <w:i/>
          <w:spacing w:val="-2"/>
          <w:kern w:val="22"/>
          <w:szCs w:val="22"/>
          <w:lang w:val="fr-CA"/>
        </w:rPr>
        <w:t>ncip</w:t>
      </w:r>
      <w:r w:rsidRPr="00115221">
        <w:rPr>
          <w:rFonts w:cs="Times New Roman"/>
          <w:i/>
          <w:spacing w:val="-2"/>
          <w:kern w:val="22"/>
          <w:szCs w:val="22"/>
          <w:lang w:val="fr-CA"/>
        </w:rPr>
        <w:t>aux indicateurs du programme de trava</w:t>
      </w:r>
      <w:r w:rsidR="0076083A" w:rsidRPr="00115221">
        <w:rPr>
          <w:rFonts w:cs="Times New Roman"/>
          <w:i/>
          <w:spacing w:val="-2"/>
          <w:kern w:val="22"/>
          <w:szCs w:val="22"/>
          <w:lang w:val="fr-CA"/>
        </w:rPr>
        <w:t>i</w:t>
      </w:r>
      <w:r w:rsidRPr="00115221">
        <w:rPr>
          <w:rFonts w:cs="Times New Roman"/>
          <w:i/>
          <w:spacing w:val="-2"/>
          <w:kern w:val="22"/>
          <w:szCs w:val="22"/>
          <w:lang w:val="fr-CA"/>
        </w:rPr>
        <w:t>l sur la sensibilisation, l’é</w:t>
      </w:r>
      <w:r w:rsidR="003A5334">
        <w:rPr>
          <w:rFonts w:cs="Times New Roman"/>
          <w:i/>
          <w:spacing w:val="-2"/>
          <w:kern w:val="22"/>
          <w:szCs w:val="22"/>
          <w:lang w:val="fr-CA"/>
        </w:rPr>
        <w:t>ducation et la participation du</w:t>
      </w:r>
      <w:r w:rsidRPr="00115221">
        <w:rPr>
          <w:rFonts w:cs="Times New Roman"/>
          <w:i/>
          <w:spacing w:val="-2"/>
          <w:kern w:val="22"/>
          <w:szCs w:val="22"/>
          <w:lang w:val="fr-CA"/>
        </w:rPr>
        <w:t xml:space="preserve"> public </w:t>
      </w:r>
      <w:r w:rsidR="0076083A" w:rsidRPr="00115221">
        <w:rPr>
          <w:rFonts w:cs="Times New Roman"/>
          <w:i/>
          <w:spacing w:val="-2"/>
          <w:kern w:val="22"/>
          <w:szCs w:val="22"/>
          <w:lang w:val="fr-CA"/>
        </w:rPr>
        <w:t xml:space="preserve">au transfert, à la manipulation et à </w:t>
      </w:r>
      <w:r w:rsidR="0076083A" w:rsidRPr="00115221">
        <w:rPr>
          <w:rFonts w:cs="Times New Roman"/>
          <w:i/>
          <w:spacing w:val="-2"/>
          <w:kern w:val="22"/>
          <w:szCs w:val="22"/>
          <w:lang w:val="fr-CA"/>
        </w:rPr>
        <w:lastRenderedPageBreak/>
        <w:t>l’utilisation sécuritaires des organismes vivants modifiés</w:t>
      </w:r>
      <w:r w:rsidR="0076083A" w:rsidRPr="00115221">
        <w:rPr>
          <w:rFonts w:cs="Times New Roman"/>
          <w:spacing w:val="-2"/>
          <w:kern w:val="22"/>
          <w:szCs w:val="22"/>
          <w:lang w:val="fr-CA"/>
        </w:rPr>
        <w:t xml:space="preserve"> (Enquête sur le programme de travail sur l’article 23) pour </w:t>
      </w:r>
      <w:r w:rsidRPr="00115221">
        <w:rPr>
          <w:rFonts w:cs="Times New Roman"/>
          <w:spacing w:val="-2"/>
          <w:kern w:val="22"/>
          <w:szCs w:val="22"/>
          <w:lang w:val="fr-CA"/>
        </w:rPr>
        <w:t xml:space="preserve">les indicateurs du programme de travail sur l’article 23 pour lesquels l’information contenue dans les quatrièmes rapports nationaux et au </w:t>
      </w:r>
      <w:r w:rsidR="00B6412A">
        <w:rPr>
          <w:rFonts w:cs="Times New Roman"/>
          <w:spacing w:val="-2"/>
          <w:kern w:val="22"/>
          <w:szCs w:val="22"/>
          <w:lang w:val="fr-CA"/>
        </w:rPr>
        <w:t>centre d’échange</w:t>
      </w:r>
      <w:r w:rsidRPr="00115221">
        <w:rPr>
          <w:rFonts w:cs="Times New Roman"/>
          <w:spacing w:val="-2"/>
          <w:kern w:val="22"/>
          <w:szCs w:val="22"/>
          <w:lang w:val="fr-CA"/>
        </w:rPr>
        <w:t xml:space="preserve"> sur la prévention des risques biotechnologiques était insuffisante</w:t>
      </w:r>
      <w:r w:rsidR="002E2022" w:rsidRPr="00115221">
        <w:rPr>
          <w:rFonts w:cs="Times New Roman"/>
          <w:iCs/>
          <w:kern w:val="22"/>
          <w:lang w:val="fr-CA"/>
        </w:rPr>
        <w:t>)</w:t>
      </w:r>
      <w:r w:rsidR="004569FB" w:rsidRPr="00115221">
        <w:rPr>
          <w:rFonts w:cs="Times New Roman"/>
          <w:spacing w:val="-2"/>
          <w:kern w:val="22"/>
          <w:szCs w:val="22"/>
          <w:lang w:val="fr-CA"/>
        </w:rPr>
        <w:t>.</w:t>
      </w:r>
      <w:r w:rsidR="0055230F" w:rsidRPr="00115221">
        <w:rPr>
          <w:rStyle w:val="FootnoteReference"/>
          <w:rFonts w:cs="Times New Roman"/>
          <w:spacing w:val="-2"/>
          <w:kern w:val="22"/>
          <w:szCs w:val="22"/>
          <w:lang w:val="fr-CA"/>
        </w:rPr>
        <w:footnoteReference w:id="61"/>
      </w:r>
      <w:r w:rsidR="004569FB" w:rsidRPr="00115221">
        <w:rPr>
          <w:rFonts w:cs="Times New Roman"/>
          <w:spacing w:val="-2"/>
          <w:kern w:val="22"/>
          <w:szCs w:val="22"/>
          <w:lang w:val="fr-CA"/>
        </w:rPr>
        <w:t xml:space="preserve"> </w:t>
      </w:r>
      <w:r w:rsidR="0076083A" w:rsidRPr="00115221">
        <w:rPr>
          <w:rFonts w:cs="Times New Roman"/>
          <w:spacing w:val="-2"/>
          <w:kern w:val="22"/>
          <w:szCs w:val="22"/>
          <w:lang w:val="fr-CA"/>
        </w:rPr>
        <w:t xml:space="preserve">La notification 2019-92 datée du 21 octobre 2019 invitait les Parties à répondre au questionnaire d’enquête sur le programme de travail sur l’article 23. Cinquante-six répondants ont </w:t>
      </w:r>
      <w:r w:rsidR="00295768">
        <w:rPr>
          <w:rFonts w:cs="Times New Roman"/>
          <w:spacing w:val="-2"/>
          <w:kern w:val="22"/>
          <w:szCs w:val="22"/>
          <w:lang w:val="fr-CA"/>
        </w:rPr>
        <w:t>répondu à l’Enquête sur le</w:t>
      </w:r>
      <w:r w:rsidR="0076083A" w:rsidRPr="00115221">
        <w:rPr>
          <w:rFonts w:cs="Times New Roman"/>
          <w:spacing w:val="-2"/>
          <w:kern w:val="22"/>
          <w:szCs w:val="22"/>
          <w:lang w:val="fr-CA"/>
        </w:rPr>
        <w:t xml:space="preserve"> programme de travail, dont 38 correspondants nationaux pour le Protocole ou le </w:t>
      </w:r>
      <w:r w:rsidR="00B6412A">
        <w:rPr>
          <w:rFonts w:cs="Times New Roman"/>
          <w:spacing w:val="-2"/>
          <w:kern w:val="22"/>
          <w:szCs w:val="22"/>
          <w:lang w:val="fr-CA"/>
        </w:rPr>
        <w:t>centre d’échange</w:t>
      </w:r>
      <w:r w:rsidR="0076083A" w:rsidRPr="00115221">
        <w:rPr>
          <w:rFonts w:cs="Times New Roman"/>
          <w:spacing w:val="-2"/>
          <w:kern w:val="22"/>
          <w:szCs w:val="22"/>
          <w:lang w:val="fr-CA"/>
        </w:rPr>
        <w:t xml:space="preserve"> sur la prévention des risques biotechnologiques. Les renseignements fournis par ces Partie</w:t>
      </w:r>
      <w:r w:rsidR="00A07E78">
        <w:rPr>
          <w:rFonts w:cs="Times New Roman"/>
          <w:spacing w:val="-2"/>
          <w:kern w:val="22"/>
          <w:szCs w:val="22"/>
          <w:lang w:val="fr-CA"/>
        </w:rPr>
        <w:t>s sont pris en compte dans les p</w:t>
      </w:r>
      <w:r w:rsidR="0076083A" w:rsidRPr="00115221">
        <w:rPr>
          <w:rFonts w:cs="Times New Roman"/>
          <w:spacing w:val="-2"/>
          <w:kern w:val="22"/>
          <w:szCs w:val="22"/>
          <w:lang w:val="fr-CA"/>
        </w:rPr>
        <w:t>arties K et L du présent document</w:t>
      </w:r>
      <w:r w:rsidR="004569FB" w:rsidRPr="00115221">
        <w:rPr>
          <w:rFonts w:cs="Times New Roman"/>
          <w:spacing w:val="-2"/>
          <w:kern w:val="22"/>
          <w:szCs w:val="22"/>
          <w:lang w:val="fr-CA"/>
        </w:rPr>
        <w:t xml:space="preserve">. </w:t>
      </w:r>
    </w:p>
    <w:p w14:paraId="7E68BCA8" w14:textId="4477B928" w:rsidR="004569FB" w:rsidRPr="00115221" w:rsidRDefault="0076083A" w:rsidP="000A5388">
      <w:pPr>
        <w:keepNext/>
        <w:suppressLineNumbers/>
        <w:suppressAutoHyphens/>
        <w:spacing w:before="120" w:after="120"/>
        <w:textAlignment w:val="baseline"/>
        <w:outlineLvl w:val="2"/>
        <w:rPr>
          <w:rFonts w:cs="Times New Roman"/>
          <w:b/>
          <w:iCs/>
          <w:snapToGrid w:val="0"/>
          <w:spacing w:val="-2"/>
          <w:kern w:val="22"/>
          <w:szCs w:val="22"/>
          <w:lang w:val="fr-CA"/>
        </w:rPr>
      </w:pPr>
      <w:r w:rsidRPr="00115221">
        <w:rPr>
          <w:rFonts w:cs="Times New Roman"/>
          <w:b/>
          <w:iCs/>
          <w:snapToGrid w:val="0"/>
          <w:spacing w:val="-2"/>
          <w:kern w:val="22"/>
          <w:szCs w:val="22"/>
          <w:lang w:val="fr-CA"/>
        </w:rPr>
        <w:t>Objectif opérationnel 2.5 : Sensibilisation, éducation et participation du public</w:t>
      </w:r>
    </w:p>
    <w:p w14:paraId="131A75B7" w14:textId="4832B652" w:rsidR="004569FB" w:rsidRPr="00115221" w:rsidRDefault="00E60A57"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L’objectif opérationnel 2.5 a pour but d’accroître la capacité des Parties à sensibiliser le public et promouvoir l’éducation et la participation du public </w:t>
      </w:r>
      <w:r w:rsidR="00295768">
        <w:rPr>
          <w:rFonts w:cs="Times New Roman"/>
          <w:snapToGrid w:val="0"/>
          <w:spacing w:val="-2"/>
          <w:kern w:val="22"/>
          <w:szCs w:val="22"/>
          <w:lang w:val="fr-CA"/>
        </w:rPr>
        <w:t>en ce qui a trait au</w:t>
      </w:r>
      <w:r w:rsidRPr="00115221">
        <w:rPr>
          <w:rFonts w:cs="Times New Roman"/>
          <w:snapToGrid w:val="0"/>
          <w:spacing w:val="-2"/>
          <w:kern w:val="22"/>
          <w:szCs w:val="22"/>
          <w:lang w:val="fr-CA"/>
        </w:rPr>
        <w:t xml:space="preserve"> transfert, la manipulation et l’</w:t>
      </w:r>
      <w:r w:rsidRPr="00115221">
        <w:rPr>
          <w:rFonts w:eastAsia="Times New Roman" w:cs="Times New Roman"/>
          <w:snapToGrid w:val="0"/>
          <w:spacing w:val="-2"/>
          <w:kern w:val="22"/>
          <w:szCs w:val="22"/>
          <w:lang w:val="fr-CA"/>
        </w:rPr>
        <w:t>utilisation</w:t>
      </w:r>
      <w:r w:rsidR="00295768">
        <w:rPr>
          <w:rFonts w:cs="Times New Roman"/>
          <w:snapToGrid w:val="0"/>
          <w:spacing w:val="-2"/>
          <w:kern w:val="22"/>
          <w:szCs w:val="22"/>
          <w:lang w:val="fr-CA"/>
        </w:rPr>
        <w:t xml:space="preserve"> sécuritaires des OVM. T</w:t>
      </w:r>
      <w:r w:rsidRPr="00115221">
        <w:rPr>
          <w:rFonts w:cs="Times New Roman"/>
          <w:snapToGrid w:val="0"/>
          <w:spacing w:val="-2"/>
          <w:kern w:val="22"/>
          <w:szCs w:val="22"/>
          <w:lang w:val="fr-CA"/>
        </w:rPr>
        <w:t>rois indicateurs ont été créés afin de mesurer les progrès dans la réalisation de cet objectif</w:t>
      </w:r>
      <w:r w:rsidR="004569FB" w:rsidRPr="00115221">
        <w:rPr>
          <w:rFonts w:cs="Times New Roman"/>
          <w:snapToGrid w:val="0"/>
          <w:spacing w:val="-2"/>
          <w:kern w:val="22"/>
          <w:szCs w:val="22"/>
          <w:lang w:val="fr-CA"/>
        </w:rPr>
        <w:t>.</w:t>
      </w:r>
    </w:p>
    <w:p w14:paraId="7922AA8B" w14:textId="37BEED9A" w:rsidR="004569FB" w:rsidRPr="00115221" w:rsidRDefault="00E8729F" w:rsidP="004569FB">
      <w:pPr>
        <w:pStyle w:val="Para1"/>
        <w:numPr>
          <w:ilvl w:val="0"/>
          <w:numId w:val="9"/>
        </w:numPr>
        <w:tabs>
          <w:tab w:val="clear" w:pos="3240"/>
        </w:tabs>
        <w:spacing w:before="120"/>
        <w:ind w:left="0" w:firstLine="0"/>
        <w:rPr>
          <w:rFonts w:cs="Times New Roman"/>
          <w:iCs/>
          <w:spacing w:val="-2"/>
          <w:kern w:val="22"/>
          <w:szCs w:val="22"/>
          <w:lang w:val="fr-CA"/>
        </w:rPr>
      </w:pPr>
      <w:r w:rsidRPr="00115221">
        <w:rPr>
          <w:rFonts w:cs="Times New Roman"/>
          <w:spacing w:val="-2"/>
          <w:kern w:val="22"/>
          <w:szCs w:val="22"/>
          <w:lang w:val="fr-CA"/>
        </w:rPr>
        <w:t xml:space="preserve">En ce qui concerne </w:t>
      </w:r>
      <w:r w:rsidRPr="00115221">
        <w:rPr>
          <w:rFonts w:cs="Times New Roman"/>
          <w:b/>
          <w:spacing w:val="-2"/>
          <w:kern w:val="22"/>
          <w:szCs w:val="22"/>
          <w:lang w:val="fr-CA"/>
        </w:rPr>
        <w:t>l’indicateur 2.5.1</w:t>
      </w:r>
      <w:r w:rsidRPr="00115221">
        <w:rPr>
          <w:rFonts w:cs="Times New Roman"/>
          <w:spacing w:val="-2"/>
          <w:kern w:val="22"/>
          <w:szCs w:val="22"/>
          <w:lang w:val="fr-CA"/>
        </w:rPr>
        <w:t xml:space="preserve"> (pourcentage des Parties ayant mis en place des mécanismes pour faire participer le public aux décisions concernant les OVM </w:t>
      </w:r>
      <w:r w:rsidR="00A07E78">
        <w:rPr>
          <w:rFonts w:cs="Times New Roman"/>
          <w:spacing w:val="-2"/>
          <w:kern w:val="22"/>
          <w:szCs w:val="22"/>
          <w:lang w:val="fr-CA"/>
        </w:rPr>
        <w:t>moins</w:t>
      </w:r>
      <w:r w:rsidRPr="00115221">
        <w:rPr>
          <w:rFonts w:cs="Times New Roman"/>
          <w:spacing w:val="-2"/>
          <w:kern w:val="22"/>
          <w:szCs w:val="22"/>
          <w:lang w:val="fr-CA"/>
        </w:rPr>
        <w:t xml:space="preserve"> de 6 ans après l</w:t>
      </w:r>
      <w:r w:rsidR="005125C0">
        <w:rPr>
          <w:rFonts w:cs="Times New Roman"/>
          <w:spacing w:val="-2"/>
          <w:kern w:val="22"/>
          <w:szCs w:val="22"/>
          <w:lang w:val="fr-CA"/>
        </w:rPr>
        <w:t xml:space="preserve">eur </w:t>
      </w:r>
      <w:r w:rsidRPr="00115221">
        <w:rPr>
          <w:rFonts w:cs="Times New Roman"/>
          <w:spacing w:val="-2"/>
          <w:kern w:val="22"/>
          <w:szCs w:val="22"/>
          <w:lang w:val="fr-CA"/>
        </w:rPr>
        <w:t xml:space="preserve">adhésion/ratification du Protocole), 62 p. cent des Parties (58 Parties) ont déclaré avoir mis en place un mécanisme de consultation du public dans le cadre du processus décisionnel concernant les OVM (+5 p. cent). </w:t>
      </w:r>
      <w:r w:rsidR="003D6E21">
        <w:rPr>
          <w:rFonts w:cs="Times New Roman"/>
          <w:spacing w:val="-2"/>
          <w:kern w:val="22"/>
          <w:szCs w:val="22"/>
          <w:lang w:val="fr-CA"/>
        </w:rPr>
        <w:t>Seize</w:t>
      </w:r>
      <w:r w:rsidRPr="00115221">
        <w:rPr>
          <w:rFonts w:cs="Times New Roman"/>
          <w:spacing w:val="-2"/>
          <w:kern w:val="22"/>
          <w:szCs w:val="22"/>
          <w:lang w:val="fr-CA"/>
        </w:rPr>
        <w:t xml:space="preserve"> p. cent des Parties ont indiqué avoir en place un tel mécanisme </w:t>
      </w:r>
      <w:r w:rsidR="00410688">
        <w:rPr>
          <w:rFonts w:cs="Times New Roman"/>
          <w:spacing w:val="-2"/>
          <w:kern w:val="22"/>
          <w:szCs w:val="22"/>
          <w:lang w:val="fr-CA"/>
        </w:rPr>
        <w:t>dans une certaine mesure</w:t>
      </w:r>
      <w:r w:rsidRPr="00115221">
        <w:rPr>
          <w:rFonts w:cs="Times New Roman"/>
          <w:spacing w:val="-2"/>
          <w:kern w:val="22"/>
          <w:szCs w:val="22"/>
          <w:lang w:val="fr-CA"/>
        </w:rPr>
        <w:t xml:space="preserve"> (-1 p. cent). Ces pourcentages varient considérablement dans les régions, comme suit : Afr</w:t>
      </w:r>
      <w:r w:rsidR="005125C0">
        <w:rPr>
          <w:rFonts w:cs="Times New Roman"/>
          <w:spacing w:val="-2"/>
          <w:kern w:val="22"/>
          <w:szCs w:val="22"/>
          <w:lang w:val="fr-CA"/>
        </w:rPr>
        <w:t>ique : 50 p. cent (+10 p. cent);</w:t>
      </w:r>
      <w:r w:rsidRPr="00115221">
        <w:rPr>
          <w:rFonts w:cs="Times New Roman"/>
          <w:spacing w:val="-2"/>
          <w:kern w:val="22"/>
          <w:szCs w:val="22"/>
          <w:lang w:val="fr-CA"/>
        </w:rPr>
        <w:t xml:space="preserve"> Asie-Pacifique : </w:t>
      </w:r>
      <w:r w:rsidR="00754A0F" w:rsidRPr="00115221">
        <w:rPr>
          <w:rFonts w:cs="Times New Roman"/>
          <w:spacing w:val="-2"/>
          <w:kern w:val="22"/>
          <w:szCs w:val="22"/>
          <w:lang w:val="fr-CA"/>
        </w:rPr>
        <w:t>56 </w:t>
      </w:r>
      <w:r w:rsidRPr="00115221">
        <w:rPr>
          <w:rFonts w:cs="Times New Roman"/>
          <w:spacing w:val="-2"/>
          <w:kern w:val="22"/>
          <w:szCs w:val="22"/>
          <w:lang w:val="fr-CA"/>
        </w:rPr>
        <w:t>p. cent (aucune différence par rapport à la valeu</w:t>
      </w:r>
      <w:r w:rsidR="005125C0">
        <w:rPr>
          <w:rFonts w:cs="Times New Roman"/>
          <w:spacing w:val="-2"/>
          <w:kern w:val="22"/>
          <w:szCs w:val="22"/>
          <w:lang w:val="fr-CA"/>
        </w:rPr>
        <w:t>r de référence);</w:t>
      </w:r>
      <w:r w:rsidRPr="00115221">
        <w:rPr>
          <w:rFonts w:cs="Times New Roman"/>
          <w:spacing w:val="-2"/>
          <w:kern w:val="22"/>
          <w:szCs w:val="22"/>
          <w:lang w:val="fr-CA"/>
        </w:rPr>
        <w:t xml:space="preserve"> ECE : 88 p. cent (+7 p. cent)</w:t>
      </w:r>
      <w:r w:rsidR="005125C0">
        <w:rPr>
          <w:rFonts w:cs="Times New Roman"/>
          <w:spacing w:val="-2"/>
          <w:kern w:val="22"/>
          <w:szCs w:val="22"/>
          <w:lang w:val="fr-CA"/>
        </w:rPr>
        <w:t>;</w:t>
      </w:r>
      <w:r w:rsidRPr="00115221">
        <w:rPr>
          <w:rFonts w:cs="Times New Roman"/>
          <w:spacing w:val="-2"/>
          <w:kern w:val="22"/>
          <w:szCs w:val="22"/>
          <w:lang w:val="fr-CA"/>
        </w:rPr>
        <w:t xml:space="preserve"> GALC : 23 p. cent (+15 p. c</w:t>
      </w:r>
      <w:r w:rsidR="00754A0F" w:rsidRPr="00115221">
        <w:rPr>
          <w:rFonts w:cs="Times New Roman"/>
          <w:spacing w:val="-2"/>
          <w:kern w:val="22"/>
          <w:szCs w:val="22"/>
          <w:lang w:val="fr-CA"/>
        </w:rPr>
        <w:t>ent)</w:t>
      </w:r>
      <w:r w:rsidR="005125C0">
        <w:rPr>
          <w:rFonts w:cs="Times New Roman"/>
          <w:spacing w:val="-2"/>
          <w:kern w:val="22"/>
          <w:szCs w:val="22"/>
          <w:lang w:val="fr-CA"/>
        </w:rPr>
        <w:t>;</w:t>
      </w:r>
      <w:r w:rsidRPr="00115221">
        <w:rPr>
          <w:rFonts w:cs="Times New Roman"/>
          <w:spacing w:val="-2"/>
          <w:kern w:val="22"/>
          <w:szCs w:val="22"/>
          <w:lang w:val="fr-CA"/>
        </w:rPr>
        <w:t xml:space="preserve"> OEA : 94 p. cent (+6 p. cent)</w:t>
      </w:r>
      <w:r w:rsidR="004569FB" w:rsidRPr="00115221">
        <w:rPr>
          <w:rFonts w:cs="Times New Roman"/>
          <w:iCs/>
          <w:spacing w:val="-2"/>
          <w:kern w:val="22"/>
          <w:szCs w:val="22"/>
          <w:lang w:val="fr-CA"/>
        </w:rPr>
        <w:t xml:space="preserve">). </w:t>
      </w:r>
    </w:p>
    <w:p w14:paraId="41F5981F" w14:textId="761126B5" w:rsidR="004569FB" w:rsidRPr="00115221" w:rsidRDefault="00754A0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18"/>
          <w:lang w:val="fr-CA"/>
        </w:rPr>
      </w:pPr>
      <w:r w:rsidRPr="00115221">
        <w:rPr>
          <w:rFonts w:cs="Times New Roman"/>
          <w:iCs/>
          <w:snapToGrid w:val="0"/>
          <w:kern w:val="22"/>
          <w:szCs w:val="18"/>
          <w:lang w:val="fr-CA"/>
        </w:rPr>
        <w:t xml:space="preserve">Certaines Parties ont expliqué dans leur exposé écrit que le processus de participation du public comprend </w:t>
      </w:r>
      <w:r w:rsidR="00761693">
        <w:rPr>
          <w:rFonts w:cs="Times New Roman"/>
          <w:iCs/>
          <w:snapToGrid w:val="0"/>
          <w:kern w:val="22"/>
          <w:szCs w:val="18"/>
          <w:lang w:val="fr-CA"/>
        </w:rPr>
        <w:t xml:space="preserve">notamment </w:t>
      </w:r>
      <w:r w:rsidRPr="00115221">
        <w:rPr>
          <w:rFonts w:cs="Times New Roman"/>
          <w:iCs/>
          <w:snapToGrid w:val="0"/>
          <w:kern w:val="22"/>
          <w:szCs w:val="18"/>
          <w:lang w:val="fr-CA"/>
        </w:rPr>
        <w:t xml:space="preserve">des audiences publiques, des organes consultatifs nationaux et l’annonce de l’information sur les sites Web </w:t>
      </w:r>
      <w:r w:rsidR="005125C0">
        <w:rPr>
          <w:rFonts w:cs="Times New Roman"/>
          <w:iCs/>
          <w:snapToGrid w:val="0"/>
          <w:kern w:val="22"/>
          <w:szCs w:val="18"/>
          <w:lang w:val="fr-CA"/>
        </w:rPr>
        <w:t>et dans</w:t>
      </w:r>
      <w:r w:rsidRPr="00115221">
        <w:rPr>
          <w:rFonts w:cs="Times New Roman"/>
          <w:iCs/>
          <w:snapToGrid w:val="0"/>
          <w:kern w:val="22"/>
          <w:szCs w:val="18"/>
          <w:lang w:val="fr-CA"/>
        </w:rPr>
        <w:t xml:space="preserve"> les médias. Plusieurs Parties des régions de l’ECE et de l’EOA ont indiqué qu’elles </w:t>
      </w:r>
      <w:r w:rsidR="005125C0">
        <w:rPr>
          <w:rFonts w:cs="Times New Roman"/>
          <w:iCs/>
          <w:snapToGrid w:val="0"/>
          <w:kern w:val="22"/>
          <w:szCs w:val="18"/>
          <w:lang w:val="fr-CA"/>
        </w:rPr>
        <w:t>étaient</w:t>
      </w:r>
      <w:r w:rsidRPr="00115221">
        <w:rPr>
          <w:rFonts w:cs="Times New Roman"/>
          <w:iCs/>
          <w:snapToGrid w:val="0"/>
          <w:kern w:val="22"/>
          <w:szCs w:val="18"/>
          <w:lang w:val="fr-CA"/>
        </w:rPr>
        <w:t xml:space="preserve"> </w:t>
      </w:r>
      <w:r w:rsidR="005125C0">
        <w:rPr>
          <w:rFonts w:cs="Times New Roman"/>
          <w:iCs/>
          <w:snapToGrid w:val="0"/>
          <w:kern w:val="22"/>
          <w:szCs w:val="18"/>
          <w:lang w:val="fr-CA"/>
        </w:rPr>
        <w:t xml:space="preserve">en voie de mettre </w:t>
      </w:r>
      <w:r w:rsidRPr="00115221">
        <w:rPr>
          <w:rFonts w:cs="Times New Roman"/>
          <w:iCs/>
          <w:snapToGrid w:val="0"/>
          <w:kern w:val="22"/>
          <w:szCs w:val="18"/>
          <w:lang w:val="fr-CA"/>
        </w:rPr>
        <w:t>en place des mécanismes de participation du public fondé</w:t>
      </w:r>
      <w:r w:rsidR="005125C0">
        <w:rPr>
          <w:rFonts w:cs="Times New Roman"/>
          <w:iCs/>
          <w:snapToGrid w:val="0"/>
          <w:kern w:val="22"/>
          <w:szCs w:val="18"/>
          <w:lang w:val="fr-CA"/>
        </w:rPr>
        <w:t>s</w:t>
      </w:r>
      <w:r w:rsidRPr="00115221">
        <w:rPr>
          <w:rFonts w:cs="Times New Roman"/>
          <w:iCs/>
          <w:snapToGrid w:val="0"/>
          <w:kern w:val="22"/>
          <w:szCs w:val="18"/>
          <w:lang w:val="fr-CA"/>
        </w:rPr>
        <w:t xml:space="preserve"> sur les dispositions de la Convention sur l’accès à l’information, la participation du public au processus décisionnel et l’accès à la justice en matière d’environnement (Convention d’Aarhus)</w:t>
      </w:r>
      <w:r w:rsidR="004569FB" w:rsidRPr="00115221">
        <w:rPr>
          <w:rFonts w:cs="Times New Roman"/>
          <w:iCs/>
          <w:snapToGrid w:val="0"/>
          <w:kern w:val="22"/>
          <w:szCs w:val="18"/>
          <w:lang w:val="fr-CA"/>
        </w:rPr>
        <w:t xml:space="preserve">. </w:t>
      </w:r>
    </w:p>
    <w:p w14:paraId="05D9C065" w14:textId="71DA33B6" w:rsidR="004569FB" w:rsidRPr="00115221" w:rsidRDefault="005125C0"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18"/>
          <w:lang w:val="fr-CA"/>
        </w:rPr>
      </w:pPr>
      <w:r>
        <w:rPr>
          <w:rFonts w:cs="Times New Roman"/>
          <w:iCs/>
          <w:snapToGrid w:val="0"/>
          <w:kern w:val="22"/>
          <w:szCs w:val="18"/>
          <w:lang w:val="fr-CA"/>
        </w:rPr>
        <w:t>La majorité des répondants à l’E</w:t>
      </w:r>
      <w:r w:rsidR="0045252B" w:rsidRPr="00115221">
        <w:rPr>
          <w:rFonts w:cs="Times New Roman"/>
          <w:iCs/>
          <w:snapToGrid w:val="0"/>
          <w:kern w:val="22"/>
          <w:szCs w:val="18"/>
          <w:lang w:val="fr-CA"/>
        </w:rPr>
        <w:t>nquête sur le programme de travail sur l’article 23 ont indiqué que les conclusions des consultations publiques s’étant déroulées de 2016 à 2019 ont été pris</w:t>
      </w:r>
      <w:r>
        <w:rPr>
          <w:rFonts w:cs="Times New Roman"/>
          <w:iCs/>
          <w:snapToGrid w:val="0"/>
          <w:kern w:val="22"/>
          <w:szCs w:val="18"/>
          <w:lang w:val="fr-CA"/>
        </w:rPr>
        <w:t>es</w:t>
      </w:r>
      <w:r w:rsidR="0045252B" w:rsidRPr="00115221">
        <w:rPr>
          <w:rFonts w:cs="Times New Roman"/>
          <w:iCs/>
          <w:snapToGrid w:val="0"/>
          <w:kern w:val="22"/>
          <w:szCs w:val="18"/>
          <w:lang w:val="fr-CA"/>
        </w:rPr>
        <w:t xml:space="preserve"> en compte ou ont été pris</w:t>
      </w:r>
      <w:r>
        <w:rPr>
          <w:rFonts w:cs="Times New Roman"/>
          <w:iCs/>
          <w:snapToGrid w:val="0"/>
          <w:kern w:val="22"/>
          <w:szCs w:val="18"/>
          <w:lang w:val="fr-CA"/>
        </w:rPr>
        <w:t>es</w:t>
      </w:r>
      <w:r w:rsidR="0045252B" w:rsidRPr="00115221">
        <w:rPr>
          <w:rFonts w:cs="Times New Roman"/>
          <w:iCs/>
          <w:snapToGrid w:val="0"/>
          <w:kern w:val="22"/>
          <w:szCs w:val="18"/>
          <w:lang w:val="fr-CA"/>
        </w:rPr>
        <w:t xml:space="preserve"> en compte </w:t>
      </w:r>
      <w:r w:rsidR="00410688">
        <w:rPr>
          <w:rFonts w:cs="Times New Roman"/>
          <w:iCs/>
          <w:snapToGrid w:val="0"/>
          <w:kern w:val="22"/>
          <w:szCs w:val="18"/>
          <w:lang w:val="fr-CA"/>
        </w:rPr>
        <w:t>dans une certaine mesure</w:t>
      </w:r>
      <w:r w:rsidR="0045252B" w:rsidRPr="00115221">
        <w:rPr>
          <w:rFonts w:cs="Times New Roman"/>
          <w:iCs/>
          <w:snapToGrid w:val="0"/>
          <w:kern w:val="22"/>
          <w:szCs w:val="18"/>
          <w:lang w:val="fr-CA"/>
        </w:rPr>
        <w:t>, pour les décisions concernant les OVM. Plusieurs répondants ont indiqué dans leur exposé écrit que plusieurs processus décisionnels n’avaient pas été mis au point tandis que d’autres ont indiqué que la base de réglementation permettant de prendre les conclusions en ligne de compte était en voie d’élaboration</w:t>
      </w:r>
      <w:r w:rsidR="004569FB" w:rsidRPr="00115221">
        <w:rPr>
          <w:rFonts w:cs="Times New Roman"/>
          <w:iCs/>
          <w:snapToGrid w:val="0"/>
          <w:kern w:val="22"/>
          <w:szCs w:val="18"/>
          <w:lang w:val="fr-CA"/>
        </w:rPr>
        <w:t xml:space="preserve">. </w:t>
      </w:r>
    </w:p>
    <w:p w14:paraId="0DB6A216" w14:textId="2F99F33E" w:rsidR="004569FB" w:rsidRPr="00115221" w:rsidRDefault="0045252B"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spacing w:val="-2"/>
          <w:kern w:val="22"/>
          <w:szCs w:val="22"/>
          <w:lang w:val="fr-CA"/>
        </w:rPr>
      </w:pPr>
      <w:r w:rsidRPr="00115221">
        <w:rPr>
          <w:rFonts w:cs="Times New Roman"/>
          <w:snapToGrid w:val="0"/>
          <w:spacing w:val="-2"/>
          <w:kern w:val="22"/>
          <w:szCs w:val="22"/>
          <w:lang w:val="fr-CA"/>
        </w:rPr>
        <w:t>E</w:t>
      </w:r>
      <w:r w:rsidR="00BB775B" w:rsidRPr="00115221">
        <w:rPr>
          <w:rFonts w:cs="Times New Roman"/>
          <w:snapToGrid w:val="0"/>
          <w:spacing w:val="-2"/>
          <w:kern w:val="22"/>
          <w:szCs w:val="22"/>
          <w:lang w:val="fr-CA"/>
        </w:rPr>
        <w:t>n</w:t>
      </w:r>
      <w:r w:rsidRPr="00115221">
        <w:rPr>
          <w:rFonts w:cs="Times New Roman"/>
          <w:snapToGrid w:val="0"/>
          <w:spacing w:val="-2"/>
          <w:kern w:val="22"/>
          <w:szCs w:val="22"/>
          <w:lang w:val="fr-CA"/>
        </w:rPr>
        <w:t xml:space="preserve"> ce qui concerne </w:t>
      </w:r>
      <w:r w:rsidRPr="00115221">
        <w:rPr>
          <w:rFonts w:cs="Times New Roman"/>
          <w:b/>
          <w:snapToGrid w:val="0"/>
          <w:spacing w:val="-2"/>
          <w:kern w:val="22"/>
          <w:szCs w:val="22"/>
          <w:lang w:val="fr-CA"/>
        </w:rPr>
        <w:t>l’i</w:t>
      </w:r>
      <w:r w:rsidR="00BB775B" w:rsidRPr="00115221">
        <w:rPr>
          <w:rFonts w:cs="Times New Roman"/>
          <w:b/>
          <w:snapToGrid w:val="0"/>
          <w:spacing w:val="-2"/>
          <w:kern w:val="22"/>
          <w:szCs w:val="22"/>
          <w:lang w:val="fr-CA"/>
        </w:rPr>
        <w:t>n</w:t>
      </w:r>
      <w:r w:rsidRPr="00115221">
        <w:rPr>
          <w:rFonts w:cs="Times New Roman"/>
          <w:b/>
          <w:snapToGrid w:val="0"/>
          <w:spacing w:val="-2"/>
          <w:kern w:val="22"/>
          <w:szCs w:val="22"/>
          <w:lang w:val="fr-CA"/>
        </w:rPr>
        <w:t>dicateur 2.5.2</w:t>
      </w:r>
      <w:r w:rsidRPr="00115221">
        <w:rPr>
          <w:rFonts w:cs="Times New Roman"/>
          <w:snapToGrid w:val="0"/>
          <w:spacing w:val="-2"/>
          <w:kern w:val="22"/>
          <w:szCs w:val="22"/>
          <w:lang w:val="fr-CA"/>
        </w:rPr>
        <w:t xml:space="preserve"> (pourcentage des Parties qui informent le p</w:t>
      </w:r>
      <w:r w:rsidR="00BB775B" w:rsidRPr="00115221">
        <w:rPr>
          <w:rFonts w:cs="Times New Roman"/>
          <w:snapToGrid w:val="0"/>
          <w:spacing w:val="-2"/>
          <w:kern w:val="22"/>
          <w:szCs w:val="22"/>
          <w:lang w:val="fr-CA"/>
        </w:rPr>
        <w:t>ublic des modalités de participation existan</w:t>
      </w:r>
      <w:r w:rsidR="005125C0">
        <w:rPr>
          <w:rFonts w:cs="Times New Roman"/>
          <w:snapToGrid w:val="0"/>
          <w:spacing w:val="-2"/>
          <w:kern w:val="22"/>
          <w:szCs w:val="22"/>
          <w:lang w:val="fr-CA"/>
        </w:rPr>
        <w:t>tes), 69 p. cent des Parties (49</w:t>
      </w:r>
      <w:r w:rsidR="00BB775B" w:rsidRPr="00115221">
        <w:rPr>
          <w:rFonts w:cs="Times New Roman"/>
          <w:snapToGrid w:val="0"/>
          <w:spacing w:val="-2"/>
          <w:kern w:val="22"/>
          <w:szCs w:val="22"/>
          <w:lang w:val="fr-CA"/>
        </w:rPr>
        <w:t xml:space="preserve"> Parties) ont déclaré qu’elles informent le public des modalités existantes de participation du public aux décisions sur les OVM (-16 p. cent). Onze p. cent des Parties de plus (8 Parties) ont répondu l’avoir fait </w:t>
      </w:r>
      <w:r w:rsidR="00410688">
        <w:rPr>
          <w:rFonts w:cs="Times New Roman"/>
          <w:snapToGrid w:val="0"/>
          <w:spacing w:val="-2"/>
          <w:kern w:val="22"/>
          <w:szCs w:val="22"/>
          <w:lang w:val="fr-CA"/>
        </w:rPr>
        <w:t>dans une certaine mesure</w:t>
      </w:r>
      <w:r w:rsidR="00BB775B" w:rsidRPr="00115221">
        <w:rPr>
          <w:rFonts w:cs="Times New Roman"/>
          <w:snapToGrid w:val="0"/>
          <w:spacing w:val="-2"/>
          <w:kern w:val="22"/>
          <w:szCs w:val="22"/>
          <w:lang w:val="fr-CA"/>
        </w:rPr>
        <w:t xml:space="preserve"> (+11 p. cent). Ces résultats réunis ré</w:t>
      </w:r>
      <w:r w:rsidR="0003575A" w:rsidRPr="00115221">
        <w:rPr>
          <w:rFonts w:cs="Times New Roman"/>
          <w:snapToGrid w:val="0"/>
          <w:spacing w:val="-2"/>
          <w:kern w:val="22"/>
          <w:szCs w:val="22"/>
          <w:lang w:val="fr-CA"/>
        </w:rPr>
        <w:t>vè</w:t>
      </w:r>
      <w:r w:rsidR="00BB775B" w:rsidRPr="00115221">
        <w:rPr>
          <w:rFonts w:cs="Times New Roman"/>
          <w:snapToGrid w:val="0"/>
          <w:spacing w:val="-2"/>
          <w:kern w:val="22"/>
          <w:szCs w:val="22"/>
          <w:lang w:val="fr-CA"/>
        </w:rPr>
        <w:t xml:space="preserve">lent que 80 p. </w:t>
      </w:r>
      <w:r w:rsidR="0003575A" w:rsidRPr="00115221">
        <w:rPr>
          <w:rFonts w:cs="Times New Roman"/>
          <w:snapToGrid w:val="0"/>
          <w:spacing w:val="-2"/>
          <w:kern w:val="22"/>
          <w:szCs w:val="22"/>
          <w:lang w:val="fr-CA"/>
        </w:rPr>
        <w:t>cen</w:t>
      </w:r>
      <w:r w:rsidR="00BB775B" w:rsidRPr="00115221">
        <w:rPr>
          <w:rFonts w:cs="Times New Roman"/>
          <w:snapToGrid w:val="0"/>
          <w:spacing w:val="-2"/>
          <w:kern w:val="22"/>
          <w:szCs w:val="22"/>
          <w:lang w:val="fr-CA"/>
        </w:rPr>
        <w:t>t des Parties ont déclaré avoir informé le public</w:t>
      </w:r>
      <w:r w:rsidR="0003575A" w:rsidRPr="00115221">
        <w:rPr>
          <w:rFonts w:cs="Times New Roman"/>
          <w:snapToGrid w:val="0"/>
          <w:spacing w:val="-2"/>
          <w:kern w:val="22"/>
          <w:szCs w:val="22"/>
          <w:lang w:val="fr-CA"/>
        </w:rPr>
        <w:t xml:space="preserve"> en conséquence, </w:t>
      </w:r>
      <w:r w:rsidR="00410688">
        <w:rPr>
          <w:rFonts w:cs="Times New Roman"/>
          <w:snapToGrid w:val="0"/>
          <w:spacing w:val="-2"/>
          <w:kern w:val="22"/>
          <w:szCs w:val="22"/>
          <w:lang w:val="fr-CA"/>
        </w:rPr>
        <w:t>dans une certaine mesure</w:t>
      </w:r>
      <w:r w:rsidR="0003575A" w:rsidRPr="00115221">
        <w:rPr>
          <w:rFonts w:cs="Times New Roman"/>
          <w:snapToGrid w:val="0"/>
          <w:spacing w:val="-2"/>
          <w:kern w:val="22"/>
          <w:szCs w:val="22"/>
          <w:lang w:val="fr-CA"/>
        </w:rPr>
        <w:t>, une diminution de 4 pour cent par rapport à la valeur de référence</w:t>
      </w:r>
      <w:r w:rsidR="004569FB" w:rsidRPr="00115221">
        <w:rPr>
          <w:rFonts w:cs="Times New Roman"/>
          <w:iCs/>
          <w:snapToGrid w:val="0"/>
          <w:spacing w:val="-2"/>
          <w:kern w:val="22"/>
          <w:szCs w:val="22"/>
          <w:lang w:val="fr-CA"/>
        </w:rPr>
        <w:t>.</w:t>
      </w:r>
      <w:r w:rsidR="00BE4937" w:rsidRPr="00115221">
        <w:rPr>
          <w:rStyle w:val="FootnoteReference"/>
          <w:rFonts w:cs="Times New Roman"/>
          <w:iCs/>
          <w:snapToGrid w:val="0"/>
          <w:spacing w:val="-2"/>
          <w:kern w:val="22"/>
          <w:szCs w:val="22"/>
          <w:lang w:val="fr-CA"/>
        </w:rPr>
        <w:footnoteReference w:id="62"/>
      </w:r>
      <w:r w:rsidR="004569FB" w:rsidRPr="00115221">
        <w:rPr>
          <w:rFonts w:cs="Times New Roman"/>
          <w:iCs/>
          <w:snapToGrid w:val="0"/>
          <w:spacing w:val="-2"/>
          <w:kern w:val="22"/>
          <w:szCs w:val="22"/>
          <w:lang w:val="fr-CA"/>
        </w:rPr>
        <w:t xml:space="preserve"> </w:t>
      </w:r>
      <w:r w:rsidR="0003575A" w:rsidRPr="00115221">
        <w:rPr>
          <w:rFonts w:cs="Times New Roman"/>
          <w:iCs/>
          <w:snapToGrid w:val="0"/>
          <w:spacing w:val="-2"/>
          <w:kern w:val="22"/>
          <w:szCs w:val="22"/>
          <w:lang w:val="fr-CA"/>
        </w:rPr>
        <w:t>La combinaison des chiffres est la suivante, dans les régions. Des diminutions ont été déclarées dans trois r</w:t>
      </w:r>
      <w:r w:rsidR="00484C3D">
        <w:rPr>
          <w:rFonts w:cs="Times New Roman"/>
          <w:iCs/>
          <w:snapToGrid w:val="0"/>
          <w:spacing w:val="-2"/>
          <w:kern w:val="22"/>
          <w:szCs w:val="22"/>
          <w:lang w:val="fr-CA"/>
        </w:rPr>
        <w:t>égions : Afrique : 74 p. cent (+</w:t>
      </w:r>
      <w:r w:rsidR="0003575A" w:rsidRPr="00115221">
        <w:rPr>
          <w:rFonts w:cs="Times New Roman"/>
          <w:iCs/>
          <w:snapToGrid w:val="0"/>
          <w:spacing w:val="-2"/>
          <w:kern w:val="22"/>
          <w:szCs w:val="22"/>
          <w:lang w:val="fr-CA"/>
        </w:rPr>
        <w:t>16 p. cent)</w:t>
      </w:r>
      <w:r w:rsidR="00484C3D">
        <w:rPr>
          <w:rFonts w:cs="Times New Roman"/>
          <w:iCs/>
          <w:snapToGrid w:val="0"/>
          <w:spacing w:val="-2"/>
          <w:kern w:val="22"/>
          <w:szCs w:val="22"/>
          <w:lang w:val="fr-CA"/>
        </w:rPr>
        <w:t>; GALC : 54 p. cent (-8 p. cent);</w:t>
      </w:r>
      <w:r w:rsidR="0003575A" w:rsidRPr="00115221">
        <w:rPr>
          <w:rFonts w:cs="Times New Roman"/>
          <w:iCs/>
          <w:snapToGrid w:val="0"/>
          <w:spacing w:val="-2"/>
          <w:kern w:val="22"/>
          <w:szCs w:val="22"/>
          <w:lang w:val="fr-CA"/>
        </w:rPr>
        <w:t xml:space="preserve"> EOA : 94 p. cent (-6 p. cent). Une augmentation a été déclarée en Asie-Pacif</w:t>
      </w:r>
      <w:r w:rsidR="00484C3D">
        <w:rPr>
          <w:rFonts w:cs="Times New Roman"/>
          <w:iCs/>
          <w:snapToGrid w:val="0"/>
          <w:spacing w:val="-2"/>
          <w:kern w:val="22"/>
          <w:szCs w:val="22"/>
          <w:lang w:val="fr-CA"/>
        </w:rPr>
        <w:t>ique : 89 p. cent (+22 p. cent),</w:t>
      </w:r>
      <w:r w:rsidR="0003575A" w:rsidRPr="00115221">
        <w:rPr>
          <w:rFonts w:cs="Times New Roman"/>
          <w:iCs/>
          <w:snapToGrid w:val="0"/>
          <w:spacing w:val="-2"/>
          <w:kern w:val="22"/>
          <w:szCs w:val="22"/>
          <w:lang w:val="fr-CA"/>
        </w:rPr>
        <w:t xml:space="preserve"> tandis qu’aucune diffé</w:t>
      </w:r>
      <w:r w:rsidR="00E238B1" w:rsidRPr="00115221">
        <w:rPr>
          <w:rFonts w:cs="Times New Roman"/>
          <w:iCs/>
          <w:snapToGrid w:val="0"/>
          <w:spacing w:val="-2"/>
          <w:kern w:val="22"/>
          <w:szCs w:val="22"/>
          <w:lang w:val="fr-CA"/>
        </w:rPr>
        <w:t>r</w:t>
      </w:r>
      <w:r w:rsidR="0003575A" w:rsidRPr="00115221">
        <w:rPr>
          <w:rFonts w:cs="Times New Roman"/>
          <w:iCs/>
          <w:snapToGrid w:val="0"/>
          <w:spacing w:val="-2"/>
          <w:kern w:val="22"/>
          <w:szCs w:val="22"/>
          <w:lang w:val="fr-CA"/>
        </w:rPr>
        <w:t>ence n’a été déclarée en ECE, où le pourcentage  combin</w:t>
      </w:r>
      <w:r w:rsidR="00484C3D">
        <w:rPr>
          <w:rFonts w:cs="Times New Roman"/>
          <w:iCs/>
          <w:snapToGrid w:val="0"/>
          <w:spacing w:val="-2"/>
          <w:kern w:val="22"/>
          <w:szCs w:val="22"/>
          <w:lang w:val="fr-CA"/>
        </w:rPr>
        <w:t>é</w:t>
      </w:r>
      <w:r w:rsidR="0003575A" w:rsidRPr="00115221">
        <w:rPr>
          <w:rFonts w:cs="Times New Roman"/>
          <w:iCs/>
          <w:snapToGrid w:val="0"/>
          <w:spacing w:val="-2"/>
          <w:kern w:val="22"/>
          <w:szCs w:val="22"/>
          <w:lang w:val="fr-CA"/>
        </w:rPr>
        <w:t xml:space="preserve"> des Parties ayant informé le public</w:t>
      </w:r>
      <w:r w:rsidR="00484C3D">
        <w:rPr>
          <w:rFonts w:cs="Times New Roman"/>
          <w:iCs/>
          <w:snapToGrid w:val="0"/>
          <w:spacing w:val="-2"/>
          <w:kern w:val="22"/>
          <w:szCs w:val="22"/>
          <w:lang w:val="fr-CA"/>
        </w:rPr>
        <w:t>,</w:t>
      </w:r>
      <w:r w:rsidR="0003575A" w:rsidRPr="00115221">
        <w:rPr>
          <w:rFonts w:cs="Times New Roman"/>
          <w:iCs/>
          <w:snapToGrid w:val="0"/>
          <w:spacing w:val="-2"/>
          <w:kern w:val="22"/>
          <w:szCs w:val="22"/>
          <w:lang w:val="fr-CA"/>
        </w:rPr>
        <w:t xml:space="preserve"> au moins </w:t>
      </w:r>
      <w:r w:rsidR="00410688">
        <w:rPr>
          <w:rFonts w:cs="Times New Roman"/>
          <w:iCs/>
          <w:snapToGrid w:val="0"/>
          <w:spacing w:val="-2"/>
          <w:kern w:val="22"/>
          <w:szCs w:val="22"/>
          <w:lang w:val="fr-CA"/>
        </w:rPr>
        <w:t>dans une certaine mesure</w:t>
      </w:r>
      <w:r w:rsidR="00484C3D">
        <w:rPr>
          <w:rFonts w:cs="Times New Roman"/>
          <w:iCs/>
          <w:snapToGrid w:val="0"/>
          <w:spacing w:val="-2"/>
          <w:kern w:val="22"/>
          <w:szCs w:val="22"/>
          <w:lang w:val="fr-CA"/>
        </w:rPr>
        <w:t>,</w:t>
      </w:r>
      <w:r w:rsidR="0003575A" w:rsidRPr="00115221">
        <w:rPr>
          <w:rFonts w:cs="Times New Roman"/>
          <w:iCs/>
          <w:snapToGrid w:val="0"/>
          <w:spacing w:val="-2"/>
          <w:kern w:val="22"/>
          <w:szCs w:val="22"/>
          <w:lang w:val="fr-CA"/>
        </w:rPr>
        <w:t xml:space="preserve"> est demeuré de 93 p. cent. La plupart des Parties a</w:t>
      </w:r>
      <w:r w:rsidR="00E238B1" w:rsidRPr="00115221">
        <w:rPr>
          <w:rFonts w:cs="Times New Roman"/>
          <w:iCs/>
          <w:snapToGrid w:val="0"/>
          <w:spacing w:val="-2"/>
          <w:kern w:val="22"/>
          <w:szCs w:val="22"/>
          <w:lang w:val="fr-CA"/>
        </w:rPr>
        <w:t>yant décla</w:t>
      </w:r>
      <w:r w:rsidR="0003575A" w:rsidRPr="00115221">
        <w:rPr>
          <w:rFonts w:cs="Times New Roman"/>
          <w:iCs/>
          <w:snapToGrid w:val="0"/>
          <w:spacing w:val="-2"/>
          <w:kern w:val="22"/>
          <w:szCs w:val="22"/>
          <w:lang w:val="fr-CA"/>
        </w:rPr>
        <w:t>ré qu’</w:t>
      </w:r>
      <w:r w:rsidR="00E238B1" w:rsidRPr="00115221">
        <w:rPr>
          <w:rFonts w:cs="Times New Roman"/>
          <w:iCs/>
          <w:snapToGrid w:val="0"/>
          <w:spacing w:val="-2"/>
          <w:kern w:val="22"/>
          <w:szCs w:val="22"/>
          <w:lang w:val="fr-CA"/>
        </w:rPr>
        <w:t>elles avaient informé le</w:t>
      </w:r>
      <w:r w:rsidR="0003575A" w:rsidRPr="00115221">
        <w:rPr>
          <w:rFonts w:cs="Times New Roman"/>
          <w:iCs/>
          <w:snapToGrid w:val="0"/>
          <w:spacing w:val="-2"/>
          <w:kern w:val="22"/>
          <w:szCs w:val="22"/>
          <w:lang w:val="fr-CA"/>
        </w:rPr>
        <w:t xml:space="preserve"> publi</w:t>
      </w:r>
      <w:r w:rsidR="00E238B1" w:rsidRPr="00115221">
        <w:rPr>
          <w:rFonts w:cs="Times New Roman"/>
          <w:iCs/>
          <w:snapToGrid w:val="0"/>
          <w:spacing w:val="-2"/>
          <w:kern w:val="22"/>
          <w:szCs w:val="22"/>
          <w:lang w:val="fr-CA"/>
        </w:rPr>
        <w:t>c</w:t>
      </w:r>
      <w:r w:rsidR="0003575A" w:rsidRPr="00115221">
        <w:rPr>
          <w:rFonts w:cs="Times New Roman"/>
          <w:iCs/>
          <w:snapToGrid w:val="0"/>
          <w:spacing w:val="-2"/>
          <w:kern w:val="22"/>
          <w:szCs w:val="22"/>
          <w:lang w:val="fr-CA"/>
        </w:rPr>
        <w:t xml:space="preserve"> des modalités existantes de participation ont indiqué l’avoir fait sur les sites Web (29 p. cent), suivis des journaux (17 p. cent) et des audiences publiques (15 p. cent)</w:t>
      </w:r>
      <w:r w:rsidR="004569FB" w:rsidRPr="00115221">
        <w:rPr>
          <w:rFonts w:cs="Times New Roman"/>
          <w:iCs/>
          <w:snapToGrid w:val="0"/>
          <w:spacing w:val="-2"/>
          <w:kern w:val="22"/>
          <w:szCs w:val="22"/>
          <w:lang w:val="fr-CA"/>
        </w:rPr>
        <w:t xml:space="preserve">. </w:t>
      </w:r>
    </w:p>
    <w:p w14:paraId="3274CCBB" w14:textId="78DD112A" w:rsidR="004569FB" w:rsidRPr="00115221" w:rsidRDefault="00E238B1"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spacing w:val="-2"/>
          <w:kern w:val="22"/>
          <w:szCs w:val="22"/>
          <w:lang w:val="fr-CA"/>
        </w:rPr>
      </w:pPr>
      <w:bookmarkStart w:id="16" w:name="_Hlk30519164"/>
      <w:r w:rsidRPr="00115221">
        <w:rPr>
          <w:rFonts w:cs="Times New Roman"/>
          <w:iCs/>
          <w:snapToGrid w:val="0"/>
          <w:spacing w:val="-2"/>
          <w:kern w:val="22"/>
          <w:szCs w:val="22"/>
          <w:lang w:val="fr-CA"/>
        </w:rPr>
        <w:lastRenderedPageBreak/>
        <w:t>Plusieurs Parties ont indiqué dans leur exposé écrit que la gazette officielle du gouvernement figurait parmi les journaux utilisés pour informer le public</w:t>
      </w:r>
      <w:r w:rsidR="004569FB" w:rsidRPr="00115221">
        <w:rPr>
          <w:rFonts w:cs="Times New Roman"/>
          <w:iCs/>
          <w:snapToGrid w:val="0"/>
          <w:spacing w:val="-2"/>
          <w:kern w:val="22"/>
          <w:szCs w:val="22"/>
          <w:lang w:val="fr-CA"/>
        </w:rPr>
        <w:t>.</w:t>
      </w:r>
      <w:r w:rsidRPr="00115221">
        <w:rPr>
          <w:rFonts w:cs="Times New Roman"/>
          <w:iCs/>
          <w:snapToGrid w:val="0"/>
          <w:spacing w:val="-2"/>
          <w:kern w:val="22"/>
          <w:szCs w:val="22"/>
          <w:lang w:val="fr-CA"/>
        </w:rPr>
        <w:t xml:space="preserve"> Quelques Parties ont indiqué que le public a aussi été informé des modalités de participation lors des séances de formation et des réunions.</w:t>
      </w:r>
    </w:p>
    <w:p w14:paraId="45DEF840" w14:textId="39858886" w:rsidR="004569FB" w:rsidRPr="00115221" w:rsidRDefault="002B380C"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bCs/>
          <w:i/>
          <w:iCs/>
          <w:snapToGrid w:val="0"/>
          <w:spacing w:val="-2"/>
          <w:kern w:val="22"/>
          <w:szCs w:val="22"/>
          <w:lang w:val="fr-CA"/>
        </w:rPr>
      </w:pPr>
      <w:bookmarkStart w:id="17" w:name="_Hlk30520852"/>
      <w:bookmarkEnd w:id="16"/>
      <w:r w:rsidRPr="00115221">
        <w:rPr>
          <w:rFonts w:cs="Times New Roman"/>
          <w:snapToGrid w:val="0"/>
          <w:spacing w:val="-2"/>
          <w:kern w:val="22"/>
          <w:szCs w:val="22"/>
          <w:lang w:val="fr-CA"/>
        </w:rPr>
        <w:t xml:space="preserve">En ce qui concerne </w:t>
      </w:r>
      <w:r w:rsidRPr="00115221">
        <w:rPr>
          <w:rFonts w:cs="Times New Roman"/>
          <w:b/>
          <w:snapToGrid w:val="0"/>
          <w:spacing w:val="-2"/>
          <w:kern w:val="22"/>
          <w:szCs w:val="22"/>
          <w:lang w:val="fr-CA"/>
        </w:rPr>
        <w:t>l’indicateur 2.5.3</w:t>
      </w:r>
      <w:r w:rsidRPr="00115221">
        <w:rPr>
          <w:rFonts w:cs="Times New Roman"/>
          <w:snapToGrid w:val="0"/>
          <w:spacing w:val="-2"/>
          <w:kern w:val="22"/>
          <w:szCs w:val="22"/>
          <w:lang w:val="fr-CA"/>
        </w:rPr>
        <w:t xml:space="preserve"> (nom</w:t>
      </w:r>
      <w:r w:rsidR="00783780" w:rsidRPr="00115221">
        <w:rPr>
          <w:rFonts w:cs="Times New Roman"/>
          <w:snapToGrid w:val="0"/>
          <w:spacing w:val="-2"/>
          <w:kern w:val="22"/>
          <w:szCs w:val="22"/>
          <w:lang w:val="fr-CA"/>
        </w:rPr>
        <w:t>bre de Parties ayant mis en pla</w:t>
      </w:r>
      <w:r w:rsidRPr="00115221">
        <w:rPr>
          <w:rFonts w:cs="Times New Roman"/>
          <w:snapToGrid w:val="0"/>
          <w:spacing w:val="-2"/>
          <w:kern w:val="22"/>
          <w:szCs w:val="22"/>
          <w:lang w:val="fr-CA"/>
        </w:rPr>
        <w:t>ce des sites Web nationaux et des archives interrogeables, des centres nationaux de recherche ou des sections consacrées au matériel éducatif sur la prévention des risques biotechnologiques dans des bibliothèques existantes), 68 p. cent des Parties (63 Parties) ont déclaré avoir un site Web national sur la prévention des risques biotechnologiques, une augmentation de 1 p. cent par rapport à la va</w:t>
      </w:r>
      <w:r w:rsidR="00484C3D">
        <w:rPr>
          <w:rFonts w:cs="Times New Roman"/>
          <w:snapToGrid w:val="0"/>
          <w:spacing w:val="-2"/>
          <w:kern w:val="22"/>
          <w:szCs w:val="22"/>
          <w:lang w:val="fr-CA"/>
        </w:rPr>
        <w:t>leur de référence. Des différenc</w:t>
      </w:r>
      <w:r w:rsidRPr="00115221">
        <w:rPr>
          <w:rFonts w:cs="Times New Roman"/>
          <w:snapToGrid w:val="0"/>
          <w:spacing w:val="-2"/>
          <w:kern w:val="22"/>
          <w:szCs w:val="22"/>
          <w:lang w:val="fr-CA"/>
        </w:rPr>
        <w:t>es ont été signalées entre les régions</w:t>
      </w:r>
      <w:r w:rsidR="00783780" w:rsidRPr="00115221">
        <w:rPr>
          <w:rFonts w:cs="Times New Roman"/>
          <w:snapToGrid w:val="0"/>
          <w:spacing w:val="-2"/>
          <w:kern w:val="22"/>
          <w:szCs w:val="22"/>
          <w:lang w:val="fr-CA"/>
        </w:rPr>
        <w:t>, tant au niveau du nombre</w:t>
      </w:r>
      <w:r w:rsidRPr="00115221">
        <w:rPr>
          <w:rFonts w:cs="Times New Roman"/>
          <w:snapToGrid w:val="0"/>
          <w:spacing w:val="-2"/>
          <w:kern w:val="22"/>
          <w:szCs w:val="22"/>
          <w:lang w:val="fr-CA"/>
        </w:rPr>
        <w:t xml:space="preserve"> total que des différences par </w:t>
      </w:r>
      <w:r w:rsidR="0070389B">
        <w:rPr>
          <w:rFonts w:cs="Times New Roman"/>
          <w:snapToGrid w:val="0"/>
          <w:spacing w:val="-2"/>
          <w:kern w:val="22"/>
          <w:szCs w:val="22"/>
          <w:lang w:val="fr-CA"/>
        </w:rPr>
        <w:t>r</w:t>
      </w:r>
      <w:r w:rsidRPr="00115221">
        <w:rPr>
          <w:rFonts w:cs="Times New Roman"/>
          <w:snapToGrid w:val="0"/>
          <w:spacing w:val="-2"/>
          <w:kern w:val="22"/>
          <w:szCs w:val="22"/>
          <w:lang w:val="fr-CA"/>
        </w:rPr>
        <w:t>apport à la valeur de référence. Des augmentations ont été déclarées</w:t>
      </w:r>
      <w:r w:rsidR="00783780" w:rsidRPr="00115221">
        <w:rPr>
          <w:rFonts w:cs="Times New Roman"/>
          <w:snapToGrid w:val="0"/>
          <w:spacing w:val="-2"/>
          <w:kern w:val="22"/>
          <w:szCs w:val="22"/>
          <w:lang w:val="fr-CA"/>
        </w:rPr>
        <w:t xml:space="preserve"> pour le GALC : 69 p. cent (+</w:t>
      </w:r>
      <w:r w:rsidR="0021795E">
        <w:rPr>
          <w:rFonts w:cs="Times New Roman"/>
          <w:snapToGrid w:val="0"/>
          <w:spacing w:val="-2"/>
          <w:kern w:val="22"/>
          <w:szCs w:val="22"/>
          <w:lang w:val="fr-CA"/>
        </w:rPr>
        <w:t>15 p. cent) et en Afrique : 45 p</w:t>
      </w:r>
      <w:r w:rsidR="00783780" w:rsidRPr="00115221">
        <w:rPr>
          <w:rFonts w:cs="Times New Roman"/>
          <w:snapToGrid w:val="0"/>
          <w:spacing w:val="-2"/>
          <w:kern w:val="22"/>
          <w:szCs w:val="22"/>
          <w:lang w:val="fr-CA"/>
        </w:rPr>
        <w:t xml:space="preserve">. cent (+3 p. cent). Une diminution a été signalée </w:t>
      </w:r>
      <w:r w:rsidR="0070389B">
        <w:rPr>
          <w:rFonts w:cs="Times New Roman"/>
          <w:snapToGrid w:val="0"/>
          <w:spacing w:val="-2"/>
          <w:kern w:val="22"/>
          <w:szCs w:val="22"/>
          <w:lang w:val="fr-CA"/>
        </w:rPr>
        <w:t>pour l’</w:t>
      </w:r>
      <w:r w:rsidR="00783780" w:rsidRPr="00115221">
        <w:rPr>
          <w:rFonts w:cs="Times New Roman"/>
          <w:snapToGrid w:val="0"/>
          <w:spacing w:val="-2"/>
          <w:kern w:val="22"/>
          <w:szCs w:val="22"/>
          <w:lang w:val="fr-CA"/>
        </w:rPr>
        <w:t>ECE : 69 p. cent (-12 p. cent), tandis que l’Asie-Pacifique (88 p. cent) et l’EOA (89 p. cent) ne présentent aucune différence par rapport à la valeur de référence.</w:t>
      </w:r>
    </w:p>
    <w:bookmarkEnd w:id="17"/>
    <w:p w14:paraId="15E692AF" w14:textId="6A4BF138" w:rsidR="004569FB" w:rsidRPr="00115221" w:rsidRDefault="00783780"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22"/>
          <w:lang w:val="fr-CA"/>
        </w:rPr>
      </w:pPr>
      <w:r w:rsidRPr="00115221">
        <w:rPr>
          <w:rFonts w:cs="Times New Roman"/>
          <w:iCs/>
          <w:snapToGrid w:val="0"/>
          <w:kern w:val="22"/>
          <w:szCs w:val="18"/>
          <w:lang w:val="fr-CA"/>
        </w:rPr>
        <w:t xml:space="preserve">Plusieurs Parties ont indiqué dans leur contribution écrite qu’elles avaient un site Web </w:t>
      </w:r>
      <w:r w:rsidR="0021795E">
        <w:rPr>
          <w:rFonts w:cs="Times New Roman"/>
          <w:iCs/>
          <w:snapToGrid w:val="0"/>
          <w:kern w:val="22"/>
          <w:szCs w:val="18"/>
          <w:lang w:val="fr-CA"/>
        </w:rPr>
        <w:t>pour</w:t>
      </w:r>
      <w:r w:rsidRPr="00115221">
        <w:rPr>
          <w:rFonts w:cs="Times New Roman"/>
          <w:iCs/>
          <w:snapToGrid w:val="0"/>
          <w:kern w:val="22"/>
          <w:szCs w:val="18"/>
          <w:lang w:val="fr-CA"/>
        </w:rPr>
        <w:t xml:space="preserve"> facilite</w:t>
      </w:r>
      <w:r w:rsidR="00DF292F" w:rsidRPr="00115221">
        <w:rPr>
          <w:rFonts w:cs="Times New Roman"/>
          <w:iCs/>
          <w:snapToGrid w:val="0"/>
          <w:kern w:val="22"/>
          <w:szCs w:val="18"/>
          <w:lang w:val="fr-CA"/>
        </w:rPr>
        <w:t>r</w:t>
      </w:r>
      <w:r w:rsidRPr="00115221">
        <w:rPr>
          <w:rFonts w:cs="Times New Roman"/>
          <w:iCs/>
          <w:snapToGrid w:val="0"/>
          <w:kern w:val="22"/>
          <w:szCs w:val="18"/>
          <w:lang w:val="fr-CA"/>
        </w:rPr>
        <w:t xml:space="preserve"> la sensibilisation, l’éducation et la participation du public, </w:t>
      </w:r>
      <w:r w:rsidR="00DF292F" w:rsidRPr="00115221">
        <w:rPr>
          <w:rFonts w:cs="Times New Roman"/>
          <w:iCs/>
          <w:snapToGrid w:val="0"/>
          <w:kern w:val="22"/>
          <w:szCs w:val="18"/>
          <w:lang w:val="fr-CA"/>
        </w:rPr>
        <w:t>y compris</w:t>
      </w:r>
      <w:r w:rsidRPr="00115221">
        <w:rPr>
          <w:rFonts w:cs="Times New Roman"/>
          <w:iCs/>
          <w:snapToGrid w:val="0"/>
          <w:kern w:val="22"/>
          <w:szCs w:val="18"/>
          <w:lang w:val="fr-CA"/>
        </w:rPr>
        <w:t xml:space="preserve"> l’accès</w:t>
      </w:r>
      <w:r w:rsidR="00DF292F" w:rsidRPr="00115221">
        <w:rPr>
          <w:rFonts w:cs="Times New Roman"/>
          <w:iCs/>
          <w:snapToGrid w:val="0"/>
          <w:kern w:val="22"/>
          <w:szCs w:val="18"/>
          <w:lang w:val="fr-CA"/>
        </w:rPr>
        <w:t xml:space="preserve"> aux pratiques en matière d’information. Plusieurs Parties ont précisé que leur site Web sur la prévention des risques biotechnologiques joue également le rôle de centre national d'échanges sur la prévention des risques biotechnologiques. L</w:t>
      </w:r>
      <w:r w:rsidR="0021795E">
        <w:rPr>
          <w:rFonts w:cs="Times New Roman"/>
          <w:iCs/>
          <w:snapToGrid w:val="0"/>
          <w:kern w:val="22"/>
          <w:szCs w:val="18"/>
          <w:lang w:val="fr-CA"/>
        </w:rPr>
        <w:t>’E</w:t>
      </w:r>
      <w:r w:rsidR="00DF292F" w:rsidRPr="00115221">
        <w:rPr>
          <w:rFonts w:cs="Times New Roman"/>
          <w:iCs/>
          <w:snapToGrid w:val="0"/>
          <w:kern w:val="22"/>
          <w:szCs w:val="18"/>
          <w:lang w:val="fr-CA"/>
        </w:rPr>
        <w:t>nquête sur le programme de travail révèle que certain</w:t>
      </w:r>
      <w:r w:rsidR="0021795E">
        <w:rPr>
          <w:rFonts w:cs="Times New Roman"/>
          <w:iCs/>
          <w:snapToGrid w:val="0"/>
          <w:kern w:val="22"/>
          <w:szCs w:val="18"/>
          <w:lang w:val="fr-CA"/>
        </w:rPr>
        <w:t>e</w:t>
      </w:r>
      <w:r w:rsidR="00DF292F" w:rsidRPr="00115221">
        <w:rPr>
          <w:rFonts w:cs="Times New Roman"/>
          <w:iCs/>
          <w:snapToGrid w:val="0"/>
          <w:kern w:val="22"/>
          <w:szCs w:val="18"/>
          <w:lang w:val="fr-CA"/>
        </w:rPr>
        <w:t xml:space="preserve">s Parties </w:t>
      </w:r>
      <w:r w:rsidR="0021795E">
        <w:rPr>
          <w:rFonts w:cs="Times New Roman"/>
          <w:iCs/>
          <w:snapToGrid w:val="0"/>
          <w:kern w:val="22"/>
          <w:szCs w:val="18"/>
          <w:lang w:val="fr-CA"/>
        </w:rPr>
        <w:t>estiment</w:t>
      </w:r>
      <w:r w:rsidR="00DF292F" w:rsidRPr="00115221">
        <w:rPr>
          <w:rFonts w:cs="Times New Roman"/>
          <w:iCs/>
          <w:snapToGrid w:val="0"/>
          <w:kern w:val="22"/>
          <w:szCs w:val="18"/>
          <w:lang w:val="fr-CA"/>
        </w:rPr>
        <w:t xml:space="preserve"> </w:t>
      </w:r>
      <w:r w:rsidR="0021795E">
        <w:rPr>
          <w:rFonts w:cs="Times New Roman"/>
          <w:iCs/>
          <w:snapToGrid w:val="0"/>
          <w:kern w:val="22"/>
          <w:szCs w:val="18"/>
          <w:lang w:val="fr-CA"/>
        </w:rPr>
        <w:t xml:space="preserve">que </w:t>
      </w:r>
      <w:r w:rsidR="00DF292F" w:rsidRPr="00115221">
        <w:rPr>
          <w:rFonts w:cs="Times New Roman"/>
          <w:iCs/>
          <w:snapToGrid w:val="0"/>
          <w:kern w:val="22"/>
          <w:szCs w:val="18"/>
          <w:lang w:val="fr-CA"/>
        </w:rPr>
        <w:t>le manque de ressources les a empêchées de mettre en place un site Web national de prévention des risques biotechnologiques</w:t>
      </w:r>
      <w:r w:rsidR="004569FB" w:rsidRPr="00115221">
        <w:rPr>
          <w:rFonts w:cs="Times New Roman"/>
          <w:iCs/>
          <w:snapToGrid w:val="0"/>
          <w:kern w:val="22"/>
          <w:szCs w:val="18"/>
          <w:lang w:val="fr-CA"/>
        </w:rPr>
        <w:t xml:space="preserve">. </w:t>
      </w:r>
    </w:p>
    <w:p w14:paraId="4995F879" w14:textId="622832EB" w:rsidR="004569FB" w:rsidRPr="00115221" w:rsidRDefault="00DF292F"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22"/>
          <w:lang w:val="fr-CA"/>
        </w:rPr>
      </w:pPr>
      <w:r w:rsidRPr="00115221">
        <w:rPr>
          <w:rFonts w:cs="Times New Roman"/>
          <w:iCs/>
          <w:snapToGrid w:val="0"/>
          <w:kern w:val="22"/>
          <w:szCs w:val="22"/>
          <w:lang w:val="fr-CA"/>
        </w:rPr>
        <w:t xml:space="preserve">Quatre-vingt-huit </w:t>
      </w:r>
      <w:r w:rsidR="0021795E">
        <w:rPr>
          <w:rFonts w:cs="Times New Roman"/>
          <w:iCs/>
          <w:snapToGrid w:val="0"/>
          <w:kern w:val="22"/>
          <w:szCs w:val="22"/>
          <w:lang w:val="fr-CA"/>
        </w:rPr>
        <w:t xml:space="preserve">p. cent des </w:t>
      </w:r>
      <w:r w:rsidRPr="00115221">
        <w:rPr>
          <w:rFonts w:cs="Times New Roman"/>
          <w:iCs/>
          <w:snapToGrid w:val="0"/>
          <w:kern w:val="22"/>
          <w:szCs w:val="22"/>
          <w:lang w:val="fr-CA"/>
        </w:rPr>
        <w:t>répondants à l’</w:t>
      </w:r>
      <w:r w:rsidR="0021795E">
        <w:rPr>
          <w:rFonts w:cs="Times New Roman"/>
          <w:iCs/>
          <w:snapToGrid w:val="0"/>
          <w:kern w:val="22"/>
          <w:szCs w:val="22"/>
          <w:lang w:val="fr-CA"/>
        </w:rPr>
        <w:t>E</w:t>
      </w:r>
      <w:r w:rsidRPr="00115221">
        <w:rPr>
          <w:rFonts w:cs="Times New Roman"/>
          <w:iCs/>
          <w:snapToGrid w:val="0"/>
          <w:kern w:val="22"/>
          <w:szCs w:val="22"/>
          <w:lang w:val="fr-CA"/>
        </w:rPr>
        <w:t>nquête sur le programme de travail ont indiqué</w:t>
      </w:r>
      <w:r w:rsidR="00F3688A" w:rsidRPr="00115221">
        <w:rPr>
          <w:rFonts w:cs="Times New Roman"/>
          <w:iCs/>
          <w:snapToGrid w:val="0"/>
          <w:kern w:val="22"/>
          <w:szCs w:val="22"/>
          <w:lang w:val="fr-CA"/>
        </w:rPr>
        <w:t xml:space="preserve"> avoir en place une procédure pour faciliter l’accès public à l’information sur la prévention des risques biotechnologiques ou avoir mis en place une telle procédure </w:t>
      </w:r>
      <w:r w:rsidR="00410688">
        <w:rPr>
          <w:rFonts w:cs="Times New Roman"/>
          <w:iCs/>
          <w:snapToGrid w:val="0"/>
          <w:kern w:val="22"/>
          <w:szCs w:val="22"/>
          <w:lang w:val="fr-CA"/>
        </w:rPr>
        <w:t>dans une certaine mesure</w:t>
      </w:r>
      <w:r w:rsidR="00F3688A" w:rsidRPr="00115221">
        <w:rPr>
          <w:rFonts w:cs="Times New Roman"/>
          <w:iCs/>
          <w:snapToGrid w:val="0"/>
          <w:kern w:val="22"/>
          <w:szCs w:val="22"/>
          <w:lang w:val="fr-CA"/>
        </w:rPr>
        <w:t xml:space="preserve">. Les répondants ont précisé que ces procédures </w:t>
      </w:r>
      <w:r w:rsidR="0070389B">
        <w:rPr>
          <w:rFonts w:cs="Times New Roman"/>
          <w:iCs/>
          <w:snapToGrid w:val="0"/>
          <w:kern w:val="22"/>
          <w:szCs w:val="22"/>
          <w:lang w:val="fr-CA"/>
        </w:rPr>
        <w:t>concernent</w:t>
      </w:r>
      <w:r w:rsidR="00F3688A" w:rsidRPr="00115221">
        <w:rPr>
          <w:rFonts w:cs="Times New Roman"/>
          <w:iCs/>
          <w:snapToGrid w:val="0"/>
          <w:kern w:val="22"/>
          <w:szCs w:val="22"/>
          <w:lang w:val="fr-CA"/>
        </w:rPr>
        <w:t xml:space="preserve"> surtout les sites Web nationaux. Certaines Parties </w:t>
      </w:r>
      <w:r w:rsidR="0021795E">
        <w:rPr>
          <w:rFonts w:cs="Times New Roman"/>
          <w:iCs/>
          <w:snapToGrid w:val="0"/>
          <w:kern w:val="22"/>
          <w:szCs w:val="22"/>
          <w:lang w:val="fr-CA"/>
        </w:rPr>
        <w:t>ont attiré</w:t>
      </w:r>
      <w:r w:rsidR="00F3688A" w:rsidRPr="00115221">
        <w:rPr>
          <w:rFonts w:cs="Times New Roman"/>
          <w:iCs/>
          <w:snapToGrid w:val="0"/>
          <w:kern w:val="22"/>
          <w:szCs w:val="22"/>
          <w:lang w:val="fr-CA"/>
        </w:rPr>
        <w:t xml:space="preserve"> l’attention sur ces procédures dans les médias, les réunions, les ateliers et dans les publications</w:t>
      </w:r>
      <w:r w:rsidR="004569FB" w:rsidRPr="00115221">
        <w:rPr>
          <w:rFonts w:cs="Times New Roman"/>
          <w:iCs/>
          <w:snapToGrid w:val="0"/>
          <w:spacing w:val="-2"/>
          <w:kern w:val="22"/>
          <w:szCs w:val="22"/>
          <w:lang w:val="fr-CA"/>
        </w:rPr>
        <w:t>.</w:t>
      </w:r>
    </w:p>
    <w:p w14:paraId="16E4FB02" w14:textId="009938DE" w:rsidR="004569FB" w:rsidRPr="00115221" w:rsidRDefault="00AA2132" w:rsidP="000A5388">
      <w:pPr>
        <w:suppressLineNumbers/>
        <w:suppressAutoHyphens/>
        <w:spacing w:before="120" w:after="120"/>
        <w:textAlignment w:val="baseline"/>
        <w:outlineLvl w:val="2"/>
        <w:rPr>
          <w:rFonts w:cs="Times New Roman"/>
          <w:b/>
          <w:iCs/>
          <w:snapToGrid w:val="0"/>
          <w:spacing w:val="-2"/>
          <w:kern w:val="22"/>
          <w:szCs w:val="22"/>
          <w:lang w:val="fr-CA"/>
        </w:rPr>
      </w:pPr>
      <w:r>
        <w:rPr>
          <w:rFonts w:cs="Times New Roman"/>
          <w:b/>
          <w:iCs/>
          <w:snapToGrid w:val="0"/>
          <w:spacing w:val="-2"/>
          <w:kern w:val="22"/>
          <w:szCs w:val="22"/>
          <w:lang w:val="fr-CA"/>
        </w:rPr>
        <w:t>Objectif opérationnel 2.7 : É</w:t>
      </w:r>
      <w:r w:rsidR="00A96E54" w:rsidRPr="00115221">
        <w:rPr>
          <w:rFonts w:cs="Times New Roman"/>
          <w:b/>
          <w:iCs/>
          <w:snapToGrid w:val="0"/>
          <w:spacing w:val="-2"/>
          <w:kern w:val="22"/>
          <w:szCs w:val="22"/>
          <w:lang w:val="fr-CA"/>
        </w:rPr>
        <w:t>ducation et formation en prévention des risques biotechnologiques</w:t>
      </w:r>
    </w:p>
    <w:p w14:paraId="697E2AB4" w14:textId="3A4E00FF" w:rsidR="004569FB" w:rsidRPr="00115221" w:rsidRDefault="00906FA6"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L’objectif opérationnel 2.7 vise à promouvoir l’éducation et la formation des professionnels en prévention des risques biotechnologiques en améliorant la coordination et la collaboration entre les établissements d’enseignement et les organisations compétentes</w:t>
      </w:r>
      <w:r w:rsidR="004569FB" w:rsidRPr="00115221">
        <w:rPr>
          <w:rFonts w:cs="Times New Roman"/>
          <w:snapToGrid w:val="0"/>
          <w:spacing w:val="-2"/>
          <w:kern w:val="22"/>
          <w:szCs w:val="22"/>
          <w:lang w:val="fr-CA"/>
        </w:rPr>
        <w:t>.</w:t>
      </w:r>
    </w:p>
    <w:p w14:paraId="28393753" w14:textId="4594B9D6" w:rsidR="004569FB" w:rsidRPr="00115221" w:rsidRDefault="00906FA6"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En ce qui concerne </w:t>
      </w:r>
      <w:r w:rsidRPr="00115221">
        <w:rPr>
          <w:rFonts w:cs="Times New Roman"/>
          <w:b/>
          <w:snapToGrid w:val="0"/>
          <w:spacing w:val="-2"/>
          <w:kern w:val="22"/>
          <w:szCs w:val="22"/>
          <w:lang w:val="fr-CA"/>
        </w:rPr>
        <w:t>l’indicateur 2.7.1</w:t>
      </w:r>
      <w:r w:rsidRPr="00115221">
        <w:rPr>
          <w:rFonts w:cs="Times New Roman"/>
          <w:snapToGrid w:val="0"/>
          <w:spacing w:val="-2"/>
          <w:kern w:val="22"/>
          <w:szCs w:val="22"/>
          <w:lang w:val="fr-CA"/>
        </w:rPr>
        <w:t xml:space="preserve"> (nombre d’é</w:t>
      </w:r>
      <w:r w:rsidR="00591E95" w:rsidRPr="00115221">
        <w:rPr>
          <w:rFonts w:cs="Times New Roman"/>
          <w:snapToGrid w:val="0"/>
          <w:spacing w:val="-2"/>
          <w:kern w:val="22"/>
          <w:szCs w:val="22"/>
          <w:lang w:val="fr-CA"/>
        </w:rPr>
        <w:t>t</w:t>
      </w:r>
      <w:r w:rsidRPr="00115221">
        <w:rPr>
          <w:rFonts w:cs="Times New Roman"/>
          <w:snapToGrid w:val="0"/>
          <w:spacing w:val="-2"/>
          <w:kern w:val="22"/>
          <w:szCs w:val="22"/>
          <w:lang w:val="fr-CA"/>
        </w:rPr>
        <w:t>ablissements d’ens</w:t>
      </w:r>
      <w:r w:rsidR="000E1717">
        <w:rPr>
          <w:rFonts w:cs="Times New Roman"/>
          <w:snapToGrid w:val="0"/>
          <w:spacing w:val="-2"/>
          <w:kern w:val="22"/>
          <w:szCs w:val="22"/>
          <w:lang w:val="fr-CA"/>
        </w:rPr>
        <w:t xml:space="preserve">eignement par région offrant </w:t>
      </w:r>
      <w:r w:rsidR="00295F59">
        <w:rPr>
          <w:rFonts w:cs="Times New Roman"/>
          <w:snapToGrid w:val="0"/>
          <w:spacing w:val="-2"/>
          <w:kern w:val="22"/>
          <w:szCs w:val="22"/>
          <w:lang w:val="fr-CA"/>
        </w:rPr>
        <w:t>des</w:t>
      </w:r>
      <w:r w:rsidRPr="00115221">
        <w:rPr>
          <w:rFonts w:cs="Times New Roman"/>
          <w:snapToGrid w:val="0"/>
          <w:spacing w:val="-2"/>
          <w:kern w:val="22"/>
          <w:szCs w:val="22"/>
          <w:lang w:val="fr-CA"/>
        </w:rPr>
        <w:t xml:space="preserve"> cours et </w:t>
      </w:r>
      <w:r w:rsidR="000E1717">
        <w:rPr>
          <w:rFonts w:cs="Times New Roman"/>
          <w:snapToGrid w:val="0"/>
          <w:spacing w:val="-2"/>
          <w:kern w:val="22"/>
          <w:szCs w:val="22"/>
          <w:lang w:val="fr-CA"/>
        </w:rPr>
        <w:t xml:space="preserve">des </w:t>
      </w:r>
      <w:r w:rsidRPr="00115221">
        <w:rPr>
          <w:rFonts w:cs="Times New Roman"/>
          <w:snapToGrid w:val="0"/>
          <w:spacing w:val="-2"/>
          <w:kern w:val="22"/>
          <w:szCs w:val="22"/>
          <w:lang w:val="fr-CA"/>
        </w:rPr>
        <w:t>programmes d’</w:t>
      </w:r>
      <w:r w:rsidR="00591E95" w:rsidRPr="00115221">
        <w:rPr>
          <w:rFonts w:cs="Times New Roman"/>
          <w:snapToGrid w:val="0"/>
          <w:spacing w:val="-2"/>
          <w:kern w:val="22"/>
          <w:szCs w:val="22"/>
          <w:lang w:val="fr-CA"/>
        </w:rPr>
        <w:t>éducati</w:t>
      </w:r>
      <w:r w:rsidRPr="00115221">
        <w:rPr>
          <w:rFonts w:cs="Times New Roman"/>
          <w:snapToGrid w:val="0"/>
          <w:spacing w:val="-2"/>
          <w:kern w:val="22"/>
          <w:szCs w:val="22"/>
          <w:lang w:val="fr-CA"/>
        </w:rPr>
        <w:t>on et de formation en prévention des risques biotechnologiques), 86 p. cent des Parties (61 Parties) o</w:t>
      </w:r>
      <w:r w:rsidR="00591E95" w:rsidRPr="00115221">
        <w:rPr>
          <w:rFonts w:cs="Times New Roman"/>
          <w:snapToGrid w:val="0"/>
          <w:spacing w:val="-2"/>
          <w:kern w:val="22"/>
          <w:szCs w:val="22"/>
          <w:lang w:val="fr-CA"/>
        </w:rPr>
        <w:t>nt déclaré que les établissement</w:t>
      </w:r>
      <w:r w:rsidRPr="00115221">
        <w:rPr>
          <w:rFonts w:cs="Times New Roman"/>
          <w:snapToGrid w:val="0"/>
          <w:spacing w:val="-2"/>
          <w:kern w:val="22"/>
          <w:szCs w:val="22"/>
          <w:lang w:val="fr-CA"/>
        </w:rPr>
        <w:t>s d’enseignement de leur pays offrent des cours et des programmes d’</w:t>
      </w:r>
      <w:r w:rsidR="00591E95" w:rsidRPr="00115221">
        <w:rPr>
          <w:rFonts w:cs="Times New Roman"/>
          <w:snapToGrid w:val="0"/>
          <w:spacing w:val="-2"/>
          <w:kern w:val="22"/>
          <w:szCs w:val="22"/>
          <w:lang w:val="fr-CA"/>
        </w:rPr>
        <w:t>éducati</w:t>
      </w:r>
      <w:r w:rsidRPr="00115221">
        <w:rPr>
          <w:rFonts w:cs="Times New Roman"/>
          <w:snapToGrid w:val="0"/>
          <w:spacing w:val="-2"/>
          <w:kern w:val="22"/>
          <w:szCs w:val="22"/>
          <w:lang w:val="fr-CA"/>
        </w:rPr>
        <w:t xml:space="preserve">on et de formation en prévention des risques biotechnologiques, une augmentation de 11 p. cent par rapport à la valeur de référence. </w:t>
      </w:r>
      <w:r w:rsidR="00591E95" w:rsidRPr="00115221">
        <w:rPr>
          <w:rFonts w:cs="Times New Roman"/>
          <w:snapToGrid w:val="0"/>
          <w:spacing w:val="-2"/>
          <w:kern w:val="22"/>
          <w:szCs w:val="22"/>
          <w:lang w:val="fr-CA"/>
        </w:rPr>
        <w:t>Les pourcentages des Parties déclarant que les établissements d’enseignem</w:t>
      </w:r>
      <w:r w:rsidR="00C229D3" w:rsidRPr="00115221">
        <w:rPr>
          <w:rFonts w:cs="Times New Roman"/>
          <w:snapToGrid w:val="0"/>
          <w:spacing w:val="-2"/>
          <w:kern w:val="22"/>
          <w:szCs w:val="22"/>
          <w:lang w:val="fr-CA"/>
        </w:rPr>
        <w:t>e</w:t>
      </w:r>
      <w:r w:rsidR="00591E95" w:rsidRPr="00115221">
        <w:rPr>
          <w:rFonts w:cs="Times New Roman"/>
          <w:snapToGrid w:val="0"/>
          <w:spacing w:val="-2"/>
          <w:kern w:val="22"/>
          <w:szCs w:val="22"/>
          <w:lang w:val="fr-CA"/>
        </w:rPr>
        <w:t>nt de leur pays offrent ces cours et ces programmes est élevé da</w:t>
      </w:r>
      <w:r w:rsidR="000E1717">
        <w:rPr>
          <w:rFonts w:cs="Times New Roman"/>
          <w:snapToGrid w:val="0"/>
          <w:spacing w:val="-2"/>
          <w:kern w:val="22"/>
          <w:szCs w:val="22"/>
          <w:lang w:val="fr-CA"/>
        </w:rPr>
        <w:t>ns la plupart des régions (</w:t>
      </w:r>
      <w:r w:rsidR="00447AB8">
        <w:rPr>
          <w:rFonts w:cs="Times New Roman"/>
          <w:snapToGrid w:val="0"/>
          <w:spacing w:val="-2"/>
          <w:kern w:val="22"/>
          <w:szCs w:val="22"/>
          <w:lang w:val="fr-CA"/>
        </w:rPr>
        <w:t>de</w:t>
      </w:r>
      <w:r w:rsidR="00591E95" w:rsidRPr="00115221">
        <w:rPr>
          <w:rFonts w:cs="Times New Roman"/>
          <w:snapToGrid w:val="0"/>
          <w:spacing w:val="-2"/>
          <w:kern w:val="22"/>
          <w:szCs w:val="22"/>
          <w:lang w:val="fr-CA"/>
        </w:rPr>
        <w:t xml:space="preserve"> 89 p. cent </w:t>
      </w:r>
      <w:r w:rsidR="00447AB8">
        <w:rPr>
          <w:rFonts w:cs="Times New Roman"/>
          <w:snapToGrid w:val="0"/>
          <w:spacing w:val="-2"/>
          <w:kern w:val="22"/>
          <w:szCs w:val="22"/>
          <w:lang w:val="fr-CA"/>
        </w:rPr>
        <w:t>à</w:t>
      </w:r>
      <w:r w:rsidR="00591E95" w:rsidRPr="00115221">
        <w:rPr>
          <w:rFonts w:cs="Times New Roman"/>
          <w:snapToGrid w:val="0"/>
          <w:spacing w:val="-2"/>
          <w:kern w:val="22"/>
          <w:szCs w:val="22"/>
          <w:lang w:val="fr-CA"/>
        </w:rPr>
        <w:t xml:space="preserve"> 100 p</w:t>
      </w:r>
      <w:r w:rsidR="000E1717">
        <w:rPr>
          <w:rFonts w:cs="Times New Roman"/>
          <w:snapToGrid w:val="0"/>
          <w:spacing w:val="-2"/>
          <w:kern w:val="22"/>
          <w:szCs w:val="22"/>
          <w:lang w:val="fr-CA"/>
        </w:rPr>
        <w:t>.</w:t>
      </w:r>
      <w:r w:rsidR="00591E95" w:rsidRPr="00115221">
        <w:rPr>
          <w:rFonts w:cs="Times New Roman"/>
          <w:snapToGrid w:val="0"/>
          <w:spacing w:val="-2"/>
          <w:kern w:val="22"/>
          <w:szCs w:val="22"/>
          <w:lang w:val="fr-CA"/>
        </w:rPr>
        <w:t xml:space="preserve"> cent), à l’exception du GALC, où le pourcentage des Parties ayant déclaré l’existence de ces cours et programmes est </w:t>
      </w:r>
      <w:r w:rsidR="00591E95" w:rsidRPr="00115221">
        <w:rPr>
          <w:rFonts w:eastAsia="Times New Roman" w:cs="Times New Roman"/>
          <w:snapToGrid w:val="0"/>
          <w:spacing w:val="-2"/>
          <w:kern w:val="22"/>
          <w:szCs w:val="22"/>
          <w:lang w:val="fr-CA"/>
        </w:rPr>
        <w:t>beaucoup</w:t>
      </w:r>
      <w:r w:rsidR="00591E95" w:rsidRPr="00115221">
        <w:rPr>
          <w:rFonts w:cs="Times New Roman"/>
          <w:snapToGrid w:val="0"/>
          <w:spacing w:val="-2"/>
          <w:kern w:val="22"/>
          <w:szCs w:val="22"/>
          <w:lang w:val="fr-CA"/>
        </w:rPr>
        <w:t xml:space="preserve"> plus faible (54 p. cent) et aucune différence par rapport à la valeur de référence n’a été observé</w:t>
      </w:r>
      <w:r w:rsidR="00295F59">
        <w:rPr>
          <w:rFonts w:cs="Times New Roman"/>
          <w:snapToGrid w:val="0"/>
          <w:spacing w:val="-2"/>
          <w:kern w:val="22"/>
          <w:szCs w:val="22"/>
          <w:lang w:val="fr-CA"/>
        </w:rPr>
        <w:t>e</w:t>
      </w:r>
      <w:r w:rsidR="00591E95" w:rsidRPr="00115221">
        <w:rPr>
          <w:rFonts w:cs="Times New Roman"/>
          <w:snapToGrid w:val="0"/>
          <w:spacing w:val="-2"/>
          <w:kern w:val="22"/>
          <w:szCs w:val="22"/>
          <w:lang w:val="fr-CA"/>
        </w:rPr>
        <w:t xml:space="preserve"> (voir </w:t>
      </w:r>
      <w:r w:rsidR="00591E95" w:rsidRPr="00115221">
        <w:rPr>
          <w:rFonts w:cs="Times New Roman"/>
          <w:b/>
          <w:snapToGrid w:val="0"/>
          <w:spacing w:val="-2"/>
          <w:kern w:val="22"/>
          <w:szCs w:val="22"/>
          <w:lang w:val="fr-CA"/>
        </w:rPr>
        <w:t>l’indicateur 5.3.3</w:t>
      </w:r>
      <w:r w:rsidR="00591E95" w:rsidRPr="00115221">
        <w:rPr>
          <w:rFonts w:cs="Times New Roman"/>
          <w:snapToGrid w:val="0"/>
          <w:spacing w:val="-2"/>
          <w:kern w:val="22"/>
          <w:szCs w:val="22"/>
          <w:lang w:val="fr-CA"/>
        </w:rPr>
        <w:t>, ci-dessous</w:t>
      </w:r>
      <w:r w:rsidR="004569FB" w:rsidRPr="00115221">
        <w:rPr>
          <w:rFonts w:cs="Times New Roman"/>
          <w:snapToGrid w:val="0"/>
          <w:spacing w:val="-2"/>
          <w:kern w:val="22"/>
          <w:szCs w:val="22"/>
          <w:lang w:val="fr-CA"/>
        </w:rPr>
        <w:t>).</w:t>
      </w:r>
    </w:p>
    <w:p w14:paraId="360C2F43" w14:textId="5A87213D" w:rsidR="004569FB" w:rsidRPr="00115221" w:rsidRDefault="00C229D3"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spacing w:val="-2"/>
          <w:kern w:val="22"/>
          <w:szCs w:val="22"/>
          <w:lang w:val="fr-CA"/>
        </w:rPr>
      </w:pPr>
      <w:r w:rsidRPr="00115221">
        <w:rPr>
          <w:rFonts w:cs="Times New Roman"/>
          <w:iCs/>
          <w:snapToGrid w:val="0"/>
          <w:spacing w:val="-2"/>
          <w:kern w:val="22"/>
          <w:szCs w:val="22"/>
          <w:lang w:val="fr-CA"/>
        </w:rPr>
        <w:t xml:space="preserve">Cinquante-quatre pour cent des Parties (36 Parties) ont déclaré dans leurs quatrièmes rapports nationaux que le nombre de cours et de programmes était adéquat, surtout </w:t>
      </w:r>
      <w:r w:rsidR="00447AB8">
        <w:rPr>
          <w:rFonts w:cs="Times New Roman"/>
          <w:iCs/>
          <w:snapToGrid w:val="0"/>
          <w:spacing w:val="-2"/>
          <w:kern w:val="22"/>
          <w:szCs w:val="22"/>
          <w:lang w:val="fr-CA"/>
        </w:rPr>
        <w:t>en</w:t>
      </w:r>
      <w:r w:rsidRPr="00115221">
        <w:rPr>
          <w:rFonts w:cs="Times New Roman"/>
          <w:iCs/>
          <w:snapToGrid w:val="0"/>
          <w:spacing w:val="-2"/>
          <w:kern w:val="22"/>
          <w:szCs w:val="22"/>
          <w:lang w:val="fr-CA"/>
        </w:rPr>
        <w:t xml:space="preserve"> Asie</w:t>
      </w:r>
      <w:r w:rsidR="00447AB8">
        <w:rPr>
          <w:rFonts w:cs="Times New Roman"/>
          <w:iCs/>
          <w:snapToGrid w:val="0"/>
          <w:spacing w:val="-2"/>
          <w:kern w:val="22"/>
          <w:szCs w:val="22"/>
          <w:lang w:val="fr-CA"/>
        </w:rPr>
        <w:t xml:space="preserve">-Pacifique (69 p. cent), </w:t>
      </w:r>
      <w:r w:rsidRPr="00115221">
        <w:rPr>
          <w:rFonts w:cs="Times New Roman"/>
          <w:iCs/>
          <w:snapToGrid w:val="0"/>
          <w:spacing w:val="-2"/>
          <w:kern w:val="22"/>
          <w:szCs w:val="22"/>
          <w:lang w:val="fr-CA"/>
        </w:rPr>
        <w:t>ECE (83 p. cent) et EOA (100 p. cent), tandis que la plupart des Parties des régions de l’Afrique (95 p. cent) et du GALC (80 p. cent) ont déclaré que le nombre de cours et de programmes n’était pas adéquat</w:t>
      </w:r>
      <w:r w:rsidR="004569FB" w:rsidRPr="00115221">
        <w:rPr>
          <w:rFonts w:cs="Times New Roman"/>
          <w:iCs/>
          <w:snapToGrid w:val="0"/>
          <w:spacing w:val="-2"/>
          <w:kern w:val="22"/>
          <w:szCs w:val="22"/>
          <w:lang w:val="fr-CA"/>
        </w:rPr>
        <w:t>.</w:t>
      </w:r>
      <w:r w:rsidR="004569FB" w:rsidRPr="00115221">
        <w:rPr>
          <w:rStyle w:val="FootnoteReference"/>
          <w:rFonts w:cs="Times New Roman"/>
          <w:iCs/>
          <w:snapToGrid w:val="0"/>
          <w:spacing w:val="-2"/>
          <w:kern w:val="22"/>
          <w:szCs w:val="22"/>
          <w:lang w:val="fr-CA"/>
        </w:rPr>
        <w:footnoteReference w:id="63"/>
      </w:r>
    </w:p>
    <w:p w14:paraId="0C7DFB74" w14:textId="0E9386DC" w:rsidR="004569FB" w:rsidRPr="00115221" w:rsidRDefault="002918C7"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Plusieurs Parties ont indiqué dans leur contribution écrite que leur gouvernement et les universités organisaient des cours de formation pour les professionnels et le grand public. Plusieurs Parties ont ajouté que la formation offerte par le gouvernement était </w:t>
      </w:r>
      <w:r w:rsidR="00143003">
        <w:rPr>
          <w:rFonts w:cs="Times New Roman"/>
          <w:snapToGrid w:val="0"/>
          <w:spacing w:val="-2"/>
          <w:kern w:val="22"/>
          <w:szCs w:val="22"/>
          <w:lang w:val="fr-CA"/>
        </w:rPr>
        <w:t>offerte dans le cadre</w:t>
      </w:r>
      <w:r w:rsidRPr="00115221">
        <w:rPr>
          <w:rFonts w:cs="Times New Roman"/>
          <w:snapToGrid w:val="0"/>
          <w:spacing w:val="-2"/>
          <w:kern w:val="22"/>
          <w:szCs w:val="22"/>
          <w:lang w:val="fr-CA"/>
        </w:rPr>
        <w:t xml:space="preserve"> d’ateliers ou de séminaires</w:t>
      </w:r>
      <w:r w:rsidR="004569FB" w:rsidRPr="00115221">
        <w:rPr>
          <w:rFonts w:cs="Times New Roman"/>
          <w:snapToGrid w:val="0"/>
          <w:spacing w:val="-2"/>
          <w:kern w:val="22"/>
          <w:szCs w:val="22"/>
          <w:lang w:val="fr-CA"/>
        </w:rPr>
        <w:t xml:space="preserve">. </w:t>
      </w:r>
    </w:p>
    <w:p w14:paraId="58244A03" w14:textId="4CA96D8E" w:rsidR="004569FB" w:rsidRPr="00115221" w:rsidRDefault="002918C7"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spacing w:val="-2"/>
          <w:kern w:val="22"/>
          <w:szCs w:val="22"/>
          <w:lang w:val="fr-CA"/>
        </w:rPr>
      </w:pPr>
      <w:r w:rsidRPr="00115221">
        <w:rPr>
          <w:rFonts w:cs="Times New Roman"/>
          <w:snapToGrid w:val="0"/>
          <w:spacing w:val="-2"/>
          <w:kern w:val="22"/>
          <w:szCs w:val="22"/>
          <w:lang w:val="fr-CA"/>
        </w:rPr>
        <w:t xml:space="preserve">En ce qui concerne </w:t>
      </w:r>
      <w:r w:rsidRPr="00115221">
        <w:rPr>
          <w:rFonts w:cs="Times New Roman"/>
          <w:b/>
          <w:snapToGrid w:val="0"/>
          <w:spacing w:val="-2"/>
          <w:kern w:val="22"/>
          <w:szCs w:val="22"/>
          <w:lang w:val="fr-CA"/>
        </w:rPr>
        <w:t>l’indicateur 2.7.2</w:t>
      </w:r>
      <w:r w:rsidRPr="00115221">
        <w:rPr>
          <w:rFonts w:cs="Times New Roman"/>
          <w:snapToGrid w:val="0"/>
          <w:spacing w:val="-2"/>
          <w:kern w:val="22"/>
          <w:szCs w:val="22"/>
          <w:lang w:val="fr-CA"/>
        </w:rPr>
        <w:t xml:space="preserve"> (</w:t>
      </w:r>
      <w:r w:rsidR="000817BB" w:rsidRPr="00115221">
        <w:rPr>
          <w:rFonts w:cs="Times New Roman"/>
          <w:snapToGrid w:val="0"/>
          <w:spacing w:val="-2"/>
          <w:kern w:val="22"/>
          <w:szCs w:val="22"/>
          <w:lang w:val="fr-CA"/>
        </w:rPr>
        <w:t>quantité de matériel</w:t>
      </w:r>
      <w:r w:rsidR="005A58D3" w:rsidRPr="00115221">
        <w:rPr>
          <w:rFonts w:cs="Times New Roman"/>
          <w:snapToGrid w:val="0"/>
          <w:spacing w:val="-2"/>
          <w:kern w:val="22"/>
          <w:szCs w:val="22"/>
          <w:lang w:val="fr-CA"/>
        </w:rPr>
        <w:t xml:space="preserve"> de formation et </w:t>
      </w:r>
      <w:r w:rsidR="000817BB" w:rsidRPr="00115221">
        <w:rPr>
          <w:rFonts w:cs="Times New Roman"/>
          <w:snapToGrid w:val="0"/>
          <w:spacing w:val="-2"/>
          <w:kern w:val="22"/>
          <w:szCs w:val="22"/>
          <w:lang w:val="fr-CA"/>
        </w:rPr>
        <w:t xml:space="preserve">nombre </w:t>
      </w:r>
      <w:r w:rsidR="005A58D3" w:rsidRPr="00115221">
        <w:rPr>
          <w:rFonts w:cs="Times New Roman"/>
          <w:snapToGrid w:val="0"/>
          <w:spacing w:val="-2"/>
          <w:kern w:val="22"/>
          <w:szCs w:val="22"/>
          <w:lang w:val="fr-CA"/>
        </w:rPr>
        <w:t xml:space="preserve">de modules en ligne disponibles), 77 p. cent des Parties (55 Parties) ont déclaré que le matériel éducatif et/ou les modules en ligne sur la prévention des risques biotechnologiques étaient disponibles et accessibles au public dans leur </w:t>
      </w:r>
      <w:r w:rsidR="005A58D3" w:rsidRPr="00115221">
        <w:rPr>
          <w:rFonts w:cs="Times New Roman"/>
          <w:snapToGrid w:val="0"/>
          <w:spacing w:val="-2"/>
          <w:kern w:val="22"/>
          <w:szCs w:val="22"/>
          <w:lang w:val="fr-CA"/>
        </w:rPr>
        <w:lastRenderedPageBreak/>
        <w:t xml:space="preserve">pays, une augmentation de 15 p. cent par </w:t>
      </w:r>
      <w:r w:rsidR="00143003">
        <w:rPr>
          <w:rFonts w:cs="Times New Roman"/>
          <w:snapToGrid w:val="0"/>
          <w:spacing w:val="-2"/>
          <w:kern w:val="22"/>
          <w:szCs w:val="22"/>
          <w:lang w:val="fr-CA"/>
        </w:rPr>
        <w:t>r</w:t>
      </w:r>
      <w:r w:rsidR="005A58D3" w:rsidRPr="00115221">
        <w:rPr>
          <w:rFonts w:cs="Times New Roman"/>
          <w:snapToGrid w:val="0"/>
          <w:spacing w:val="-2"/>
          <w:kern w:val="22"/>
          <w:szCs w:val="22"/>
          <w:lang w:val="fr-CA"/>
        </w:rPr>
        <w:t xml:space="preserve">apport à la valeur de référence. La plupart des Parties ont déclaré avoir mis à disposition de 1 à 4 </w:t>
      </w:r>
      <w:r w:rsidR="000817BB" w:rsidRPr="00115221">
        <w:rPr>
          <w:rFonts w:cs="Times New Roman"/>
          <w:snapToGrid w:val="0"/>
          <w:spacing w:val="-2"/>
          <w:kern w:val="22"/>
          <w:szCs w:val="22"/>
          <w:lang w:val="fr-CA"/>
        </w:rPr>
        <w:t>articles</w:t>
      </w:r>
      <w:r w:rsidR="005A58D3" w:rsidRPr="00115221">
        <w:rPr>
          <w:rFonts w:cs="Times New Roman"/>
          <w:snapToGrid w:val="0"/>
          <w:spacing w:val="-2"/>
          <w:kern w:val="22"/>
          <w:szCs w:val="22"/>
          <w:lang w:val="fr-CA"/>
        </w:rPr>
        <w:t xml:space="preserve"> et modules en ligne (35 p. cent des Parties ont répondu en conséquence) (voir également </w:t>
      </w:r>
      <w:r w:rsidR="005A58D3" w:rsidRPr="00115221">
        <w:rPr>
          <w:rFonts w:cs="Times New Roman"/>
          <w:b/>
          <w:snapToGrid w:val="0"/>
          <w:spacing w:val="-2"/>
          <w:kern w:val="22"/>
          <w:szCs w:val="22"/>
          <w:lang w:val="fr-CA"/>
        </w:rPr>
        <w:t>l’indicateur 5.3.4</w:t>
      </w:r>
      <w:r w:rsidR="005A58D3" w:rsidRPr="00115221">
        <w:rPr>
          <w:rFonts w:cs="Times New Roman"/>
          <w:snapToGrid w:val="0"/>
          <w:spacing w:val="-2"/>
          <w:kern w:val="22"/>
          <w:szCs w:val="22"/>
          <w:lang w:val="fr-CA"/>
        </w:rPr>
        <w:t>, ci-dessous)</w:t>
      </w:r>
      <w:r w:rsidR="005A58D3" w:rsidRPr="00115221">
        <w:rPr>
          <w:rFonts w:cs="Times New Roman"/>
          <w:b/>
          <w:snapToGrid w:val="0"/>
          <w:spacing w:val="-2"/>
          <w:kern w:val="22"/>
          <w:szCs w:val="22"/>
          <w:lang w:val="fr-CA"/>
        </w:rPr>
        <w:t>.</w:t>
      </w:r>
    </w:p>
    <w:p w14:paraId="033829C3" w14:textId="7092EE44" w:rsidR="004569FB" w:rsidRPr="00115221" w:rsidRDefault="00362026"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spacing w:val="-2"/>
          <w:kern w:val="22"/>
          <w:szCs w:val="22"/>
          <w:lang w:val="fr-CA"/>
        </w:rPr>
      </w:pPr>
      <w:r w:rsidRPr="00115221">
        <w:rPr>
          <w:rFonts w:cs="Times New Roman"/>
          <w:iCs/>
          <w:snapToGrid w:val="0"/>
          <w:spacing w:val="-2"/>
          <w:kern w:val="22"/>
          <w:szCs w:val="22"/>
          <w:lang w:val="fr-CA"/>
        </w:rPr>
        <w:t xml:space="preserve">Quarante-six p. cent des Parties (28 Parties) ont indiqué dans leurs quatrièmes rapports </w:t>
      </w:r>
      <w:r w:rsidRPr="00115221">
        <w:rPr>
          <w:rFonts w:eastAsia="Times New Roman" w:cs="Times New Roman"/>
          <w:iCs/>
          <w:snapToGrid w:val="0"/>
          <w:spacing w:val="-2"/>
          <w:kern w:val="22"/>
          <w:szCs w:val="22"/>
          <w:lang w:val="fr-CA"/>
        </w:rPr>
        <w:t>nationaux</w:t>
      </w:r>
      <w:r w:rsidRPr="00115221">
        <w:rPr>
          <w:rFonts w:cs="Times New Roman"/>
          <w:iCs/>
          <w:snapToGrid w:val="0"/>
          <w:spacing w:val="-2"/>
          <w:kern w:val="22"/>
          <w:szCs w:val="22"/>
          <w:lang w:val="fr-CA"/>
        </w:rPr>
        <w:t xml:space="preserve"> que </w:t>
      </w:r>
      <w:r w:rsidR="00374A74" w:rsidRPr="00115221">
        <w:rPr>
          <w:rFonts w:cs="Times New Roman"/>
          <w:iCs/>
          <w:snapToGrid w:val="0"/>
          <w:spacing w:val="-2"/>
          <w:kern w:val="22"/>
          <w:szCs w:val="22"/>
          <w:lang w:val="fr-CA"/>
        </w:rPr>
        <w:t xml:space="preserve">la quantité de matériel et le nombre </w:t>
      </w:r>
      <w:r w:rsidRPr="00115221">
        <w:rPr>
          <w:rFonts w:cs="Times New Roman"/>
          <w:iCs/>
          <w:snapToGrid w:val="0"/>
          <w:spacing w:val="-2"/>
          <w:kern w:val="22"/>
          <w:szCs w:val="22"/>
          <w:lang w:val="fr-CA"/>
        </w:rPr>
        <w:t>modules disponibles étai</w:t>
      </w:r>
      <w:r w:rsidR="000817BB" w:rsidRPr="00115221">
        <w:rPr>
          <w:rFonts w:cs="Times New Roman"/>
          <w:iCs/>
          <w:snapToGrid w:val="0"/>
          <w:spacing w:val="-2"/>
          <w:kern w:val="22"/>
          <w:szCs w:val="22"/>
          <w:lang w:val="fr-CA"/>
        </w:rPr>
        <w:t>en</w:t>
      </w:r>
      <w:r w:rsidRPr="00115221">
        <w:rPr>
          <w:rFonts w:cs="Times New Roman"/>
          <w:iCs/>
          <w:snapToGrid w:val="0"/>
          <w:spacing w:val="-2"/>
          <w:kern w:val="22"/>
          <w:szCs w:val="22"/>
          <w:lang w:val="fr-CA"/>
        </w:rPr>
        <w:t>t adéquat</w:t>
      </w:r>
      <w:r w:rsidR="000817BB" w:rsidRPr="00115221">
        <w:rPr>
          <w:rFonts w:cs="Times New Roman"/>
          <w:iCs/>
          <w:snapToGrid w:val="0"/>
          <w:spacing w:val="-2"/>
          <w:kern w:val="22"/>
          <w:szCs w:val="22"/>
          <w:lang w:val="fr-CA"/>
        </w:rPr>
        <w:t>s</w:t>
      </w:r>
      <w:r w:rsidRPr="00115221">
        <w:rPr>
          <w:rFonts w:cs="Times New Roman"/>
          <w:iCs/>
          <w:snapToGrid w:val="0"/>
          <w:spacing w:val="-2"/>
          <w:kern w:val="22"/>
          <w:szCs w:val="22"/>
          <w:lang w:val="fr-CA"/>
        </w:rPr>
        <w:t xml:space="preserve">, ce qui </w:t>
      </w:r>
      <w:r w:rsidR="00143003">
        <w:rPr>
          <w:rFonts w:cs="Times New Roman"/>
          <w:iCs/>
          <w:snapToGrid w:val="0"/>
          <w:spacing w:val="-2"/>
          <w:kern w:val="22"/>
          <w:szCs w:val="22"/>
          <w:lang w:val="fr-CA"/>
        </w:rPr>
        <w:t>est</w:t>
      </w:r>
      <w:r w:rsidRPr="00115221">
        <w:rPr>
          <w:rFonts w:cs="Times New Roman"/>
          <w:iCs/>
          <w:snapToGrid w:val="0"/>
          <w:spacing w:val="-2"/>
          <w:kern w:val="22"/>
          <w:szCs w:val="22"/>
          <w:lang w:val="fr-CA"/>
        </w:rPr>
        <w:t xml:space="preserve"> particulièrement le cas dans les régions de l’EOA (88 p. cent) et de l’ECE (78 p. cent), mais beaucoup moins dans d’autres région</w:t>
      </w:r>
      <w:r w:rsidR="00143003">
        <w:rPr>
          <w:rFonts w:cs="Times New Roman"/>
          <w:iCs/>
          <w:snapToGrid w:val="0"/>
          <w:spacing w:val="-2"/>
          <w:kern w:val="22"/>
          <w:szCs w:val="22"/>
          <w:lang w:val="fr-CA"/>
        </w:rPr>
        <w:t>s : Asie-Pacifique : 50 p. cent;</w:t>
      </w:r>
      <w:r w:rsidRPr="00115221">
        <w:rPr>
          <w:rFonts w:cs="Times New Roman"/>
          <w:iCs/>
          <w:snapToGrid w:val="0"/>
          <w:spacing w:val="-2"/>
          <w:kern w:val="22"/>
          <w:szCs w:val="22"/>
          <w:lang w:val="fr-CA"/>
        </w:rPr>
        <w:t xml:space="preserve"> Afrique : 6 p. cent et GALC : 0 p. cent</w:t>
      </w:r>
      <w:r w:rsidR="004569FB" w:rsidRPr="00115221">
        <w:rPr>
          <w:rFonts w:cs="Times New Roman"/>
          <w:iCs/>
          <w:snapToGrid w:val="0"/>
          <w:spacing w:val="-2"/>
          <w:kern w:val="22"/>
          <w:szCs w:val="22"/>
          <w:lang w:val="fr-CA"/>
        </w:rPr>
        <w:t xml:space="preserve">.  </w:t>
      </w:r>
    </w:p>
    <w:p w14:paraId="1CA6DB0F" w14:textId="7596CB69" w:rsidR="004569FB" w:rsidRPr="00115221" w:rsidRDefault="000817BB"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spacing w:val="-2"/>
          <w:kern w:val="22"/>
          <w:szCs w:val="22"/>
          <w:lang w:val="fr-CA"/>
        </w:rPr>
      </w:pPr>
      <w:r w:rsidRPr="00115221">
        <w:rPr>
          <w:rFonts w:cs="Times New Roman"/>
          <w:iCs/>
          <w:snapToGrid w:val="0"/>
          <w:spacing w:val="-2"/>
          <w:kern w:val="22"/>
          <w:szCs w:val="22"/>
          <w:lang w:val="fr-CA"/>
        </w:rPr>
        <w:t>Certaines Parties ont indiqué dans leur exposé écrit que le matériel et les modules étai</w:t>
      </w:r>
      <w:r w:rsidR="004F3538">
        <w:rPr>
          <w:rFonts w:cs="Times New Roman"/>
          <w:iCs/>
          <w:snapToGrid w:val="0"/>
          <w:spacing w:val="-2"/>
          <w:kern w:val="22"/>
          <w:szCs w:val="22"/>
          <w:lang w:val="fr-CA"/>
        </w:rPr>
        <w:t>en</w:t>
      </w:r>
      <w:r w:rsidRPr="00115221">
        <w:rPr>
          <w:rFonts w:cs="Times New Roman"/>
          <w:iCs/>
          <w:snapToGrid w:val="0"/>
          <w:spacing w:val="-2"/>
          <w:kern w:val="22"/>
          <w:szCs w:val="22"/>
          <w:lang w:val="fr-CA"/>
        </w:rPr>
        <w:t xml:space="preserve">t surtout publiés à l’intention des experts et non </w:t>
      </w:r>
      <w:r w:rsidR="00143003">
        <w:rPr>
          <w:rFonts w:cs="Times New Roman"/>
          <w:iCs/>
          <w:snapToGrid w:val="0"/>
          <w:spacing w:val="-2"/>
          <w:kern w:val="22"/>
          <w:szCs w:val="22"/>
          <w:lang w:val="fr-CA"/>
        </w:rPr>
        <w:t>du</w:t>
      </w:r>
      <w:r w:rsidRPr="00115221">
        <w:rPr>
          <w:rFonts w:cs="Times New Roman"/>
          <w:iCs/>
          <w:snapToGrid w:val="0"/>
          <w:spacing w:val="-2"/>
          <w:kern w:val="22"/>
          <w:szCs w:val="22"/>
          <w:lang w:val="fr-CA"/>
        </w:rPr>
        <w:t xml:space="preserve"> grand public</w:t>
      </w:r>
      <w:r w:rsidR="004569FB" w:rsidRPr="00115221">
        <w:rPr>
          <w:rFonts w:cs="Times New Roman"/>
          <w:iCs/>
          <w:snapToGrid w:val="0"/>
          <w:spacing w:val="-2"/>
          <w:kern w:val="22"/>
          <w:szCs w:val="22"/>
          <w:lang w:val="fr-CA"/>
        </w:rPr>
        <w:t>.</w:t>
      </w:r>
    </w:p>
    <w:p w14:paraId="482E914A" w14:textId="7CDB7AB0" w:rsidR="004569FB" w:rsidRPr="00115221" w:rsidRDefault="00143003"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spacing w:val="-2"/>
          <w:kern w:val="22"/>
          <w:szCs w:val="22"/>
          <w:lang w:val="fr-CA"/>
        </w:rPr>
      </w:pPr>
      <w:r>
        <w:rPr>
          <w:rFonts w:cs="Times New Roman"/>
          <w:iCs/>
          <w:snapToGrid w:val="0"/>
          <w:spacing w:val="-2"/>
          <w:kern w:val="22"/>
          <w:szCs w:val="22"/>
          <w:lang w:val="fr-CA"/>
        </w:rPr>
        <w:t>L’E</w:t>
      </w:r>
      <w:r w:rsidR="000817BB" w:rsidRPr="00115221">
        <w:rPr>
          <w:rFonts w:cs="Times New Roman"/>
          <w:iCs/>
          <w:snapToGrid w:val="0"/>
          <w:spacing w:val="-2"/>
          <w:kern w:val="22"/>
          <w:szCs w:val="22"/>
          <w:lang w:val="fr-CA"/>
        </w:rPr>
        <w:t xml:space="preserve">nquête sur le programme de travail révèle qu’environ le tiers des répondants </w:t>
      </w:r>
      <w:r>
        <w:rPr>
          <w:rFonts w:cs="Times New Roman"/>
          <w:iCs/>
          <w:snapToGrid w:val="0"/>
          <w:spacing w:val="-2"/>
          <w:kern w:val="22"/>
          <w:szCs w:val="22"/>
          <w:lang w:val="fr-CA"/>
        </w:rPr>
        <w:t>a</w:t>
      </w:r>
      <w:r w:rsidR="000817BB" w:rsidRPr="00115221">
        <w:rPr>
          <w:rFonts w:cs="Times New Roman"/>
          <w:iCs/>
          <w:snapToGrid w:val="0"/>
          <w:spacing w:val="-2"/>
          <w:kern w:val="22"/>
          <w:szCs w:val="22"/>
          <w:lang w:val="fr-CA"/>
        </w:rPr>
        <w:t xml:space="preserve"> déclaré avoir partagé ou avoir partagé </w:t>
      </w:r>
      <w:r>
        <w:rPr>
          <w:rFonts w:cs="Times New Roman"/>
          <w:iCs/>
          <w:snapToGrid w:val="0"/>
          <w:spacing w:val="-2"/>
          <w:kern w:val="22"/>
          <w:szCs w:val="22"/>
          <w:lang w:val="fr-CA"/>
        </w:rPr>
        <w:t>dans une certaine mesure</w:t>
      </w:r>
      <w:r w:rsidR="000817BB" w:rsidRPr="00115221">
        <w:rPr>
          <w:rFonts w:cs="Times New Roman"/>
          <w:iCs/>
          <w:snapToGrid w:val="0"/>
          <w:spacing w:val="-2"/>
          <w:kern w:val="22"/>
          <w:szCs w:val="22"/>
          <w:lang w:val="fr-CA"/>
        </w:rPr>
        <w:t xml:space="preserve"> le matériel sur l</w:t>
      </w:r>
      <w:r>
        <w:rPr>
          <w:rFonts w:cs="Times New Roman"/>
          <w:iCs/>
          <w:snapToGrid w:val="0"/>
          <w:spacing w:val="-2"/>
          <w:kern w:val="22"/>
          <w:szCs w:val="22"/>
          <w:lang w:val="fr-CA"/>
        </w:rPr>
        <w:t>a</w:t>
      </w:r>
      <w:r w:rsidR="000817BB" w:rsidRPr="00115221">
        <w:rPr>
          <w:rFonts w:cs="Times New Roman"/>
          <w:iCs/>
          <w:snapToGrid w:val="0"/>
          <w:spacing w:val="-2"/>
          <w:kern w:val="22"/>
          <w:szCs w:val="22"/>
          <w:lang w:val="fr-CA"/>
        </w:rPr>
        <w:t xml:space="preserve"> sensibilisation, l’éducation et la participation du public </w:t>
      </w:r>
      <w:r w:rsidR="004F3538">
        <w:rPr>
          <w:rFonts w:cs="Times New Roman"/>
          <w:iCs/>
          <w:snapToGrid w:val="0"/>
          <w:spacing w:val="-2"/>
          <w:kern w:val="22"/>
          <w:szCs w:val="22"/>
          <w:lang w:val="fr-CA"/>
        </w:rPr>
        <w:t>avec le</w:t>
      </w:r>
      <w:r w:rsidR="000817BB" w:rsidRPr="00115221">
        <w:rPr>
          <w:rFonts w:cs="Times New Roman"/>
          <w:iCs/>
          <w:snapToGrid w:val="0"/>
          <w:spacing w:val="-2"/>
          <w:kern w:val="22"/>
          <w:szCs w:val="22"/>
          <w:lang w:val="fr-CA"/>
        </w:rPr>
        <w:t xml:space="preserve"> </w:t>
      </w:r>
      <w:r w:rsidR="00B6412A">
        <w:rPr>
          <w:rFonts w:cs="Times New Roman"/>
          <w:iCs/>
          <w:snapToGrid w:val="0"/>
          <w:spacing w:val="-2"/>
          <w:kern w:val="22"/>
          <w:szCs w:val="22"/>
          <w:lang w:val="fr-CA"/>
        </w:rPr>
        <w:t>centre d’échange</w:t>
      </w:r>
      <w:r w:rsidR="000817BB" w:rsidRPr="00115221">
        <w:rPr>
          <w:rFonts w:cs="Times New Roman"/>
          <w:iCs/>
          <w:snapToGrid w:val="0"/>
          <w:spacing w:val="-2"/>
          <w:kern w:val="22"/>
          <w:szCs w:val="22"/>
          <w:lang w:val="fr-CA"/>
        </w:rPr>
        <w:t xml:space="preserve"> sur la prévention des risques biotechnologiques. Certains de ces répondants ont indiqué que le matériel </w:t>
      </w:r>
      <w:r>
        <w:rPr>
          <w:rFonts w:cs="Times New Roman"/>
          <w:iCs/>
          <w:snapToGrid w:val="0"/>
          <w:spacing w:val="-2"/>
          <w:kern w:val="22"/>
          <w:szCs w:val="22"/>
          <w:lang w:val="fr-CA"/>
        </w:rPr>
        <w:t>consistait en</w:t>
      </w:r>
      <w:r w:rsidR="000817BB" w:rsidRPr="00115221">
        <w:rPr>
          <w:rFonts w:cs="Times New Roman"/>
          <w:iCs/>
          <w:snapToGrid w:val="0"/>
          <w:spacing w:val="-2"/>
          <w:kern w:val="22"/>
          <w:szCs w:val="22"/>
          <w:lang w:val="fr-CA"/>
        </w:rPr>
        <w:t xml:space="preserve"> du matériel de formation, dont du matériel multimédia et des modules de formation en ligne</w:t>
      </w:r>
      <w:r w:rsidR="004569FB" w:rsidRPr="00115221">
        <w:rPr>
          <w:rFonts w:cs="Times New Roman"/>
          <w:iCs/>
          <w:snapToGrid w:val="0"/>
          <w:spacing w:val="-2"/>
          <w:kern w:val="22"/>
          <w:szCs w:val="22"/>
          <w:lang w:val="fr-CA"/>
        </w:rPr>
        <w:t>.</w:t>
      </w:r>
    </w:p>
    <w:p w14:paraId="3AECCCD7" w14:textId="105EC369" w:rsidR="004569FB" w:rsidRPr="00115221" w:rsidRDefault="000817BB" w:rsidP="000A5388">
      <w:pPr>
        <w:suppressLineNumbers/>
        <w:suppressAutoHyphens/>
        <w:spacing w:before="120" w:after="120"/>
        <w:textAlignment w:val="baseline"/>
        <w:outlineLvl w:val="2"/>
        <w:rPr>
          <w:rFonts w:cs="Times New Roman"/>
          <w:b/>
          <w:iCs/>
          <w:snapToGrid w:val="0"/>
          <w:spacing w:val="-2"/>
          <w:kern w:val="22"/>
          <w:szCs w:val="22"/>
          <w:lang w:val="fr-CA"/>
        </w:rPr>
      </w:pPr>
      <w:r w:rsidRPr="00115221">
        <w:rPr>
          <w:rFonts w:cs="Times New Roman"/>
          <w:b/>
          <w:iCs/>
          <w:snapToGrid w:val="0"/>
          <w:spacing w:val="-2"/>
          <w:kern w:val="22"/>
          <w:szCs w:val="22"/>
          <w:lang w:val="fr-CA"/>
        </w:rPr>
        <w:t xml:space="preserve">Objectif opérationnel 4.3 : Communication de l’information autrement que par le </w:t>
      </w:r>
      <w:r w:rsidR="00B6412A">
        <w:rPr>
          <w:rFonts w:cs="Times New Roman"/>
          <w:b/>
          <w:iCs/>
          <w:snapToGrid w:val="0"/>
          <w:spacing w:val="-2"/>
          <w:kern w:val="22"/>
          <w:szCs w:val="22"/>
          <w:lang w:val="fr-CA"/>
        </w:rPr>
        <w:t>centre d’échange</w:t>
      </w:r>
      <w:r w:rsidRPr="00115221">
        <w:rPr>
          <w:rFonts w:cs="Times New Roman"/>
          <w:b/>
          <w:iCs/>
          <w:snapToGrid w:val="0"/>
          <w:spacing w:val="-2"/>
          <w:kern w:val="22"/>
          <w:szCs w:val="22"/>
          <w:lang w:val="fr-CA"/>
        </w:rPr>
        <w:t xml:space="preserve"> sur la prévention des risques biotechnologiques </w:t>
      </w:r>
    </w:p>
    <w:p w14:paraId="297B233B" w14:textId="7AE96C93" w:rsidR="004569FB" w:rsidRPr="00115221" w:rsidRDefault="000817BB"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iCs/>
          <w:snapToGrid w:val="0"/>
          <w:spacing w:val="-2"/>
          <w:kern w:val="22"/>
          <w:szCs w:val="22"/>
          <w:lang w:val="fr-CA"/>
        </w:rPr>
      </w:pPr>
      <w:r w:rsidRPr="00115221">
        <w:rPr>
          <w:rFonts w:cs="Times New Roman"/>
          <w:snapToGrid w:val="0"/>
          <w:spacing w:val="-2"/>
          <w:kern w:val="22"/>
          <w:szCs w:val="22"/>
          <w:lang w:val="fr-CA"/>
        </w:rPr>
        <w:t xml:space="preserve">L’objectif opérationnel 4.3 a pour but de mieux faire comprendre la prévention des risques biotechnologiques grâce à des mécanismes de partage d’information autres que le </w:t>
      </w:r>
      <w:r w:rsidR="00B6412A">
        <w:rPr>
          <w:rFonts w:cs="Times New Roman"/>
          <w:snapToGrid w:val="0"/>
          <w:spacing w:val="-2"/>
          <w:kern w:val="22"/>
          <w:szCs w:val="22"/>
          <w:lang w:val="fr-CA"/>
        </w:rPr>
        <w:t>centre d’échange</w:t>
      </w:r>
      <w:r w:rsidRPr="00115221">
        <w:rPr>
          <w:rFonts w:cs="Times New Roman"/>
          <w:snapToGrid w:val="0"/>
          <w:spacing w:val="-2"/>
          <w:kern w:val="22"/>
          <w:szCs w:val="22"/>
          <w:lang w:val="fr-CA"/>
        </w:rPr>
        <w:t xml:space="preserve"> sur la prévention des risques biotechnologiques. Deux indicateurs ont été créés afin de mesurer le progrès dans la réalisation de cet objectif</w:t>
      </w:r>
      <w:r w:rsidR="004569FB" w:rsidRPr="00115221">
        <w:rPr>
          <w:rFonts w:cs="Times New Roman"/>
          <w:snapToGrid w:val="0"/>
          <w:spacing w:val="-2"/>
          <w:kern w:val="22"/>
          <w:szCs w:val="22"/>
          <w:lang w:val="fr-CA"/>
        </w:rPr>
        <w:t>.</w:t>
      </w:r>
    </w:p>
    <w:p w14:paraId="74036114" w14:textId="250E8049" w:rsidR="004569FB" w:rsidRPr="00115221" w:rsidRDefault="00DB7005"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En ce qui concerne </w:t>
      </w:r>
      <w:r w:rsidRPr="00115221">
        <w:rPr>
          <w:rFonts w:cs="Times New Roman"/>
          <w:b/>
          <w:snapToGrid w:val="0"/>
          <w:spacing w:val="-2"/>
          <w:kern w:val="22"/>
          <w:szCs w:val="22"/>
          <w:lang w:val="fr-CA"/>
        </w:rPr>
        <w:t>l’indicateur 4.3.1</w:t>
      </w:r>
      <w:r w:rsidRPr="00115221">
        <w:rPr>
          <w:rFonts w:cs="Times New Roman"/>
          <w:snapToGrid w:val="0"/>
          <w:spacing w:val="-2"/>
          <w:kern w:val="22"/>
          <w:szCs w:val="22"/>
          <w:lang w:val="fr-CA"/>
        </w:rPr>
        <w:t xml:space="preserve"> (nombre d’événements organisés en lien avec la prévention des risques biotechnologique</w:t>
      </w:r>
      <w:r w:rsidR="00B22426">
        <w:rPr>
          <w:rFonts w:cs="Times New Roman"/>
          <w:snapToGrid w:val="0"/>
          <w:spacing w:val="-2"/>
          <w:kern w:val="22"/>
          <w:szCs w:val="22"/>
          <w:lang w:val="fr-CA"/>
        </w:rPr>
        <w:t>s), 92 p. cent des Parties (65 P</w:t>
      </w:r>
      <w:r w:rsidRPr="00115221">
        <w:rPr>
          <w:rFonts w:cs="Times New Roman"/>
          <w:snapToGrid w:val="0"/>
          <w:spacing w:val="-2"/>
          <w:kern w:val="22"/>
          <w:szCs w:val="22"/>
          <w:lang w:val="fr-CA"/>
        </w:rPr>
        <w:t>arties) ont déclaré avoir organisé au moins un événement en lien avec la prévention des risques biotechnologiques, tel qu’un séminaire, un atelier, une conférence de presse, un événement éducatif, etc., au cours de la période visée par le présent rapport, une augmentation de 3 p. cent par rapport à la valeur de réf</w:t>
      </w:r>
      <w:r w:rsidR="00B22426">
        <w:rPr>
          <w:rFonts w:cs="Times New Roman"/>
          <w:snapToGrid w:val="0"/>
          <w:spacing w:val="-2"/>
          <w:kern w:val="22"/>
          <w:szCs w:val="22"/>
          <w:lang w:val="fr-CA"/>
        </w:rPr>
        <w:t>érence. Vingt-sept p. cent des P</w:t>
      </w:r>
      <w:r w:rsidRPr="00115221">
        <w:rPr>
          <w:rFonts w:cs="Times New Roman"/>
          <w:snapToGrid w:val="0"/>
          <w:spacing w:val="-2"/>
          <w:kern w:val="22"/>
          <w:szCs w:val="22"/>
          <w:lang w:val="fr-CA"/>
        </w:rPr>
        <w:t xml:space="preserve">arties ont déclaré avoir organisé de 1 à 4 événements, 20 p. </w:t>
      </w:r>
      <w:r w:rsidR="00A0414B" w:rsidRPr="00115221">
        <w:rPr>
          <w:rFonts w:cs="Times New Roman"/>
          <w:snapToGrid w:val="0"/>
          <w:spacing w:val="-2"/>
          <w:kern w:val="22"/>
          <w:szCs w:val="22"/>
          <w:lang w:val="fr-CA"/>
        </w:rPr>
        <w:t>cent ont décla</w:t>
      </w:r>
      <w:r w:rsidRPr="00115221">
        <w:rPr>
          <w:rFonts w:cs="Times New Roman"/>
          <w:snapToGrid w:val="0"/>
          <w:spacing w:val="-2"/>
          <w:kern w:val="22"/>
          <w:szCs w:val="22"/>
          <w:lang w:val="fr-CA"/>
        </w:rPr>
        <w:t>ré avoir présenté de 5 à 9 événements, 21 p. cent on</w:t>
      </w:r>
      <w:r w:rsidR="00A0414B" w:rsidRPr="00115221">
        <w:rPr>
          <w:rFonts w:cs="Times New Roman"/>
          <w:snapToGrid w:val="0"/>
          <w:spacing w:val="-2"/>
          <w:kern w:val="22"/>
          <w:szCs w:val="22"/>
          <w:lang w:val="fr-CA"/>
        </w:rPr>
        <w:t>t décla</w:t>
      </w:r>
      <w:r w:rsidRPr="00115221">
        <w:rPr>
          <w:rFonts w:cs="Times New Roman"/>
          <w:snapToGrid w:val="0"/>
          <w:spacing w:val="-2"/>
          <w:kern w:val="22"/>
          <w:szCs w:val="22"/>
          <w:lang w:val="fr-CA"/>
        </w:rPr>
        <w:t>ré avoir présenté de 10 à 24 événements et 24 p. cent ont indiqué avoir présenté 25 événements ou plus (une augmentation de 20 p. cent). De fa</w:t>
      </w:r>
      <w:r w:rsidR="00A0414B" w:rsidRPr="00115221">
        <w:rPr>
          <w:rFonts w:cs="Times New Roman"/>
          <w:snapToGrid w:val="0"/>
          <w:spacing w:val="-2"/>
          <w:kern w:val="22"/>
          <w:szCs w:val="22"/>
          <w:lang w:val="fr-CA"/>
        </w:rPr>
        <w:t xml:space="preserve">çon </w:t>
      </w:r>
      <w:r w:rsidRPr="00115221">
        <w:rPr>
          <w:rFonts w:cs="Times New Roman"/>
          <w:snapToGrid w:val="0"/>
          <w:spacing w:val="-2"/>
          <w:kern w:val="22"/>
          <w:szCs w:val="22"/>
          <w:lang w:val="fr-CA"/>
        </w:rPr>
        <w:t xml:space="preserve">générale, presque </w:t>
      </w:r>
      <w:r w:rsidRPr="00115221">
        <w:rPr>
          <w:rFonts w:eastAsia="Times New Roman" w:cs="Times New Roman"/>
          <w:snapToGrid w:val="0"/>
          <w:spacing w:val="-2"/>
          <w:kern w:val="22"/>
          <w:szCs w:val="22"/>
          <w:lang w:val="fr-CA"/>
        </w:rPr>
        <w:t>toutes</w:t>
      </w:r>
      <w:r w:rsidRPr="00115221">
        <w:rPr>
          <w:rFonts w:cs="Times New Roman"/>
          <w:snapToGrid w:val="0"/>
          <w:spacing w:val="-2"/>
          <w:kern w:val="22"/>
          <w:szCs w:val="22"/>
          <w:lang w:val="fr-CA"/>
        </w:rPr>
        <w:t xml:space="preserve"> </w:t>
      </w:r>
      <w:r w:rsidR="00A0414B" w:rsidRPr="00115221">
        <w:rPr>
          <w:rFonts w:cs="Times New Roman"/>
          <w:snapToGrid w:val="0"/>
          <w:spacing w:val="-2"/>
          <w:kern w:val="22"/>
          <w:szCs w:val="22"/>
          <w:lang w:val="fr-CA"/>
        </w:rPr>
        <w:t>les Parties ont décla</w:t>
      </w:r>
      <w:r w:rsidRPr="00115221">
        <w:rPr>
          <w:rFonts w:cs="Times New Roman"/>
          <w:snapToGrid w:val="0"/>
          <w:spacing w:val="-2"/>
          <w:kern w:val="22"/>
          <w:szCs w:val="22"/>
          <w:lang w:val="fr-CA"/>
        </w:rPr>
        <w:t>ré avoir organisé</w:t>
      </w:r>
      <w:r w:rsidR="00A0414B" w:rsidRPr="00115221">
        <w:rPr>
          <w:rFonts w:cs="Times New Roman"/>
          <w:snapToGrid w:val="0"/>
          <w:spacing w:val="-2"/>
          <w:kern w:val="22"/>
          <w:szCs w:val="22"/>
          <w:lang w:val="fr-CA"/>
        </w:rPr>
        <w:t xml:space="preserve"> un ou plusi</w:t>
      </w:r>
      <w:r w:rsidRPr="00115221">
        <w:rPr>
          <w:rFonts w:cs="Times New Roman"/>
          <w:snapToGrid w:val="0"/>
          <w:spacing w:val="-2"/>
          <w:kern w:val="22"/>
          <w:szCs w:val="22"/>
          <w:lang w:val="fr-CA"/>
        </w:rPr>
        <w:t>e</w:t>
      </w:r>
      <w:r w:rsidR="00A0414B" w:rsidRPr="00115221">
        <w:rPr>
          <w:rFonts w:cs="Times New Roman"/>
          <w:snapToGrid w:val="0"/>
          <w:spacing w:val="-2"/>
          <w:kern w:val="22"/>
          <w:szCs w:val="22"/>
          <w:lang w:val="fr-CA"/>
        </w:rPr>
        <w:t>u</w:t>
      </w:r>
      <w:r w:rsidRPr="00115221">
        <w:rPr>
          <w:rFonts w:cs="Times New Roman"/>
          <w:snapToGrid w:val="0"/>
          <w:spacing w:val="-2"/>
          <w:kern w:val="22"/>
          <w:szCs w:val="22"/>
          <w:lang w:val="fr-CA"/>
        </w:rPr>
        <w:t>rs événements en lien avec la prévention des risques biotechnologiques</w:t>
      </w:r>
      <w:r w:rsidR="00A0414B" w:rsidRPr="00115221">
        <w:rPr>
          <w:rFonts w:cs="Times New Roman"/>
          <w:snapToGrid w:val="0"/>
          <w:spacing w:val="-2"/>
          <w:kern w:val="22"/>
          <w:szCs w:val="22"/>
          <w:lang w:val="fr-CA"/>
        </w:rPr>
        <w:t>, dont un pourcentage très accru de Parties ayant présenté 25 événements ou plus</w:t>
      </w:r>
      <w:r w:rsidR="004569FB" w:rsidRPr="00115221">
        <w:rPr>
          <w:rFonts w:cs="Times New Roman"/>
          <w:iCs/>
          <w:snapToGrid w:val="0"/>
          <w:spacing w:val="-2"/>
          <w:kern w:val="22"/>
          <w:szCs w:val="22"/>
          <w:lang w:val="fr-CA"/>
        </w:rPr>
        <w:t xml:space="preserve">. </w:t>
      </w:r>
    </w:p>
    <w:p w14:paraId="40B02384" w14:textId="1D5446F2" w:rsidR="004569FB" w:rsidRPr="00115221"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 </w:t>
      </w:r>
      <w:r w:rsidR="00A0414B" w:rsidRPr="00115221">
        <w:rPr>
          <w:rFonts w:cs="Times New Roman"/>
          <w:snapToGrid w:val="0"/>
          <w:spacing w:val="-2"/>
          <w:kern w:val="22"/>
          <w:szCs w:val="22"/>
          <w:lang w:val="fr-CA"/>
        </w:rPr>
        <w:t>Plusieurs Parties ont expliqué dans leur exposé écrit le</w:t>
      </w:r>
      <w:r w:rsidR="00266A36">
        <w:rPr>
          <w:rFonts w:cs="Times New Roman"/>
          <w:snapToGrid w:val="0"/>
          <w:spacing w:val="-2"/>
          <w:kern w:val="22"/>
          <w:szCs w:val="22"/>
          <w:lang w:val="fr-CA"/>
        </w:rPr>
        <w:t>s</w:t>
      </w:r>
      <w:r w:rsidR="00A0414B" w:rsidRPr="00115221">
        <w:rPr>
          <w:rFonts w:cs="Times New Roman"/>
          <w:snapToGrid w:val="0"/>
          <w:spacing w:val="-2"/>
          <w:kern w:val="22"/>
          <w:szCs w:val="22"/>
          <w:lang w:val="fr-CA"/>
        </w:rPr>
        <w:t xml:space="preserve"> type</w:t>
      </w:r>
      <w:r w:rsidR="00266A36">
        <w:rPr>
          <w:rFonts w:cs="Times New Roman"/>
          <w:snapToGrid w:val="0"/>
          <w:spacing w:val="-2"/>
          <w:kern w:val="22"/>
          <w:szCs w:val="22"/>
          <w:lang w:val="fr-CA"/>
        </w:rPr>
        <w:t>s</w:t>
      </w:r>
      <w:r w:rsidR="00A0414B" w:rsidRPr="00115221">
        <w:rPr>
          <w:rFonts w:cs="Times New Roman"/>
          <w:snapToGrid w:val="0"/>
          <w:spacing w:val="-2"/>
          <w:kern w:val="22"/>
          <w:szCs w:val="22"/>
          <w:lang w:val="fr-CA"/>
        </w:rPr>
        <w:t xml:space="preserve"> d’événements qu’ils avaient organisé</w:t>
      </w:r>
      <w:r w:rsidR="00266A36">
        <w:rPr>
          <w:rFonts w:cs="Times New Roman"/>
          <w:snapToGrid w:val="0"/>
          <w:spacing w:val="-2"/>
          <w:kern w:val="22"/>
          <w:szCs w:val="22"/>
          <w:lang w:val="fr-CA"/>
        </w:rPr>
        <w:t>s</w:t>
      </w:r>
      <w:r w:rsidR="00A0414B" w:rsidRPr="00115221">
        <w:rPr>
          <w:rFonts w:cs="Times New Roman"/>
          <w:snapToGrid w:val="0"/>
          <w:spacing w:val="-2"/>
          <w:kern w:val="22"/>
          <w:szCs w:val="22"/>
          <w:lang w:val="fr-CA"/>
        </w:rPr>
        <w:t xml:space="preserve"> et précisé que certains de ces événements </w:t>
      </w:r>
      <w:r w:rsidR="00B22426">
        <w:rPr>
          <w:rFonts w:cs="Times New Roman"/>
          <w:snapToGrid w:val="0"/>
          <w:spacing w:val="-2"/>
          <w:kern w:val="22"/>
          <w:szCs w:val="22"/>
          <w:lang w:val="fr-CA"/>
        </w:rPr>
        <w:t>étaient</w:t>
      </w:r>
      <w:r w:rsidR="00A0414B" w:rsidRPr="00115221">
        <w:rPr>
          <w:rFonts w:cs="Times New Roman"/>
          <w:snapToGrid w:val="0"/>
          <w:spacing w:val="-2"/>
          <w:kern w:val="22"/>
          <w:szCs w:val="22"/>
          <w:lang w:val="fr-CA"/>
        </w:rPr>
        <w:t xml:space="preserve"> récurrents. Les types d’événements suivants ont été mentionnés : ateliers, conférences, événements parallèles, audiences publiques, conférences de presse, expositions, séminaires et autres événements éducatifs</w:t>
      </w:r>
      <w:r w:rsidRPr="00115221">
        <w:rPr>
          <w:rFonts w:cs="Times New Roman"/>
          <w:snapToGrid w:val="0"/>
          <w:spacing w:val="-2"/>
          <w:kern w:val="22"/>
          <w:szCs w:val="22"/>
          <w:lang w:val="fr-CA"/>
        </w:rPr>
        <w:t>.</w:t>
      </w:r>
      <w:r w:rsidRPr="00115221">
        <w:rPr>
          <w:rFonts w:cs="Times New Roman"/>
          <w:kern w:val="22"/>
          <w:sz w:val="27"/>
          <w:szCs w:val="27"/>
          <w:shd w:val="clear" w:color="auto" w:fill="F5F5F5"/>
          <w:lang w:val="fr-CA"/>
        </w:rPr>
        <w:t xml:space="preserve"> </w:t>
      </w:r>
    </w:p>
    <w:p w14:paraId="404F647B" w14:textId="7C690B0E" w:rsidR="004569FB" w:rsidRPr="00115221" w:rsidRDefault="00061BE9"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Les</w:t>
      </w:r>
      <w:r w:rsidR="00B22426">
        <w:rPr>
          <w:rFonts w:cs="Times New Roman"/>
          <w:snapToGrid w:val="0"/>
          <w:spacing w:val="-2"/>
          <w:kern w:val="22"/>
          <w:szCs w:val="22"/>
          <w:lang w:val="fr-CA"/>
        </w:rPr>
        <w:t xml:space="preserve"> deux tiers des répondants à l’E</w:t>
      </w:r>
      <w:r w:rsidRPr="00115221">
        <w:rPr>
          <w:rFonts w:cs="Times New Roman"/>
          <w:snapToGrid w:val="0"/>
          <w:spacing w:val="-2"/>
          <w:kern w:val="22"/>
          <w:szCs w:val="22"/>
          <w:lang w:val="fr-CA"/>
        </w:rPr>
        <w:t>nquête sur le programme de travail ont indiqué avoir organisé des événements en lien avec la prévention des risques biotechnologique auxquels ont participé les médias</w:t>
      </w:r>
      <w:r w:rsidR="004569FB" w:rsidRPr="00115221">
        <w:rPr>
          <w:rFonts w:cs="Times New Roman"/>
          <w:snapToGrid w:val="0"/>
          <w:spacing w:val="-2"/>
          <w:kern w:val="22"/>
          <w:szCs w:val="22"/>
          <w:lang w:val="fr-CA"/>
        </w:rPr>
        <w:t xml:space="preserve">. </w:t>
      </w:r>
    </w:p>
    <w:p w14:paraId="40CEA13E" w14:textId="7A5FC593" w:rsidR="004569FB" w:rsidRPr="00115221" w:rsidRDefault="00061BE9"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Quant à </w:t>
      </w:r>
      <w:r w:rsidRPr="00115221">
        <w:rPr>
          <w:rFonts w:cs="Times New Roman"/>
          <w:b/>
          <w:snapToGrid w:val="0"/>
          <w:spacing w:val="-2"/>
          <w:kern w:val="22"/>
          <w:szCs w:val="22"/>
          <w:lang w:val="fr-CA"/>
        </w:rPr>
        <w:t>l’indicateur 4.3.2</w:t>
      </w:r>
      <w:r w:rsidRPr="00115221">
        <w:rPr>
          <w:rFonts w:cs="Times New Roman"/>
          <w:snapToGrid w:val="0"/>
          <w:spacing w:val="-2"/>
          <w:kern w:val="22"/>
          <w:szCs w:val="22"/>
          <w:lang w:val="fr-CA"/>
        </w:rPr>
        <w:t xml:space="preserve"> (nombre de publications sur la prévention des risques biotechnologiques partagées), 76 p. cent des Parties (54 Parties) ont déclaré avoir publié </w:t>
      </w:r>
      <w:r w:rsidR="00BC6809" w:rsidRPr="00115221">
        <w:rPr>
          <w:rFonts w:cs="Times New Roman"/>
          <w:snapToGrid w:val="0"/>
          <w:spacing w:val="-2"/>
          <w:kern w:val="22"/>
          <w:szCs w:val="22"/>
          <w:lang w:val="fr-CA"/>
        </w:rPr>
        <w:t>des publicati</w:t>
      </w:r>
      <w:r w:rsidRPr="00115221">
        <w:rPr>
          <w:rFonts w:cs="Times New Roman"/>
          <w:snapToGrid w:val="0"/>
          <w:spacing w:val="-2"/>
          <w:kern w:val="22"/>
          <w:szCs w:val="22"/>
          <w:lang w:val="fr-CA"/>
        </w:rPr>
        <w:t>ons en lien avec la prévention des risques biotechnologiques au cours de la pério</w:t>
      </w:r>
      <w:r w:rsidR="00BC6809" w:rsidRPr="00115221">
        <w:rPr>
          <w:rFonts w:cs="Times New Roman"/>
          <w:snapToGrid w:val="0"/>
          <w:spacing w:val="-2"/>
          <w:kern w:val="22"/>
          <w:szCs w:val="22"/>
          <w:lang w:val="fr-CA"/>
        </w:rPr>
        <w:t>de visée par le rapport, une di</w:t>
      </w:r>
      <w:r w:rsidRPr="00115221">
        <w:rPr>
          <w:rFonts w:cs="Times New Roman"/>
          <w:snapToGrid w:val="0"/>
          <w:spacing w:val="-2"/>
          <w:kern w:val="22"/>
          <w:szCs w:val="22"/>
          <w:lang w:val="fr-CA"/>
        </w:rPr>
        <w:t xml:space="preserve">minution de 6 p. cent. </w:t>
      </w:r>
      <w:r w:rsidR="00A549C3">
        <w:rPr>
          <w:rFonts w:cs="Times New Roman"/>
          <w:snapToGrid w:val="0"/>
          <w:spacing w:val="-2"/>
          <w:kern w:val="22"/>
          <w:szCs w:val="22"/>
          <w:lang w:val="fr-CA"/>
        </w:rPr>
        <w:t>La part la plus importante des</w:t>
      </w:r>
      <w:r w:rsidRPr="00115221">
        <w:rPr>
          <w:rFonts w:cs="Times New Roman"/>
          <w:snapToGrid w:val="0"/>
          <w:spacing w:val="-2"/>
          <w:kern w:val="22"/>
          <w:szCs w:val="22"/>
          <w:lang w:val="fr-CA"/>
        </w:rPr>
        <w:t xml:space="preserve"> Parties (38 p. cent) a déclaré avoir publié de 1 à 9 </w:t>
      </w:r>
      <w:r w:rsidR="00BC6809" w:rsidRPr="00115221">
        <w:rPr>
          <w:rFonts w:cs="Times New Roman"/>
          <w:snapToGrid w:val="0"/>
          <w:spacing w:val="-2"/>
          <w:kern w:val="22"/>
          <w:szCs w:val="22"/>
          <w:lang w:val="fr-CA"/>
        </w:rPr>
        <w:t>articles</w:t>
      </w:r>
      <w:r w:rsidR="00A549C3">
        <w:rPr>
          <w:rFonts w:cs="Times New Roman"/>
          <w:snapToGrid w:val="0"/>
          <w:spacing w:val="-2"/>
          <w:kern w:val="22"/>
          <w:szCs w:val="22"/>
          <w:lang w:val="fr-CA"/>
        </w:rPr>
        <w:t>.</w:t>
      </w:r>
      <w:r w:rsidR="004A4CB2" w:rsidRPr="00115221">
        <w:rPr>
          <w:rFonts w:cs="Times New Roman"/>
          <w:snapToGrid w:val="0"/>
          <w:spacing w:val="-2"/>
          <w:kern w:val="22"/>
          <w:szCs w:val="22"/>
          <w:lang w:val="fr-CA"/>
        </w:rPr>
        <w:t xml:space="preserve"> La grande majorité des Parties de </w:t>
      </w:r>
      <w:r w:rsidR="004A4CB2" w:rsidRPr="00115221">
        <w:rPr>
          <w:rFonts w:eastAsia="Times New Roman" w:cs="Times New Roman"/>
          <w:snapToGrid w:val="0"/>
          <w:spacing w:val="-2"/>
          <w:kern w:val="22"/>
          <w:szCs w:val="22"/>
          <w:lang w:val="fr-CA"/>
        </w:rPr>
        <w:t>toutes</w:t>
      </w:r>
      <w:r w:rsidR="004A4CB2" w:rsidRPr="00115221">
        <w:rPr>
          <w:rFonts w:cs="Times New Roman"/>
          <w:snapToGrid w:val="0"/>
          <w:spacing w:val="-2"/>
          <w:kern w:val="22"/>
          <w:szCs w:val="22"/>
          <w:lang w:val="fr-CA"/>
        </w:rPr>
        <w:t xml:space="preserve"> les régions a déclaré au moins une publication en lien avec la prévention des risques biotechnologiques. De fa</w:t>
      </w:r>
      <w:r w:rsidR="00BC6809" w:rsidRPr="00115221">
        <w:rPr>
          <w:rFonts w:cs="Times New Roman"/>
          <w:snapToGrid w:val="0"/>
          <w:spacing w:val="-2"/>
          <w:kern w:val="22"/>
          <w:szCs w:val="22"/>
          <w:lang w:val="fr-CA"/>
        </w:rPr>
        <w:t xml:space="preserve">çon </w:t>
      </w:r>
      <w:r w:rsidR="004A4CB2" w:rsidRPr="00115221">
        <w:rPr>
          <w:rFonts w:cs="Times New Roman"/>
          <w:snapToGrid w:val="0"/>
          <w:spacing w:val="-2"/>
          <w:kern w:val="22"/>
          <w:szCs w:val="22"/>
          <w:lang w:val="fr-CA"/>
        </w:rPr>
        <w:t xml:space="preserve">générale, un nombre croissant de Parties (15 p. cent) </w:t>
      </w:r>
      <w:r w:rsidR="00A549C3">
        <w:rPr>
          <w:rFonts w:cs="Times New Roman"/>
          <w:snapToGrid w:val="0"/>
          <w:spacing w:val="-2"/>
          <w:kern w:val="22"/>
          <w:szCs w:val="22"/>
          <w:lang w:val="fr-CA"/>
        </w:rPr>
        <w:t>a</w:t>
      </w:r>
      <w:r w:rsidR="004A4CB2" w:rsidRPr="00115221">
        <w:rPr>
          <w:rFonts w:cs="Times New Roman"/>
          <w:snapToGrid w:val="0"/>
          <w:spacing w:val="-2"/>
          <w:kern w:val="22"/>
          <w:szCs w:val="22"/>
          <w:lang w:val="fr-CA"/>
        </w:rPr>
        <w:t xml:space="preserve"> publié un</w:t>
      </w:r>
      <w:r w:rsidR="00BC6809" w:rsidRPr="00115221">
        <w:rPr>
          <w:rFonts w:cs="Times New Roman"/>
          <w:snapToGrid w:val="0"/>
          <w:spacing w:val="-2"/>
          <w:kern w:val="22"/>
          <w:szCs w:val="22"/>
          <w:lang w:val="fr-CA"/>
        </w:rPr>
        <w:t xml:space="preserve"> plus grand nombre de publicatio</w:t>
      </w:r>
      <w:r w:rsidR="004A4CB2" w:rsidRPr="00115221">
        <w:rPr>
          <w:rFonts w:cs="Times New Roman"/>
          <w:snapToGrid w:val="0"/>
          <w:spacing w:val="-2"/>
          <w:kern w:val="22"/>
          <w:szCs w:val="22"/>
          <w:lang w:val="fr-CA"/>
        </w:rPr>
        <w:t>ns sur la prévention des risques biotechnologi</w:t>
      </w:r>
      <w:r w:rsidR="00BC6809" w:rsidRPr="00115221">
        <w:rPr>
          <w:rFonts w:cs="Times New Roman"/>
          <w:snapToGrid w:val="0"/>
          <w:spacing w:val="-2"/>
          <w:kern w:val="22"/>
          <w:szCs w:val="22"/>
          <w:lang w:val="fr-CA"/>
        </w:rPr>
        <w:t>ques (50 publicati</w:t>
      </w:r>
      <w:r w:rsidR="004A4CB2" w:rsidRPr="00115221">
        <w:rPr>
          <w:rFonts w:cs="Times New Roman"/>
          <w:snapToGrid w:val="0"/>
          <w:spacing w:val="-2"/>
          <w:kern w:val="22"/>
          <w:szCs w:val="22"/>
          <w:lang w:val="fr-CA"/>
        </w:rPr>
        <w:t>ons o</w:t>
      </w:r>
      <w:r w:rsidR="00BC6809" w:rsidRPr="00115221">
        <w:rPr>
          <w:rFonts w:cs="Times New Roman"/>
          <w:snapToGrid w:val="0"/>
          <w:spacing w:val="-2"/>
          <w:kern w:val="22"/>
          <w:szCs w:val="22"/>
          <w:lang w:val="fr-CA"/>
        </w:rPr>
        <w:t>u</w:t>
      </w:r>
      <w:r w:rsidR="004A4CB2" w:rsidRPr="00115221">
        <w:rPr>
          <w:rFonts w:cs="Times New Roman"/>
          <w:snapToGrid w:val="0"/>
          <w:spacing w:val="-2"/>
          <w:kern w:val="22"/>
          <w:szCs w:val="22"/>
          <w:lang w:val="fr-CA"/>
        </w:rPr>
        <w:t xml:space="preserve"> plus), une</w:t>
      </w:r>
      <w:r w:rsidR="00BC6809" w:rsidRPr="00115221">
        <w:rPr>
          <w:rFonts w:cs="Times New Roman"/>
          <w:snapToGrid w:val="0"/>
          <w:spacing w:val="-2"/>
          <w:kern w:val="22"/>
          <w:szCs w:val="22"/>
          <w:lang w:val="fr-CA"/>
        </w:rPr>
        <w:t xml:space="preserve"> augmentati</w:t>
      </w:r>
      <w:r w:rsidR="004A4CB2" w:rsidRPr="00115221">
        <w:rPr>
          <w:rFonts w:cs="Times New Roman"/>
          <w:snapToGrid w:val="0"/>
          <w:spacing w:val="-2"/>
          <w:kern w:val="22"/>
          <w:szCs w:val="22"/>
          <w:lang w:val="fr-CA"/>
        </w:rPr>
        <w:t>on de 8 p. cent par rapport à la valeur de référence</w:t>
      </w:r>
      <w:r w:rsidR="004569FB" w:rsidRPr="00115221">
        <w:rPr>
          <w:rFonts w:cs="Times New Roman"/>
          <w:snapToGrid w:val="0"/>
          <w:spacing w:val="-2"/>
          <w:kern w:val="22"/>
          <w:szCs w:val="22"/>
          <w:lang w:val="fr-CA"/>
        </w:rPr>
        <w:t xml:space="preserve">. </w:t>
      </w:r>
    </w:p>
    <w:p w14:paraId="520CAA34" w14:textId="5A90E947" w:rsidR="004569FB" w:rsidRPr="00115221" w:rsidRDefault="00BC6809"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Les Parties ont indiqué dans leur exposé écrit que leurs publications étaient disponibles </w:t>
      </w:r>
      <w:r w:rsidR="00266A36">
        <w:rPr>
          <w:rFonts w:cs="Times New Roman"/>
          <w:snapToGrid w:val="0"/>
          <w:spacing w:val="-2"/>
          <w:kern w:val="22"/>
          <w:szCs w:val="22"/>
          <w:lang w:val="fr-CA"/>
        </w:rPr>
        <w:t>dans différents f</w:t>
      </w:r>
      <w:r w:rsidR="00A549C3">
        <w:rPr>
          <w:rFonts w:cs="Times New Roman"/>
          <w:snapToGrid w:val="0"/>
          <w:spacing w:val="-2"/>
          <w:kern w:val="22"/>
          <w:szCs w:val="22"/>
          <w:lang w:val="fr-CA"/>
        </w:rPr>
        <w:t>ormats</w:t>
      </w:r>
      <w:r w:rsidRPr="00115221">
        <w:rPr>
          <w:rFonts w:cs="Times New Roman"/>
          <w:snapToGrid w:val="0"/>
          <w:spacing w:val="-2"/>
          <w:kern w:val="22"/>
          <w:szCs w:val="22"/>
          <w:lang w:val="fr-CA"/>
        </w:rPr>
        <w:t>, notamment sur les sites Web et sous forme d’infolettres, de livrets, de brochures et de matériel éducatif</w:t>
      </w:r>
      <w:r w:rsidR="004569FB" w:rsidRPr="00115221">
        <w:rPr>
          <w:rFonts w:cs="Times New Roman"/>
          <w:snapToGrid w:val="0"/>
          <w:spacing w:val="-2"/>
          <w:kern w:val="22"/>
          <w:szCs w:val="22"/>
          <w:lang w:val="fr-CA"/>
        </w:rPr>
        <w:t xml:space="preserve">. </w:t>
      </w:r>
    </w:p>
    <w:p w14:paraId="4AEA6F32" w14:textId="5AA6DEE5" w:rsidR="004569FB" w:rsidRPr="00115221" w:rsidRDefault="00BC6809"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lastRenderedPageBreak/>
        <w:t>Soixante-qui</w:t>
      </w:r>
      <w:r w:rsidR="00A549C3">
        <w:rPr>
          <w:rFonts w:cs="Times New Roman"/>
          <w:snapToGrid w:val="0"/>
          <w:spacing w:val="-2"/>
          <w:kern w:val="22"/>
          <w:szCs w:val="22"/>
          <w:lang w:val="fr-CA"/>
        </w:rPr>
        <w:t>nze p. cent des répondants à l’E</w:t>
      </w:r>
      <w:r w:rsidRPr="00115221">
        <w:rPr>
          <w:rFonts w:cs="Times New Roman"/>
          <w:snapToGrid w:val="0"/>
          <w:spacing w:val="-2"/>
          <w:kern w:val="22"/>
          <w:szCs w:val="22"/>
          <w:lang w:val="fr-CA"/>
        </w:rPr>
        <w:t xml:space="preserve">nquête sur le programme de travail ont indiqué que leur pays a mis sur pied un mécanisme de partage des expériences et des </w:t>
      </w:r>
      <w:r w:rsidR="00C93F2C" w:rsidRPr="00115221">
        <w:rPr>
          <w:rFonts w:cs="Times New Roman"/>
          <w:snapToGrid w:val="0"/>
          <w:spacing w:val="-2"/>
          <w:kern w:val="22"/>
          <w:szCs w:val="22"/>
          <w:lang w:val="fr-CA"/>
        </w:rPr>
        <w:t>ressources</w:t>
      </w:r>
      <w:r w:rsidRPr="00115221">
        <w:rPr>
          <w:rFonts w:cs="Times New Roman"/>
          <w:snapToGrid w:val="0"/>
          <w:spacing w:val="-2"/>
          <w:kern w:val="22"/>
          <w:szCs w:val="22"/>
          <w:lang w:val="fr-CA"/>
        </w:rPr>
        <w:t xml:space="preserve"> sur la sensib</w:t>
      </w:r>
      <w:r w:rsidR="00C93F2C" w:rsidRPr="00115221">
        <w:rPr>
          <w:rFonts w:cs="Times New Roman"/>
          <w:snapToGrid w:val="0"/>
          <w:spacing w:val="-2"/>
          <w:kern w:val="22"/>
          <w:szCs w:val="22"/>
          <w:lang w:val="fr-CA"/>
        </w:rPr>
        <w:t>i</w:t>
      </w:r>
      <w:r w:rsidRPr="00115221">
        <w:rPr>
          <w:rFonts w:cs="Times New Roman"/>
          <w:snapToGrid w:val="0"/>
          <w:spacing w:val="-2"/>
          <w:kern w:val="22"/>
          <w:szCs w:val="22"/>
          <w:lang w:val="fr-CA"/>
        </w:rPr>
        <w:t>lisation, l’</w:t>
      </w:r>
      <w:r w:rsidR="00C93F2C" w:rsidRPr="00115221">
        <w:rPr>
          <w:rFonts w:cs="Times New Roman"/>
          <w:snapToGrid w:val="0"/>
          <w:spacing w:val="-2"/>
          <w:kern w:val="22"/>
          <w:szCs w:val="22"/>
          <w:lang w:val="fr-CA"/>
        </w:rPr>
        <w:t>éducati</w:t>
      </w:r>
      <w:r w:rsidRPr="00115221">
        <w:rPr>
          <w:rFonts w:cs="Times New Roman"/>
          <w:snapToGrid w:val="0"/>
          <w:spacing w:val="-2"/>
          <w:kern w:val="22"/>
          <w:szCs w:val="22"/>
          <w:lang w:val="fr-CA"/>
        </w:rPr>
        <w:t xml:space="preserve">on et la participation du public ou qu’il l’avait fait </w:t>
      </w:r>
      <w:r w:rsidR="00410688">
        <w:rPr>
          <w:rFonts w:cs="Times New Roman"/>
          <w:snapToGrid w:val="0"/>
          <w:spacing w:val="-2"/>
          <w:kern w:val="22"/>
          <w:szCs w:val="22"/>
          <w:lang w:val="fr-CA"/>
        </w:rPr>
        <w:t>dans une certaine mesure</w:t>
      </w:r>
      <w:r w:rsidR="002865E5" w:rsidRPr="00115221">
        <w:rPr>
          <w:rFonts w:cs="Times New Roman"/>
          <w:snapToGrid w:val="0"/>
          <w:spacing w:val="-2"/>
          <w:kern w:val="22"/>
          <w:szCs w:val="22"/>
          <w:lang w:val="fr-CA"/>
        </w:rPr>
        <w:t xml:space="preserve">. </w:t>
      </w:r>
      <w:r w:rsidR="00C93F2C" w:rsidRPr="00115221">
        <w:rPr>
          <w:rFonts w:cs="Times New Roman"/>
          <w:snapToGrid w:val="0"/>
          <w:spacing w:val="-2"/>
          <w:kern w:val="22"/>
          <w:szCs w:val="22"/>
          <w:lang w:val="fr-CA"/>
        </w:rPr>
        <w:t>Trente-six</w:t>
      </w:r>
      <w:r w:rsidR="002865E5" w:rsidRPr="00115221">
        <w:rPr>
          <w:rFonts w:cs="Times New Roman"/>
          <w:snapToGrid w:val="0"/>
          <w:spacing w:val="-2"/>
          <w:kern w:val="22"/>
          <w:szCs w:val="22"/>
          <w:lang w:val="fr-CA"/>
        </w:rPr>
        <w:t xml:space="preserve"> p. cent </w:t>
      </w:r>
      <w:r w:rsidR="00C93F2C" w:rsidRPr="00115221">
        <w:rPr>
          <w:rFonts w:cs="Times New Roman"/>
          <w:snapToGrid w:val="0"/>
          <w:spacing w:val="-2"/>
          <w:kern w:val="22"/>
          <w:szCs w:val="22"/>
          <w:lang w:val="fr-CA"/>
        </w:rPr>
        <w:t xml:space="preserve">de ces répondants ont précisé que ces mécanismes </w:t>
      </w:r>
      <w:r w:rsidR="00A549C3">
        <w:rPr>
          <w:rFonts w:cs="Times New Roman"/>
          <w:snapToGrid w:val="0"/>
          <w:spacing w:val="-2"/>
          <w:kern w:val="22"/>
          <w:szCs w:val="22"/>
          <w:lang w:val="fr-CA"/>
        </w:rPr>
        <w:t>prenaient la forme de</w:t>
      </w:r>
      <w:r w:rsidR="00D41846">
        <w:rPr>
          <w:rFonts w:cs="Times New Roman"/>
          <w:snapToGrid w:val="0"/>
          <w:spacing w:val="-2"/>
          <w:kern w:val="22"/>
          <w:szCs w:val="22"/>
          <w:lang w:val="fr-CA"/>
        </w:rPr>
        <w:t xml:space="preserve"> réseaux et</w:t>
      </w:r>
      <w:r w:rsidR="00C93F2C" w:rsidRPr="00115221">
        <w:rPr>
          <w:rFonts w:cs="Times New Roman"/>
          <w:snapToGrid w:val="0"/>
          <w:spacing w:val="-2"/>
          <w:kern w:val="22"/>
          <w:szCs w:val="22"/>
          <w:lang w:val="fr-CA"/>
        </w:rPr>
        <w:t xml:space="preserve"> 31 p. cent ont précisé que ces mécanismes étaient des mécanismes intersectoriels</w:t>
      </w:r>
      <w:r w:rsidR="00D41846">
        <w:rPr>
          <w:rFonts w:cs="Times New Roman"/>
          <w:snapToGrid w:val="0"/>
          <w:spacing w:val="-2"/>
          <w:kern w:val="22"/>
          <w:szCs w:val="22"/>
          <w:lang w:val="fr-CA"/>
        </w:rPr>
        <w:t>, tandis que</w:t>
      </w:r>
      <w:r w:rsidR="00C93F2C" w:rsidRPr="00115221">
        <w:rPr>
          <w:rFonts w:cs="Times New Roman"/>
          <w:snapToGrid w:val="0"/>
          <w:spacing w:val="-2"/>
          <w:kern w:val="22"/>
          <w:szCs w:val="22"/>
          <w:lang w:val="fr-CA"/>
        </w:rPr>
        <w:t xml:space="preserve"> 33 p. cent ont indiqué qu’il s’agissait d’autres types de mécanismes, à savoir des consultations</w:t>
      </w:r>
      <w:r w:rsidR="00FC0DF2" w:rsidRPr="00115221">
        <w:rPr>
          <w:rFonts w:cs="Times New Roman"/>
          <w:snapToGrid w:val="0"/>
          <w:spacing w:val="-2"/>
          <w:kern w:val="22"/>
          <w:szCs w:val="22"/>
          <w:lang w:val="fr-CA"/>
        </w:rPr>
        <w:t xml:space="preserve"> publiques, du travai</w:t>
      </w:r>
      <w:r w:rsidR="00C93F2C" w:rsidRPr="00115221">
        <w:rPr>
          <w:rFonts w:cs="Times New Roman"/>
          <w:snapToGrid w:val="0"/>
          <w:spacing w:val="-2"/>
          <w:kern w:val="22"/>
          <w:szCs w:val="22"/>
          <w:lang w:val="fr-CA"/>
        </w:rPr>
        <w:t>l de terrain dans les communautés, des réunions, des expositions, des médias, des séminaires, d</w:t>
      </w:r>
      <w:r w:rsidR="00FC0DF2" w:rsidRPr="00115221">
        <w:rPr>
          <w:rFonts w:cs="Times New Roman"/>
          <w:snapToGrid w:val="0"/>
          <w:spacing w:val="-2"/>
          <w:kern w:val="22"/>
          <w:szCs w:val="22"/>
          <w:lang w:val="fr-CA"/>
        </w:rPr>
        <w:t>es listes d’envoi, des publicati</w:t>
      </w:r>
      <w:r w:rsidR="00C93F2C" w:rsidRPr="00115221">
        <w:rPr>
          <w:rFonts w:cs="Times New Roman"/>
          <w:snapToGrid w:val="0"/>
          <w:spacing w:val="-2"/>
          <w:kern w:val="22"/>
          <w:szCs w:val="22"/>
          <w:lang w:val="fr-CA"/>
        </w:rPr>
        <w:t xml:space="preserve">ons et des partenaires (p. ex, des </w:t>
      </w:r>
      <w:r w:rsidR="00D41846">
        <w:rPr>
          <w:rFonts w:cs="Times New Roman"/>
          <w:snapToGrid w:val="0"/>
          <w:spacing w:val="-2"/>
          <w:kern w:val="22"/>
          <w:szCs w:val="22"/>
          <w:lang w:val="fr-CA"/>
        </w:rPr>
        <w:t>organisations non gouvernementales</w:t>
      </w:r>
      <w:r w:rsidR="00C93F2C" w:rsidRPr="00115221">
        <w:rPr>
          <w:rFonts w:cs="Times New Roman"/>
          <w:snapToGrid w:val="0"/>
          <w:spacing w:val="-2"/>
          <w:kern w:val="22"/>
          <w:szCs w:val="22"/>
          <w:lang w:val="fr-CA"/>
        </w:rPr>
        <w:t xml:space="preserve">) et des événements de célébration. </w:t>
      </w:r>
    </w:p>
    <w:p w14:paraId="2F510258" w14:textId="3235EE0D" w:rsidR="004569FB" w:rsidRPr="00115221" w:rsidRDefault="002B3E51" w:rsidP="000A5388">
      <w:pPr>
        <w:keepNext/>
        <w:numPr>
          <w:ilvl w:val="0"/>
          <w:numId w:val="17"/>
        </w:numPr>
        <w:suppressLineNumbers/>
        <w:tabs>
          <w:tab w:val="clear" w:pos="2070"/>
        </w:tabs>
        <w:suppressAutoHyphens/>
        <w:spacing w:before="120" w:after="120"/>
        <w:ind w:left="2552" w:hanging="709"/>
        <w:jc w:val="left"/>
        <w:outlineLvl w:val="1"/>
        <w:rPr>
          <w:rFonts w:cs="Times New Roman"/>
          <w:b/>
          <w:iCs/>
          <w:snapToGrid w:val="0"/>
          <w:spacing w:val="-2"/>
          <w:kern w:val="22"/>
          <w:szCs w:val="22"/>
          <w:lang w:val="fr-CA"/>
        </w:rPr>
      </w:pPr>
      <w:r w:rsidRPr="00115221">
        <w:rPr>
          <w:rFonts w:cs="Times New Roman"/>
          <w:b/>
          <w:iCs/>
          <w:snapToGrid w:val="0"/>
          <w:spacing w:val="-2"/>
          <w:kern w:val="22"/>
          <w:szCs w:val="22"/>
          <w:lang w:val="fr-CA"/>
        </w:rPr>
        <w:t>Vulgarisation et coopération</w:t>
      </w:r>
      <w:r w:rsidR="004569FB" w:rsidRPr="00115221">
        <w:rPr>
          <w:rFonts w:cs="Times New Roman"/>
          <w:b/>
          <w:iCs/>
          <w:snapToGrid w:val="0"/>
          <w:spacing w:val="-2"/>
          <w:kern w:val="22"/>
          <w:szCs w:val="22"/>
          <w:lang w:val="fr-CA"/>
        </w:rPr>
        <w:t xml:space="preserve"> (</w:t>
      </w:r>
      <w:r w:rsidRPr="00115221">
        <w:rPr>
          <w:rFonts w:cs="Times New Roman"/>
          <w:b/>
          <w:iCs/>
          <w:snapToGrid w:val="0"/>
          <w:spacing w:val="-2"/>
          <w:kern w:val="22"/>
          <w:szCs w:val="22"/>
          <w:lang w:val="fr-CA"/>
        </w:rPr>
        <w:t>objectifs opérationnels</w:t>
      </w:r>
      <w:r w:rsidR="004569FB" w:rsidRPr="00115221">
        <w:rPr>
          <w:rFonts w:cs="Times New Roman"/>
          <w:b/>
          <w:iCs/>
          <w:snapToGrid w:val="0"/>
          <w:spacing w:val="-2"/>
          <w:kern w:val="22"/>
          <w:szCs w:val="22"/>
          <w:lang w:val="fr-CA"/>
        </w:rPr>
        <w:t xml:space="preserve"> 5.1, 5.2, </w:t>
      </w:r>
      <w:r w:rsidRPr="00115221">
        <w:rPr>
          <w:rFonts w:cs="Times New Roman"/>
          <w:b/>
          <w:iCs/>
          <w:snapToGrid w:val="0"/>
          <w:spacing w:val="-2"/>
          <w:kern w:val="22"/>
          <w:szCs w:val="22"/>
          <w:lang w:val="fr-CA"/>
        </w:rPr>
        <w:t>et</w:t>
      </w:r>
      <w:r w:rsidR="004569FB" w:rsidRPr="00115221">
        <w:rPr>
          <w:rFonts w:cs="Times New Roman"/>
          <w:b/>
          <w:iCs/>
          <w:snapToGrid w:val="0"/>
          <w:spacing w:val="-2"/>
          <w:kern w:val="22"/>
          <w:szCs w:val="22"/>
          <w:lang w:val="fr-CA"/>
        </w:rPr>
        <w:t xml:space="preserve"> 5.3)</w:t>
      </w:r>
    </w:p>
    <w:p w14:paraId="51D3BC2A" w14:textId="65DB7383" w:rsidR="004569FB" w:rsidRPr="00115221" w:rsidRDefault="00FC0DF2" w:rsidP="000A5388">
      <w:pPr>
        <w:keepNext/>
        <w:suppressLineNumbers/>
        <w:suppressAutoHyphens/>
        <w:spacing w:before="120" w:after="120"/>
        <w:textAlignment w:val="baseline"/>
        <w:outlineLvl w:val="2"/>
        <w:rPr>
          <w:rFonts w:cs="Times New Roman"/>
          <w:b/>
          <w:iCs/>
          <w:snapToGrid w:val="0"/>
          <w:spacing w:val="-2"/>
          <w:kern w:val="22"/>
          <w:szCs w:val="22"/>
          <w:lang w:val="fr-CA"/>
        </w:rPr>
      </w:pPr>
      <w:r w:rsidRPr="00115221">
        <w:rPr>
          <w:rFonts w:cs="Times New Roman"/>
          <w:b/>
          <w:iCs/>
          <w:snapToGrid w:val="0"/>
          <w:spacing w:val="-2"/>
          <w:kern w:val="22"/>
          <w:szCs w:val="22"/>
          <w:lang w:val="fr-CA"/>
        </w:rPr>
        <w:t>Objectif opérationnel 5.1 : Ratification du Protocole</w:t>
      </w:r>
    </w:p>
    <w:p w14:paraId="42E67B10" w14:textId="7CD3D08E" w:rsidR="004569FB" w:rsidRPr="00115221" w:rsidRDefault="00FC0DF2"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
          <w:snapToGrid w:val="0"/>
          <w:spacing w:val="-2"/>
          <w:kern w:val="22"/>
          <w:szCs w:val="22"/>
          <w:lang w:val="fr-CA"/>
        </w:rPr>
      </w:pPr>
      <w:r w:rsidRPr="00115221">
        <w:rPr>
          <w:rFonts w:cs="Times New Roman"/>
          <w:snapToGrid w:val="0"/>
          <w:spacing w:val="-2"/>
          <w:kern w:val="22"/>
          <w:szCs w:val="22"/>
          <w:lang w:val="fr-CA"/>
        </w:rPr>
        <w:t xml:space="preserve">En ce qui concerne </w:t>
      </w:r>
      <w:r w:rsidRPr="00115221">
        <w:rPr>
          <w:rFonts w:cs="Times New Roman"/>
          <w:b/>
          <w:snapToGrid w:val="0"/>
          <w:spacing w:val="-2"/>
          <w:kern w:val="22"/>
          <w:szCs w:val="22"/>
          <w:lang w:val="fr-CA"/>
        </w:rPr>
        <w:t>l’indicateur 5.1.1</w:t>
      </w:r>
      <w:r w:rsidRPr="00115221">
        <w:rPr>
          <w:rFonts w:cs="Times New Roman"/>
          <w:snapToGrid w:val="0"/>
          <w:spacing w:val="-2"/>
          <w:kern w:val="22"/>
          <w:szCs w:val="22"/>
          <w:lang w:val="fr-CA"/>
        </w:rPr>
        <w:t xml:space="preserve"> (pourcentage des Parties à la Convention sur la diversité biologique Parties au Protocole), 167 Parties à la Convention (86 p. c</w:t>
      </w:r>
      <w:r w:rsidR="00E65A0E" w:rsidRPr="00115221">
        <w:rPr>
          <w:rFonts w:cs="Times New Roman"/>
          <w:snapToGrid w:val="0"/>
          <w:spacing w:val="-2"/>
          <w:kern w:val="22"/>
          <w:szCs w:val="22"/>
          <w:lang w:val="fr-CA"/>
        </w:rPr>
        <w:t>en</w:t>
      </w:r>
      <w:r w:rsidRPr="00115221">
        <w:rPr>
          <w:rFonts w:cs="Times New Roman"/>
          <w:snapToGrid w:val="0"/>
          <w:spacing w:val="-2"/>
          <w:kern w:val="22"/>
          <w:szCs w:val="22"/>
          <w:lang w:val="fr-CA"/>
        </w:rPr>
        <w:t>t) étaient devenues Parties au Protocole au 31 décembre 2011</w:t>
      </w:r>
      <w:r w:rsidR="004569FB" w:rsidRPr="00115221">
        <w:rPr>
          <w:rFonts w:cs="Times New Roman"/>
          <w:snapToGrid w:val="0"/>
          <w:spacing w:val="-2"/>
          <w:kern w:val="22"/>
          <w:szCs w:val="22"/>
          <w:lang w:val="fr-CA"/>
        </w:rPr>
        <w:t>.</w:t>
      </w:r>
      <w:r w:rsidR="004569FB" w:rsidRPr="00115221">
        <w:rPr>
          <w:rStyle w:val="FootnoteReference"/>
          <w:rFonts w:cs="Times New Roman"/>
          <w:snapToGrid w:val="0"/>
          <w:spacing w:val="-2"/>
          <w:kern w:val="22"/>
          <w:szCs w:val="22"/>
          <w:lang w:val="fr-CA"/>
        </w:rPr>
        <w:footnoteReference w:id="64"/>
      </w:r>
      <w:r w:rsidR="004569FB" w:rsidRPr="00115221">
        <w:rPr>
          <w:rFonts w:cs="Times New Roman"/>
          <w:snapToGrid w:val="0"/>
          <w:spacing w:val="-2"/>
          <w:kern w:val="22"/>
          <w:szCs w:val="22"/>
          <w:lang w:val="fr-CA"/>
        </w:rPr>
        <w:t xml:space="preserve"> </w:t>
      </w:r>
      <w:r w:rsidRPr="00115221">
        <w:rPr>
          <w:rFonts w:cs="Times New Roman"/>
          <w:snapToGrid w:val="0"/>
          <w:spacing w:val="-2"/>
          <w:kern w:val="22"/>
          <w:szCs w:val="22"/>
          <w:lang w:val="fr-CA"/>
        </w:rPr>
        <w:t>Le nombre de Parties au Protocole a at</w:t>
      </w:r>
      <w:r w:rsidR="00E65A0E" w:rsidRPr="00115221">
        <w:rPr>
          <w:rFonts w:cs="Times New Roman"/>
          <w:snapToGrid w:val="0"/>
          <w:spacing w:val="-2"/>
          <w:kern w:val="22"/>
          <w:szCs w:val="22"/>
          <w:lang w:val="fr-CA"/>
        </w:rPr>
        <w:t>t</w:t>
      </w:r>
      <w:r w:rsidRPr="00115221">
        <w:rPr>
          <w:rFonts w:cs="Times New Roman"/>
          <w:snapToGrid w:val="0"/>
          <w:spacing w:val="-2"/>
          <w:kern w:val="22"/>
          <w:szCs w:val="22"/>
          <w:lang w:val="fr-CA"/>
        </w:rPr>
        <w:t xml:space="preserve">eint 171 (87 p. </w:t>
      </w:r>
      <w:r w:rsidR="00E65A0E" w:rsidRPr="00115221">
        <w:rPr>
          <w:rFonts w:cs="Times New Roman"/>
          <w:snapToGrid w:val="0"/>
          <w:spacing w:val="-2"/>
          <w:kern w:val="22"/>
          <w:szCs w:val="22"/>
          <w:lang w:val="fr-CA"/>
        </w:rPr>
        <w:t>cen</w:t>
      </w:r>
      <w:r w:rsidRPr="00115221">
        <w:rPr>
          <w:rFonts w:cs="Times New Roman"/>
          <w:snapToGrid w:val="0"/>
          <w:spacing w:val="-2"/>
          <w:kern w:val="22"/>
          <w:szCs w:val="22"/>
          <w:lang w:val="fr-CA"/>
        </w:rPr>
        <w:t>t) au 31 décembre 2019</w:t>
      </w:r>
      <w:r w:rsidR="004569FB" w:rsidRPr="00115221">
        <w:rPr>
          <w:rFonts w:cs="Times New Roman"/>
          <w:snapToGrid w:val="0"/>
          <w:spacing w:val="-2"/>
          <w:kern w:val="22"/>
          <w:szCs w:val="22"/>
          <w:lang w:val="fr-CA"/>
        </w:rPr>
        <w:t>.</w:t>
      </w:r>
      <w:r w:rsidR="004569FB" w:rsidRPr="00115221">
        <w:rPr>
          <w:rStyle w:val="FootnoteReference"/>
          <w:rFonts w:cs="Times New Roman"/>
          <w:snapToGrid w:val="0"/>
          <w:spacing w:val="-2"/>
          <w:kern w:val="22"/>
          <w:szCs w:val="22"/>
          <w:lang w:val="fr-CA"/>
        </w:rPr>
        <w:footnoteReference w:id="65"/>
      </w:r>
      <w:r w:rsidR="004569FB" w:rsidRPr="00115221">
        <w:rPr>
          <w:rFonts w:cs="Times New Roman"/>
          <w:snapToGrid w:val="0"/>
          <w:spacing w:val="-2"/>
          <w:kern w:val="22"/>
          <w:szCs w:val="22"/>
          <w:lang w:val="fr-CA"/>
        </w:rPr>
        <w:t xml:space="preserve"> </w:t>
      </w:r>
    </w:p>
    <w:p w14:paraId="1F0BEC8E" w14:textId="036F84A9" w:rsidR="004569FB" w:rsidRPr="00115221" w:rsidRDefault="00E65A0E" w:rsidP="000A5388">
      <w:pPr>
        <w:keepNext/>
        <w:suppressLineNumbers/>
        <w:suppressAutoHyphens/>
        <w:spacing w:before="120" w:after="120"/>
        <w:textAlignment w:val="baseline"/>
        <w:outlineLvl w:val="2"/>
        <w:rPr>
          <w:rFonts w:cs="Times New Roman"/>
          <w:b/>
          <w:iCs/>
          <w:snapToGrid w:val="0"/>
          <w:spacing w:val="-2"/>
          <w:kern w:val="22"/>
          <w:szCs w:val="22"/>
          <w:lang w:val="fr-CA"/>
        </w:rPr>
      </w:pPr>
      <w:bookmarkStart w:id="18" w:name="_Hlk30779489"/>
      <w:r w:rsidRPr="00115221">
        <w:rPr>
          <w:rFonts w:cs="Times New Roman"/>
          <w:b/>
          <w:iCs/>
          <w:snapToGrid w:val="0"/>
          <w:spacing w:val="-2"/>
          <w:kern w:val="22"/>
          <w:szCs w:val="22"/>
          <w:lang w:val="fr-CA"/>
        </w:rPr>
        <w:t>Objectif opérationnel 5.2 : Coopération</w:t>
      </w:r>
    </w:p>
    <w:p w14:paraId="6633D7A2" w14:textId="112970CD" w:rsidR="00BE559D" w:rsidRPr="00115221" w:rsidRDefault="00E65A0E" w:rsidP="00BE559D">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bookmarkStart w:id="19" w:name="_Hlk31294915"/>
      <w:bookmarkEnd w:id="18"/>
      <w:r w:rsidRPr="00115221">
        <w:rPr>
          <w:rFonts w:cs="Times New Roman"/>
          <w:snapToGrid w:val="0"/>
          <w:spacing w:val="-2"/>
          <w:kern w:val="22"/>
          <w:szCs w:val="22"/>
          <w:lang w:val="fr-CA"/>
        </w:rPr>
        <w:t xml:space="preserve">En ce qui concerne </w:t>
      </w:r>
      <w:r w:rsidRPr="00115221">
        <w:rPr>
          <w:rFonts w:cs="Times New Roman"/>
          <w:b/>
          <w:snapToGrid w:val="0"/>
          <w:spacing w:val="-2"/>
          <w:kern w:val="22"/>
          <w:szCs w:val="22"/>
          <w:lang w:val="fr-CA"/>
        </w:rPr>
        <w:t>l’indicateur 5.2.1</w:t>
      </w:r>
      <w:r w:rsidRPr="00115221">
        <w:rPr>
          <w:rFonts w:cs="Times New Roman"/>
          <w:snapToGrid w:val="0"/>
          <w:spacing w:val="-2"/>
          <w:kern w:val="22"/>
          <w:szCs w:val="22"/>
          <w:lang w:val="fr-CA"/>
        </w:rPr>
        <w:t xml:space="preserve"> (nombre de relations établies avec d’autres conventions, comme en font foi les activités mixtes</w:t>
      </w:r>
      <w:r w:rsidR="00BE559D" w:rsidRPr="00115221">
        <w:rPr>
          <w:rFonts w:cs="Times New Roman"/>
          <w:snapToGrid w:val="0"/>
          <w:spacing w:val="-2"/>
          <w:kern w:val="22"/>
          <w:szCs w:val="22"/>
          <w:lang w:val="fr-CA"/>
        </w:rPr>
        <w:t>)</w:t>
      </w:r>
      <w:r w:rsidR="00036F43">
        <w:rPr>
          <w:rFonts w:cs="Times New Roman"/>
          <w:snapToGrid w:val="0"/>
          <w:spacing w:val="-2"/>
          <w:kern w:val="22"/>
          <w:szCs w:val="22"/>
          <w:lang w:val="fr-CA"/>
        </w:rPr>
        <w:t xml:space="preserve">, le Secrétariat </w:t>
      </w:r>
      <w:r w:rsidRPr="00115221">
        <w:rPr>
          <w:rFonts w:cs="Times New Roman"/>
          <w:snapToGrid w:val="0"/>
          <w:spacing w:val="-2"/>
          <w:kern w:val="22"/>
          <w:szCs w:val="22"/>
          <w:lang w:val="fr-CA"/>
        </w:rPr>
        <w:t>a établi des relations avec la Convention d’Aarhus et l’Initiative Douanes vertes</w:t>
      </w:r>
      <w:r w:rsidR="0003142D" w:rsidRPr="00115221">
        <w:rPr>
          <w:rStyle w:val="FootnoteReference"/>
          <w:rFonts w:cs="Times New Roman"/>
          <w:snapToGrid w:val="0"/>
          <w:spacing w:val="-2"/>
          <w:kern w:val="22"/>
          <w:szCs w:val="22"/>
          <w:lang w:val="fr-CA"/>
        </w:rPr>
        <w:footnoteReference w:id="66"/>
      </w:r>
      <w:r w:rsidR="00BE559D" w:rsidRPr="00115221">
        <w:rPr>
          <w:rFonts w:cs="Times New Roman"/>
          <w:snapToGrid w:val="0"/>
          <w:spacing w:val="-2"/>
          <w:kern w:val="22"/>
          <w:szCs w:val="22"/>
          <w:lang w:val="fr-CA"/>
        </w:rPr>
        <w:t xml:space="preserve"> </w:t>
      </w:r>
      <w:r w:rsidRPr="00115221">
        <w:rPr>
          <w:rFonts w:cs="Times New Roman"/>
          <w:snapToGrid w:val="0"/>
          <w:spacing w:val="-2"/>
          <w:kern w:val="22"/>
          <w:szCs w:val="22"/>
          <w:lang w:val="fr-CA"/>
        </w:rPr>
        <w:t xml:space="preserve">et détient le statut d’observateur au Comité sur le commerce et l’environnement de </w:t>
      </w:r>
      <w:r w:rsidR="00FE38B6" w:rsidRPr="00115221">
        <w:rPr>
          <w:rFonts w:cs="Times New Roman"/>
          <w:snapToGrid w:val="0"/>
          <w:spacing w:val="-2"/>
          <w:kern w:val="22"/>
          <w:szCs w:val="22"/>
          <w:lang w:val="fr-CA"/>
        </w:rPr>
        <w:t>l’Organisation</w:t>
      </w:r>
      <w:r w:rsidRPr="00115221">
        <w:rPr>
          <w:rFonts w:cs="Times New Roman"/>
          <w:snapToGrid w:val="0"/>
          <w:spacing w:val="-2"/>
          <w:kern w:val="22"/>
          <w:szCs w:val="22"/>
          <w:lang w:val="fr-CA"/>
        </w:rPr>
        <w:t xml:space="preserve"> mondiale du commerce</w:t>
      </w:r>
      <w:r w:rsidR="00FE38B6" w:rsidRPr="00115221">
        <w:rPr>
          <w:rFonts w:cs="Times New Roman"/>
          <w:snapToGrid w:val="0"/>
          <w:spacing w:val="-2"/>
          <w:kern w:val="22"/>
          <w:szCs w:val="22"/>
          <w:lang w:val="fr-CA"/>
        </w:rPr>
        <w:t xml:space="preserve"> (OMC)</w:t>
      </w:r>
      <w:r w:rsidRPr="00115221">
        <w:rPr>
          <w:rFonts w:cs="Times New Roman"/>
          <w:snapToGrid w:val="0"/>
          <w:spacing w:val="-2"/>
          <w:kern w:val="22"/>
          <w:szCs w:val="22"/>
          <w:lang w:val="fr-CA"/>
        </w:rPr>
        <w:t>.</w:t>
      </w:r>
      <w:r w:rsidR="00FE38B6" w:rsidRPr="00115221">
        <w:rPr>
          <w:rFonts w:cs="Times New Roman"/>
          <w:snapToGrid w:val="0"/>
          <w:spacing w:val="-2"/>
          <w:kern w:val="22"/>
          <w:szCs w:val="22"/>
          <w:lang w:val="fr-CA"/>
        </w:rPr>
        <w:t xml:space="preserve"> Le Secrétariat a aussi renouvelé sa demande de statut d’observateur auprès d’autres comités pertinents de l’OMC. Des activités mixtes ont </w:t>
      </w:r>
      <w:r w:rsidR="00D41846">
        <w:rPr>
          <w:rFonts w:cs="Times New Roman"/>
          <w:snapToGrid w:val="0"/>
          <w:spacing w:val="-2"/>
          <w:kern w:val="22"/>
          <w:szCs w:val="22"/>
          <w:lang w:val="fr-CA"/>
        </w:rPr>
        <w:t>été réalisées</w:t>
      </w:r>
      <w:r w:rsidR="00FE38B6" w:rsidRPr="00115221">
        <w:rPr>
          <w:rFonts w:cs="Times New Roman"/>
          <w:snapToGrid w:val="0"/>
          <w:spacing w:val="-2"/>
          <w:kern w:val="22"/>
          <w:szCs w:val="22"/>
          <w:lang w:val="fr-CA"/>
        </w:rPr>
        <w:t xml:space="preserve"> en collaboration avec l’Organisation de coopération et de développement économiques (OCDE) et l’Organisation des Nations Unies pour l’alimentation et l’agriculture (FAO), surtout en ce qui a trait à l’échange d’</w:t>
      </w:r>
      <w:r w:rsidR="006E1317" w:rsidRPr="00115221">
        <w:rPr>
          <w:rFonts w:cs="Times New Roman"/>
          <w:snapToGrid w:val="0"/>
          <w:spacing w:val="-2"/>
          <w:kern w:val="22"/>
          <w:szCs w:val="22"/>
          <w:lang w:val="fr-CA"/>
        </w:rPr>
        <w:t xml:space="preserve">information par le biais du </w:t>
      </w:r>
      <w:r w:rsidR="00B6412A">
        <w:rPr>
          <w:rFonts w:cs="Times New Roman"/>
          <w:snapToGrid w:val="0"/>
          <w:spacing w:val="-2"/>
          <w:kern w:val="22"/>
          <w:szCs w:val="22"/>
          <w:lang w:val="fr-CA"/>
        </w:rPr>
        <w:t>centre d’échange</w:t>
      </w:r>
      <w:r w:rsidR="006E1317" w:rsidRPr="00115221">
        <w:rPr>
          <w:rFonts w:cs="Times New Roman"/>
          <w:snapToGrid w:val="0"/>
          <w:spacing w:val="-2"/>
          <w:kern w:val="22"/>
          <w:szCs w:val="22"/>
          <w:lang w:val="fr-CA"/>
        </w:rPr>
        <w:t xml:space="preserve"> sur la prévention des risques biotechnologiques</w:t>
      </w:r>
      <w:r w:rsidR="00FE38B6" w:rsidRPr="00115221">
        <w:rPr>
          <w:rFonts w:cs="Times New Roman"/>
          <w:snapToGrid w:val="0"/>
          <w:spacing w:val="-2"/>
          <w:kern w:val="22"/>
          <w:szCs w:val="22"/>
          <w:lang w:val="fr-CA"/>
        </w:rPr>
        <w:t xml:space="preserve">. Le Secrétariat collabore également avec le Centre </w:t>
      </w:r>
      <w:r w:rsidR="00FE38B6" w:rsidRPr="00115221">
        <w:rPr>
          <w:rFonts w:eastAsia="Times New Roman" w:cs="Times New Roman"/>
          <w:snapToGrid w:val="0"/>
          <w:spacing w:val="-2"/>
          <w:kern w:val="22"/>
          <w:szCs w:val="22"/>
          <w:lang w:val="fr-CA"/>
        </w:rPr>
        <w:t>international</w:t>
      </w:r>
      <w:r w:rsidR="00FE38B6" w:rsidRPr="00115221">
        <w:rPr>
          <w:rFonts w:cs="Times New Roman"/>
          <w:snapToGrid w:val="0"/>
          <w:spacing w:val="-2"/>
          <w:kern w:val="22"/>
          <w:szCs w:val="22"/>
          <w:lang w:val="fr-CA"/>
        </w:rPr>
        <w:t xml:space="preserve"> d’ingénierie génétique et </w:t>
      </w:r>
      <w:r w:rsidR="0027733F">
        <w:rPr>
          <w:rFonts w:cs="Times New Roman"/>
          <w:snapToGrid w:val="0"/>
          <w:spacing w:val="-2"/>
          <w:kern w:val="22"/>
          <w:szCs w:val="22"/>
          <w:lang w:val="fr-CA"/>
        </w:rPr>
        <w:t xml:space="preserve">de </w:t>
      </w:r>
      <w:r w:rsidR="00FE38B6" w:rsidRPr="00115221">
        <w:rPr>
          <w:rFonts w:cs="Times New Roman"/>
          <w:snapToGrid w:val="0"/>
          <w:spacing w:val="-2"/>
          <w:kern w:val="22"/>
          <w:szCs w:val="22"/>
          <w:lang w:val="fr-CA"/>
        </w:rPr>
        <w:t>la biotechnologie s</w:t>
      </w:r>
      <w:r w:rsidR="006E1317" w:rsidRPr="00115221">
        <w:rPr>
          <w:rFonts w:cs="Times New Roman"/>
          <w:snapToGrid w:val="0"/>
          <w:spacing w:val="-2"/>
          <w:kern w:val="22"/>
          <w:szCs w:val="22"/>
          <w:lang w:val="fr-CA"/>
        </w:rPr>
        <w:t>ur les activités de renforcemen</w:t>
      </w:r>
      <w:r w:rsidR="00FE38B6" w:rsidRPr="00115221">
        <w:rPr>
          <w:rFonts w:cs="Times New Roman"/>
          <w:snapToGrid w:val="0"/>
          <w:spacing w:val="-2"/>
          <w:kern w:val="22"/>
          <w:szCs w:val="22"/>
          <w:lang w:val="fr-CA"/>
        </w:rPr>
        <w:t>t des capacités en lien avec l’évaluation des risques, et la détection et l’identification des OVM</w:t>
      </w:r>
      <w:r w:rsidR="00BE559D" w:rsidRPr="00115221">
        <w:rPr>
          <w:rFonts w:cs="Times New Roman"/>
          <w:snapToGrid w:val="0"/>
          <w:spacing w:val="-2"/>
          <w:kern w:val="22"/>
          <w:szCs w:val="22"/>
          <w:lang w:val="fr-CA"/>
        </w:rPr>
        <w:t>.</w:t>
      </w:r>
    </w:p>
    <w:bookmarkEnd w:id="19"/>
    <w:p w14:paraId="6F27972F" w14:textId="0A7664A8" w:rsidR="004569FB" w:rsidRPr="00115221" w:rsidRDefault="006E1317" w:rsidP="000A5388">
      <w:pPr>
        <w:keepNext/>
        <w:suppressLineNumbers/>
        <w:suppressAutoHyphens/>
        <w:spacing w:before="120" w:after="120"/>
        <w:textAlignment w:val="baseline"/>
        <w:outlineLvl w:val="2"/>
        <w:rPr>
          <w:rFonts w:cs="Times New Roman"/>
          <w:b/>
          <w:iCs/>
          <w:snapToGrid w:val="0"/>
          <w:spacing w:val="-2"/>
          <w:kern w:val="22"/>
          <w:szCs w:val="22"/>
          <w:lang w:val="fr-CA"/>
        </w:rPr>
      </w:pPr>
      <w:r w:rsidRPr="00115221">
        <w:rPr>
          <w:rFonts w:cs="Times New Roman"/>
          <w:b/>
          <w:iCs/>
          <w:snapToGrid w:val="0"/>
          <w:spacing w:val="-2"/>
          <w:kern w:val="22"/>
          <w:szCs w:val="22"/>
          <w:lang w:val="fr-CA"/>
        </w:rPr>
        <w:t>Objectif opérationnel 5.3 : Communication et vulgarisation</w:t>
      </w:r>
    </w:p>
    <w:p w14:paraId="5CDFC7B4" w14:textId="567C5730" w:rsidR="004569FB" w:rsidRPr="00115221" w:rsidRDefault="006E1317"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En ce qui concerne </w:t>
      </w:r>
      <w:r w:rsidRPr="00115221">
        <w:rPr>
          <w:rFonts w:cs="Times New Roman"/>
          <w:b/>
          <w:snapToGrid w:val="0"/>
          <w:spacing w:val="-2"/>
          <w:kern w:val="22"/>
          <w:szCs w:val="22"/>
          <w:lang w:val="fr-CA"/>
        </w:rPr>
        <w:t>l’indicateur 5.3.1</w:t>
      </w:r>
      <w:r w:rsidRPr="00115221">
        <w:rPr>
          <w:rFonts w:cs="Times New Roman"/>
          <w:snapToGrid w:val="0"/>
          <w:spacing w:val="-2"/>
          <w:kern w:val="22"/>
          <w:szCs w:val="22"/>
          <w:lang w:val="fr-CA"/>
        </w:rPr>
        <w:t xml:space="preserve"> (nombre de progr</w:t>
      </w:r>
      <w:r w:rsidR="007371C7" w:rsidRPr="00115221">
        <w:rPr>
          <w:rFonts w:cs="Times New Roman"/>
          <w:snapToGrid w:val="0"/>
          <w:spacing w:val="-2"/>
          <w:kern w:val="22"/>
          <w:szCs w:val="22"/>
          <w:lang w:val="fr-CA"/>
        </w:rPr>
        <w:t>ammes nationaux de sensibilisati</w:t>
      </w:r>
      <w:r w:rsidRPr="00115221">
        <w:rPr>
          <w:rFonts w:cs="Times New Roman"/>
          <w:snapToGrid w:val="0"/>
          <w:spacing w:val="-2"/>
          <w:kern w:val="22"/>
          <w:szCs w:val="22"/>
          <w:lang w:val="fr-CA"/>
        </w:rPr>
        <w:t>on et de vulgarisation sur la prévention des risques biotechnologiques), 54 p</w:t>
      </w:r>
      <w:r w:rsidR="0027733F">
        <w:rPr>
          <w:rFonts w:cs="Times New Roman"/>
          <w:snapToGrid w:val="0"/>
          <w:spacing w:val="-2"/>
          <w:kern w:val="22"/>
          <w:szCs w:val="22"/>
          <w:lang w:val="fr-CA"/>
        </w:rPr>
        <w:t>. c</w:t>
      </w:r>
      <w:r w:rsidRPr="00115221">
        <w:rPr>
          <w:rFonts w:cs="Times New Roman"/>
          <w:snapToGrid w:val="0"/>
          <w:spacing w:val="-2"/>
          <w:kern w:val="22"/>
          <w:szCs w:val="22"/>
          <w:lang w:val="fr-CA"/>
        </w:rPr>
        <w:t>ent d</w:t>
      </w:r>
      <w:r w:rsidR="007371C7" w:rsidRPr="00115221">
        <w:rPr>
          <w:rFonts w:cs="Times New Roman"/>
          <w:snapToGrid w:val="0"/>
          <w:spacing w:val="-2"/>
          <w:kern w:val="22"/>
          <w:szCs w:val="22"/>
          <w:lang w:val="fr-CA"/>
        </w:rPr>
        <w:t>es Parties (38 Parties) ont déc</w:t>
      </w:r>
      <w:r w:rsidRPr="00115221">
        <w:rPr>
          <w:rFonts w:cs="Times New Roman"/>
          <w:snapToGrid w:val="0"/>
          <w:spacing w:val="-2"/>
          <w:kern w:val="22"/>
          <w:szCs w:val="22"/>
          <w:lang w:val="fr-CA"/>
        </w:rPr>
        <w:t>laré avoir en place</w:t>
      </w:r>
      <w:r w:rsidR="007371C7" w:rsidRPr="00115221">
        <w:rPr>
          <w:rFonts w:cs="Times New Roman"/>
          <w:snapToGrid w:val="0"/>
          <w:spacing w:val="-2"/>
          <w:kern w:val="22"/>
          <w:szCs w:val="22"/>
          <w:lang w:val="fr-CA"/>
        </w:rPr>
        <w:t xml:space="preserve"> des programmes de sensibilisation et de vulgari</w:t>
      </w:r>
      <w:r w:rsidRPr="00115221">
        <w:rPr>
          <w:rFonts w:cs="Times New Roman"/>
          <w:snapToGrid w:val="0"/>
          <w:spacing w:val="-2"/>
          <w:kern w:val="22"/>
          <w:szCs w:val="22"/>
          <w:lang w:val="fr-CA"/>
        </w:rPr>
        <w:t>sation sur la prévention des risques biotechnologiques, une augmentation de 3 p. cent par rapport à la valeur de référence. Il y a d’import</w:t>
      </w:r>
      <w:r w:rsidR="007371C7" w:rsidRPr="00115221">
        <w:rPr>
          <w:rFonts w:cs="Times New Roman"/>
          <w:snapToGrid w:val="0"/>
          <w:spacing w:val="-2"/>
          <w:kern w:val="22"/>
          <w:szCs w:val="22"/>
          <w:lang w:val="fr-CA"/>
        </w:rPr>
        <w:t>a</w:t>
      </w:r>
      <w:r w:rsidRPr="00115221">
        <w:rPr>
          <w:rFonts w:cs="Times New Roman"/>
          <w:snapToGrid w:val="0"/>
          <w:spacing w:val="-2"/>
          <w:kern w:val="22"/>
          <w:szCs w:val="22"/>
          <w:lang w:val="fr-CA"/>
        </w:rPr>
        <w:t>ntes différences dans les régions quant au nombre de Parties ayant déclaré avoir en place des programmes nationaux de sens</w:t>
      </w:r>
      <w:r w:rsidR="007371C7" w:rsidRPr="00115221">
        <w:rPr>
          <w:rFonts w:cs="Times New Roman"/>
          <w:snapToGrid w:val="0"/>
          <w:spacing w:val="-2"/>
          <w:kern w:val="22"/>
          <w:szCs w:val="22"/>
          <w:lang w:val="fr-CA"/>
        </w:rPr>
        <w:t>ibilisation et de vulgarisation su</w:t>
      </w:r>
      <w:r w:rsidRPr="00115221">
        <w:rPr>
          <w:rFonts w:cs="Times New Roman"/>
          <w:snapToGrid w:val="0"/>
          <w:spacing w:val="-2"/>
          <w:kern w:val="22"/>
          <w:szCs w:val="22"/>
          <w:lang w:val="fr-CA"/>
        </w:rPr>
        <w:t xml:space="preserve">r la prévention des risques biotechnologiques : </w:t>
      </w:r>
      <w:r w:rsidR="0027733F">
        <w:rPr>
          <w:rFonts w:cs="Times New Roman"/>
          <w:snapToGrid w:val="0"/>
          <w:spacing w:val="-2"/>
          <w:kern w:val="22"/>
          <w:szCs w:val="22"/>
          <w:lang w:val="fr-CA"/>
        </w:rPr>
        <w:t>Afrique : 74 p. cent (+5 p. cent); Asie-Pacifique : 67 p. cent (</w:t>
      </w:r>
      <w:r w:rsidR="007371C7" w:rsidRPr="00115221">
        <w:rPr>
          <w:rFonts w:cs="Times New Roman"/>
          <w:snapToGrid w:val="0"/>
          <w:spacing w:val="-2"/>
          <w:kern w:val="22"/>
          <w:szCs w:val="22"/>
          <w:lang w:val="fr-CA"/>
        </w:rPr>
        <w:t xml:space="preserve">+11 p. cent), ECE : 43 p. cent (+14 p. cent); </w:t>
      </w:r>
      <w:r w:rsidR="0027733F">
        <w:rPr>
          <w:rFonts w:cs="Times New Roman"/>
          <w:snapToGrid w:val="0"/>
          <w:spacing w:val="-2"/>
          <w:kern w:val="22"/>
          <w:szCs w:val="22"/>
          <w:lang w:val="fr-CA"/>
        </w:rPr>
        <w:t>GALC : 23 p. cent (-15 p. cent);</w:t>
      </w:r>
      <w:r w:rsidR="007371C7" w:rsidRPr="00115221">
        <w:rPr>
          <w:rFonts w:cs="Times New Roman"/>
          <w:snapToGrid w:val="0"/>
          <w:spacing w:val="-2"/>
          <w:kern w:val="22"/>
          <w:szCs w:val="22"/>
          <w:lang w:val="fr-CA"/>
        </w:rPr>
        <w:t xml:space="preserve"> EOA : 56 p. cent (aucune différence par rapport à la valeur de référence</w:t>
      </w:r>
      <w:r w:rsidR="004569FB" w:rsidRPr="00115221">
        <w:rPr>
          <w:rFonts w:cs="Times New Roman"/>
          <w:snapToGrid w:val="0"/>
          <w:spacing w:val="-2"/>
          <w:kern w:val="22"/>
          <w:szCs w:val="22"/>
          <w:lang w:val="fr-CA"/>
        </w:rPr>
        <w:t>).</w:t>
      </w:r>
    </w:p>
    <w:p w14:paraId="0FFD384F" w14:textId="0F5C7092" w:rsidR="004569FB" w:rsidRPr="00115221" w:rsidRDefault="007371C7"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 xml:space="preserve">Pour ce qui est de </w:t>
      </w:r>
      <w:r w:rsidRPr="00115221">
        <w:rPr>
          <w:rFonts w:cs="Times New Roman"/>
          <w:b/>
          <w:snapToGrid w:val="0"/>
          <w:spacing w:val="-2"/>
          <w:kern w:val="22"/>
          <w:szCs w:val="22"/>
          <w:lang w:val="fr-CA"/>
        </w:rPr>
        <w:t>l’</w:t>
      </w:r>
      <w:r w:rsidR="00C87D4A" w:rsidRPr="00115221">
        <w:rPr>
          <w:rFonts w:cs="Times New Roman"/>
          <w:b/>
          <w:snapToGrid w:val="0"/>
          <w:spacing w:val="-2"/>
          <w:kern w:val="22"/>
          <w:szCs w:val="22"/>
          <w:lang w:val="fr-CA"/>
        </w:rPr>
        <w:t>indicateur 5.3</w:t>
      </w:r>
      <w:r w:rsidRPr="00115221">
        <w:rPr>
          <w:rFonts w:cs="Times New Roman"/>
          <w:b/>
          <w:snapToGrid w:val="0"/>
          <w:spacing w:val="-2"/>
          <w:kern w:val="22"/>
          <w:szCs w:val="22"/>
          <w:lang w:val="fr-CA"/>
        </w:rPr>
        <w:t>.2</w:t>
      </w:r>
      <w:r w:rsidRPr="00115221">
        <w:rPr>
          <w:rFonts w:cs="Times New Roman"/>
          <w:snapToGrid w:val="0"/>
          <w:spacing w:val="-2"/>
          <w:kern w:val="22"/>
          <w:szCs w:val="22"/>
          <w:lang w:val="fr-CA"/>
        </w:rPr>
        <w:t xml:space="preserve"> (pourcentage des Parties ayant en place des stratégies </w:t>
      </w:r>
      <w:r w:rsidRPr="00115221">
        <w:rPr>
          <w:rFonts w:eastAsia="Times New Roman" w:cs="Times New Roman"/>
          <w:snapToGrid w:val="0"/>
          <w:spacing w:val="-2"/>
          <w:kern w:val="22"/>
          <w:szCs w:val="22"/>
          <w:lang w:val="fr-CA"/>
        </w:rPr>
        <w:t>nationales</w:t>
      </w:r>
      <w:r w:rsidRPr="00115221">
        <w:rPr>
          <w:rFonts w:cs="Times New Roman"/>
          <w:snapToGrid w:val="0"/>
          <w:spacing w:val="-2"/>
          <w:kern w:val="22"/>
          <w:szCs w:val="22"/>
          <w:lang w:val="fr-CA"/>
        </w:rPr>
        <w:t xml:space="preserve"> </w:t>
      </w:r>
      <w:r w:rsidR="00C87D4A" w:rsidRPr="00115221">
        <w:rPr>
          <w:rFonts w:cs="Times New Roman"/>
          <w:snapToGrid w:val="0"/>
          <w:spacing w:val="-2"/>
          <w:kern w:val="22"/>
          <w:szCs w:val="22"/>
          <w:lang w:val="fr-CA"/>
        </w:rPr>
        <w:t>de communicati</w:t>
      </w:r>
      <w:r w:rsidRPr="00115221">
        <w:rPr>
          <w:rFonts w:cs="Times New Roman"/>
          <w:snapToGrid w:val="0"/>
          <w:spacing w:val="-2"/>
          <w:kern w:val="22"/>
          <w:szCs w:val="22"/>
          <w:lang w:val="fr-CA"/>
        </w:rPr>
        <w:t>on sur la prévention des risques biotechnologiques), 51 p. cent des Parties (36 Parties) ont</w:t>
      </w:r>
      <w:r w:rsidR="00C87D4A" w:rsidRPr="00115221">
        <w:rPr>
          <w:rFonts w:cs="Times New Roman"/>
          <w:snapToGrid w:val="0"/>
          <w:spacing w:val="-2"/>
          <w:kern w:val="22"/>
          <w:szCs w:val="22"/>
          <w:lang w:val="fr-CA"/>
        </w:rPr>
        <w:t xml:space="preserve"> déclaré avoir en place une stra</w:t>
      </w:r>
      <w:r w:rsidRPr="00115221">
        <w:rPr>
          <w:rFonts w:cs="Times New Roman"/>
          <w:snapToGrid w:val="0"/>
          <w:spacing w:val="-2"/>
          <w:kern w:val="22"/>
          <w:szCs w:val="22"/>
          <w:lang w:val="fr-CA"/>
        </w:rPr>
        <w:t>tégie nationale de communication sur la prévention des risques biotechnologique</w:t>
      </w:r>
      <w:r w:rsidR="0027733F">
        <w:rPr>
          <w:rFonts w:cs="Times New Roman"/>
          <w:snapToGrid w:val="0"/>
          <w:spacing w:val="-2"/>
          <w:kern w:val="22"/>
          <w:szCs w:val="22"/>
          <w:lang w:val="fr-CA"/>
        </w:rPr>
        <w:t>s</w:t>
      </w:r>
      <w:r w:rsidR="00C87D4A" w:rsidRPr="00115221">
        <w:rPr>
          <w:rFonts w:cs="Times New Roman"/>
          <w:snapToGrid w:val="0"/>
          <w:spacing w:val="-2"/>
          <w:kern w:val="22"/>
          <w:szCs w:val="22"/>
          <w:lang w:val="fr-CA"/>
        </w:rPr>
        <w:t>. Bien que ce chiffre soit identique à la valeur de référence, certaines différences ont été déclarées par région : Afrique : 58 p. cent (+16 p. cent</w:t>
      </w:r>
      <w:r w:rsidR="00A96E78">
        <w:rPr>
          <w:rFonts w:cs="Times New Roman"/>
          <w:snapToGrid w:val="0"/>
          <w:spacing w:val="-2"/>
          <w:kern w:val="22"/>
          <w:szCs w:val="22"/>
          <w:lang w:val="fr-CA"/>
        </w:rPr>
        <w:t>)</w:t>
      </w:r>
      <w:r w:rsidR="00D215F0">
        <w:rPr>
          <w:rFonts w:cs="Times New Roman"/>
          <w:snapToGrid w:val="0"/>
          <w:spacing w:val="-2"/>
          <w:kern w:val="22"/>
          <w:szCs w:val="22"/>
          <w:lang w:val="fr-CA"/>
        </w:rPr>
        <w:t>;</w:t>
      </w:r>
      <w:r w:rsidR="00C87D4A" w:rsidRPr="00115221">
        <w:rPr>
          <w:rFonts w:cs="Times New Roman"/>
          <w:snapToGrid w:val="0"/>
          <w:spacing w:val="-2"/>
          <w:kern w:val="22"/>
          <w:szCs w:val="22"/>
          <w:lang w:val="fr-CA"/>
        </w:rPr>
        <w:t xml:space="preserve"> Asie-Pacifique : 56 p. cent (+11 p. cent)</w:t>
      </w:r>
      <w:r w:rsidR="00D215F0">
        <w:rPr>
          <w:rFonts w:cs="Times New Roman"/>
          <w:snapToGrid w:val="0"/>
          <w:spacing w:val="-2"/>
          <w:kern w:val="22"/>
          <w:szCs w:val="22"/>
          <w:lang w:val="fr-CA"/>
        </w:rPr>
        <w:t>;</w:t>
      </w:r>
      <w:r w:rsidR="00C87D4A" w:rsidRPr="00115221">
        <w:rPr>
          <w:rFonts w:cs="Times New Roman"/>
          <w:snapToGrid w:val="0"/>
          <w:spacing w:val="-2"/>
          <w:kern w:val="22"/>
          <w:szCs w:val="22"/>
          <w:lang w:val="fr-CA"/>
        </w:rPr>
        <w:t xml:space="preserve"> </w:t>
      </w:r>
      <w:r w:rsidR="00D41846">
        <w:rPr>
          <w:rFonts w:cs="Times New Roman"/>
          <w:snapToGrid w:val="0"/>
          <w:spacing w:val="-2"/>
          <w:kern w:val="22"/>
          <w:szCs w:val="22"/>
          <w:lang w:val="fr-CA"/>
        </w:rPr>
        <w:t xml:space="preserve">et </w:t>
      </w:r>
      <w:r w:rsidR="00C87D4A" w:rsidRPr="00115221">
        <w:rPr>
          <w:rFonts w:cs="Times New Roman"/>
          <w:snapToGrid w:val="0"/>
          <w:spacing w:val="-2"/>
          <w:kern w:val="22"/>
          <w:szCs w:val="22"/>
          <w:lang w:val="fr-CA"/>
        </w:rPr>
        <w:t xml:space="preserve">ECE : </w:t>
      </w:r>
      <w:r w:rsidR="00C87D4A" w:rsidRPr="00115221">
        <w:rPr>
          <w:rFonts w:cs="Times New Roman"/>
          <w:snapToGrid w:val="0"/>
          <w:spacing w:val="-2"/>
          <w:kern w:val="22"/>
          <w:szCs w:val="22"/>
          <w:lang w:val="fr-CA"/>
        </w:rPr>
        <w:lastRenderedPageBreak/>
        <w:t xml:space="preserve">57 p. cent (+14 p. cent). Des diminutions ont été déclarées dans les régions du GALC : 15 p. cent (-38 p. cent) et </w:t>
      </w:r>
      <w:r w:rsidR="00D41846">
        <w:rPr>
          <w:rFonts w:cs="Times New Roman"/>
          <w:snapToGrid w:val="0"/>
          <w:spacing w:val="-2"/>
          <w:kern w:val="22"/>
          <w:szCs w:val="22"/>
          <w:lang w:val="fr-CA"/>
        </w:rPr>
        <w:t xml:space="preserve">de </w:t>
      </w:r>
      <w:r w:rsidR="00C87D4A" w:rsidRPr="00115221">
        <w:rPr>
          <w:rFonts w:cs="Times New Roman"/>
          <w:snapToGrid w:val="0"/>
          <w:spacing w:val="-2"/>
          <w:kern w:val="22"/>
          <w:szCs w:val="22"/>
          <w:lang w:val="fr-CA"/>
        </w:rPr>
        <w:t>l’EOA : 63 p. cent (-6 p. cent)</w:t>
      </w:r>
      <w:r w:rsidR="004569FB" w:rsidRPr="00115221">
        <w:rPr>
          <w:rFonts w:cs="Times New Roman"/>
          <w:snapToGrid w:val="0"/>
          <w:spacing w:val="-2"/>
          <w:kern w:val="22"/>
          <w:szCs w:val="22"/>
          <w:lang w:val="fr-CA"/>
        </w:rPr>
        <w:t>.</w:t>
      </w:r>
    </w:p>
    <w:p w14:paraId="0065E21B" w14:textId="09F15D82" w:rsidR="004569FB" w:rsidRPr="00115221" w:rsidRDefault="00E10990"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sidRPr="00115221">
        <w:rPr>
          <w:rFonts w:cs="Times New Roman"/>
          <w:snapToGrid w:val="0"/>
          <w:spacing w:val="-2"/>
          <w:kern w:val="22"/>
          <w:szCs w:val="22"/>
          <w:lang w:val="fr-CA"/>
        </w:rPr>
        <w:t>Certaines Parties ont indiqué dans leur exposé écrit que certains programmes ciblent des publics précis (p. ex., les médias). Quelques Parties ont indiqué que les programmes de sensibilisation et de vulgarisation ont été élaborés pour des conférences annuelles, des expositions et des sites Web</w:t>
      </w:r>
      <w:r w:rsidR="004569FB" w:rsidRPr="00115221">
        <w:rPr>
          <w:rFonts w:cs="Times New Roman"/>
          <w:snapToGrid w:val="0"/>
          <w:spacing w:val="-2"/>
          <w:kern w:val="22"/>
          <w:szCs w:val="22"/>
          <w:lang w:val="fr-CA"/>
        </w:rPr>
        <w:t>.</w:t>
      </w:r>
    </w:p>
    <w:p w14:paraId="5F9FCA26" w14:textId="5D013DA6" w:rsidR="004569FB" w:rsidRPr="00115221" w:rsidRDefault="00D215F0"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snapToGrid w:val="0"/>
          <w:spacing w:val="-2"/>
          <w:kern w:val="22"/>
          <w:szCs w:val="22"/>
          <w:lang w:val="fr-CA"/>
        </w:rPr>
      </w:pPr>
      <w:r>
        <w:rPr>
          <w:rFonts w:cs="Times New Roman"/>
          <w:snapToGrid w:val="0"/>
          <w:spacing w:val="-2"/>
          <w:kern w:val="22"/>
          <w:szCs w:val="22"/>
          <w:lang w:val="fr-CA"/>
        </w:rPr>
        <w:t>Certains répondants à l’E</w:t>
      </w:r>
      <w:r w:rsidR="00E10990" w:rsidRPr="00115221">
        <w:rPr>
          <w:rFonts w:cs="Times New Roman"/>
          <w:snapToGrid w:val="0"/>
          <w:spacing w:val="-2"/>
          <w:kern w:val="22"/>
          <w:szCs w:val="22"/>
          <w:lang w:val="fr-CA"/>
        </w:rPr>
        <w:t>nquête sur le programme de</w:t>
      </w:r>
      <w:r w:rsidR="0097532D" w:rsidRPr="00115221">
        <w:rPr>
          <w:rFonts w:cs="Times New Roman"/>
          <w:snapToGrid w:val="0"/>
          <w:spacing w:val="-2"/>
          <w:kern w:val="22"/>
          <w:szCs w:val="22"/>
          <w:lang w:val="fr-CA"/>
        </w:rPr>
        <w:t xml:space="preserve"> </w:t>
      </w:r>
      <w:r w:rsidR="00E10990" w:rsidRPr="00115221">
        <w:rPr>
          <w:rFonts w:cs="Times New Roman"/>
          <w:snapToGrid w:val="0"/>
          <w:spacing w:val="-2"/>
          <w:kern w:val="22"/>
          <w:szCs w:val="22"/>
          <w:lang w:val="fr-CA"/>
        </w:rPr>
        <w:t xml:space="preserve">travail ont répondu que </w:t>
      </w:r>
      <w:r w:rsidR="00A96E78">
        <w:rPr>
          <w:rFonts w:cs="Times New Roman"/>
          <w:snapToGrid w:val="0"/>
          <w:spacing w:val="-2"/>
          <w:kern w:val="22"/>
          <w:szCs w:val="22"/>
          <w:lang w:val="fr-CA"/>
        </w:rPr>
        <w:t>certains</w:t>
      </w:r>
      <w:r w:rsidR="00E10990" w:rsidRPr="00115221">
        <w:rPr>
          <w:rFonts w:cs="Times New Roman"/>
          <w:snapToGrid w:val="0"/>
          <w:spacing w:val="-2"/>
          <w:kern w:val="22"/>
          <w:szCs w:val="22"/>
          <w:lang w:val="fr-CA"/>
        </w:rPr>
        <w:t xml:space="preserve"> programmes de vulgarisation avaient été élaborés au sein d’un ministère et que d’</w:t>
      </w:r>
      <w:r w:rsidR="0097532D" w:rsidRPr="00115221">
        <w:rPr>
          <w:rFonts w:cs="Times New Roman"/>
          <w:snapToGrid w:val="0"/>
          <w:spacing w:val="-2"/>
          <w:kern w:val="22"/>
          <w:szCs w:val="22"/>
          <w:lang w:val="fr-CA"/>
        </w:rPr>
        <w:t>autr</w:t>
      </w:r>
      <w:r w:rsidR="00E10990" w:rsidRPr="00115221">
        <w:rPr>
          <w:rFonts w:cs="Times New Roman"/>
          <w:snapToGrid w:val="0"/>
          <w:spacing w:val="-2"/>
          <w:kern w:val="22"/>
          <w:szCs w:val="22"/>
          <w:lang w:val="fr-CA"/>
        </w:rPr>
        <w:t>es programmes de vulgarisation avaient été élaborés sur des question</w:t>
      </w:r>
      <w:r w:rsidR="00A96E78">
        <w:rPr>
          <w:rFonts w:cs="Times New Roman"/>
          <w:snapToGrid w:val="0"/>
          <w:spacing w:val="-2"/>
          <w:kern w:val="22"/>
          <w:szCs w:val="22"/>
          <w:lang w:val="fr-CA"/>
        </w:rPr>
        <w:t>s</w:t>
      </w:r>
      <w:r w:rsidR="00E10990" w:rsidRPr="00115221">
        <w:rPr>
          <w:rFonts w:cs="Times New Roman"/>
          <w:snapToGrid w:val="0"/>
          <w:spacing w:val="-2"/>
          <w:kern w:val="22"/>
          <w:szCs w:val="22"/>
          <w:lang w:val="fr-CA"/>
        </w:rPr>
        <w:t xml:space="preserve"> en lien avec les communications et les médias afin de promouvoir la sens</w:t>
      </w:r>
      <w:r w:rsidR="0097532D" w:rsidRPr="00115221">
        <w:rPr>
          <w:rFonts w:cs="Times New Roman"/>
          <w:snapToGrid w:val="0"/>
          <w:spacing w:val="-2"/>
          <w:kern w:val="22"/>
          <w:szCs w:val="22"/>
          <w:lang w:val="fr-CA"/>
        </w:rPr>
        <w:t>i</w:t>
      </w:r>
      <w:r w:rsidR="00E10990" w:rsidRPr="00115221">
        <w:rPr>
          <w:rFonts w:cs="Times New Roman"/>
          <w:snapToGrid w:val="0"/>
          <w:spacing w:val="-2"/>
          <w:kern w:val="22"/>
          <w:szCs w:val="22"/>
          <w:lang w:val="fr-CA"/>
        </w:rPr>
        <w:t>bilisation à la prévention des risques biotechnologiques. Certains répondants ont menti</w:t>
      </w:r>
      <w:r w:rsidR="0097532D" w:rsidRPr="00115221">
        <w:rPr>
          <w:rFonts w:cs="Times New Roman"/>
          <w:snapToGrid w:val="0"/>
          <w:spacing w:val="-2"/>
          <w:kern w:val="22"/>
          <w:szCs w:val="22"/>
          <w:lang w:val="fr-CA"/>
        </w:rPr>
        <w:t>o</w:t>
      </w:r>
      <w:r w:rsidR="00E10990" w:rsidRPr="00115221">
        <w:rPr>
          <w:rFonts w:cs="Times New Roman"/>
          <w:snapToGrid w:val="0"/>
          <w:spacing w:val="-2"/>
          <w:kern w:val="22"/>
          <w:szCs w:val="22"/>
          <w:lang w:val="fr-CA"/>
        </w:rPr>
        <w:t>nné que l</w:t>
      </w:r>
      <w:r w:rsidR="0097532D" w:rsidRPr="00115221">
        <w:rPr>
          <w:rFonts w:cs="Times New Roman"/>
          <w:snapToGrid w:val="0"/>
          <w:spacing w:val="-2"/>
          <w:kern w:val="22"/>
          <w:szCs w:val="22"/>
          <w:lang w:val="fr-CA"/>
        </w:rPr>
        <w:t>es programmes de sensibilisati</w:t>
      </w:r>
      <w:r w:rsidR="00E10990" w:rsidRPr="00115221">
        <w:rPr>
          <w:rFonts w:cs="Times New Roman"/>
          <w:snapToGrid w:val="0"/>
          <w:spacing w:val="-2"/>
          <w:kern w:val="22"/>
          <w:szCs w:val="22"/>
          <w:lang w:val="fr-CA"/>
        </w:rPr>
        <w:t xml:space="preserve">on </w:t>
      </w:r>
      <w:r w:rsidR="0097532D" w:rsidRPr="00115221">
        <w:rPr>
          <w:rFonts w:cs="Times New Roman"/>
          <w:snapToGrid w:val="0"/>
          <w:spacing w:val="-2"/>
          <w:kern w:val="22"/>
          <w:szCs w:val="22"/>
          <w:lang w:val="fr-CA"/>
        </w:rPr>
        <w:t xml:space="preserve">à cet égard </w:t>
      </w:r>
      <w:r w:rsidR="00E10990" w:rsidRPr="00115221">
        <w:rPr>
          <w:rFonts w:cs="Times New Roman"/>
          <w:snapToGrid w:val="0"/>
          <w:spacing w:val="-2"/>
          <w:kern w:val="22"/>
          <w:szCs w:val="22"/>
          <w:lang w:val="fr-CA"/>
        </w:rPr>
        <w:t>avaient été développé</w:t>
      </w:r>
      <w:r w:rsidR="0097532D" w:rsidRPr="00115221">
        <w:rPr>
          <w:rFonts w:cs="Times New Roman"/>
          <w:snapToGrid w:val="0"/>
          <w:spacing w:val="-2"/>
          <w:kern w:val="22"/>
          <w:szCs w:val="22"/>
          <w:lang w:val="fr-CA"/>
        </w:rPr>
        <w:t>s</w:t>
      </w:r>
      <w:r w:rsidR="00E10990" w:rsidRPr="00115221">
        <w:rPr>
          <w:rFonts w:cs="Times New Roman"/>
          <w:snapToGrid w:val="0"/>
          <w:spacing w:val="-2"/>
          <w:kern w:val="22"/>
          <w:szCs w:val="22"/>
          <w:lang w:val="fr-CA"/>
        </w:rPr>
        <w:t xml:space="preserve"> </w:t>
      </w:r>
      <w:r>
        <w:rPr>
          <w:rFonts w:cs="Times New Roman"/>
          <w:snapToGrid w:val="0"/>
          <w:spacing w:val="-2"/>
          <w:kern w:val="22"/>
          <w:szCs w:val="22"/>
          <w:lang w:val="fr-CA"/>
        </w:rPr>
        <w:t>dans le cadre d’efforts de</w:t>
      </w:r>
      <w:r w:rsidR="00E10990" w:rsidRPr="00115221">
        <w:rPr>
          <w:rFonts w:cs="Times New Roman"/>
          <w:snapToGrid w:val="0"/>
          <w:spacing w:val="-2"/>
          <w:kern w:val="22"/>
          <w:szCs w:val="22"/>
          <w:lang w:val="fr-CA"/>
        </w:rPr>
        <w:t xml:space="preserve"> colla</w:t>
      </w:r>
      <w:r w:rsidR="0097532D" w:rsidRPr="00115221">
        <w:rPr>
          <w:rFonts w:cs="Times New Roman"/>
          <w:snapToGrid w:val="0"/>
          <w:spacing w:val="-2"/>
          <w:kern w:val="22"/>
          <w:szCs w:val="22"/>
          <w:lang w:val="fr-CA"/>
        </w:rPr>
        <w:t xml:space="preserve">boration, notamment avec les </w:t>
      </w:r>
      <w:r w:rsidR="00A15B40">
        <w:rPr>
          <w:rFonts w:cs="Times New Roman"/>
          <w:snapToGrid w:val="0"/>
          <w:spacing w:val="-2"/>
          <w:kern w:val="22"/>
          <w:szCs w:val="22"/>
          <w:lang w:val="fr-CA"/>
        </w:rPr>
        <w:t>organisations non gouvernementales</w:t>
      </w:r>
      <w:r w:rsidR="0097532D" w:rsidRPr="00115221">
        <w:rPr>
          <w:rFonts w:cs="Times New Roman"/>
          <w:snapToGrid w:val="0"/>
          <w:spacing w:val="-2"/>
          <w:kern w:val="22"/>
          <w:szCs w:val="22"/>
          <w:lang w:val="fr-CA"/>
        </w:rPr>
        <w:t xml:space="preserve">, l’Union africaine, en coopération interagences, </w:t>
      </w:r>
      <w:r w:rsidR="00020AC6">
        <w:rPr>
          <w:rFonts w:cs="Times New Roman"/>
          <w:snapToGrid w:val="0"/>
          <w:spacing w:val="-2"/>
          <w:kern w:val="22"/>
          <w:szCs w:val="22"/>
          <w:lang w:val="fr-CA"/>
        </w:rPr>
        <w:t xml:space="preserve">avec </w:t>
      </w:r>
      <w:r w:rsidR="0097532D" w:rsidRPr="00115221">
        <w:rPr>
          <w:rFonts w:cs="Times New Roman"/>
          <w:snapToGrid w:val="0"/>
          <w:spacing w:val="-2"/>
          <w:kern w:val="22"/>
          <w:szCs w:val="22"/>
          <w:lang w:val="fr-CA"/>
        </w:rPr>
        <w:t>la FAO, les médias, les bibliothèques et les réseaux</w:t>
      </w:r>
      <w:r w:rsidR="004569FB" w:rsidRPr="00115221">
        <w:rPr>
          <w:rFonts w:cs="Times New Roman"/>
          <w:snapToGrid w:val="0"/>
          <w:spacing w:val="-2"/>
          <w:kern w:val="22"/>
          <w:szCs w:val="22"/>
          <w:lang w:val="fr-CA"/>
        </w:rPr>
        <w:t>.</w:t>
      </w:r>
    </w:p>
    <w:p w14:paraId="101AF152" w14:textId="725310B2" w:rsidR="004569FB" w:rsidRPr="00115221" w:rsidRDefault="0097532D"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22"/>
          <w:lang w:val="fr-CA"/>
        </w:rPr>
      </w:pPr>
      <w:r w:rsidRPr="00115221">
        <w:rPr>
          <w:rFonts w:cs="Times New Roman"/>
          <w:snapToGrid w:val="0"/>
          <w:spacing w:val="-2"/>
          <w:kern w:val="22"/>
          <w:szCs w:val="22"/>
          <w:lang w:val="fr-CA"/>
        </w:rPr>
        <w:t xml:space="preserve">Pour ce qui est de </w:t>
      </w:r>
      <w:r w:rsidRPr="00115221">
        <w:rPr>
          <w:rFonts w:cs="Times New Roman"/>
          <w:b/>
          <w:snapToGrid w:val="0"/>
          <w:spacing w:val="-2"/>
          <w:kern w:val="22"/>
          <w:szCs w:val="22"/>
          <w:lang w:val="fr-CA"/>
        </w:rPr>
        <w:t>l’indicateur 5.3.3</w:t>
      </w:r>
      <w:r w:rsidRPr="00115221">
        <w:rPr>
          <w:rFonts w:cs="Times New Roman"/>
          <w:snapToGrid w:val="0"/>
          <w:spacing w:val="-2"/>
          <w:kern w:val="22"/>
          <w:szCs w:val="22"/>
          <w:lang w:val="fr-CA"/>
        </w:rPr>
        <w:t xml:space="preserve"> (pourcentage des Parties ayant en place des sites Web nationaux sur la prévention des risques biotechnologiques, dont des nœuds du </w:t>
      </w:r>
      <w:r w:rsidR="00B6412A">
        <w:rPr>
          <w:rFonts w:cs="Times New Roman"/>
          <w:snapToGrid w:val="0"/>
          <w:spacing w:val="-2"/>
          <w:kern w:val="22"/>
          <w:szCs w:val="22"/>
          <w:lang w:val="fr-CA"/>
        </w:rPr>
        <w:t>centre d’échange</w:t>
      </w:r>
      <w:r w:rsidRPr="00115221">
        <w:rPr>
          <w:rFonts w:cs="Times New Roman"/>
          <w:snapToGrid w:val="0"/>
          <w:spacing w:val="-2"/>
          <w:kern w:val="22"/>
          <w:szCs w:val="22"/>
          <w:lang w:val="fr-CA"/>
        </w:rPr>
        <w:t xml:space="preserve"> sur la prévention des risques biotechnologiques accessibles et interrogeables par le public), 68 p. cent de</w:t>
      </w:r>
      <w:r w:rsidR="001F450D" w:rsidRPr="00115221">
        <w:rPr>
          <w:rFonts w:cs="Times New Roman"/>
          <w:snapToGrid w:val="0"/>
          <w:spacing w:val="-2"/>
          <w:kern w:val="22"/>
          <w:szCs w:val="22"/>
          <w:lang w:val="fr-CA"/>
        </w:rPr>
        <w:t>s Parties (63 Parties) ont décla</w:t>
      </w:r>
      <w:r w:rsidRPr="00115221">
        <w:rPr>
          <w:rFonts w:cs="Times New Roman"/>
          <w:snapToGrid w:val="0"/>
          <w:spacing w:val="-2"/>
          <w:kern w:val="22"/>
          <w:szCs w:val="22"/>
          <w:lang w:val="fr-CA"/>
        </w:rPr>
        <w:t>ré avoir en place un site Web national sur la prévention des risques biotechnologiques, une petite augmentation</w:t>
      </w:r>
      <w:r w:rsidR="001F450D" w:rsidRPr="00115221">
        <w:rPr>
          <w:rFonts w:cs="Times New Roman"/>
          <w:snapToGrid w:val="0"/>
          <w:spacing w:val="-2"/>
          <w:kern w:val="22"/>
          <w:szCs w:val="22"/>
          <w:lang w:val="fr-CA"/>
        </w:rPr>
        <w:t xml:space="preserve"> de 1 p. cent par rapport à la valeur de référence. Des augmentations ont été déclarées dans les régions : GALC : +15 p. cent et Afrique : +3 p. cent</w:t>
      </w:r>
      <w:r w:rsidR="00020AC6">
        <w:rPr>
          <w:rFonts w:cs="Times New Roman"/>
          <w:snapToGrid w:val="0"/>
          <w:spacing w:val="-2"/>
          <w:kern w:val="22"/>
          <w:szCs w:val="22"/>
          <w:lang w:val="fr-CA"/>
        </w:rPr>
        <w:t>. D</w:t>
      </w:r>
      <w:r w:rsidR="001F450D" w:rsidRPr="00115221">
        <w:rPr>
          <w:rFonts w:cs="Times New Roman"/>
          <w:snapToGrid w:val="0"/>
          <w:spacing w:val="-2"/>
          <w:kern w:val="22"/>
          <w:szCs w:val="22"/>
          <w:lang w:val="fr-CA"/>
        </w:rPr>
        <w:t>es diminution</w:t>
      </w:r>
      <w:r w:rsidR="00A41FBB">
        <w:rPr>
          <w:rFonts w:cs="Times New Roman"/>
          <w:snapToGrid w:val="0"/>
          <w:spacing w:val="-2"/>
          <w:kern w:val="22"/>
          <w:szCs w:val="22"/>
          <w:lang w:val="fr-CA"/>
        </w:rPr>
        <w:t>s</w:t>
      </w:r>
      <w:r w:rsidR="001F450D" w:rsidRPr="00115221">
        <w:rPr>
          <w:rFonts w:cs="Times New Roman"/>
          <w:snapToGrid w:val="0"/>
          <w:spacing w:val="-2"/>
          <w:kern w:val="22"/>
          <w:szCs w:val="22"/>
          <w:lang w:val="fr-CA"/>
        </w:rPr>
        <w:t xml:space="preserve"> ont été déclarées en ECE : -13 p. cent, et les régions de l’Asie-Pacifique et de l’EOA signalent aucune différence par rapport à la valeur de référence</w:t>
      </w:r>
      <w:r w:rsidR="004569FB" w:rsidRPr="00115221">
        <w:rPr>
          <w:rFonts w:cs="Times New Roman"/>
          <w:iCs/>
          <w:snapToGrid w:val="0"/>
          <w:spacing w:val="-2"/>
          <w:kern w:val="22"/>
          <w:szCs w:val="22"/>
          <w:lang w:val="fr-CA"/>
        </w:rPr>
        <w:t>.</w:t>
      </w:r>
    </w:p>
    <w:p w14:paraId="74A88CA9" w14:textId="7C9D8821" w:rsidR="004569FB" w:rsidRPr="00115221" w:rsidRDefault="001F450D" w:rsidP="004569FB">
      <w:pPr>
        <w:pStyle w:val="ListParagraph"/>
        <w:numPr>
          <w:ilvl w:val="0"/>
          <w:numId w:val="9"/>
        </w:numPr>
        <w:suppressLineNumbers/>
        <w:tabs>
          <w:tab w:val="clear" w:pos="3240"/>
        </w:tabs>
        <w:suppressAutoHyphens/>
        <w:snapToGrid w:val="0"/>
        <w:spacing w:before="120" w:after="120"/>
        <w:ind w:left="0" w:firstLine="0"/>
        <w:contextualSpacing w:val="0"/>
        <w:rPr>
          <w:rFonts w:cs="Times New Roman"/>
          <w:iCs/>
          <w:snapToGrid w:val="0"/>
          <w:kern w:val="22"/>
          <w:szCs w:val="22"/>
          <w:lang w:val="fr-CA"/>
        </w:rPr>
      </w:pPr>
      <w:r w:rsidRPr="00115221">
        <w:rPr>
          <w:rFonts w:cs="Times New Roman"/>
          <w:snapToGrid w:val="0"/>
          <w:spacing w:val="-2"/>
          <w:kern w:val="22"/>
          <w:szCs w:val="22"/>
          <w:lang w:val="fr-CA"/>
        </w:rPr>
        <w:t xml:space="preserve">En dernier lieu, concernant </w:t>
      </w:r>
      <w:r w:rsidRPr="00115221">
        <w:rPr>
          <w:rFonts w:cs="Times New Roman"/>
          <w:b/>
          <w:snapToGrid w:val="0"/>
          <w:spacing w:val="-2"/>
          <w:kern w:val="22"/>
          <w:szCs w:val="22"/>
          <w:lang w:val="fr-CA"/>
        </w:rPr>
        <w:t>l’indicateur 5.3.4</w:t>
      </w:r>
      <w:r w:rsidRPr="00115221">
        <w:rPr>
          <w:rFonts w:cs="Times New Roman"/>
          <w:snapToGrid w:val="0"/>
          <w:spacing w:val="-2"/>
          <w:kern w:val="22"/>
          <w:szCs w:val="22"/>
          <w:lang w:val="fr-CA"/>
        </w:rPr>
        <w:t xml:space="preserve"> (nombre de Parties ayant du matériel de sens</w:t>
      </w:r>
      <w:r w:rsidR="00E4429B" w:rsidRPr="00115221">
        <w:rPr>
          <w:rFonts w:cs="Times New Roman"/>
          <w:snapToGrid w:val="0"/>
          <w:spacing w:val="-2"/>
          <w:kern w:val="22"/>
          <w:szCs w:val="22"/>
          <w:lang w:val="fr-CA"/>
        </w:rPr>
        <w:t>i</w:t>
      </w:r>
      <w:r w:rsidRPr="00115221">
        <w:rPr>
          <w:rFonts w:cs="Times New Roman"/>
          <w:snapToGrid w:val="0"/>
          <w:spacing w:val="-2"/>
          <w:kern w:val="22"/>
          <w:szCs w:val="22"/>
          <w:lang w:val="fr-CA"/>
        </w:rPr>
        <w:t>bilisation et éducatif sur la prévention des risques biotechnologiques et le Protocole</w:t>
      </w:r>
      <w:r w:rsidR="00E4429B" w:rsidRPr="00115221">
        <w:rPr>
          <w:rFonts w:cs="Times New Roman"/>
          <w:snapToGrid w:val="0"/>
          <w:spacing w:val="-2"/>
          <w:kern w:val="22"/>
          <w:szCs w:val="22"/>
          <w:lang w:val="fr-CA"/>
        </w:rPr>
        <w:t xml:space="preserve"> disponible et accessible au public, et la diversité de ce matériel), 77 p. cent des Parties (55 Parties) ont déclaré que du matériel éducatif et des modules en ligne sont disponibles au public dans leur pays, une augmentation de 15 p. cent (voir aussi </w:t>
      </w:r>
      <w:r w:rsidR="00E4429B" w:rsidRPr="00115221">
        <w:rPr>
          <w:rFonts w:cs="Times New Roman"/>
          <w:b/>
          <w:snapToGrid w:val="0"/>
          <w:spacing w:val="-2"/>
          <w:kern w:val="22"/>
          <w:szCs w:val="22"/>
          <w:lang w:val="fr-CA"/>
        </w:rPr>
        <w:t>l’indicateur 2.7.2</w:t>
      </w:r>
      <w:r w:rsidR="00E4429B" w:rsidRPr="00115221">
        <w:rPr>
          <w:rFonts w:cs="Times New Roman"/>
          <w:snapToGrid w:val="0"/>
          <w:spacing w:val="-2"/>
          <w:kern w:val="22"/>
          <w:szCs w:val="22"/>
          <w:lang w:val="fr-CA"/>
        </w:rPr>
        <w:t>, ci-dessus</w:t>
      </w:r>
      <w:r w:rsidR="004569FB" w:rsidRPr="00115221">
        <w:rPr>
          <w:rFonts w:cs="Times New Roman"/>
          <w:snapToGrid w:val="0"/>
          <w:spacing w:val="-2"/>
          <w:kern w:val="22"/>
          <w:szCs w:val="22"/>
          <w:lang w:val="fr-CA"/>
        </w:rPr>
        <w:t>)</w:t>
      </w:r>
      <w:r w:rsidR="00003262" w:rsidRPr="00115221">
        <w:rPr>
          <w:rFonts w:cs="Times New Roman"/>
          <w:snapToGrid w:val="0"/>
          <w:spacing w:val="-2"/>
          <w:kern w:val="22"/>
          <w:szCs w:val="22"/>
          <w:lang w:val="fr-CA"/>
        </w:rPr>
        <w:t>.</w:t>
      </w:r>
    </w:p>
    <w:p w14:paraId="0129203E" w14:textId="679346B1" w:rsidR="004569FB" w:rsidRPr="00FC0DF2" w:rsidRDefault="00E4429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lang w:val="fr-CA"/>
        </w:rPr>
      </w:pPr>
      <w:r w:rsidRPr="00115221">
        <w:rPr>
          <w:rFonts w:cs="Times New Roman"/>
          <w:snapToGrid w:val="0"/>
          <w:spacing w:val="-2"/>
          <w:kern w:val="22"/>
          <w:szCs w:val="22"/>
          <w:lang w:val="fr-CA"/>
        </w:rPr>
        <w:t>Envir</w:t>
      </w:r>
      <w:r w:rsidR="00020AC6">
        <w:rPr>
          <w:rFonts w:cs="Times New Roman"/>
          <w:snapToGrid w:val="0"/>
          <w:spacing w:val="-2"/>
          <w:kern w:val="22"/>
          <w:szCs w:val="22"/>
          <w:lang w:val="fr-CA"/>
        </w:rPr>
        <w:t>on le tiers des répondants à l’E</w:t>
      </w:r>
      <w:r w:rsidRPr="00115221">
        <w:rPr>
          <w:rFonts w:cs="Times New Roman"/>
          <w:snapToGrid w:val="0"/>
          <w:spacing w:val="-2"/>
          <w:kern w:val="22"/>
          <w:szCs w:val="22"/>
          <w:lang w:val="fr-CA"/>
        </w:rPr>
        <w:t xml:space="preserve">nquête sur le programme de travail a indiqué avoir accès à du matériel commun </w:t>
      </w:r>
      <w:r w:rsidR="005564EC" w:rsidRPr="00115221">
        <w:rPr>
          <w:rFonts w:cs="Times New Roman"/>
          <w:snapToGrid w:val="0"/>
          <w:spacing w:val="-2"/>
          <w:kern w:val="22"/>
          <w:szCs w:val="22"/>
          <w:lang w:val="fr-CA"/>
        </w:rPr>
        <w:t xml:space="preserve">sur la sensibilisation, l’éducation et la participation du public par le truchement du </w:t>
      </w:r>
      <w:r w:rsidR="00B6412A">
        <w:rPr>
          <w:rFonts w:cs="Times New Roman"/>
          <w:snapToGrid w:val="0"/>
          <w:spacing w:val="-2"/>
          <w:kern w:val="22"/>
          <w:szCs w:val="22"/>
          <w:lang w:val="fr-CA"/>
        </w:rPr>
        <w:t>centre d’échange</w:t>
      </w:r>
      <w:r w:rsidR="005564EC" w:rsidRPr="00115221">
        <w:rPr>
          <w:rFonts w:cs="Times New Roman"/>
          <w:snapToGrid w:val="0"/>
          <w:spacing w:val="-2"/>
          <w:kern w:val="22"/>
          <w:szCs w:val="22"/>
          <w:lang w:val="fr-CA"/>
        </w:rPr>
        <w:t xml:space="preserve"> sur la prévention des risques biotechnologiques. La plupart des répondants a précisé que ce matériel portait sur les lois, les notifications et les approbations, mais comprenait également des présentations, des nouvelles et de l’infographie. Environ la moitié des Parties ayant indiqué avoir accès à du matériel commun</w:t>
      </w:r>
      <w:r w:rsidR="005564EC">
        <w:rPr>
          <w:snapToGrid w:val="0"/>
          <w:spacing w:val="-2"/>
          <w:kern w:val="22"/>
          <w:szCs w:val="22"/>
          <w:lang w:val="fr-CA"/>
        </w:rPr>
        <w:t xml:space="preserve"> a précisé partager ce matériel dans la langue nationale et/ou locale</w:t>
      </w:r>
      <w:r w:rsidR="004569FB" w:rsidRPr="00FC0DF2">
        <w:rPr>
          <w:snapToGrid w:val="0"/>
          <w:spacing w:val="-2"/>
          <w:kern w:val="22"/>
          <w:szCs w:val="22"/>
          <w:lang w:val="fr-CA"/>
        </w:rPr>
        <w:t>.</w:t>
      </w:r>
    </w:p>
    <w:p w14:paraId="0AB3D3F8" w14:textId="77777777" w:rsidR="004569FB" w:rsidRPr="00FC0DF2" w:rsidRDefault="004569FB" w:rsidP="004569FB">
      <w:pPr>
        <w:spacing w:afterLines="60" w:after="144"/>
        <w:jc w:val="center"/>
        <w:rPr>
          <w:rFonts w:eastAsia="Times New Roman"/>
          <w:snapToGrid w:val="0"/>
          <w:kern w:val="22"/>
          <w:szCs w:val="22"/>
          <w:lang w:val="fr-CA"/>
        </w:rPr>
      </w:pPr>
    </w:p>
    <w:p w14:paraId="5AB993C2" w14:textId="7906889C" w:rsidR="00F26CC6" w:rsidRPr="003133A9" w:rsidRDefault="00F26CC6" w:rsidP="00497555">
      <w:pPr>
        <w:tabs>
          <w:tab w:val="left" w:pos="851"/>
        </w:tabs>
        <w:spacing w:afterLines="60" w:after="144"/>
        <w:ind w:left="851"/>
        <w:jc w:val="center"/>
        <w:rPr>
          <w:rFonts w:eastAsia="Times New Roman"/>
          <w:snapToGrid w:val="0"/>
          <w:kern w:val="22"/>
          <w:szCs w:val="22"/>
        </w:rPr>
      </w:pPr>
      <w:r w:rsidRPr="00FC0DF2">
        <w:rPr>
          <w:rFonts w:eastAsia="Times New Roman"/>
          <w:snapToGrid w:val="0"/>
          <w:kern w:val="22"/>
          <w:szCs w:val="22"/>
          <w:lang w:val="fr-CA"/>
        </w:rPr>
        <w:t>___</w:t>
      </w:r>
      <w:r w:rsidRPr="003133A9">
        <w:rPr>
          <w:rFonts w:eastAsia="Times New Roman"/>
          <w:snapToGrid w:val="0"/>
          <w:kern w:val="22"/>
          <w:szCs w:val="22"/>
        </w:rPr>
        <w:t>_______</w:t>
      </w:r>
    </w:p>
    <w:sectPr w:rsidR="00F26CC6" w:rsidRPr="003133A9" w:rsidSect="00497555">
      <w:headerReference w:type="even" r:id="rId25"/>
      <w:headerReference w:type="default" r:id="rId26"/>
      <w:footerReference w:type="even" r:id="rId27"/>
      <w:footerReference w:type="default" r:id="rId28"/>
      <w:headerReference w:type="first" r:id="rId29"/>
      <w:footerReference w:type="first" r:id="rId30"/>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A830A" w14:textId="77777777" w:rsidR="006121B4" w:rsidRDefault="006121B4">
      <w:r>
        <w:separator/>
      </w:r>
    </w:p>
  </w:endnote>
  <w:endnote w:type="continuationSeparator" w:id="0">
    <w:p w14:paraId="14EE2096" w14:textId="77777777" w:rsidR="006121B4" w:rsidRDefault="006121B4">
      <w:r>
        <w:continuationSeparator/>
      </w:r>
    </w:p>
  </w:endnote>
  <w:endnote w:type="continuationNotice" w:id="1">
    <w:p w14:paraId="4B895CEA" w14:textId="77777777" w:rsidR="006121B4" w:rsidRDefault="00612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1496" w14:textId="77777777" w:rsidR="00770532" w:rsidRDefault="00770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C559" w14:textId="77777777" w:rsidR="00770532" w:rsidRDefault="00770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F1CB" w14:textId="77777777" w:rsidR="00770532" w:rsidRDefault="00770532"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B740" w14:textId="77777777" w:rsidR="006121B4" w:rsidRDefault="006121B4">
      <w:r>
        <w:separator/>
      </w:r>
    </w:p>
  </w:footnote>
  <w:footnote w:type="continuationSeparator" w:id="0">
    <w:p w14:paraId="7E918F07" w14:textId="77777777" w:rsidR="006121B4" w:rsidRDefault="006121B4">
      <w:r>
        <w:continuationSeparator/>
      </w:r>
    </w:p>
  </w:footnote>
  <w:footnote w:type="continuationNotice" w:id="1">
    <w:p w14:paraId="09BD789B" w14:textId="77777777" w:rsidR="006121B4" w:rsidRDefault="006121B4"/>
  </w:footnote>
  <w:footnote w:id="2">
    <w:p w14:paraId="763776CE" w14:textId="0195D8CD" w:rsidR="00770532" w:rsidRPr="00153A8B" w:rsidRDefault="00770532">
      <w:pPr>
        <w:pStyle w:val="FootnoteText"/>
        <w:rPr>
          <w:lang w:val="fr-CA"/>
        </w:rPr>
      </w:pPr>
      <w:r w:rsidRPr="00153A8B">
        <w:rPr>
          <w:rStyle w:val="FootnoteReference"/>
          <w:lang w:val="fr-CA"/>
        </w:rPr>
        <w:t>*</w:t>
      </w:r>
      <w:r w:rsidRPr="00153A8B">
        <w:rPr>
          <w:lang w:val="fr-CA"/>
        </w:rPr>
        <w:t xml:space="preserve"> CBD/SBI/3/1.</w:t>
      </w:r>
    </w:p>
  </w:footnote>
  <w:footnote w:id="3">
    <w:p w14:paraId="15FF34A6" w14:textId="73BEDA81" w:rsidR="00770532" w:rsidRPr="00153A8B" w:rsidRDefault="00770532">
      <w:pPr>
        <w:pStyle w:val="FootnoteText"/>
        <w:rPr>
          <w:lang w:val="fr-CA"/>
        </w:rPr>
      </w:pPr>
      <w:r>
        <w:rPr>
          <w:rStyle w:val="FootnoteReference"/>
        </w:rPr>
        <w:footnoteRef/>
      </w:r>
      <w:r w:rsidRPr="00153A8B">
        <w:rPr>
          <w:lang w:val="fr-CA"/>
        </w:rPr>
        <w:t xml:space="preserve"> https://beta.bch.cbd.int/register/NR4 </w:t>
      </w:r>
    </w:p>
  </w:footnote>
  <w:footnote w:id="4">
    <w:p w14:paraId="2142F5E4" w14:textId="35A84580" w:rsidR="00770532" w:rsidRPr="00CE5530" w:rsidRDefault="00770532">
      <w:pPr>
        <w:pStyle w:val="FootnoteText"/>
        <w:rPr>
          <w:lang w:val="fr-CA"/>
        </w:rPr>
      </w:pPr>
      <w:r>
        <w:rPr>
          <w:rStyle w:val="FootnoteReference"/>
        </w:rPr>
        <w:footnoteRef/>
      </w:r>
      <w:r w:rsidRPr="00FF6DAF">
        <w:rPr>
          <w:lang w:val="fr-CA"/>
        </w:rPr>
        <w:t xml:space="preserve"> </w:t>
      </w:r>
      <w:r w:rsidRPr="00CE5530">
        <w:rPr>
          <w:lang w:val="fr-CA"/>
        </w:rPr>
        <w:t xml:space="preserve">Voir CBD/CP/CC/17/INF/1 </w:t>
      </w:r>
      <w:r>
        <w:rPr>
          <w:lang w:val="fr-CA"/>
        </w:rPr>
        <w:t>et</w:t>
      </w:r>
      <w:r w:rsidRPr="00CE5530">
        <w:rPr>
          <w:lang w:val="fr-CA"/>
        </w:rPr>
        <w:t xml:space="preserve"> CBD/CP/LG/2020/1/INF/1. </w:t>
      </w:r>
    </w:p>
  </w:footnote>
  <w:footnote w:id="5">
    <w:p w14:paraId="6884F4F2" w14:textId="298E2926" w:rsidR="00770532" w:rsidRPr="00CE5530" w:rsidRDefault="00770532" w:rsidP="004569FB">
      <w:pPr>
        <w:pStyle w:val="FootnoteText"/>
        <w:rPr>
          <w:sz w:val="18"/>
          <w:szCs w:val="18"/>
          <w:lang w:val="fr-CA"/>
        </w:rPr>
      </w:pPr>
      <w:r w:rsidRPr="00CE5530">
        <w:rPr>
          <w:rStyle w:val="FootnoteReference"/>
          <w:sz w:val="18"/>
          <w:szCs w:val="18"/>
          <w:lang w:val="fr-CA"/>
        </w:rPr>
        <w:footnoteRef/>
      </w:r>
      <w:r w:rsidRPr="00CE5530">
        <w:rPr>
          <w:sz w:val="18"/>
          <w:szCs w:val="18"/>
          <w:lang w:val="fr-CA"/>
        </w:rPr>
        <w:t xml:space="preserve"> </w:t>
      </w:r>
      <w:hyperlink r:id="rId1" w:history="1">
        <w:r w:rsidRPr="00CE5530">
          <w:rPr>
            <w:sz w:val="18"/>
            <w:szCs w:val="18"/>
            <w:lang w:val="fr-CA"/>
          </w:rPr>
          <w:t>La notification 2019-19</w:t>
        </w:r>
      </w:hyperlink>
      <w:r w:rsidRPr="00CE5530">
        <w:rPr>
          <w:sz w:val="18"/>
          <w:szCs w:val="18"/>
          <w:lang w:val="fr-CA"/>
        </w:rPr>
        <w:t xml:space="preserve"> émise le 13 février 2019 invite les Parties </w:t>
      </w:r>
      <w:r>
        <w:rPr>
          <w:sz w:val="18"/>
          <w:szCs w:val="18"/>
          <w:lang w:val="fr-CA"/>
        </w:rPr>
        <w:t>à remettre leur quatrième rapport national avant le 1</w:t>
      </w:r>
      <w:r w:rsidRPr="00CE5530">
        <w:rPr>
          <w:sz w:val="18"/>
          <w:szCs w:val="18"/>
          <w:vertAlign w:val="superscript"/>
          <w:lang w:val="fr-CA"/>
        </w:rPr>
        <w:t>er</w:t>
      </w:r>
      <w:r>
        <w:rPr>
          <w:sz w:val="18"/>
          <w:szCs w:val="18"/>
          <w:lang w:val="fr-CA"/>
        </w:rPr>
        <w:t> octobre 2019</w:t>
      </w:r>
      <w:r w:rsidRPr="00CE5530">
        <w:rPr>
          <w:sz w:val="18"/>
          <w:szCs w:val="18"/>
          <w:lang w:val="fr-CA"/>
        </w:rPr>
        <w:t>.</w:t>
      </w:r>
    </w:p>
  </w:footnote>
  <w:footnote w:id="6">
    <w:p w14:paraId="4FB5C8F2" w14:textId="51FF3AF6" w:rsidR="00770532" w:rsidRPr="00CE5530" w:rsidRDefault="00770532" w:rsidP="004569FB">
      <w:pPr>
        <w:pStyle w:val="FootnoteText"/>
        <w:rPr>
          <w:sz w:val="18"/>
          <w:szCs w:val="18"/>
          <w:lang w:val="fr-CA"/>
        </w:rPr>
      </w:pPr>
      <w:r w:rsidRPr="00CE5530">
        <w:rPr>
          <w:rStyle w:val="FootnoteReference"/>
          <w:sz w:val="18"/>
          <w:szCs w:val="18"/>
          <w:lang w:val="fr-CA"/>
        </w:rPr>
        <w:footnoteRef/>
      </w:r>
      <w:r w:rsidRPr="00CE5530">
        <w:rPr>
          <w:sz w:val="18"/>
          <w:szCs w:val="18"/>
          <w:lang w:val="fr-CA"/>
        </w:rPr>
        <w:t xml:space="preserve"> </w:t>
      </w:r>
      <w:r>
        <w:rPr>
          <w:sz w:val="18"/>
          <w:szCs w:val="18"/>
          <w:lang w:val="fr-CA"/>
        </w:rPr>
        <w:t>Certaines sources d’information supplémentaires, telles que les données d’enquête, ont été utilisées en appui à l’analyse. Par exemple, l’Enquête sur les principaux indicateurs du programme de travail sur la sensibilisation, l’éducation et la participation du public concernant les organismes vivants modifiés a été utilisée en appui à l’analyse présentée dans les parties III k) et III l). Toutes les sources d’information supplémentaires utilisées ont été identifiées dans les notes au présent document.</w:t>
      </w:r>
      <w:r w:rsidRPr="00CE5530">
        <w:rPr>
          <w:sz w:val="18"/>
          <w:szCs w:val="18"/>
          <w:lang w:val="fr-CA"/>
        </w:rPr>
        <w:t xml:space="preserve"> </w:t>
      </w:r>
    </w:p>
  </w:footnote>
  <w:footnote w:id="7">
    <w:p w14:paraId="63541AE4" w14:textId="242BB2C5" w:rsidR="00770532" w:rsidRPr="00CE5530" w:rsidRDefault="00770532" w:rsidP="008C6876">
      <w:pPr>
        <w:pStyle w:val="FootnoteText"/>
        <w:snapToGrid w:val="0"/>
        <w:spacing w:after="60"/>
        <w:rPr>
          <w:kern w:val="18"/>
          <w:sz w:val="18"/>
          <w:szCs w:val="18"/>
          <w:lang w:val="fr-CA"/>
        </w:rPr>
      </w:pPr>
      <w:r w:rsidRPr="00CE5530">
        <w:rPr>
          <w:rStyle w:val="FootnoteReference"/>
          <w:kern w:val="18"/>
          <w:sz w:val="18"/>
          <w:szCs w:val="18"/>
          <w:lang w:val="fr-CA"/>
        </w:rPr>
        <w:footnoteRef/>
      </w:r>
      <w:r w:rsidRPr="00CE5530">
        <w:rPr>
          <w:kern w:val="18"/>
          <w:sz w:val="18"/>
          <w:szCs w:val="18"/>
          <w:lang w:val="fr-CA"/>
        </w:rPr>
        <w:t xml:space="preserve"> </w:t>
      </w:r>
      <w:r>
        <w:rPr>
          <w:kern w:val="18"/>
          <w:sz w:val="18"/>
          <w:szCs w:val="18"/>
          <w:lang w:val="fr-CA"/>
        </w:rPr>
        <w:t>L’analyse utilisée pour établir les données de référence a été effectuée à partir des deuxièmes rapports nationaux reçus au 31 décembre 2011</w:t>
      </w:r>
      <w:r w:rsidRPr="00CE5530">
        <w:rPr>
          <w:kern w:val="18"/>
          <w:sz w:val="18"/>
          <w:szCs w:val="18"/>
          <w:lang w:val="fr-CA"/>
        </w:rPr>
        <w:t xml:space="preserve"> (UNEP/CBD/BS/COP-MOP/6/17/Add.1). </w:t>
      </w:r>
      <w:r>
        <w:rPr>
          <w:kern w:val="18"/>
          <w:sz w:val="18"/>
          <w:szCs w:val="18"/>
          <w:lang w:val="fr-CA"/>
        </w:rPr>
        <w:t>L’Enquête a été réalisée en 2013 et 109 Parties y ont participé. Les résultats de l’Enquête sont publiés sur le site : http://bch.cbd.int/database/reports/surveyonindicators.sthtml</w:t>
      </w:r>
      <w:r w:rsidRPr="00CE5530">
        <w:rPr>
          <w:kern w:val="18"/>
          <w:sz w:val="18"/>
          <w:szCs w:val="18"/>
          <w:lang w:val="fr-CA"/>
        </w:rPr>
        <w:t>.</w:t>
      </w:r>
    </w:p>
  </w:footnote>
  <w:footnote w:id="8">
    <w:p w14:paraId="5EC9DFD5" w14:textId="1F6BCF93" w:rsidR="00770532" w:rsidRPr="00CE5530" w:rsidRDefault="00770532" w:rsidP="004569FB">
      <w:pPr>
        <w:pStyle w:val="FootnoteText"/>
        <w:tabs>
          <w:tab w:val="left" w:pos="270"/>
        </w:tabs>
        <w:snapToGrid w:val="0"/>
        <w:spacing w:after="60"/>
        <w:rPr>
          <w:snapToGrid w:val="0"/>
          <w:kern w:val="18"/>
          <w:sz w:val="18"/>
          <w:szCs w:val="18"/>
          <w:lang w:val="fr-CA"/>
        </w:rPr>
      </w:pPr>
      <w:r w:rsidRPr="00CE5530">
        <w:rPr>
          <w:rStyle w:val="FootnoteReference"/>
          <w:snapToGrid w:val="0"/>
          <w:kern w:val="18"/>
          <w:sz w:val="18"/>
          <w:szCs w:val="18"/>
          <w:lang w:val="fr-CA"/>
        </w:rPr>
        <w:footnoteRef/>
      </w:r>
      <w:r w:rsidRPr="00ED682D">
        <w:rPr>
          <w:snapToGrid w:val="0"/>
          <w:kern w:val="18"/>
          <w:sz w:val="18"/>
          <w:szCs w:val="18"/>
          <w:lang w:val="fr-CA"/>
        </w:rPr>
        <w:t xml:space="preserve"> </w:t>
      </w:r>
      <w:r w:rsidRPr="00ED682D">
        <w:rPr>
          <w:sz w:val="18"/>
          <w:szCs w:val="18"/>
          <w:lang w:val="fr-CA"/>
        </w:rPr>
        <w:t>L’outil d’analyse des rappor</w:t>
      </w:r>
      <w:r>
        <w:rPr>
          <w:sz w:val="18"/>
          <w:szCs w:val="18"/>
          <w:lang w:val="fr-CA"/>
        </w:rPr>
        <w:t>ts est publ</w:t>
      </w:r>
      <w:r w:rsidRPr="00ED682D">
        <w:rPr>
          <w:sz w:val="18"/>
          <w:szCs w:val="18"/>
          <w:lang w:val="fr-CA"/>
        </w:rPr>
        <w:t>ié sur le site</w:t>
      </w:r>
      <w:r>
        <w:rPr>
          <w:sz w:val="18"/>
          <w:szCs w:val="18"/>
          <w:lang w:val="fr-CA"/>
        </w:rPr>
        <w:t xml:space="preserve"> </w:t>
      </w:r>
      <w:r>
        <w:rPr>
          <w:kern w:val="18"/>
          <w:sz w:val="18"/>
          <w:szCs w:val="18"/>
          <w:lang w:val="fr-CA"/>
        </w:rPr>
        <w:t>http://bch.cbd.int/database/reports/analyzer. Cet outil facilite la comparaison des informations fournies dans les quatrièmes, troisièmes et deuxièmes rapports nationaux, ainsi que dans l’Enquête.</w:t>
      </w:r>
      <w:r w:rsidRPr="00ED682D">
        <w:rPr>
          <w:sz w:val="18"/>
          <w:szCs w:val="18"/>
          <w:lang w:val="fr-CA"/>
        </w:rPr>
        <w:t xml:space="preserve"> </w:t>
      </w:r>
    </w:p>
  </w:footnote>
  <w:footnote w:id="9">
    <w:p w14:paraId="019CE7B1" w14:textId="553C4740" w:rsidR="00770532" w:rsidRPr="00CE5530" w:rsidRDefault="00770532" w:rsidP="004569FB">
      <w:pPr>
        <w:pStyle w:val="FootnoteText"/>
        <w:rPr>
          <w:sz w:val="18"/>
          <w:szCs w:val="18"/>
          <w:lang w:val="fr-CA"/>
        </w:rPr>
      </w:pPr>
      <w:r w:rsidRPr="00CE5530">
        <w:rPr>
          <w:rStyle w:val="FootnoteReference"/>
          <w:sz w:val="18"/>
          <w:szCs w:val="18"/>
          <w:lang w:val="fr-CA"/>
        </w:rPr>
        <w:footnoteRef/>
      </w:r>
      <w:r w:rsidRPr="00CE5530">
        <w:rPr>
          <w:sz w:val="18"/>
          <w:szCs w:val="18"/>
          <w:lang w:val="fr-CA"/>
        </w:rPr>
        <w:t xml:space="preserve"> </w:t>
      </w:r>
      <w:r>
        <w:rPr>
          <w:sz w:val="18"/>
          <w:szCs w:val="18"/>
          <w:lang w:val="fr-CA"/>
        </w:rPr>
        <w:t xml:space="preserve">La grille détaillant les sources d’informations ayant servi à l’analyse des différents indicateurs est publiée sur le site </w:t>
      </w:r>
      <w:r>
        <w:rPr>
          <w:kern w:val="18"/>
          <w:sz w:val="18"/>
          <w:szCs w:val="18"/>
          <w:lang w:val="fr-CA"/>
        </w:rPr>
        <w:t>http://bch.cbd.int/protocol/issues/final_evaluation.shtml.</w:t>
      </w:r>
    </w:p>
  </w:footnote>
  <w:footnote w:id="10">
    <w:p w14:paraId="210C223A" w14:textId="0D079B46" w:rsidR="00770532" w:rsidRPr="000468FC" w:rsidRDefault="00770532" w:rsidP="00F078D1">
      <w:pPr>
        <w:pStyle w:val="FootnoteText"/>
        <w:rPr>
          <w:sz w:val="18"/>
          <w:szCs w:val="18"/>
          <w:lang w:val="fr-CA"/>
        </w:rPr>
      </w:pPr>
      <w:r w:rsidRPr="00CE5530">
        <w:rPr>
          <w:rStyle w:val="FootnoteReference"/>
          <w:sz w:val="18"/>
          <w:szCs w:val="18"/>
          <w:lang w:val="fr-CA"/>
        </w:rPr>
        <w:footnoteRef/>
      </w:r>
      <w:r w:rsidRPr="000468FC">
        <w:rPr>
          <w:sz w:val="18"/>
          <w:szCs w:val="18"/>
          <w:lang w:val="fr-CA"/>
        </w:rPr>
        <w:t xml:space="preserve"> L’analyse comparative des informations de la troisième évaluation et examen du Protocole et l’évaluation </w:t>
      </w:r>
      <w:r>
        <w:rPr>
          <w:sz w:val="18"/>
          <w:szCs w:val="18"/>
          <w:lang w:val="fr-CA"/>
        </w:rPr>
        <w:t xml:space="preserve">de mi-mandat du Plan stratégique est fondée sur 105 troisièmes rapports nationaux. Voir </w:t>
      </w:r>
      <w:r w:rsidRPr="000468FC">
        <w:rPr>
          <w:sz w:val="18"/>
          <w:szCs w:val="18"/>
          <w:lang w:val="fr-CA"/>
        </w:rPr>
        <w:t>: UNEP/CBD/SBI/1/4.</w:t>
      </w:r>
    </w:p>
  </w:footnote>
  <w:footnote w:id="11">
    <w:p w14:paraId="6E60E73F" w14:textId="2C9DB7C3" w:rsidR="00770532" w:rsidRPr="00305063" w:rsidRDefault="00770532" w:rsidP="009D45AC">
      <w:pPr>
        <w:pStyle w:val="FootnoteText"/>
        <w:rPr>
          <w:sz w:val="18"/>
          <w:szCs w:val="18"/>
          <w:lang w:val="fr-CA"/>
        </w:rPr>
      </w:pPr>
      <w:r>
        <w:rPr>
          <w:rStyle w:val="FootnoteReference"/>
        </w:rPr>
        <w:footnoteRef/>
      </w:r>
      <w:r w:rsidRPr="00305063">
        <w:rPr>
          <w:lang w:val="fr-CA"/>
        </w:rPr>
        <w:t xml:space="preserve"> </w:t>
      </w:r>
      <w:r>
        <w:rPr>
          <w:sz w:val="18"/>
          <w:szCs w:val="18"/>
          <w:lang w:val="fr-CA"/>
        </w:rPr>
        <w:t>Par exemple, les progrès signalés dans un secteur d’activité donné par quelques Parties d’une région donnée ne figureront pas dans l’analyse si le même nombre de Parties dans cette même région signalent le contraire.</w:t>
      </w:r>
      <w:r w:rsidRPr="00305063">
        <w:rPr>
          <w:sz w:val="18"/>
          <w:szCs w:val="18"/>
          <w:lang w:val="fr-CA"/>
        </w:rPr>
        <w:t xml:space="preserve"> </w:t>
      </w:r>
    </w:p>
  </w:footnote>
  <w:footnote w:id="12">
    <w:p w14:paraId="6A048578" w14:textId="109906F7" w:rsidR="00770532" w:rsidRPr="00305063" w:rsidRDefault="00770532" w:rsidP="004569FB">
      <w:pPr>
        <w:pStyle w:val="FootnoteText"/>
        <w:snapToGrid w:val="0"/>
        <w:spacing w:after="60"/>
        <w:rPr>
          <w:snapToGrid w:val="0"/>
          <w:kern w:val="18"/>
          <w:sz w:val="18"/>
          <w:szCs w:val="18"/>
          <w:lang w:val="fr-CA"/>
        </w:rPr>
      </w:pPr>
      <w:r w:rsidRPr="00305063">
        <w:rPr>
          <w:rStyle w:val="FootnoteReference"/>
          <w:snapToGrid w:val="0"/>
          <w:kern w:val="18"/>
          <w:sz w:val="18"/>
          <w:szCs w:val="18"/>
          <w:lang w:val="fr-CA"/>
        </w:rPr>
        <w:footnoteRef/>
      </w:r>
      <w:r w:rsidRPr="00305063">
        <w:rPr>
          <w:snapToGrid w:val="0"/>
          <w:kern w:val="18"/>
          <w:sz w:val="18"/>
          <w:szCs w:val="18"/>
          <w:lang w:val="fr-CA"/>
        </w:rPr>
        <w:t xml:space="preserve"> </w:t>
      </w:r>
      <w:r>
        <w:rPr>
          <w:snapToGrid w:val="0"/>
          <w:kern w:val="18"/>
          <w:sz w:val="18"/>
          <w:szCs w:val="18"/>
          <w:lang w:val="fr-CA"/>
        </w:rPr>
        <w:t xml:space="preserve">Le système de numérotation utilisé pour le Plan stratégique au centre d’échange sur la prévention des risques biotechnologiques, publié sur le site http://bch.cbd.int/protocol/issues/cpb_stplan_txt.shtml#elements, a été utilisé tout au long du présent document. </w:t>
      </w:r>
    </w:p>
  </w:footnote>
  <w:footnote w:id="13">
    <w:p w14:paraId="4A812F59" w14:textId="33204D7E" w:rsidR="00770532" w:rsidRPr="00DC49B2" w:rsidRDefault="00770532" w:rsidP="004569FB">
      <w:pPr>
        <w:pStyle w:val="FootnoteText"/>
        <w:rPr>
          <w:rFonts w:cs="Times New Roman"/>
          <w:sz w:val="18"/>
          <w:szCs w:val="18"/>
          <w:lang w:val="fr-CA"/>
        </w:rPr>
      </w:pPr>
      <w:r w:rsidRPr="008D6A50">
        <w:rPr>
          <w:rStyle w:val="FootnoteReference"/>
          <w:sz w:val="18"/>
          <w:szCs w:val="18"/>
        </w:rPr>
        <w:footnoteRef/>
      </w:r>
      <w:r w:rsidRPr="005E5DF1">
        <w:rPr>
          <w:sz w:val="18"/>
          <w:szCs w:val="18"/>
          <w:lang w:val="fr-FR"/>
        </w:rPr>
        <w:t xml:space="preserve"> </w:t>
      </w:r>
      <w:r w:rsidRPr="00DC49B2">
        <w:rPr>
          <w:rFonts w:cs="Times New Roman"/>
          <w:sz w:val="18"/>
          <w:szCs w:val="18"/>
          <w:lang w:val="fr-CA"/>
        </w:rPr>
        <w:t xml:space="preserve">Côte d’Ivoire, Émirats arabes unis, Iraq, Koweït. </w:t>
      </w:r>
    </w:p>
  </w:footnote>
  <w:footnote w:id="14">
    <w:p w14:paraId="5902529B" w14:textId="5525CE36" w:rsidR="00770532" w:rsidRPr="00DC49B2" w:rsidRDefault="00770532" w:rsidP="004569FB">
      <w:pPr>
        <w:pStyle w:val="FootnoteText"/>
        <w:rPr>
          <w:rFonts w:cs="Times New Roman"/>
          <w:sz w:val="18"/>
          <w:szCs w:val="18"/>
          <w:lang w:val="fr-CA"/>
        </w:rPr>
      </w:pPr>
      <w:r w:rsidRPr="00DC49B2">
        <w:rPr>
          <w:rStyle w:val="FootnoteReference"/>
          <w:rFonts w:cs="Times New Roman"/>
          <w:sz w:val="18"/>
          <w:szCs w:val="18"/>
          <w:lang w:val="fr-CA"/>
        </w:rPr>
        <w:footnoteRef/>
      </w:r>
      <w:r w:rsidRPr="00DC49B2">
        <w:rPr>
          <w:rFonts w:cs="Times New Roman"/>
          <w:sz w:val="18"/>
          <w:szCs w:val="18"/>
          <w:lang w:val="fr-CA"/>
        </w:rPr>
        <w:t xml:space="preserve"> Ouzbékistan.</w:t>
      </w:r>
    </w:p>
  </w:footnote>
  <w:footnote w:id="15">
    <w:p w14:paraId="4927E604" w14:textId="2A53ED4F" w:rsidR="00770532" w:rsidRPr="00DC49B2" w:rsidRDefault="00770532" w:rsidP="004569FB">
      <w:pPr>
        <w:pStyle w:val="FootnoteText"/>
        <w:rPr>
          <w:rFonts w:cs="Times New Roman"/>
          <w:sz w:val="18"/>
          <w:szCs w:val="18"/>
          <w:lang w:val="fr-CA"/>
        </w:rPr>
      </w:pPr>
      <w:r w:rsidRPr="00DC49B2">
        <w:rPr>
          <w:rStyle w:val="FootnoteReference"/>
          <w:rFonts w:cs="Times New Roman"/>
          <w:sz w:val="18"/>
          <w:szCs w:val="18"/>
          <w:lang w:val="fr-CA"/>
        </w:rPr>
        <w:footnoteRef/>
      </w:r>
      <w:r w:rsidRPr="00DC49B2">
        <w:rPr>
          <w:rFonts w:cs="Times New Roman"/>
          <w:sz w:val="18"/>
          <w:szCs w:val="18"/>
          <w:lang w:val="fr-CA"/>
        </w:rPr>
        <w:t xml:space="preserve"> La Côte d’Ivoire et l’Iraq ont remis leur quatrième rapport </w:t>
      </w:r>
      <w:r w:rsidRPr="00DC49B2">
        <w:rPr>
          <w:rFonts w:eastAsia="Times New Roman" w:cs="Times New Roman"/>
          <w:sz w:val="18"/>
          <w:szCs w:val="18"/>
          <w:lang w:val="fr-CA"/>
        </w:rPr>
        <w:t>national</w:t>
      </w:r>
      <w:r w:rsidRPr="00DC49B2">
        <w:rPr>
          <w:rFonts w:cs="Times New Roman"/>
          <w:sz w:val="18"/>
          <w:szCs w:val="18"/>
          <w:lang w:val="fr-CA"/>
        </w:rPr>
        <w:t xml:space="preserve">. Comme le deuxième rapport </w:t>
      </w:r>
      <w:r w:rsidRPr="00DC49B2">
        <w:rPr>
          <w:rFonts w:eastAsia="Times New Roman" w:cs="Times New Roman"/>
          <w:sz w:val="18"/>
          <w:szCs w:val="18"/>
          <w:lang w:val="fr-CA"/>
        </w:rPr>
        <w:t>national</w:t>
      </w:r>
      <w:r w:rsidRPr="00DC49B2">
        <w:rPr>
          <w:rFonts w:cs="Times New Roman"/>
          <w:sz w:val="18"/>
          <w:szCs w:val="18"/>
          <w:lang w:val="fr-CA"/>
        </w:rPr>
        <w:t xml:space="preserve"> n’est disponible pour aucun de ces pays, les données présentées dans le quatrième rapport </w:t>
      </w:r>
      <w:r w:rsidRPr="00DC49B2">
        <w:rPr>
          <w:rFonts w:eastAsia="Times New Roman" w:cs="Times New Roman"/>
          <w:sz w:val="18"/>
          <w:szCs w:val="18"/>
          <w:lang w:val="fr-CA"/>
        </w:rPr>
        <w:t>national</w:t>
      </w:r>
      <w:r w:rsidRPr="00DC49B2">
        <w:rPr>
          <w:rFonts w:cs="Times New Roman"/>
          <w:sz w:val="18"/>
          <w:szCs w:val="18"/>
          <w:lang w:val="fr-CA"/>
        </w:rPr>
        <w:t xml:space="preserve"> de ces pays n’ont aucune incidence sur l’analyse comparative.</w:t>
      </w:r>
    </w:p>
  </w:footnote>
  <w:footnote w:id="16">
    <w:p w14:paraId="38F5A771" w14:textId="557AA4BA" w:rsidR="00770532" w:rsidRPr="00DC49B2" w:rsidRDefault="00770532" w:rsidP="002E756C">
      <w:pPr>
        <w:pStyle w:val="FootnoteText"/>
        <w:snapToGrid w:val="0"/>
        <w:spacing w:after="60"/>
        <w:rPr>
          <w:rFonts w:cs="Times New Roman"/>
          <w:snapToGrid w:val="0"/>
          <w:kern w:val="18"/>
          <w:sz w:val="18"/>
          <w:szCs w:val="18"/>
          <w:lang w:val="fr-CA"/>
        </w:rPr>
      </w:pPr>
      <w:r w:rsidRPr="00DC49B2">
        <w:rPr>
          <w:rStyle w:val="FootnoteReference"/>
          <w:rFonts w:cs="Times New Roman"/>
          <w:snapToGrid w:val="0"/>
          <w:kern w:val="18"/>
          <w:sz w:val="18"/>
          <w:szCs w:val="18"/>
          <w:lang w:val="fr-CA"/>
        </w:rPr>
        <w:footnoteRef/>
      </w:r>
      <w:r w:rsidRPr="00DC49B2">
        <w:rPr>
          <w:rFonts w:cs="Times New Roman"/>
          <w:snapToGrid w:val="0"/>
          <w:kern w:val="18"/>
          <w:sz w:val="18"/>
          <w:szCs w:val="18"/>
          <w:lang w:val="fr-CA"/>
        </w:rPr>
        <w:t xml:space="preserve"> Bangladesh, Bosnie-Herzégovine, Cambodge, Chine, Costa Rica, Croatie, Équateur, Égypte, Espagne, Éthiopie, France, Inde, Indonésie, Italie, Kazakhstan, Malaisie, Mexique, Pérou, République de Corée, </w:t>
      </w:r>
      <w:r>
        <w:rPr>
          <w:rFonts w:cs="Times New Roman"/>
          <w:snapToGrid w:val="0"/>
          <w:kern w:val="18"/>
          <w:sz w:val="18"/>
          <w:szCs w:val="18"/>
          <w:lang w:val="fr-CA"/>
        </w:rPr>
        <w:t xml:space="preserve">République démocratique populaire lao, </w:t>
      </w:r>
      <w:r w:rsidRPr="00DC49B2">
        <w:rPr>
          <w:rFonts w:cs="Times New Roman"/>
          <w:snapToGrid w:val="0"/>
          <w:kern w:val="18"/>
          <w:sz w:val="18"/>
          <w:szCs w:val="18"/>
          <w:lang w:val="fr-CA"/>
        </w:rPr>
        <w:t>Slovénie, Thaïlande, Turquie, Viet Nam.</w:t>
      </w:r>
    </w:p>
  </w:footnote>
  <w:footnote w:id="17">
    <w:p w14:paraId="252127A3" w14:textId="7B1FFBC7" w:rsidR="00770532" w:rsidRPr="002708D2" w:rsidRDefault="00770532" w:rsidP="004569FB">
      <w:pPr>
        <w:pStyle w:val="FootnoteText"/>
        <w:rPr>
          <w:sz w:val="18"/>
          <w:szCs w:val="18"/>
          <w:lang w:val="fr-CA"/>
        </w:rPr>
      </w:pPr>
      <w:r w:rsidRPr="00DC49B2">
        <w:rPr>
          <w:rStyle w:val="FootnoteReference"/>
          <w:rFonts w:cs="Times New Roman"/>
          <w:sz w:val="18"/>
          <w:szCs w:val="18"/>
          <w:lang w:val="fr-CA"/>
        </w:rPr>
        <w:footnoteRef/>
      </w:r>
      <w:r w:rsidRPr="00DC49B2">
        <w:rPr>
          <w:rFonts w:cs="Times New Roman"/>
          <w:sz w:val="18"/>
          <w:szCs w:val="18"/>
          <w:lang w:val="fr-CA"/>
        </w:rPr>
        <w:t xml:space="preserve"> Comme la question peut donner lieu à plusieurs réponses, la comparaison indique le nombre total et non les pourcentages</w:t>
      </w:r>
      <w:r w:rsidRPr="002708D2">
        <w:rPr>
          <w:sz w:val="18"/>
          <w:szCs w:val="18"/>
          <w:lang w:val="fr-CA"/>
        </w:rPr>
        <w:t>.</w:t>
      </w:r>
    </w:p>
  </w:footnote>
  <w:footnote w:id="18">
    <w:p w14:paraId="03FA4B8B" w14:textId="7C52B64A" w:rsidR="00770532" w:rsidRPr="00832A39" w:rsidRDefault="00770532" w:rsidP="004569FB">
      <w:pPr>
        <w:pStyle w:val="FootnoteText"/>
        <w:rPr>
          <w:rFonts w:cs="Times New Roman"/>
          <w:sz w:val="18"/>
          <w:szCs w:val="18"/>
          <w:lang w:val="fr-CA"/>
        </w:rPr>
      </w:pPr>
      <w:r w:rsidRPr="008D6A50">
        <w:rPr>
          <w:rStyle w:val="FootnoteReference"/>
          <w:sz w:val="18"/>
          <w:szCs w:val="18"/>
        </w:rPr>
        <w:footnoteRef/>
      </w:r>
      <w:r w:rsidRPr="00A557EC">
        <w:rPr>
          <w:sz w:val="18"/>
          <w:szCs w:val="18"/>
          <w:lang w:val="fr-CA"/>
        </w:rPr>
        <w:t xml:space="preserve"> </w:t>
      </w:r>
      <w:bookmarkStart w:id="2" w:name="_Hlk30771187"/>
      <w:r w:rsidRPr="00832A39">
        <w:rPr>
          <w:rFonts w:cs="Times New Roman"/>
          <w:snapToGrid w:val="0"/>
          <w:kern w:val="18"/>
          <w:sz w:val="18"/>
          <w:szCs w:val="18"/>
          <w:lang w:val="fr-CA"/>
        </w:rPr>
        <w:t xml:space="preserve">Il n’a pas été possible de répondre « dans une certaine mesure » à la question sur le sujet dans le deuxième rapport national, ce qui peut avoir eu des conséquences sur les </w:t>
      </w:r>
      <w:r>
        <w:rPr>
          <w:rFonts w:eastAsia="Times New Roman" w:cs="Times New Roman"/>
          <w:snapToGrid w:val="0"/>
          <w:kern w:val="18"/>
          <w:sz w:val="18"/>
          <w:szCs w:val="18"/>
          <w:lang w:val="fr-CA"/>
        </w:rPr>
        <w:t>différences</w:t>
      </w:r>
      <w:r w:rsidRPr="00832A39">
        <w:rPr>
          <w:rFonts w:cs="Times New Roman"/>
          <w:snapToGrid w:val="0"/>
          <w:kern w:val="18"/>
          <w:sz w:val="18"/>
          <w:szCs w:val="18"/>
          <w:lang w:val="fr-CA"/>
        </w:rPr>
        <w:t xml:space="preserve"> déclaré</w:t>
      </w:r>
      <w:r>
        <w:rPr>
          <w:rFonts w:cs="Times New Roman"/>
          <w:snapToGrid w:val="0"/>
          <w:kern w:val="18"/>
          <w:sz w:val="18"/>
          <w:szCs w:val="18"/>
          <w:lang w:val="fr-CA"/>
        </w:rPr>
        <w:t>e</w:t>
      </w:r>
      <w:r w:rsidRPr="00832A39">
        <w:rPr>
          <w:rFonts w:cs="Times New Roman"/>
          <w:snapToGrid w:val="0"/>
          <w:kern w:val="18"/>
          <w:sz w:val="18"/>
          <w:szCs w:val="18"/>
          <w:lang w:val="fr-CA"/>
        </w:rPr>
        <w:t>s par rapport à la valeur de référence.</w:t>
      </w:r>
      <w:bookmarkEnd w:id="2"/>
    </w:p>
  </w:footnote>
  <w:footnote w:id="19">
    <w:p w14:paraId="5D2FAC42" w14:textId="6160E95D" w:rsidR="00770532" w:rsidRPr="00A557EC" w:rsidRDefault="00770532">
      <w:pPr>
        <w:pStyle w:val="FootnoteText"/>
        <w:rPr>
          <w:lang w:val="fr-CA"/>
        </w:rPr>
      </w:pPr>
      <w:r w:rsidRPr="00832A39">
        <w:rPr>
          <w:rStyle w:val="FootnoteReference"/>
          <w:rFonts w:cs="Times New Roman"/>
          <w:lang w:val="fr-CA"/>
        </w:rPr>
        <w:footnoteRef/>
      </w:r>
      <w:r w:rsidRPr="00832A39">
        <w:rPr>
          <w:rFonts w:cs="Times New Roman"/>
          <w:lang w:val="fr-CA"/>
        </w:rPr>
        <w:t xml:space="preserve"> </w:t>
      </w:r>
      <w:r w:rsidRPr="00832A39">
        <w:rPr>
          <w:rFonts w:cs="Times New Roman"/>
          <w:sz w:val="18"/>
          <w:szCs w:val="18"/>
          <w:lang w:val="fr-CA"/>
        </w:rPr>
        <w:t>L’arrondissement de la décimale a fait en sorte que la somme des pourcentages est de 14 p. cent et non de 15 p. cent</w:t>
      </w:r>
      <w:r w:rsidRPr="00A557EC">
        <w:rPr>
          <w:sz w:val="18"/>
          <w:szCs w:val="18"/>
          <w:lang w:val="fr-CA"/>
        </w:rPr>
        <w:t xml:space="preserve"> </w:t>
      </w:r>
    </w:p>
  </w:footnote>
  <w:footnote w:id="20">
    <w:p w14:paraId="50BDD411" w14:textId="4EB6C103" w:rsidR="00770532" w:rsidRPr="00BA57D9" w:rsidRDefault="00770532" w:rsidP="004569FB">
      <w:pPr>
        <w:pStyle w:val="FootnoteText"/>
        <w:snapToGrid w:val="0"/>
        <w:spacing w:after="60"/>
        <w:rPr>
          <w:rFonts w:cs="Times New Roman"/>
          <w:snapToGrid w:val="0"/>
          <w:kern w:val="18"/>
          <w:sz w:val="18"/>
          <w:szCs w:val="18"/>
          <w:lang w:val="fr-CA"/>
        </w:rPr>
      </w:pPr>
      <w:r w:rsidRPr="008D6A50">
        <w:rPr>
          <w:rStyle w:val="FootnoteReference"/>
          <w:snapToGrid w:val="0"/>
          <w:kern w:val="18"/>
          <w:sz w:val="18"/>
          <w:szCs w:val="18"/>
        </w:rPr>
        <w:footnoteRef/>
      </w:r>
      <w:r w:rsidRPr="001B46D6">
        <w:rPr>
          <w:snapToGrid w:val="0"/>
          <w:kern w:val="18"/>
          <w:sz w:val="18"/>
          <w:szCs w:val="18"/>
          <w:lang w:val="fr-CA"/>
        </w:rPr>
        <w:t xml:space="preserve"> </w:t>
      </w:r>
      <w:r>
        <w:rPr>
          <w:rFonts w:cs="Times New Roman"/>
          <w:snapToGrid w:val="0"/>
          <w:kern w:val="18"/>
          <w:sz w:val="18"/>
          <w:szCs w:val="18"/>
          <w:lang w:val="fr-CA"/>
        </w:rPr>
        <w:t>Les</w:t>
      </w:r>
      <w:r w:rsidRPr="00BA57D9">
        <w:rPr>
          <w:rFonts w:cs="Times New Roman"/>
          <w:snapToGrid w:val="0"/>
          <w:kern w:val="18"/>
          <w:sz w:val="18"/>
          <w:szCs w:val="18"/>
          <w:lang w:val="fr-CA"/>
        </w:rPr>
        <w:t xml:space="preserve"> questions 17, 18 et 109 dans le modèle du quatrième </w:t>
      </w:r>
      <w:r w:rsidRPr="00BA57D9">
        <w:rPr>
          <w:rFonts w:eastAsia="Times New Roman" w:cs="Times New Roman"/>
          <w:snapToGrid w:val="0"/>
          <w:kern w:val="18"/>
          <w:sz w:val="18"/>
          <w:szCs w:val="18"/>
          <w:lang w:val="fr-CA"/>
        </w:rPr>
        <w:t>rapport</w:t>
      </w:r>
      <w:r w:rsidRPr="00BA57D9">
        <w:rPr>
          <w:rFonts w:cs="Times New Roman"/>
          <w:snapToGrid w:val="0"/>
          <w:kern w:val="18"/>
          <w:sz w:val="18"/>
          <w:szCs w:val="18"/>
          <w:lang w:val="fr-CA"/>
        </w:rPr>
        <w:t xml:space="preserve"> </w:t>
      </w:r>
      <w:r w:rsidRPr="00BA57D9">
        <w:rPr>
          <w:rFonts w:eastAsia="Times New Roman" w:cs="Times New Roman"/>
          <w:snapToGrid w:val="0"/>
          <w:kern w:val="18"/>
          <w:sz w:val="18"/>
          <w:szCs w:val="18"/>
          <w:lang w:val="fr-CA"/>
        </w:rPr>
        <w:t>national</w:t>
      </w:r>
      <w:r>
        <w:rPr>
          <w:rFonts w:eastAsia="Times New Roman" w:cs="Times New Roman"/>
          <w:snapToGrid w:val="0"/>
          <w:kern w:val="18"/>
          <w:sz w:val="18"/>
          <w:szCs w:val="18"/>
          <w:lang w:val="fr-CA"/>
        </w:rPr>
        <w:t>, à titre d’exemple</w:t>
      </w:r>
      <w:r w:rsidRPr="00BA57D9">
        <w:rPr>
          <w:rFonts w:cs="Times New Roman"/>
          <w:snapToGrid w:val="0"/>
          <w:kern w:val="18"/>
          <w:sz w:val="18"/>
          <w:szCs w:val="18"/>
          <w:lang w:val="fr-CA"/>
        </w:rPr>
        <w:t>. De plus, la question 39 porte sur les mesures administratives concernant les décisions sur les OVM, qui ont été abordées sous l’objectif opérationnel 1.1.</w:t>
      </w:r>
    </w:p>
  </w:footnote>
  <w:footnote w:id="21">
    <w:p w14:paraId="1D7D5DA7" w14:textId="2343E056" w:rsidR="00770532" w:rsidRPr="00BA57D9" w:rsidRDefault="00770532" w:rsidP="004569FB">
      <w:pPr>
        <w:pStyle w:val="FootnoteText"/>
        <w:rPr>
          <w:rFonts w:cs="Times New Roman"/>
          <w:sz w:val="18"/>
          <w:szCs w:val="18"/>
          <w:lang w:val="fr-CA"/>
        </w:rPr>
      </w:pPr>
      <w:r w:rsidRPr="00BA57D9">
        <w:rPr>
          <w:rStyle w:val="FootnoteReference"/>
          <w:rFonts w:cs="Times New Roman"/>
          <w:sz w:val="18"/>
          <w:szCs w:val="18"/>
          <w:lang w:val="fr-CA"/>
        </w:rPr>
        <w:footnoteRef/>
      </w:r>
      <w:r w:rsidRPr="00BA57D9">
        <w:rPr>
          <w:rFonts w:cs="Times New Roman"/>
          <w:sz w:val="18"/>
          <w:szCs w:val="18"/>
          <w:lang w:val="fr-CA"/>
        </w:rPr>
        <w:t xml:space="preserve"> Le modèle du deuxième rapport national ne donnait pa</w:t>
      </w:r>
      <w:r>
        <w:rPr>
          <w:rFonts w:cs="Times New Roman"/>
          <w:sz w:val="18"/>
          <w:szCs w:val="18"/>
          <w:lang w:val="fr-CA"/>
        </w:rPr>
        <w:t>s la possibilité de répondre « o</w:t>
      </w:r>
      <w:r w:rsidRPr="00BA57D9">
        <w:rPr>
          <w:rFonts w:cs="Times New Roman"/>
          <w:sz w:val="18"/>
          <w:szCs w:val="18"/>
          <w:lang w:val="fr-CA"/>
        </w:rPr>
        <w:t>ui, dans une certaine mesure ».</w:t>
      </w:r>
    </w:p>
  </w:footnote>
  <w:footnote w:id="22">
    <w:p w14:paraId="19602755" w14:textId="39B25DCA" w:rsidR="00770532" w:rsidRPr="00BA57D9" w:rsidRDefault="00770532">
      <w:pPr>
        <w:pStyle w:val="FootnoteText"/>
        <w:rPr>
          <w:rFonts w:cs="Times New Roman"/>
          <w:lang w:val="fr-CA"/>
        </w:rPr>
      </w:pPr>
      <w:r w:rsidRPr="00BA57D9">
        <w:rPr>
          <w:rStyle w:val="FootnoteReference"/>
          <w:rFonts w:cs="Times New Roman"/>
          <w:lang w:val="fr-CA"/>
        </w:rPr>
        <w:footnoteRef/>
      </w:r>
      <w:r w:rsidRPr="00BA57D9">
        <w:rPr>
          <w:rFonts w:cs="Times New Roman"/>
          <w:sz w:val="18"/>
          <w:szCs w:val="18"/>
          <w:lang w:val="fr-CA"/>
        </w:rPr>
        <w:t xml:space="preserve"> Les renseignements sur le caractère adéquat de l’effectif n’étaient pas fournis dans les deuxièmes rapports nationaux afin </w:t>
      </w:r>
      <w:r>
        <w:rPr>
          <w:rFonts w:cs="Times New Roman"/>
          <w:sz w:val="18"/>
          <w:szCs w:val="18"/>
          <w:lang w:val="fr-CA"/>
        </w:rPr>
        <w:t>d’établir</w:t>
      </w:r>
      <w:r w:rsidRPr="00BA57D9">
        <w:rPr>
          <w:rFonts w:cs="Times New Roman"/>
          <w:sz w:val="18"/>
          <w:szCs w:val="18"/>
          <w:lang w:val="fr-CA"/>
        </w:rPr>
        <w:t xml:space="preserve"> une valeur de référence.</w:t>
      </w:r>
    </w:p>
  </w:footnote>
  <w:footnote w:id="23">
    <w:p w14:paraId="6D7EA276" w14:textId="0A8FCEA1" w:rsidR="00770532" w:rsidRPr="008B3996" w:rsidRDefault="00770532" w:rsidP="004569FB">
      <w:pPr>
        <w:pStyle w:val="FootnoteText"/>
        <w:rPr>
          <w:sz w:val="18"/>
          <w:szCs w:val="18"/>
          <w:lang w:val="fr-CA"/>
        </w:rPr>
      </w:pPr>
      <w:r w:rsidRPr="008A67CA">
        <w:rPr>
          <w:rStyle w:val="FootnoteReference"/>
          <w:sz w:val="18"/>
          <w:szCs w:val="18"/>
        </w:rPr>
        <w:footnoteRef/>
      </w:r>
      <w:r w:rsidRPr="008B3996">
        <w:rPr>
          <w:sz w:val="18"/>
          <w:szCs w:val="18"/>
          <w:lang w:val="fr-CA"/>
        </w:rPr>
        <w:t xml:space="preserve"> </w:t>
      </w:r>
      <w:r>
        <w:rPr>
          <w:snapToGrid w:val="0"/>
          <w:kern w:val="18"/>
          <w:sz w:val="18"/>
          <w:szCs w:val="18"/>
          <w:lang w:val="fr-CA"/>
        </w:rPr>
        <w:t xml:space="preserve">Il n’a été </w:t>
      </w:r>
      <w:r w:rsidRPr="00190008">
        <w:rPr>
          <w:rFonts w:cs="Times New Roman"/>
          <w:snapToGrid w:val="0"/>
          <w:kern w:val="18"/>
          <w:sz w:val="18"/>
          <w:szCs w:val="18"/>
          <w:lang w:val="fr-CA"/>
        </w:rPr>
        <w:t xml:space="preserve">possible de répondre « dans une certaine mesure » à la question sur le sujet dans le deuxième rapport national, ce qui peut avoir influencé les </w:t>
      </w:r>
      <w:r w:rsidRPr="00190008">
        <w:rPr>
          <w:rFonts w:eastAsia="Times New Roman" w:cs="Times New Roman"/>
          <w:snapToGrid w:val="0"/>
          <w:kern w:val="18"/>
          <w:sz w:val="18"/>
          <w:szCs w:val="18"/>
          <w:lang w:val="fr-CA"/>
        </w:rPr>
        <w:t>différences déclarées</w:t>
      </w:r>
      <w:r w:rsidRPr="00190008">
        <w:rPr>
          <w:rFonts w:cs="Times New Roman"/>
          <w:snapToGrid w:val="0"/>
          <w:kern w:val="18"/>
          <w:sz w:val="18"/>
          <w:szCs w:val="18"/>
          <w:lang w:val="fr-CA"/>
        </w:rPr>
        <w:t xml:space="preserve"> par rapport</w:t>
      </w:r>
      <w:r>
        <w:rPr>
          <w:snapToGrid w:val="0"/>
          <w:kern w:val="18"/>
          <w:sz w:val="18"/>
          <w:szCs w:val="18"/>
          <w:lang w:val="fr-CA"/>
        </w:rPr>
        <w:t xml:space="preserve"> à la valeur de référence</w:t>
      </w:r>
      <w:r w:rsidRPr="008B3996">
        <w:rPr>
          <w:snapToGrid w:val="0"/>
          <w:kern w:val="18"/>
          <w:sz w:val="18"/>
          <w:szCs w:val="18"/>
          <w:lang w:val="fr-CA"/>
        </w:rPr>
        <w:t>.</w:t>
      </w:r>
    </w:p>
  </w:footnote>
  <w:footnote w:id="24">
    <w:p w14:paraId="2E2B7E0E" w14:textId="3FE643F2" w:rsidR="00770532" w:rsidRPr="006C0018" w:rsidRDefault="00770532" w:rsidP="004569FB">
      <w:pPr>
        <w:pStyle w:val="FootnoteText"/>
        <w:rPr>
          <w:sz w:val="18"/>
          <w:szCs w:val="18"/>
          <w:lang w:val="fr-CA"/>
        </w:rPr>
      </w:pPr>
      <w:r w:rsidRPr="008D6A50">
        <w:rPr>
          <w:rStyle w:val="FootnoteReference"/>
          <w:sz w:val="18"/>
          <w:szCs w:val="18"/>
        </w:rPr>
        <w:footnoteRef/>
      </w:r>
      <w:r w:rsidRPr="006C0018">
        <w:rPr>
          <w:sz w:val="18"/>
          <w:szCs w:val="18"/>
          <w:lang w:val="fr-CA"/>
        </w:rPr>
        <w:t xml:space="preserve"> </w:t>
      </w:r>
      <w:r>
        <w:rPr>
          <w:sz w:val="18"/>
          <w:szCs w:val="18"/>
          <w:lang w:val="fr-CA"/>
        </w:rPr>
        <w:t>Les questions 71 a) et 71 b) demandent aux pays s’ils ont adopté ou utilisé un document d’orientation afin d’effectuer une évaluation des risques ou de gérer les risques, ou pour analyser les rapports d’évaluation des risques proposés par les déclarants, et propose les réponses suivantes : a) évaluation des risques (oui/non), b) gestion des risques (oui/non)</w:t>
      </w:r>
      <w:r w:rsidRPr="006C0018">
        <w:rPr>
          <w:sz w:val="18"/>
          <w:szCs w:val="18"/>
          <w:lang w:val="fr-CA"/>
        </w:rPr>
        <w:t xml:space="preserve"> </w:t>
      </w:r>
    </w:p>
  </w:footnote>
  <w:footnote w:id="25">
    <w:p w14:paraId="558FBC39" w14:textId="7BA4FBFE" w:rsidR="00770532" w:rsidRPr="006C0018" w:rsidRDefault="00770532" w:rsidP="004569FB">
      <w:pPr>
        <w:pStyle w:val="FootnoteText"/>
        <w:rPr>
          <w:sz w:val="18"/>
          <w:szCs w:val="18"/>
          <w:lang w:val="fr-CA"/>
        </w:rPr>
      </w:pPr>
      <w:r w:rsidRPr="006C0018">
        <w:rPr>
          <w:rStyle w:val="FootnoteReference"/>
          <w:sz w:val="18"/>
          <w:szCs w:val="18"/>
          <w:lang w:val="fr-CA"/>
        </w:rPr>
        <w:footnoteRef/>
      </w:r>
      <w:r w:rsidRPr="006C0018">
        <w:rPr>
          <w:sz w:val="18"/>
          <w:szCs w:val="18"/>
          <w:lang w:val="fr-CA"/>
        </w:rPr>
        <w:t xml:space="preserve"> </w:t>
      </w:r>
      <w:r>
        <w:rPr>
          <w:sz w:val="18"/>
          <w:szCs w:val="18"/>
          <w:lang w:val="fr-CA"/>
        </w:rPr>
        <w:t>L’Orientation sur l’évaluation des risques des OVM n’était pas encore disponible au moment d’établir la valeur de référence, de sorte que les informations fournies sur cet indicateur dans le quatrième rapport national ont été comparées aux informations fournies à la question 86 dans les troisièmes rapports nationaux</w:t>
      </w:r>
      <w:r w:rsidRPr="006C0018">
        <w:rPr>
          <w:sz w:val="18"/>
          <w:szCs w:val="18"/>
          <w:lang w:val="fr-CA"/>
        </w:rPr>
        <w:t>.</w:t>
      </w:r>
    </w:p>
  </w:footnote>
  <w:footnote w:id="26">
    <w:p w14:paraId="0634A815" w14:textId="0C0CF722" w:rsidR="00770532" w:rsidRPr="00085162" w:rsidRDefault="00770532" w:rsidP="004569FB">
      <w:pPr>
        <w:pStyle w:val="FootnoteText"/>
        <w:rPr>
          <w:rFonts w:cs="Times New Roman"/>
          <w:sz w:val="18"/>
          <w:szCs w:val="18"/>
          <w:lang w:val="fr-CA"/>
        </w:rPr>
      </w:pPr>
      <w:r w:rsidRPr="008D6A50">
        <w:rPr>
          <w:rStyle w:val="FootnoteReference"/>
          <w:sz w:val="18"/>
          <w:szCs w:val="18"/>
        </w:rPr>
        <w:footnoteRef/>
      </w:r>
      <w:r w:rsidRPr="00CA5291">
        <w:rPr>
          <w:sz w:val="18"/>
          <w:szCs w:val="18"/>
          <w:lang w:val="fr-CA"/>
        </w:rPr>
        <w:t xml:space="preserve"> </w:t>
      </w:r>
      <w:r w:rsidRPr="00085162">
        <w:rPr>
          <w:rFonts w:cs="Times New Roman"/>
          <w:sz w:val="18"/>
          <w:szCs w:val="18"/>
          <w:lang w:val="fr-CA"/>
        </w:rPr>
        <w:t>Le deuxième rapport national ne fournit pas d’information sur le nombre d’évaluations des risques réalisé.</w:t>
      </w:r>
    </w:p>
  </w:footnote>
  <w:footnote w:id="27">
    <w:p w14:paraId="2D20EB26" w14:textId="46FF9ADF" w:rsidR="00770532" w:rsidRPr="00085162" w:rsidRDefault="00770532" w:rsidP="004569FB">
      <w:pPr>
        <w:pStyle w:val="FootnoteText"/>
        <w:rPr>
          <w:rFonts w:cs="Times New Roman"/>
          <w:sz w:val="18"/>
          <w:szCs w:val="18"/>
          <w:lang w:val="fr-CA"/>
        </w:rPr>
      </w:pPr>
      <w:r w:rsidRPr="00085162">
        <w:rPr>
          <w:rStyle w:val="FootnoteReference"/>
          <w:rFonts w:cs="Times New Roman"/>
          <w:sz w:val="18"/>
          <w:szCs w:val="18"/>
          <w:lang w:val="fr-CA"/>
        </w:rPr>
        <w:footnoteRef/>
      </w:r>
      <w:r w:rsidRPr="00085162">
        <w:rPr>
          <w:rFonts w:cs="Times New Roman"/>
          <w:sz w:val="18"/>
          <w:szCs w:val="18"/>
          <w:lang w:val="fr-CA"/>
        </w:rPr>
        <w:t xml:space="preserve"> À cet égard, les décisions des Parties concernant les mouvements transfrontières des OVM </w:t>
      </w:r>
      <w:r>
        <w:rPr>
          <w:rFonts w:cs="Times New Roman"/>
          <w:sz w:val="18"/>
          <w:szCs w:val="18"/>
          <w:lang w:val="fr-CA"/>
        </w:rPr>
        <w:t xml:space="preserve">destinés à être introduits </w:t>
      </w:r>
      <w:r w:rsidRPr="00085162">
        <w:rPr>
          <w:rFonts w:cs="Times New Roman"/>
          <w:sz w:val="18"/>
          <w:szCs w:val="18"/>
          <w:lang w:val="fr-CA"/>
        </w:rPr>
        <w:t>intentionnelle</w:t>
      </w:r>
      <w:r>
        <w:rPr>
          <w:rFonts w:cs="Times New Roman"/>
          <w:sz w:val="18"/>
          <w:szCs w:val="18"/>
          <w:lang w:val="fr-CA"/>
        </w:rPr>
        <w:t>ment</w:t>
      </w:r>
      <w:r w:rsidRPr="00085162">
        <w:rPr>
          <w:rFonts w:cs="Times New Roman"/>
          <w:sz w:val="18"/>
          <w:szCs w:val="18"/>
          <w:lang w:val="fr-CA"/>
        </w:rPr>
        <w:t xml:space="preserve"> dans l’environnement (au titre de l’article 11 du Protocole) et celles liées à l’importation et l’</w:t>
      </w:r>
      <w:r w:rsidRPr="00085162">
        <w:rPr>
          <w:rFonts w:eastAsia="Times New Roman" w:cs="Times New Roman"/>
          <w:sz w:val="18"/>
          <w:szCs w:val="18"/>
          <w:lang w:val="fr-CA"/>
        </w:rPr>
        <w:t>utilisation</w:t>
      </w:r>
      <w:r w:rsidRPr="00085162">
        <w:rPr>
          <w:rFonts w:cs="Times New Roman"/>
          <w:sz w:val="18"/>
          <w:szCs w:val="18"/>
          <w:lang w:val="fr-CA"/>
        </w:rPr>
        <w:t xml:space="preserve"> d’OVM destinés directeme</w:t>
      </w:r>
      <w:r>
        <w:rPr>
          <w:rFonts w:cs="Times New Roman"/>
          <w:sz w:val="18"/>
          <w:szCs w:val="18"/>
          <w:lang w:val="fr-CA"/>
        </w:rPr>
        <w:t>nt à</w:t>
      </w:r>
      <w:r w:rsidRPr="00085162">
        <w:rPr>
          <w:rFonts w:cs="Times New Roman"/>
          <w:sz w:val="18"/>
          <w:szCs w:val="18"/>
          <w:lang w:val="fr-CA"/>
        </w:rPr>
        <w:t xml:space="preserve"> </w:t>
      </w:r>
      <w:r>
        <w:rPr>
          <w:rFonts w:cs="Times New Roman"/>
          <w:sz w:val="18"/>
          <w:szCs w:val="18"/>
          <w:lang w:val="fr-CA"/>
        </w:rPr>
        <w:t>l’alimentation</w:t>
      </w:r>
      <w:r w:rsidRPr="00085162">
        <w:rPr>
          <w:rFonts w:cs="Times New Roman"/>
          <w:sz w:val="18"/>
          <w:szCs w:val="18"/>
          <w:lang w:val="fr-CA"/>
        </w:rPr>
        <w:t xml:space="preserve"> humaine ou animale ou à la transformation</w:t>
      </w:r>
      <w:r>
        <w:rPr>
          <w:rFonts w:cs="Times New Roman"/>
          <w:sz w:val="18"/>
          <w:szCs w:val="18"/>
          <w:lang w:val="fr-CA"/>
        </w:rPr>
        <w:t xml:space="preserve"> au pays </w:t>
      </w:r>
      <w:r w:rsidRPr="00085162">
        <w:rPr>
          <w:rFonts w:cs="Times New Roman"/>
          <w:sz w:val="18"/>
          <w:szCs w:val="18"/>
          <w:lang w:val="fr-CA"/>
        </w:rPr>
        <w:t xml:space="preserve">(au titre de l’article 11 du Protocole ou du cadre national) ont été prises en ligne de compte. La vérification de la remise d’un rapport d’évaluation des risques </w:t>
      </w:r>
      <w:r>
        <w:rPr>
          <w:rFonts w:cs="Times New Roman"/>
          <w:sz w:val="18"/>
          <w:szCs w:val="18"/>
          <w:lang w:val="fr-CA"/>
        </w:rPr>
        <w:t>correspondant</w:t>
      </w:r>
      <w:r w:rsidRPr="00085162">
        <w:rPr>
          <w:rFonts w:cs="Times New Roman"/>
          <w:sz w:val="18"/>
          <w:szCs w:val="18"/>
          <w:lang w:val="fr-CA"/>
        </w:rPr>
        <w:t xml:space="preserve"> au </w:t>
      </w:r>
      <w:r>
        <w:rPr>
          <w:rFonts w:cs="Times New Roman"/>
          <w:sz w:val="18"/>
          <w:szCs w:val="18"/>
          <w:lang w:val="fr-CA"/>
        </w:rPr>
        <w:t>centre d’échange</w:t>
      </w:r>
      <w:r w:rsidRPr="00085162">
        <w:rPr>
          <w:rFonts w:cs="Times New Roman"/>
          <w:sz w:val="18"/>
          <w:szCs w:val="18"/>
          <w:lang w:val="fr-CA"/>
        </w:rPr>
        <w:t xml:space="preserve"> sur la prévention des risques biotechnologiques a été effectuée pour chacune de ces décisions.</w:t>
      </w:r>
    </w:p>
  </w:footnote>
  <w:footnote w:id="28">
    <w:p w14:paraId="62E9C926" w14:textId="158AB6E8" w:rsidR="00770532" w:rsidRPr="00085162" w:rsidRDefault="00770532" w:rsidP="004569FB">
      <w:pPr>
        <w:pStyle w:val="FootnoteText"/>
        <w:rPr>
          <w:rFonts w:cs="Times New Roman"/>
          <w:sz w:val="18"/>
          <w:szCs w:val="18"/>
          <w:lang w:val="fr-CA"/>
        </w:rPr>
      </w:pPr>
      <w:r w:rsidRPr="00085162">
        <w:rPr>
          <w:rStyle w:val="FootnoteReference"/>
          <w:rFonts w:cs="Times New Roman"/>
          <w:sz w:val="18"/>
          <w:szCs w:val="18"/>
          <w:lang w:val="fr-CA"/>
        </w:rPr>
        <w:footnoteRef/>
      </w:r>
      <w:r w:rsidRPr="00085162">
        <w:rPr>
          <w:rFonts w:cs="Times New Roman"/>
          <w:sz w:val="18"/>
          <w:szCs w:val="18"/>
          <w:lang w:val="fr-CA"/>
        </w:rPr>
        <w:t xml:space="preserve"> Il n’y a pas de données qui permettent de mesurer l’indicateur 2.2 (nombre de rapports sommaires d’évaluation des risques au </w:t>
      </w:r>
      <w:r>
        <w:rPr>
          <w:rFonts w:cs="Times New Roman"/>
          <w:sz w:val="18"/>
          <w:szCs w:val="18"/>
          <w:lang w:val="fr-CA"/>
        </w:rPr>
        <w:t>centre d’échange</w:t>
      </w:r>
      <w:r w:rsidRPr="00085162">
        <w:rPr>
          <w:rFonts w:cs="Times New Roman"/>
          <w:sz w:val="18"/>
          <w:szCs w:val="18"/>
          <w:lang w:val="fr-CA"/>
        </w:rPr>
        <w:t xml:space="preserve"> sur la prévention des risques biotechnologi</w:t>
      </w:r>
      <w:r>
        <w:rPr>
          <w:rFonts w:cs="Times New Roman"/>
          <w:sz w:val="18"/>
          <w:szCs w:val="18"/>
          <w:lang w:val="fr-CA"/>
        </w:rPr>
        <w:t>ques conformes au Protocole). Il</w:t>
      </w:r>
      <w:r w:rsidRPr="00085162">
        <w:rPr>
          <w:rFonts w:cs="Times New Roman"/>
          <w:sz w:val="18"/>
          <w:szCs w:val="18"/>
          <w:lang w:val="fr-CA"/>
        </w:rPr>
        <w:t xml:space="preserve"> est entendu que pour être « conforme au Protocole », le rapport sommaire d’évaluation des risques doit résumer une évaluation des risques effectuée d’une manière scientifiquement rigoureuse et transparente et </w:t>
      </w:r>
      <w:r>
        <w:rPr>
          <w:rFonts w:cs="Times New Roman"/>
          <w:sz w:val="18"/>
          <w:szCs w:val="18"/>
          <w:lang w:val="fr-CA"/>
        </w:rPr>
        <w:t xml:space="preserve">au </w:t>
      </w:r>
      <w:r w:rsidRPr="00085162">
        <w:rPr>
          <w:rFonts w:cs="Times New Roman"/>
          <w:sz w:val="18"/>
          <w:szCs w:val="18"/>
          <w:lang w:val="fr-CA"/>
        </w:rPr>
        <w:t xml:space="preserve">cas par cas pour chaque OVM, en tenant compte de l’utilisation </w:t>
      </w:r>
      <w:r>
        <w:rPr>
          <w:rFonts w:cs="Times New Roman"/>
          <w:sz w:val="18"/>
          <w:szCs w:val="18"/>
          <w:lang w:val="fr-CA"/>
        </w:rPr>
        <w:t>à laquelle</w:t>
      </w:r>
      <w:r w:rsidRPr="00085162">
        <w:rPr>
          <w:rFonts w:cs="Times New Roman"/>
          <w:sz w:val="18"/>
          <w:szCs w:val="18"/>
          <w:lang w:val="fr-CA"/>
        </w:rPr>
        <w:t xml:space="preserve"> il est destiné et l</w:t>
      </w:r>
      <w:r>
        <w:rPr>
          <w:rFonts w:cs="Times New Roman"/>
          <w:sz w:val="18"/>
          <w:szCs w:val="18"/>
          <w:lang w:val="fr-CA"/>
        </w:rPr>
        <w:t>e potentiel vraisemblable de l’</w:t>
      </w:r>
      <w:r w:rsidRPr="00085162">
        <w:rPr>
          <w:rFonts w:cs="Times New Roman"/>
          <w:sz w:val="18"/>
          <w:szCs w:val="18"/>
          <w:lang w:val="fr-CA"/>
        </w:rPr>
        <w:t>environnement récepteur. Il n’exist</w:t>
      </w:r>
      <w:r>
        <w:rPr>
          <w:rFonts w:cs="Times New Roman"/>
          <w:sz w:val="18"/>
          <w:szCs w:val="18"/>
          <w:lang w:val="fr-CA"/>
        </w:rPr>
        <w:t>e</w:t>
      </w:r>
      <w:r w:rsidRPr="00085162">
        <w:rPr>
          <w:rFonts w:cs="Times New Roman"/>
          <w:sz w:val="18"/>
          <w:szCs w:val="18"/>
          <w:lang w:val="fr-CA"/>
        </w:rPr>
        <w:t xml:space="preserve"> pas d’information sur le n</w:t>
      </w:r>
      <w:r>
        <w:rPr>
          <w:rFonts w:cs="Times New Roman"/>
          <w:sz w:val="18"/>
          <w:szCs w:val="18"/>
          <w:lang w:val="fr-CA"/>
        </w:rPr>
        <w:t>ombre de rapports sommaires d’</w:t>
      </w:r>
      <w:r w:rsidRPr="00085162">
        <w:rPr>
          <w:rFonts w:cs="Times New Roman"/>
          <w:sz w:val="18"/>
          <w:szCs w:val="18"/>
          <w:lang w:val="fr-CA"/>
        </w:rPr>
        <w:t xml:space="preserve">évaluations des risques contenu dans le </w:t>
      </w:r>
      <w:r>
        <w:rPr>
          <w:rFonts w:cs="Times New Roman"/>
          <w:sz w:val="18"/>
          <w:szCs w:val="18"/>
          <w:lang w:val="fr-CA"/>
        </w:rPr>
        <w:t>centre d’échange</w:t>
      </w:r>
      <w:r w:rsidRPr="00085162">
        <w:rPr>
          <w:rFonts w:cs="Times New Roman"/>
          <w:sz w:val="18"/>
          <w:szCs w:val="18"/>
          <w:lang w:val="fr-CA"/>
        </w:rPr>
        <w:t xml:space="preserve"> sur la prévention des risques biotechnologiques conformes à ces principes.</w:t>
      </w:r>
    </w:p>
  </w:footnote>
  <w:footnote w:id="29">
    <w:p w14:paraId="63CEAE2F" w14:textId="0ECB9AB4" w:rsidR="00770532" w:rsidRPr="002C62E7" w:rsidRDefault="00770532" w:rsidP="004569FB">
      <w:pPr>
        <w:pStyle w:val="FootnoteText"/>
        <w:rPr>
          <w:sz w:val="18"/>
          <w:szCs w:val="18"/>
          <w:lang w:val="fr-CA"/>
        </w:rPr>
      </w:pPr>
      <w:r w:rsidRPr="008D6A50">
        <w:rPr>
          <w:rStyle w:val="FootnoteReference"/>
          <w:sz w:val="18"/>
          <w:szCs w:val="18"/>
        </w:rPr>
        <w:footnoteRef/>
      </w:r>
      <w:r w:rsidRPr="002C62E7">
        <w:rPr>
          <w:sz w:val="18"/>
          <w:szCs w:val="18"/>
          <w:lang w:val="fr-CA"/>
        </w:rPr>
        <w:t xml:space="preserve"> </w:t>
      </w:r>
      <w:r>
        <w:rPr>
          <w:sz w:val="18"/>
          <w:szCs w:val="18"/>
          <w:lang w:val="fr-CA"/>
        </w:rPr>
        <w:t>Le Guide et l’Orientation n’étaient pas encore disponibles au moment d’établir la valeur de référence. Les informations fournies au titre de cet indicateur dans les quatrièmes rapports nationaux ont été comparées aux informations fournies en réponse aux questions 81 et 82 des troisièmes rapports rationaux, pour les Parties ayant répondu aux questions sur le sujet dans le troisième et le quatrième rapports nationaux</w:t>
      </w:r>
      <w:r w:rsidRPr="002C62E7">
        <w:rPr>
          <w:sz w:val="18"/>
          <w:szCs w:val="18"/>
          <w:lang w:val="fr-CA"/>
        </w:rPr>
        <w:t>.</w:t>
      </w:r>
    </w:p>
  </w:footnote>
  <w:footnote w:id="30">
    <w:p w14:paraId="0AFD348B" w14:textId="77B788A8" w:rsidR="00770532" w:rsidRPr="002C62E7" w:rsidRDefault="00770532" w:rsidP="004569FB">
      <w:pPr>
        <w:pStyle w:val="FootnoteText"/>
        <w:rPr>
          <w:sz w:val="18"/>
          <w:szCs w:val="18"/>
          <w:lang w:val="fr-CA"/>
        </w:rPr>
      </w:pPr>
      <w:r w:rsidRPr="002C62E7">
        <w:rPr>
          <w:rStyle w:val="FootnoteReference"/>
          <w:sz w:val="18"/>
          <w:szCs w:val="18"/>
          <w:lang w:val="fr-CA"/>
        </w:rPr>
        <w:footnoteRef/>
      </w:r>
      <w:r w:rsidRPr="002C62E7">
        <w:rPr>
          <w:sz w:val="18"/>
          <w:szCs w:val="18"/>
          <w:lang w:val="fr-CA"/>
        </w:rPr>
        <w:t xml:space="preserve"> </w:t>
      </w:r>
      <w:r>
        <w:rPr>
          <w:sz w:val="18"/>
          <w:szCs w:val="18"/>
          <w:lang w:val="fr-CA"/>
        </w:rPr>
        <w:t xml:space="preserve">Les informations ont été fournies à la question 69 du quatrième rapport national. Les informations sur le sujet n’ont pas été fournies pour la valeur de référence ni dans le troisième </w:t>
      </w:r>
      <w:r w:rsidRPr="008F4358">
        <w:rPr>
          <w:rFonts w:ascii="Calibri" w:eastAsia="Times New Roman" w:hAnsi="Calibri"/>
          <w:sz w:val="18"/>
          <w:szCs w:val="18"/>
          <w:lang w:val="fr-CA"/>
        </w:rPr>
        <w:t>rapport</w:t>
      </w:r>
      <w:r>
        <w:rPr>
          <w:sz w:val="18"/>
          <w:szCs w:val="18"/>
          <w:lang w:val="fr-CA"/>
        </w:rPr>
        <w:t xml:space="preserve"> national</w:t>
      </w:r>
      <w:r w:rsidRPr="002C62E7">
        <w:rPr>
          <w:sz w:val="18"/>
          <w:szCs w:val="18"/>
          <w:lang w:val="fr-CA"/>
        </w:rPr>
        <w:t>.</w:t>
      </w:r>
    </w:p>
  </w:footnote>
  <w:footnote w:id="31">
    <w:p w14:paraId="4E37908D" w14:textId="0ACBD622" w:rsidR="00770532" w:rsidRPr="00A3349D" w:rsidRDefault="00770532" w:rsidP="00A75F1A">
      <w:pPr>
        <w:pStyle w:val="FootnoteText"/>
        <w:rPr>
          <w:sz w:val="18"/>
          <w:szCs w:val="18"/>
          <w:lang w:val="fr-CA"/>
        </w:rPr>
      </w:pPr>
      <w:r w:rsidRPr="008D6A50">
        <w:rPr>
          <w:rStyle w:val="FootnoteReference"/>
          <w:sz w:val="18"/>
          <w:szCs w:val="18"/>
        </w:rPr>
        <w:footnoteRef/>
      </w:r>
      <w:r w:rsidRPr="00A3349D">
        <w:rPr>
          <w:sz w:val="18"/>
          <w:szCs w:val="18"/>
          <w:lang w:val="fr-CA"/>
        </w:rPr>
        <w:t xml:space="preserve"> Question 74 du quatrième rapport national. </w:t>
      </w:r>
    </w:p>
  </w:footnote>
  <w:footnote w:id="32">
    <w:p w14:paraId="4C14E735" w14:textId="1E7F529B" w:rsidR="00770532" w:rsidRPr="00DF5DC3" w:rsidRDefault="00770532" w:rsidP="004569FB">
      <w:pPr>
        <w:pStyle w:val="FootnoteText"/>
        <w:rPr>
          <w:rFonts w:cs="Times New Roman"/>
          <w:sz w:val="18"/>
          <w:szCs w:val="18"/>
          <w:lang w:val="fr-CA"/>
        </w:rPr>
      </w:pPr>
      <w:r w:rsidRPr="008D6A50">
        <w:rPr>
          <w:rStyle w:val="FootnoteReference"/>
          <w:sz w:val="18"/>
          <w:szCs w:val="18"/>
        </w:rPr>
        <w:footnoteRef/>
      </w:r>
      <w:r w:rsidRPr="00551D0C">
        <w:rPr>
          <w:sz w:val="18"/>
          <w:szCs w:val="18"/>
          <w:lang w:val="fr-CA"/>
        </w:rPr>
        <w:t xml:space="preserve"> </w:t>
      </w:r>
      <w:r w:rsidRPr="00DF5DC3">
        <w:rPr>
          <w:rFonts w:cs="Times New Roman"/>
          <w:sz w:val="18"/>
          <w:szCs w:val="18"/>
          <w:lang w:val="fr-CA"/>
        </w:rPr>
        <w:t xml:space="preserve">Les pourcentages sont fondés sur le nombre de Parties au Protocole additionnel ayant présenté ces informations dans leur quatrième </w:t>
      </w:r>
      <w:r w:rsidRPr="00DF5DC3">
        <w:rPr>
          <w:rFonts w:eastAsia="Times New Roman" w:cs="Times New Roman"/>
          <w:sz w:val="18"/>
          <w:szCs w:val="18"/>
          <w:lang w:val="fr-CA"/>
        </w:rPr>
        <w:t>rapport</w:t>
      </w:r>
      <w:r w:rsidRPr="00DF5DC3">
        <w:rPr>
          <w:rFonts w:cs="Times New Roman"/>
          <w:sz w:val="18"/>
          <w:szCs w:val="18"/>
          <w:lang w:val="fr-CA"/>
        </w:rPr>
        <w:t xml:space="preserve"> </w:t>
      </w:r>
      <w:r w:rsidRPr="00DF5DC3">
        <w:rPr>
          <w:rFonts w:eastAsia="Times New Roman" w:cs="Times New Roman"/>
          <w:sz w:val="18"/>
          <w:szCs w:val="18"/>
          <w:lang w:val="fr-CA"/>
        </w:rPr>
        <w:t>nationa</w:t>
      </w:r>
      <w:r>
        <w:rPr>
          <w:rFonts w:eastAsia="Times New Roman" w:cs="Times New Roman"/>
          <w:sz w:val="18"/>
          <w:szCs w:val="18"/>
          <w:lang w:val="fr-CA"/>
        </w:rPr>
        <w:t>l</w:t>
      </w:r>
      <w:r w:rsidRPr="00DF5DC3">
        <w:rPr>
          <w:rFonts w:cs="Times New Roman"/>
          <w:sz w:val="18"/>
          <w:szCs w:val="18"/>
          <w:lang w:val="fr-CA"/>
        </w:rPr>
        <w:t>. Les rapports précédents ne fou</w:t>
      </w:r>
      <w:r>
        <w:rPr>
          <w:rFonts w:cs="Times New Roman"/>
          <w:sz w:val="18"/>
          <w:szCs w:val="18"/>
          <w:lang w:val="fr-CA"/>
        </w:rPr>
        <w:t xml:space="preserve">rnissaient pas ces informations. </w:t>
      </w:r>
      <w:r w:rsidRPr="00DF5DC3">
        <w:rPr>
          <w:rFonts w:cs="Times New Roman"/>
          <w:sz w:val="18"/>
          <w:szCs w:val="18"/>
          <w:lang w:val="fr-CA"/>
        </w:rPr>
        <w:t>La somme des pourcentages est de 101 au lieu de 100 p. cent, à cause de l’arrondissement des décimales.</w:t>
      </w:r>
    </w:p>
  </w:footnote>
  <w:footnote w:id="33">
    <w:p w14:paraId="58F6B784" w14:textId="10B9D952" w:rsidR="00770532" w:rsidRPr="00551D0C" w:rsidRDefault="00770532" w:rsidP="004569FB">
      <w:pPr>
        <w:pStyle w:val="FootnoteText"/>
        <w:rPr>
          <w:sz w:val="18"/>
          <w:szCs w:val="18"/>
          <w:lang w:val="fr-CA"/>
        </w:rPr>
      </w:pPr>
      <w:r w:rsidRPr="00DF5DC3">
        <w:rPr>
          <w:rStyle w:val="FootnoteReference"/>
          <w:rFonts w:cs="Times New Roman"/>
          <w:sz w:val="18"/>
          <w:szCs w:val="18"/>
          <w:lang w:val="fr-CA"/>
        </w:rPr>
        <w:footnoteRef/>
      </w:r>
      <w:r w:rsidRPr="00DF5DC3">
        <w:rPr>
          <w:rFonts w:cs="Times New Roman"/>
          <w:sz w:val="18"/>
          <w:szCs w:val="18"/>
          <w:lang w:val="fr-CA"/>
        </w:rPr>
        <w:t xml:space="preserve"> Les rapports précédents ne fournissaient pas ces informations</w:t>
      </w:r>
      <w:r w:rsidRPr="00551D0C">
        <w:rPr>
          <w:sz w:val="18"/>
          <w:szCs w:val="18"/>
          <w:lang w:val="fr-CA"/>
        </w:rPr>
        <w:t>.</w:t>
      </w:r>
    </w:p>
  </w:footnote>
  <w:footnote w:id="34">
    <w:p w14:paraId="6A4FBDBF" w14:textId="74B75C11" w:rsidR="00770532" w:rsidRPr="003C7292" w:rsidRDefault="00770532" w:rsidP="00ED3F2F">
      <w:pPr>
        <w:pStyle w:val="FootnoteText"/>
        <w:rPr>
          <w:sz w:val="18"/>
          <w:lang w:val="fr-CA"/>
        </w:rPr>
      </w:pPr>
      <w:r>
        <w:rPr>
          <w:rStyle w:val="FootnoteReference"/>
        </w:rPr>
        <w:footnoteRef/>
      </w:r>
      <w:r w:rsidRPr="00BC1D6B">
        <w:rPr>
          <w:lang w:val="fr-CA"/>
        </w:rPr>
        <w:t xml:space="preserve"> </w:t>
      </w:r>
      <w:r w:rsidRPr="003C7292">
        <w:rPr>
          <w:sz w:val="18"/>
          <w:lang w:val="fr-CA"/>
        </w:rPr>
        <w:t>La question 163 du quatrième rapp</w:t>
      </w:r>
      <w:r>
        <w:rPr>
          <w:sz w:val="18"/>
          <w:lang w:val="fr-CA"/>
        </w:rPr>
        <w:t>ort national cherche à savoir si</w:t>
      </w:r>
      <w:r w:rsidRPr="003C7292">
        <w:rPr>
          <w:sz w:val="18"/>
          <w:lang w:val="fr-CA"/>
        </w:rPr>
        <w:t xml:space="preserve"> les facteurs socioéconomiques découlant des impacts des OVM sont entré</w:t>
      </w:r>
      <w:r>
        <w:rPr>
          <w:sz w:val="18"/>
          <w:lang w:val="fr-CA"/>
        </w:rPr>
        <w:t>s</w:t>
      </w:r>
      <w:r w:rsidRPr="003C7292">
        <w:rPr>
          <w:sz w:val="18"/>
          <w:lang w:val="fr-CA"/>
        </w:rPr>
        <w:t xml:space="preserve"> en ligne de compte dans le processus décisionnel au cours de la période visée par le rapport. Trente-trois Parties (35 p. cent) ont répondu « Sans objet (aucune décision n’a été prise</w:t>
      </w:r>
      <w:r>
        <w:rPr>
          <w:sz w:val="18"/>
          <w:lang w:val="fr-CA"/>
        </w:rPr>
        <w:t>)</w:t>
      </w:r>
      <w:r w:rsidRPr="003C7292">
        <w:rPr>
          <w:sz w:val="18"/>
          <w:lang w:val="fr-CA"/>
        </w:rPr>
        <w:t> ».</w:t>
      </w:r>
    </w:p>
  </w:footnote>
  <w:footnote w:id="35">
    <w:p w14:paraId="2A22F700" w14:textId="0854FE37" w:rsidR="00770532" w:rsidRPr="00843872" w:rsidRDefault="00770532">
      <w:pPr>
        <w:pStyle w:val="FootnoteText"/>
        <w:rPr>
          <w:rFonts w:cs="Times New Roman"/>
          <w:sz w:val="18"/>
          <w:szCs w:val="18"/>
          <w:highlight w:val="yellow"/>
          <w:lang w:val="fr-CA"/>
        </w:rPr>
      </w:pPr>
      <w:r w:rsidRPr="00042BA8">
        <w:rPr>
          <w:rStyle w:val="FootnoteReference"/>
        </w:rPr>
        <w:footnoteRef/>
      </w:r>
      <w:r w:rsidRPr="00EA7CA7">
        <w:rPr>
          <w:lang w:val="fr-CA"/>
        </w:rPr>
        <w:t xml:space="preserve"> </w:t>
      </w:r>
      <w:r w:rsidRPr="00843872">
        <w:rPr>
          <w:rFonts w:cs="Times New Roman"/>
          <w:sz w:val="18"/>
          <w:szCs w:val="18"/>
          <w:lang w:val="fr-CA"/>
        </w:rPr>
        <w:t xml:space="preserve">Un « visiteur unique » est une personne rendant visite au </w:t>
      </w:r>
      <w:r>
        <w:rPr>
          <w:rFonts w:cs="Times New Roman"/>
          <w:sz w:val="18"/>
          <w:szCs w:val="18"/>
          <w:lang w:val="fr-CA"/>
        </w:rPr>
        <w:t>centre d’échange</w:t>
      </w:r>
      <w:r w:rsidRPr="00843872">
        <w:rPr>
          <w:rFonts w:cs="Times New Roman"/>
          <w:sz w:val="18"/>
          <w:szCs w:val="18"/>
          <w:lang w:val="fr-CA"/>
        </w:rPr>
        <w:t xml:space="preserve"> sur la prévention des risques biotechnologiques au cours d’une période donnée. Le même utilisateur accédant au </w:t>
      </w:r>
      <w:r>
        <w:rPr>
          <w:rFonts w:cs="Times New Roman"/>
          <w:sz w:val="18"/>
          <w:szCs w:val="18"/>
          <w:lang w:val="fr-CA"/>
        </w:rPr>
        <w:t>centre d’échange</w:t>
      </w:r>
      <w:r w:rsidRPr="00843872">
        <w:rPr>
          <w:rFonts w:cs="Times New Roman"/>
          <w:sz w:val="18"/>
          <w:szCs w:val="18"/>
          <w:lang w:val="fr-CA"/>
        </w:rPr>
        <w:t xml:space="preserve"> sur la prévention des risques biotechnologiques depuis plusieurs ordinateurs est compté comme un visiteur unique. Une « visite» (ou « session ») </w:t>
      </w:r>
      <w:r>
        <w:rPr>
          <w:rFonts w:cs="Times New Roman"/>
          <w:sz w:val="18"/>
          <w:szCs w:val="18"/>
          <w:lang w:val="fr-CA"/>
        </w:rPr>
        <w:t>consiste en</w:t>
      </w:r>
      <w:r w:rsidRPr="00843872">
        <w:rPr>
          <w:rFonts w:cs="Times New Roman"/>
          <w:sz w:val="18"/>
          <w:szCs w:val="18"/>
          <w:lang w:val="fr-CA"/>
        </w:rPr>
        <w:t xml:space="preserve"> une seule session de navigation. Un utilisateur unique peut créer plusieurs session de navigation. La visite prend fin après 30 minutes d’inactivité. </w:t>
      </w:r>
    </w:p>
  </w:footnote>
  <w:footnote w:id="36">
    <w:p w14:paraId="36F2918F" w14:textId="72D05124" w:rsidR="00770532" w:rsidRPr="00EA7CA7" w:rsidRDefault="00770532" w:rsidP="00E13D8A">
      <w:pPr>
        <w:pStyle w:val="FootnoteText"/>
        <w:rPr>
          <w:sz w:val="18"/>
          <w:szCs w:val="18"/>
          <w:lang w:val="fr-CA"/>
        </w:rPr>
      </w:pPr>
      <w:r w:rsidRPr="00843872">
        <w:rPr>
          <w:rStyle w:val="FootnoteReference"/>
          <w:rFonts w:cs="Times New Roman"/>
          <w:sz w:val="18"/>
          <w:szCs w:val="18"/>
          <w:lang w:val="fr-CA"/>
        </w:rPr>
        <w:footnoteRef/>
      </w:r>
      <w:r w:rsidRPr="00843872">
        <w:rPr>
          <w:rFonts w:cs="Times New Roman"/>
          <w:sz w:val="18"/>
          <w:szCs w:val="18"/>
          <w:lang w:val="fr-CA"/>
        </w:rPr>
        <w:t xml:space="preserve"> À cet égard, les décisions des Parties concernant les mouvements transfrontières des OVM aux fins d’introduction intentionnelle dans l’environnement (au titre de l’article 10 du Protocole) et les décisions concernant l’</w:t>
      </w:r>
      <w:r w:rsidRPr="00843872">
        <w:rPr>
          <w:rFonts w:eastAsia="Times New Roman" w:cs="Times New Roman"/>
          <w:sz w:val="18"/>
          <w:szCs w:val="18"/>
          <w:lang w:val="fr-CA"/>
        </w:rPr>
        <w:t>importation</w:t>
      </w:r>
      <w:r w:rsidRPr="00843872">
        <w:rPr>
          <w:rFonts w:cs="Times New Roman"/>
          <w:sz w:val="18"/>
          <w:szCs w:val="18"/>
          <w:lang w:val="fr-CA"/>
        </w:rPr>
        <w:t xml:space="preserve"> ou l’</w:t>
      </w:r>
      <w:r w:rsidRPr="00843872">
        <w:rPr>
          <w:rFonts w:eastAsia="Times New Roman" w:cs="Times New Roman"/>
          <w:sz w:val="18"/>
          <w:szCs w:val="18"/>
          <w:lang w:val="fr-CA"/>
        </w:rPr>
        <w:t>utilisation</w:t>
      </w:r>
      <w:r>
        <w:rPr>
          <w:rFonts w:cs="Times New Roman"/>
          <w:sz w:val="18"/>
          <w:szCs w:val="18"/>
          <w:lang w:val="fr-CA"/>
        </w:rPr>
        <w:t xml:space="preserve"> d’OVM destinés à</w:t>
      </w:r>
      <w:r w:rsidRPr="00843872">
        <w:rPr>
          <w:rFonts w:eastAsia="Times New Roman" w:cs="Times New Roman"/>
          <w:sz w:val="18"/>
          <w:szCs w:val="18"/>
          <w:lang w:val="fr-CA"/>
        </w:rPr>
        <w:t xml:space="preserve"> l’alimentation humaine ou animale ou la transformation (au titre de l’article 11 du Protocole, ou en vertu du cadre national) ont été prises en compte. La vérification de la remise d’un rapport d’évaluation des risques correspondant au </w:t>
      </w:r>
      <w:r>
        <w:rPr>
          <w:rFonts w:eastAsia="Times New Roman" w:cs="Times New Roman"/>
          <w:sz w:val="18"/>
          <w:szCs w:val="18"/>
          <w:lang w:val="fr-CA"/>
        </w:rPr>
        <w:t>centre d’échange</w:t>
      </w:r>
      <w:r w:rsidRPr="00843872">
        <w:rPr>
          <w:rFonts w:eastAsia="Times New Roman" w:cs="Times New Roman"/>
          <w:sz w:val="18"/>
          <w:szCs w:val="18"/>
          <w:lang w:val="fr-CA"/>
        </w:rPr>
        <w:t xml:space="preserve"> sur la prévention des risques biotechnologiques a été vérifiée pour chacune de ces décisions</w:t>
      </w:r>
      <w:r w:rsidRPr="00EA7CA7">
        <w:rPr>
          <w:sz w:val="18"/>
          <w:szCs w:val="18"/>
          <w:lang w:val="fr-CA"/>
        </w:rPr>
        <w:t>.</w:t>
      </w:r>
    </w:p>
  </w:footnote>
  <w:footnote w:id="37">
    <w:p w14:paraId="12C6E6EE" w14:textId="54096E56" w:rsidR="00770532" w:rsidRPr="00BA7F98" w:rsidRDefault="00770532" w:rsidP="00E13D8A">
      <w:pPr>
        <w:pStyle w:val="FootnoteText"/>
        <w:rPr>
          <w:sz w:val="18"/>
          <w:szCs w:val="18"/>
          <w:lang w:val="fr-CA"/>
        </w:rPr>
      </w:pPr>
      <w:r w:rsidRPr="003623F4">
        <w:rPr>
          <w:rStyle w:val="FootnoteReference"/>
          <w:sz w:val="18"/>
          <w:szCs w:val="18"/>
        </w:rPr>
        <w:footnoteRef/>
      </w:r>
      <w:r w:rsidRPr="00BA7F98">
        <w:rPr>
          <w:sz w:val="18"/>
          <w:szCs w:val="18"/>
          <w:lang w:val="fr-CA"/>
        </w:rPr>
        <w:t xml:space="preserve"> </w:t>
      </w:r>
      <w:r>
        <w:rPr>
          <w:sz w:val="18"/>
          <w:szCs w:val="18"/>
          <w:lang w:val="fr-CA"/>
        </w:rPr>
        <w:t>Les Parties au Protocole sont tenues de désigner un correspondant national pour le Protocole, mais d’autres gouvernements peuvent le faire également. Les données présentées ici sont fondées sur le nombre de pays Parties à la Convention sur la diversité biologique ayant enregistré un correspondant national pour le Protocole, à savoir 194 en 2011 et 196 en 2019</w:t>
      </w:r>
      <w:r w:rsidRPr="00BA7F98">
        <w:rPr>
          <w:sz w:val="18"/>
          <w:szCs w:val="18"/>
          <w:lang w:val="fr-CA"/>
        </w:rPr>
        <w:t>.</w:t>
      </w:r>
    </w:p>
  </w:footnote>
  <w:footnote w:id="38">
    <w:p w14:paraId="7395F2FA" w14:textId="38A48608" w:rsidR="00770532" w:rsidRPr="00BA7F98" w:rsidRDefault="00770532" w:rsidP="00E13D8A">
      <w:pPr>
        <w:pStyle w:val="FootnoteText"/>
        <w:rPr>
          <w:sz w:val="18"/>
          <w:szCs w:val="18"/>
          <w:lang w:val="fr-CA"/>
        </w:rPr>
      </w:pPr>
      <w:r w:rsidRPr="00BA7F98">
        <w:rPr>
          <w:rStyle w:val="FootnoteReference"/>
          <w:sz w:val="18"/>
          <w:szCs w:val="18"/>
          <w:lang w:val="fr-CA"/>
        </w:rPr>
        <w:footnoteRef/>
      </w:r>
      <w:r w:rsidRPr="00BA7F98">
        <w:rPr>
          <w:sz w:val="18"/>
          <w:szCs w:val="18"/>
          <w:lang w:val="fr-CA"/>
        </w:rPr>
        <w:t xml:space="preserve"> </w:t>
      </w:r>
      <w:r>
        <w:rPr>
          <w:sz w:val="18"/>
          <w:szCs w:val="18"/>
          <w:lang w:val="fr-CA"/>
        </w:rPr>
        <w:t>Voir aussi l’information présentée au titre de l’indicateur 3.1.5 sur le pourcentage des Parties ayant publié toute l’information obligatoire par le truchement du centre d’échange sur la prévention des risques biotechnologiques et le rôle de soutien du Comité de conformité à cet égard</w:t>
      </w:r>
      <w:r w:rsidRPr="00BA7F98">
        <w:rPr>
          <w:sz w:val="18"/>
          <w:szCs w:val="18"/>
          <w:lang w:val="fr-CA"/>
        </w:rPr>
        <w:t>.</w:t>
      </w:r>
    </w:p>
  </w:footnote>
  <w:footnote w:id="39">
    <w:p w14:paraId="5A975BB4" w14:textId="7C3EE9DB" w:rsidR="00770532" w:rsidRPr="00F642C7" w:rsidRDefault="00770532" w:rsidP="00E13D8A">
      <w:pPr>
        <w:pStyle w:val="FootnoteText"/>
        <w:rPr>
          <w:sz w:val="18"/>
          <w:szCs w:val="18"/>
          <w:lang w:val="fr-CA"/>
        </w:rPr>
      </w:pPr>
      <w:r w:rsidRPr="003623F4">
        <w:rPr>
          <w:rStyle w:val="FootnoteReference"/>
          <w:sz w:val="18"/>
          <w:szCs w:val="18"/>
        </w:rPr>
        <w:footnoteRef/>
      </w:r>
      <w:r w:rsidRPr="00BA4381">
        <w:rPr>
          <w:sz w:val="18"/>
          <w:szCs w:val="18"/>
          <w:lang w:val="fr-CA"/>
        </w:rPr>
        <w:t xml:space="preserve"> </w:t>
      </w:r>
      <w:r>
        <w:rPr>
          <w:sz w:val="18"/>
          <w:szCs w:val="18"/>
          <w:lang w:val="fr-CA"/>
        </w:rPr>
        <w:t>Voilà pourquoi les décisions sur les mouvements transfrontières des OVM aux fins d’introduction intentionnelle dans l’environnement (au titre de l’article 10 du Protocole) et les décisions sur l’importation ou l’utilisation au pays des OVM destinés à être utilisés directement pour l’alimentation humaine ou animale ou la transformation (au titre de l’article 11 du Protocole ou du cadre national) ont été examinées</w:t>
      </w:r>
      <w:r w:rsidRPr="00F642C7">
        <w:rPr>
          <w:sz w:val="18"/>
          <w:szCs w:val="18"/>
          <w:lang w:val="fr-CA"/>
        </w:rPr>
        <w:t>.</w:t>
      </w:r>
    </w:p>
  </w:footnote>
  <w:footnote w:id="40">
    <w:p w14:paraId="2543CA5A" w14:textId="6ECE4113" w:rsidR="00770532" w:rsidRPr="00B8087A" w:rsidRDefault="00770532" w:rsidP="00E13D8A">
      <w:pPr>
        <w:pStyle w:val="FootnoteText"/>
        <w:rPr>
          <w:sz w:val="18"/>
          <w:szCs w:val="18"/>
          <w:lang w:val="fr-CA"/>
        </w:rPr>
      </w:pPr>
      <w:r w:rsidRPr="00F642C7">
        <w:rPr>
          <w:rStyle w:val="FootnoteReference"/>
          <w:sz w:val="18"/>
          <w:szCs w:val="18"/>
          <w:lang w:val="fr-CA"/>
        </w:rPr>
        <w:footnoteRef/>
      </w:r>
      <w:r w:rsidRPr="00B8087A">
        <w:rPr>
          <w:sz w:val="18"/>
          <w:szCs w:val="18"/>
          <w:lang w:val="fr-CA"/>
        </w:rPr>
        <w:t xml:space="preserve"> </w:t>
      </w:r>
      <w:r>
        <w:rPr>
          <w:sz w:val="18"/>
          <w:szCs w:val="18"/>
          <w:lang w:val="fr-CA"/>
        </w:rPr>
        <w:t>La même période a été utilisée comme valeur de référence pour mesurer les progrès réalisés au titre des indicateurs de cet objectif opérationnel lors de la troisième évaluation et examen du Protocole et de l’examen de mi-mandat du Plan stratégique pour le Protocole de Cartagena</w:t>
      </w:r>
      <w:r w:rsidRPr="00B8087A">
        <w:rPr>
          <w:sz w:val="18"/>
          <w:szCs w:val="18"/>
          <w:lang w:val="fr-CA"/>
        </w:rPr>
        <w:t xml:space="preserve">.  </w:t>
      </w:r>
    </w:p>
  </w:footnote>
  <w:footnote w:id="41">
    <w:p w14:paraId="24B3A21B" w14:textId="6DF59A2B" w:rsidR="00770532" w:rsidRPr="00B26026" w:rsidRDefault="00770532" w:rsidP="00F84E9C">
      <w:pPr>
        <w:pStyle w:val="FootnoteText"/>
        <w:rPr>
          <w:sz w:val="18"/>
          <w:szCs w:val="18"/>
          <w:lang w:val="fr-CA"/>
        </w:rPr>
      </w:pPr>
      <w:r w:rsidRPr="00115458">
        <w:rPr>
          <w:rStyle w:val="FootnoteReference"/>
          <w:sz w:val="18"/>
          <w:szCs w:val="18"/>
        </w:rPr>
        <w:footnoteRef/>
      </w:r>
      <w:r w:rsidRPr="00B26026">
        <w:rPr>
          <w:sz w:val="18"/>
          <w:szCs w:val="18"/>
          <w:lang w:val="fr-CA"/>
        </w:rPr>
        <w:t xml:space="preserve"> </w:t>
      </w:r>
      <w:r>
        <w:rPr>
          <w:sz w:val="18"/>
          <w:szCs w:val="18"/>
          <w:lang w:val="fr-CA"/>
        </w:rPr>
        <w:t>http://bch.cbd.int/about/news</w:t>
      </w:r>
      <w:hyperlink r:id="rId2" w:history="1"/>
      <w:r w:rsidRPr="00B26026">
        <w:rPr>
          <w:sz w:val="18"/>
          <w:szCs w:val="18"/>
          <w:lang w:val="fr-CA"/>
        </w:rPr>
        <w:t xml:space="preserve">. </w:t>
      </w:r>
    </w:p>
  </w:footnote>
  <w:footnote w:id="42">
    <w:p w14:paraId="010BAB6E" w14:textId="6C2420C0" w:rsidR="00770532" w:rsidRPr="00732185" w:rsidRDefault="00770532" w:rsidP="004569FB">
      <w:pPr>
        <w:pStyle w:val="FootnoteText"/>
        <w:rPr>
          <w:sz w:val="18"/>
          <w:szCs w:val="18"/>
          <w:lang w:val="fr-CA"/>
        </w:rPr>
      </w:pPr>
      <w:r w:rsidRPr="008D6A50">
        <w:rPr>
          <w:rStyle w:val="FootnoteReference"/>
          <w:sz w:val="18"/>
          <w:szCs w:val="18"/>
        </w:rPr>
        <w:footnoteRef/>
      </w:r>
      <w:r w:rsidRPr="00B26026">
        <w:rPr>
          <w:sz w:val="18"/>
          <w:szCs w:val="18"/>
          <w:lang w:val="fr-CA"/>
        </w:rPr>
        <w:t xml:space="preserve"> </w:t>
      </w:r>
      <w:r w:rsidRPr="00015D73">
        <w:rPr>
          <w:sz w:val="18"/>
          <w:szCs w:val="18"/>
          <w:lang w:val="fr-CA"/>
        </w:rPr>
        <w:t>Paragraphe</w:t>
      </w:r>
      <w:r w:rsidRPr="00B26026">
        <w:rPr>
          <w:sz w:val="18"/>
          <w:szCs w:val="18"/>
          <w:lang w:val="fr-CA"/>
        </w:rPr>
        <w:t xml:space="preserve"> </w:t>
      </w:r>
      <w:r w:rsidRPr="00732185">
        <w:rPr>
          <w:sz w:val="18"/>
          <w:szCs w:val="18"/>
          <w:lang w:val="fr-CA"/>
        </w:rPr>
        <w:t>28, CBD/CP/CC/16/7.</w:t>
      </w:r>
    </w:p>
  </w:footnote>
  <w:footnote w:id="43">
    <w:p w14:paraId="37BC5DCC" w14:textId="345A5492" w:rsidR="00770532" w:rsidRPr="00732185" w:rsidRDefault="00770532" w:rsidP="004569FB">
      <w:pPr>
        <w:pStyle w:val="FootnoteText"/>
        <w:rPr>
          <w:sz w:val="16"/>
          <w:szCs w:val="18"/>
          <w:lang w:val="fr-CA"/>
        </w:rPr>
      </w:pPr>
      <w:r w:rsidRPr="008D6A50">
        <w:rPr>
          <w:rStyle w:val="FootnoteReference"/>
          <w:sz w:val="18"/>
          <w:szCs w:val="18"/>
        </w:rPr>
        <w:footnoteRef/>
      </w:r>
      <w:r w:rsidRPr="00732185">
        <w:rPr>
          <w:sz w:val="18"/>
          <w:szCs w:val="18"/>
          <w:lang w:val="fr-CA"/>
        </w:rPr>
        <w:t xml:space="preserve"> </w:t>
      </w:r>
      <w:r>
        <w:rPr>
          <w:sz w:val="18"/>
          <w:szCs w:val="18"/>
          <w:lang w:val="fr-CA"/>
        </w:rPr>
        <w:t xml:space="preserve">En réponse à la décision BS-V/1, le Comité a commencé à prendre des mesures </w:t>
      </w:r>
      <w:r w:rsidRPr="00732185">
        <w:rPr>
          <w:snapToGrid w:val="0"/>
          <w:kern w:val="22"/>
          <w:sz w:val="18"/>
          <w:szCs w:val="22"/>
          <w:lang w:val="fr-CA"/>
        </w:rPr>
        <w:t>lorsqu’une Partie omet</w:t>
      </w:r>
      <w:r>
        <w:rPr>
          <w:snapToGrid w:val="0"/>
          <w:kern w:val="22"/>
          <w:sz w:val="18"/>
          <w:szCs w:val="22"/>
          <w:lang w:val="fr-CA"/>
        </w:rPr>
        <w:t>tait</w:t>
      </w:r>
      <w:r w:rsidRPr="00732185">
        <w:rPr>
          <w:snapToGrid w:val="0"/>
          <w:kern w:val="22"/>
          <w:sz w:val="18"/>
          <w:szCs w:val="22"/>
          <w:lang w:val="fr-CA"/>
        </w:rPr>
        <w:t xml:space="preserve"> de remettre son rapport national, ou lorsque l’information reçue dans un rapport nation</w:t>
      </w:r>
      <w:r>
        <w:rPr>
          <w:snapToGrid w:val="0"/>
          <w:kern w:val="22"/>
          <w:sz w:val="18"/>
          <w:szCs w:val="22"/>
          <w:lang w:val="fr-CA"/>
        </w:rPr>
        <w:t>al ou de la part du Secrétariat</w:t>
      </w:r>
      <w:r w:rsidRPr="00732185">
        <w:rPr>
          <w:snapToGrid w:val="0"/>
          <w:kern w:val="22"/>
          <w:sz w:val="18"/>
          <w:szCs w:val="22"/>
          <w:lang w:val="fr-CA"/>
        </w:rPr>
        <w:t xml:space="preserve"> </w:t>
      </w:r>
      <w:r>
        <w:rPr>
          <w:snapToGrid w:val="0"/>
          <w:kern w:val="22"/>
          <w:sz w:val="18"/>
          <w:szCs w:val="22"/>
          <w:lang w:val="fr-CA"/>
        </w:rPr>
        <w:t>provenait</w:t>
      </w:r>
      <w:r w:rsidRPr="00732185">
        <w:rPr>
          <w:snapToGrid w:val="0"/>
          <w:kern w:val="22"/>
          <w:sz w:val="18"/>
          <w:szCs w:val="22"/>
          <w:lang w:val="fr-CA"/>
        </w:rPr>
        <w:t xml:space="preserve"> d’information </w:t>
      </w:r>
      <w:r>
        <w:rPr>
          <w:snapToGrid w:val="0"/>
          <w:kern w:val="22"/>
          <w:sz w:val="18"/>
          <w:szCs w:val="22"/>
          <w:lang w:val="fr-CA"/>
        </w:rPr>
        <w:t>venant</w:t>
      </w:r>
      <w:r w:rsidRPr="00732185">
        <w:rPr>
          <w:snapToGrid w:val="0"/>
          <w:kern w:val="22"/>
          <w:sz w:val="18"/>
          <w:szCs w:val="22"/>
          <w:lang w:val="fr-CA"/>
        </w:rPr>
        <w:t xml:space="preserve"> du </w:t>
      </w:r>
      <w:r>
        <w:rPr>
          <w:snapToGrid w:val="0"/>
          <w:kern w:val="22"/>
          <w:sz w:val="18"/>
          <w:szCs w:val="22"/>
          <w:lang w:val="fr-CA"/>
        </w:rPr>
        <w:t>centre d’échange</w:t>
      </w:r>
      <w:r w:rsidRPr="00732185">
        <w:rPr>
          <w:snapToGrid w:val="0"/>
          <w:kern w:val="22"/>
          <w:sz w:val="18"/>
          <w:szCs w:val="22"/>
          <w:lang w:val="fr-CA"/>
        </w:rPr>
        <w:t xml:space="preserve"> sur la prévention des risques biotechnologiques</w:t>
      </w:r>
      <w:r>
        <w:rPr>
          <w:snapToGrid w:val="0"/>
          <w:kern w:val="22"/>
          <w:sz w:val="18"/>
          <w:szCs w:val="22"/>
          <w:lang w:val="fr-CA"/>
        </w:rPr>
        <w:t xml:space="preserve">, indiquant que la Partie concernée </w:t>
      </w:r>
      <w:r w:rsidRPr="00732185">
        <w:rPr>
          <w:snapToGrid w:val="0"/>
          <w:kern w:val="22"/>
          <w:sz w:val="18"/>
          <w:szCs w:val="22"/>
          <w:lang w:val="fr-CA"/>
        </w:rPr>
        <w:t>éprouvait des difficultés à respecter ses obligations au titre du Protocole</w:t>
      </w:r>
      <w:r w:rsidRPr="00732185">
        <w:rPr>
          <w:sz w:val="16"/>
          <w:szCs w:val="18"/>
          <w:lang w:val="fr-CA"/>
        </w:rPr>
        <w:t>.</w:t>
      </w:r>
    </w:p>
  </w:footnote>
  <w:footnote w:id="44">
    <w:p w14:paraId="506735D9" w14:textId="50F2CEE0" w:rsidR="00770532" w:rsidRPr="00882C2A" w:rsidRDefault="00770532" w:rsidP="004569FB">
      <w:pPr>
        <w:pStyle w:val="FootnoteText"/>
        <w:rPr>
          <w:sz w:val="18"/>
          <w:szCs w:val="18"/>
          <w:lang w:val="fr-CA"/>
        </w:rPr>
      </w:pPr>
      <w:r w:rsidRPr="00882C2A">
        <w:rPr>
          <w:rStyle w:val="FootnoteReference"/>
          <w:sz w:val="18"/>
          <w:szCs w:val="18"/>
          <w:lang w:val="fr-CA"/>
        </w:rPr>
        <w:footnoteRef/>
      </w:r>
      <w:r w:rsidRPr="00882C2A">
        <w:rPr>
          <w:sz w:val="18"/>
          <w:szCs w:val="18"/>
          <w:lang w:val="fr-CA"/>
        </w:rPr>
        <w:t xml:space="preserve"> </w:t>
      </w:r>
      <w:r>
        <w:rPr>
          <w:sz w:val="18"/>
          <w:szCs w:val="18"/>
          <w:lang w:val="fr-CA"/>
        </w:rPr>
        <w:t>La question sur le sujet dans le deuxième rapport national ne permettait de répondre « oui, dans une certaine mesure »</w:t>
      </w:r>
      <w:r w:rsidRPr="00882C2A">
        <w:rPr>
          <w:sz w:val="18"/>
          <w:szCs w:val="18"/>
          <w:lang w:val="fr-CA"/>
        </w:rPr>
        <w:t>.</w:t>
      </w:r>
    </w:p>
  </w:footnote>
  <w:footnote w:id="45">
    <w:p w14:paraId="2289A9DD" w14:textId="599F2113" w:rsidR="00770532" w:rsidRPr="00882C2A" w:rsidRDefault="00770532" w:rsidP="004569FB">
      <w:pPr>
        <w:pStyle w:val="FootnoteText"/>
        <w:rPr>
          <w:sz w:val="18"/>
          <w:szCs w:val="18"/>
          <w:lang w:val="fr-CA"/>
        </w:rPr>
      </w:pPr>
      <w:r w:rsidRPr="00882C2A">
        <w:rPr>
          <w:rStyle w:val="FootnoteReference"/>
          <w:sz w:val="18"/>
          <w:szCs w:val="18"/>
          <w:lang w:val="fr-CA"/>
        </w:rPr>
        <w:footnoteRef/>
      </w:r>
      <w:r w:rsidRPr="00882C2A">
        <w:rPr>
          <w:sz w:val="18"/>
          <w:szCs w:val="18"/>
          <w:lang w:val="fr-CA"/>
        </w:rPr>
        <w:t xml:space="preserve"> </w:t>
      </w:r>
      <w:r>
        <w:rPr>
          <w:sz w:val="18"/>
          <w:szCs w:val="18"/>
          <w:lang w:val="fr-CA"/>
        </w:rPr>
        <w:t>Cette information a été obtenue à la question 19 du modèle de rapport du quatrième rapport national</w:t>
      </w:r>
      <w:r w:rsidRPr="00882C2A">
        <w:rPr>
          <w:sz w:val="18"/>
          <w:szCs w:val="18"/>
          <w:lang w:val="fr-CA"/>
        </w:rPr>
        <w:t xml:space="preserve">. </w:t>
      </w:r>
    </w:p>
  </w:footnote>
  <w:footnote w:id="46">
    <w:p w14:paraId="581AA1F2" w14:textId="14676E38" w:rsidR="00770532" w:rsidRPr="008C0E61" w:rsidRDefault="00770532" w:rsidP="004569FB">
      <w:pPr>
        <w:pStyle w:val="FootnoteText"/>
        <w:rPr>
          <w:sz w:val="18"/>
          <w:szCs w:val="18"/>
          <w:lang w:val="fr-CA"/>
        </w:rPr>
      </w:pPr>
      <w:r w:rsidRPr="008D6A50">
        <w:rPr>
          <w:rStyle w:val="FootnoteReference"/>
          <w:sz w:val="18"/>
          <w:szCs w:val="18"/>
        </w:rPr>
        <w:footnoteRef/>
      </w:r>
      <w:r w:rsidRPr="009A1043">
        <w:rPr>
          <w:sz w:val="18"/>
          <w:szCs w:val="18"/>
          <w:lang w:val="fr-CA"/>
        </w:rPr>
        <w:t xml:space="preserve"> </w:t>
      </w:r>
      <w:r>
        <w:rPr>
          <w:snapToGrid w:val="0"/>
          <w:kern w:val="18"/>
          <w:sz w:val="18"/>
          <w:szCs w:val="18"/>
          <w:lang w:val="fr-CA"/>
        </w:rPr>
        <w:t>Il n’était pas possible de répondre « dans une certaine mesure  » à la question sur le sujet dans le deuxième rapport national, ce qui peut avoir eu une influence sur les différences déclarées par rapport à la valeur de référence.</w:t>
      </w:r>
    </w:p>
  </w:footnote>
  <w:footnote w:id="47">
    <w:p w14:paraId="3066882B" w14:textId="4FB904B3" w:rsidR="00770532" w:rsidRPr="008C0E61" w:rsidRDefault="00770532">
      <w:pPr>
        <w:pStyle w:val="FootnoteText"/>
        <w:rPr>
          <w:lang w:val="fr-CA"/>
        </w:rPr>
      </w:pPr>
      <w:r w:rsidRPr="008C0E61">
        <w:rPr>
          <w:rStyle w:val="FootnoteReference"/>
          <w:lang w:val="fr-CA"/>
        </w:rPr>
        <w:footnoteRef/>
      </w:r>
      <w:r w:rsidRPr="008C0E61">
        <w:rPr>
          <w:lang w:val="fr-CA"/>
        </w:rPr>
        <w:t xml:space="preserve"> </w:t>
      </w:r>
      <w:bookmarkStart w:id="14" w:name="_Hlk33187068"/>
      <w:r>
        <w:rPr>
          <w:sz w:val="18"/>
          <w:szCs w:val="18"/>
          <w:lang w:val="fr-CA"/>
        </w:rPr>
        <w:t>La somme est de 14 p. cent au lieu de 15 p. cent à cause de l’arrondissement des décimales</w:t>
      </w:r>
      <w:r w:rsidRPr="008C0E61">
        <w:rPr>
          <w:sz w:val="18"/>
          <w:szCs w:val="18"/>
          <w:lang w:val="fr-CA"/>
        </w:rPr>
        <w:t xml:space="preserve">. </w:t>
      </w:r>
      <w:bookmarkEnd w:id="14"/>
    </w:p>
  </w:footnote>
  <w:footnote w:id="48">
    <w:p w14:paraId="10C3B44F" w14:textId="76340760" w:rsidR="00770532" w:rsidRPr="008C0E61" w:rsidRDefault="00770532" w:rsidP="004569FB">
      <w:pPr>
        <w:pStyle w:val="FootnoteText"/>
        <w:rPr>
          <w:sz w:val="18"/>
          <w:szCs w:val="18"/>
          <w:lang w:val="fr-CA"/>
        </w:rPr>
      </w:pPr>
      <w:r w:rsidRPr="008C0E61">
        <w:rPr>
          <w:rStyle w:val="FootnoteReference"/>
          <w:sz w:val="18"/>
          <w:szCs w:val="18"/>
          <w:lang w:val="fr-CA"/>
        </w:rPr>
        <w:footnoteRef/>
      </w:r>
      <w:r w:rsidRPr="008C0E61">
        <w:rPr>
          <w:sz w:val="18"/>
          <w:szCs w:val="18"/>
          <w:lang w:val="fr-CA"/>
        </w:rPr>
        <w:t xml:space="preserve"> </w:t>
      </w:r>
      <w:r>
        <w:rPr>
          <w:sz w:val="18"/>
          <w:szCs w:val="18"/>
          <w:lang w:val="fr-CA"/>
        </w:rPr>
        <w:t>Certains de ces changements peuvent être attribuables à la révision de la question dans le modèle du quatrième rapport national, qui ne concernait que la période visée par le rapport, tandis qu’il s’agissait d’une question ouverte dans le deuxième rapport national</w:t>
      </w:r>
      <w:r w:rsidRPr="008C0E61">
        <w:rPr>
          <w:sz w:val="18"/>
          <w:szCs w:val="18"/>
          <w:lang w:val="fr-CA"/>
        </w:rPr>
        <w:t>.</w:t>
      </w:r>
    </w:p>
  </w:footnote>
  <w:footnote w:id="49">
    <w:p w14:paraId="25E5331F" w14:textId="39E5C4F9" w:rsidR="00770532" w:rsidRPr="00121429" w:rsidRDefault="00770532" w:rsidP="00646A10">
      <w:pPr>
        <w:pStyle w:val="FootnoteText"/>
        <w:rPr>
          <w:rFonts w:cs="Times New Roman"/>
          <w:sz w:val="18"/>
          <w:szCs w:val="18"/>
          <w:lang w:val="fr-CA"/>
        </w:rPr>
      </w:pPr>
      <w:r w:rsidRPr="008C0E61">
        <w:rPr>
          <w:rStyle w:val="FootnoteReference"/>
          <w:sz w:val="18"/>
          <w:szCs w:val="18"/>
          <w:lang w:val="fr-CA"/>
        </w:rPr>
        <w:footnoteRef/>
      </w:r>
      <w:r w:rsidRPr="008C0E61">
        <w:rPr>
          <w:sz w:val="18"/>
          <w:szCs w:val="18"/>
          <w:lang w:val="fr-CA"/>
        </w:rPr>
        <w:t xml:space="preserve"> </w:t>
      </w:r>
      <w:r>
        <w:rPr>
          <w:sz w:val="18"/>
          <w:szCs w:val="18"/>
          <w:lang w:val="fr-CA"/>
        </w:rPr>
        <w:t xml:space="preserve">Ibid. </w:t>
      </w:r>
    </w:p>
  </w:footnote>
  <w:footnote w:id="50">
    <w:p w14:paraId="3EE8E3AF" w14:textId="4EE5ADC6" w:rsidR="00770532" w:rsidRPr="008C0E61" w:rsidRDefault="00770532" w:rsidP="004569FB">
      <w:pPr>
        <w:pStyle w:val="FootnoteText"/>
        <w:rPr>
          <w:sz w:val="18"/>
          <w:szCs w:val="18"/>
          <w:lang w:val="fr-CA"/>
        </w:rPr>
      </w:pPr>
      <w:r w:rsidRPr="00121429">
        <w:rPr>
          <w:rStyle w:val="FootnoteReference"/>
          <w:rFonts w:cs="Times New Roman"/>
          <w:sz w:val="18"/>
          <w:szCs w:val="18"/>
          <w:lang w:val="fr-CA"/>
        </w:rPr>
        <w:footnoteRef/>
      </w:r>
      <w:r w:rsidRPr="00121429">
        <w:rPr>
          <w:rFonts w:cs="Times New Roman"/>
          <w:sz w:val="18"/>
          <w:szCs w:val="18"/>
          <w:lang w:val="fr-CA"/>
        </w:rPr>
        <w:t xml:space="preserve"> Dans le modèle du deuxième rapport </w:t>
      </w:r>
      <w:r w:rsidRPr="00121429">
        <w:rPr>
          <w:rFonts w:eastAsia="Times New Roman" w:cs="Times New Roman"/>
          <w:sz w:val="18"/>
          <w:szCs w:val="18"/>
          <w:lang w:val="fr-CA"/>
        </w:rPr>
        <w:t>national</w:t>
      </w:r>
      <w:r w:rsidRPr="00121429">
        <w:rPr>
          <w:rFonts w:cs="Times New Roman"/>
          <w:sz w:val="18"/>
          <w:szCs w:val="18"/>
          <w:lang w:val="fr-CA"/>
        </w:rPr>
        <w:t>, seules les Parties ayant pris une décision concernant les OVM destinés à être utilisés directement pour l’alimentation humaine ou animale ou la transformation étaient invitées à répondre à la question. Voilà pourquoi le nombre de Parties ayant répondu à cette question est faible</w:t>
      </w:r>
      <w:r w:rsidRPr="008C0E61">
        <w:rPr>
          <w:sz w:val="18"/>
          <w:szCs w:val="18"/>
          <w:lang w:val="fr-CA"/>
        </w:rPr>
        <w:t xml:space="preserve">.  </w:t>
      </w:r>
    </w:p>
  </w:footnote>
  <w:footnote w:id="51">
    <w:p w14:paraId="789FDE83" w14:textId="3ECD2C78" w:rsidR="00770532" w:rsidRPr="006135E9" w:rsidRDefault="00770532" w:rsidP="004569FB">
      <w:pPr>
        <w:pStyle w:val="FootnoteText"/>
        <w:rPr>
          <w:sz w:val="18"/>
          <w:szCs w:val="18"/>
          <w:lang w:val="fr-CA"/>
        </w:rPr>
      </w:pPr>
      <w:r w:rsidRPr="006135E9">
        <w:rPr>
          <w:rStyle w:val="FootnoteReference"/>
          <w:sz w:val="18"/>
          <w:szCs w:val="18"/>
          <w:lang w:val="fr-CA"/>
        </w:rPr>
        <w:footnoteRef/>
      </w:r>
      <w:r w:rsidRPr="006135E9">
        <w:rPr>
          <w:sz w:val="18"/>
          <w:szCs w:val="18"/>
          <w:lang w:val="fr-CA"/>
        </w:rPr>
        <w:t xml:space="preserve"> </w:t>
      </w:r>
      <w:r>
        <w:rPr>
          <w:sz w:val="18"/>
          <w:szCs w:val="18"/>
          <w:lang w:val="fr-CA"/>
        </w:rPr>
        <w:t xml:space="preserve">Ibid. </w:t>
      </w:r>
    </w:p>
  </w:footnote>
  <w:footnote w:id="52">
    <w:p w14:paraId="287D14C7" w14:textId="08D6B1BE" w:rsidR="00770532" w:rsidRPr="00C87C38" w:rsidRDefault="00770532" w:rsidP="004569FB">
      <w:pPr>
        <w:pStyle w:val="FootnoteText"/>
        <w:rPr>
          <w:sz w:val="18"/>
          <w:szCs w:val="18"/>
          <w:lang w:val="fr-CA"/>
        </w:rPr>
      </w:pPr>
      <w:r w:rsidRPr="008D6A50">
        <w:rPr>
          <w:rStyle w:val="FootnoteReference"/>
          <w:sz w:val="18"/>
          <w:szCs w:val="18"/>
        </w:rPr>
        <w:footnoteRef/>
      </w:r>
      <w:r w:rsidRPr="00C87C38">
        <w:rPr>
          <w:sz w:val="18"/>
          <w:szCs w:val="18"/>
          <w:lang w:val="fr-CA"/>
        </w:rPr>
        <w:t xml:space="preserve"> </w:t>
      </w:r>
      <w:r>
        <w:rPr>
          <w:sz w:val="18"/>
          <w:szCs w:val="18"/>
          <w:lang w:val="fr-CA"/>
        </w:rPr>
        <w:t>Trois de ces Parties ont mis à disposition des sommaires des évaluations des risques pour la grande majorité des décisions qu’elles ont communiquées au centre d’échange sur la prévention des risques biotechnologiques</w:t>
      </w:r>
      <w:r w:rsidRPr="00C87C38">
        <w:rPr>
          <w:sz w:val="18"/>
          <w:szCs w:val="18"/>
          <w:lang w:val="fr-CA"/>
        </w:rPr>
        <w:t xml:space="preserve">. </w:t>
      </w:r>
    </w:p>
  </w:footnote>
  <w:footnote w:id="53">
    <w:p w14:paraId="12140E42" w14:textId="14B5C25E" w:rsidR="00770532" w:rsidRPr="0069242A" w:rsidRDefault="00770532" w:rsidP="004569FB">
      <w:pPr>
        <w:pStyle w:val="FootnoteText"/>
        <w:rPr>
          <w:sz w:val="18"/>
          <w:szCs w:val="18"/>
          <w:lang w:val="fr-CA"/>
        </w:rPr>
      </w:pPr>
      <w:r w:rsidRPr="00C87C38">
        <w:rPr>
          <w:rStyle w:val="FootnoteReference"/>
          <w:sz w:val="18"/>
          <w:szCs w:val="18"/>
          <w:lang w:val="fr-CA"/>
        </w:rPr>
        <w:footnoteRef/>
      </w:r>
      <w:r w:rsidRPr="00C87C38">
        <w:rPr>
          <w:sz w:val="18"/>
          <w:szCs w:val="18"/>
          <w:lang w:val="fr-CA"/>
        </w:rPr>
        <w:t xml:space="preserve"> </w:t>
      </w:r>
      <w:r>
        <w:rPr>
          <w:sz w:val="18"/>
          <w:szCs w:val="18"/>
          <w:lang w:val="fr-CA"/>
        </w:rPr>
        <w:t xml:space="preserve">La question 168 dans le quatrième rapport national est reliée aux questions 35 a) (sur les programmes de suivi) et 35 b) (sur les programmes d’exécution) de l’Enquête. Dans cette analyse, l’outil d’analyse du centre d’échange sur la prévention des risques biotechnologiques a comparé les réponses à la question 168 du quatrième rapport national à la question 35 a) de l’Enquête. La différence de nombre de réponses pour les deux questions, 35 a) et b), est minime : (35 a) : 61 Parties ont répondu </w:t>
      </w:r>
      <w:r w:rsidRPr="0069242A">
        <w:rPr>
          <w:i/>
          <w:sz w:val="18"/>
          <w:szCs w:val="18"/>
          <w:lang w:val="fr-CA"/>
        </w:rPr>
        <w:t>oui</w:t>
      </w:r>
      <w:r>
        <w:rPr>
          <w:sz w:val="18"/>
          <w:szCs w:val="18"/>
          <w:lang w:val="fr-CA"/>
        </w:rPr>
        <w:t xml:space="preserve"> et 46 ont répondu </w:t>
      </w:r>
      <w:r w:rsidRPr="0069242A">
        <w:rPr>
          <w:i/>
          <w:sz w:val="18"/>
          <w:szCs w:val="18"/>
          <w:lang w:val="fr-CA"/>
        </w:rPr>
        <w:t>non</w:t>
      </w:r>
      <w:r>
        <w:rPr>
          <w:sz w:val="18"/>
          <w:szCs w:val="18"/>
          <w:lang w:val="fr-CA"/>
        </w:rPr>
        <w:t xml:space="preserve">, et question 35 b) : 58 Parties ont répondu </w:t>
      </w:r>
      <w:r w:rsidRPr="0069242A">
        <w:rPr>
          <w:i/>
          <w:sz w:val="18"/>
          <w:szCs w:val="18"/>
          <w:lang w:val="fr-CA"/>
        </w:rPr>
        <w:t>oui</w:t>
      </w:r>
      <w:r>
        <w:rPr>
          <w:sz w:val="18"/>
          <w:szCs w:val="18"/>
          <w:lang w:val="fr-CA"/>
        </w:rPr>
        <w:t xml:space="preserve"> et 46 ont répondu </w:t>
      </w:r>
      <w:r w:rsidRPr="0069242A">
        <w:rPr>
          <w:i/>
          <w:sz w:val="18"/>
          <w:szCs w:val="18"/>
          <w:lang w:val="fr-CA"/>
        </w:rPr>
        <w:t>non</w:t>
      </w:r>
      <w:r>
        <w:rPr>
          <w:sz w:val="18"/>
          <w:szCs w:val="18"/>
          <w:lang w:val="fr-CA"/>
        </w:rPr>
        <w:t>).</w:t>
      </w:r>
    </w:p>
  </w:footnote>
  <w:footnote w:id="54">
    <w:p w14:paraId="5834CE4A" w14:textId="0C135359" w:rsidR="00770532" w:rsidRPr="00C87C38" w:rsidRDefault="00770532" w:rsidP="00C56A0A">
      <w:pPr>
        <w:pStyle w:val="FootnoteText"/>
        <w:rPr>
          <w:sz w:val="18"/>
          <w:szCs w:val="18"/>
          <w:lang w:val="fr-CA"/>
        </w:rPr>
      </w:pPr>
      <w:r w:rsidRPr="00C87C38">
        <w:rPr>
          <w:rStyle w:val="FootnoteReference"/>
          <w:sz w:val="18"/>
          <w:szCs w:val="18"/>
          <w:lang w:val="fr-CA"/>
        </w:rPr>
        <w:footnoteRef/>
      </w:r>
      <w:r w:rsidRPr="00C87C38">
        <w:rPr>
          <w:sz w:val="18"/>
          <w:szCs w:val="18"/>
          <w:lang w:val="fr-CA"/>
        </w:rPr>
        <w:t xml:space="preserve"> </w:t>
      </w:r>
      <w:r>
        <w:rPr>
          <w:sz w:val="18"/>
          <w:szCs w:val="18"/>
          <w:lang w:val="fr-CA"/>
        </w:rPr>
        <w:t>L’Ouzbékistan a déposé son instrument d’adhésion au Protocole le 25 octobre 2019, après la date limite de remise des quatrièmes rapports nationaux, et n’est donc pas compris dans le nombre de pays dans le contexte du présent document</w:t>
      </w:r>
      <w:r w:rsidRPr="00C87C38">
        <w:rPr>
          <w:sz w:val="18"/>
          <w:szCs w:val="18"/>
          <w:lang w:val="fr-CA"/>
        </w:rPr>
        <w:t>.</w:t>
      </w:r>
    </w:p>
  </w:footnote>
  <w:footnote w:id="55">
    <w:p w14:paraId="2673A763" w14:textId="69B2F8EF" w:rsidR="00770532" w:rsidRPr="00C87C38" w:rsidRDefault="00770532" w:rsidP="004569FB">
      <w:pPr>
        <w:pStyle w:val="FootnoteText"/>
        <w:rPr>
          <w:sz w:val="18"/>
          <w:szCs w:val="18"/>
          <w:lang w:val="fr-CA"/>
        </w:rPr>
      </w:pPr>
      <w:r w:rsidRPr="00C87C38">
        <w:rPr>
          <w:rStyle w:val="FootnoteReference"/>
          <w:sz w:val="18"/>
          <w:szCs w:val="18"/>
          <w:lang w:val="fr-CA"/>
        </w:rPr>
        <w:footnoteRef/>
      </w:r>
      <w:r w:rsidRPr="00C87C38">
        <w:rPr>
          <w:sz w:val="18"/>
          <w:szCs w:val="18"/>
          <w:lang w:val="fr-CA"/>
        </w:rPr>
        <w:t xml:space="preserve"> </w:t>
      </w:r>
      <w:r>
        <w:rPr>
          <w:sz w:val="18"/>
          <w:szCs w:val="18"/>
          <w:lang w:val="fr-CA"/>
        </w:rPr>
        <w:t>Le taux de remise des troisièmes rapports nationaux dans un délai semblable après la date limite de remise était de 62 p. cent, et avait augmenté à 91 p. cent au moment de préparer la présente note</w:t>
      </w:r>
      <w:r w:rsidRPr="00C87C38">
        <w:rPr>
          <w:sz w:val="18"/>
          <w:szCs w:val="18"/>
          <w:lang w:val="fr-CA"/>
        </w:rPr>
        <w:t>.</w:t>
      </w:r>
    </w:p>
  </w:footnote>
  <w:footnote w:id="56">
    <w:p w14:paraId="3DE9374A" w14:textId="616A34F7" w:rsidR="00770532" w:rsidRPr="00C87C38" w:rsidRDefault="00770532" w:rsidP="004569FB">
      <w:pPr>
        <w:pStyle w:val="FootnoteText"/>
        <w:rPr>
          <w:sz w:val="18"/>
          <w:szCs w:val="18"/>
          <w:lang w:val="fr-CA"/>
        </w:rPr>
      </w:pPr>
      <w:r w:rsidRPr="00C87C38">
        <w:rPr>
          <w:rStyle w:val="FootnoteReference"/>
          <w:sz w:val="18"/>
          <w:szCs w:val="18"/>
          <w:lang w:val="fr-CA"/>
        </w:rPr>
        <w:footnoteRef/>
      </w:r>
      <w:r w:rsidRPr="00C87C38">
        <w:rPr>
          <w:sz w:val="18"/>
          <w:szCs w:val="18"/>
          <w:lang w:val="fr-CA"/>
        </w:rPr>
        <w:t xml:space="preserve"> </w:t>
      </w:r>
      <w:r>
        <w:rPr>
          <w:sz w:val="18"/>
          <w:szCs w:val="18"/>
          <w:lang w:val="fr-CA"/>
        </w:rPr>
        <w:t>La question apparentée dans l’Enquête ne permettait pas de répondre « oui, dans une certaine mesure ». Cinquante et un p. cent de Parties n’ont pas accès à une telle conclusion</w:t>
      </w:r>
      <w:r w:rsidRPr="00C87C38">
        <w:rPr>
          <w:sz w:val="18"/>
          <w:szCs w:val="18"/>
          <w:lang w:val="fr-CA"/>
        </w:rPr>
        <w:t>.</w:t>
      </w:r>
    </w:p>
  </w:footnote>
  <w:footnote w:id="57">
    <w:p w14:paraId="36FADFCF" w14:textId="150BBAC7" w:rsidR="00770532" w:rsidRPr="008B4A34" w:rsidRDefault="00770532" w:rsidP="004569FB">
      <w:pPr>
        <w:pStyle w:val="FootnoteText"/>
        <w:rPr>
          <w:sz w:val="18"/>
          <w:szCs w:val="18"/>
          <w:lang w:val="fr-CA"/>
        </w:rPr>
      </w:pPr>
      <w:r>
        <w:rPr>
          <w:rStyle w:val="FootnoteReference"/>
          <w:sz w:val="18"/>
          <w:szCs w:val="18"/>
          <w:lang w:val="fr-CA"/>
        </w:rPr>
        <w:t xml:space="preserve">55 </w:t>
      </w:r>
      <w:r>
        <w:rPr>
          <w:sz w:val="18"/>
          <w:szCs w:val="18"/>
          <w:lang w:val="fr-CA"/>
        </w:rPr>
        <w:t>La question 167 du quatrième rapport national permet aux Parties de répondre qu’aucun financement supplémentaire n’a été obtenu, tandis que la réponse la plus faible possible à la question apparentée, la question 6 de l’Enquête, est « moins de 5 000 $US ». La modification du libellé de la question peut avoir contribué à cette différence</w:t>
      </w:r>
      <w:r w:rsidRPr="008B4A34">
        <w:rPr>
          <w:sz w:val="18"/>
          <w:szCs w:val="18"/>
          <w:lang w:val="fr-CA"/>
        </w:rPr>
        <w:t>.</w:t>
      </w:r>
    </w:p>
  </w:footnote>
  <w:footnote w:id="58">
    <w:p w14:paraId="5168DE71" w14:textId="77777777" w:rsidR="00770532" w:rsidRPr="008B4A34" w:rsidRDefault="00770532" w:rsidP="004569FB">
      <w:pPr>
        <w:pStyle w:val="FootnoteText"/>
        <w:rPr>
          <w:sz w:val="18"/>
          <w:szCs w:val="18"/>
          <w:lang w:val="fr-CA"/>
        </w:rPr>
      </w:pPr>
      <w:r w:rsidRPr="008B4A34">
        <w:rPr>
          <w:rStyle w:val="FootnoteReference"/>
          <w:sz w:val="18"/>
          <w:szCs w:val="18"/>
          <w:lang w:val="fr-CA"/>
        </w:rPr>
        <w:footnoteRef/>
      </w:r>
      <w:r w:rsidRPr="008B4A34">
        <w:rPr>
          <w:sz w:val="18"/>
          <w:szCs w:val="18"/>
          <w:lang w:val="fr-CA"/>
        </w:rPr>
        <w:t xml:space="preserve"> UNEP/CBD/BS/CC/9/4.</w:t>
      </w:r>
    </w:p>
  </w:footnote>
  <w:footnote w:id="59">
    <w:p w14:paraId="3F2A7183" w14:textId="11146F1A" w:rsidR="00770532" w:rsidRPr="008B4A34" w:rsidRDefault="00770532" w:rsidP="004569FB">
      <w:pPr>
        <w:pStyle w:val="FootnoteText"/>
        <w:rPr>
          <w:sz w:val="18"/>
          <w:szCs w:val="18"/>
          <w:lang w:val="fr-CA"/>
        </w:rPr>
      </w:pPr>
      <w:r w:rsidRPr="008B4A34">
        <w:rPr>
          <w:rStyle w:val="FootnoteReference"/>
          <w:sz w:val="18"/>
          <w:szCs w:val="18"/>
          <w:lang w:val="fr-CA"/>
        </w:rPr>
        <w:footnoteRef/>
      </w:r>
      <w:r w:rsidRPr="008B4A34">
        <w:rPr>
          <w:sz w:val="18"/>
          <w:szCs w:val="18"/>
          <w:lang w:val="fr-CA"/>
        </w:rPr>
        <w:t xml:space="preserve"> </w:t>
      </w:r>
      <w:r>
        <w:rPr>
          <w:sz w:val="18"/>
          <w:szCs w:val="18"/>
          <w:lang w:val="fr-CA"/>
        </w:rPr>
        <w:t xml:space="preserve">Paragraphe 10 c) du document </w:t>
      </w:r>
      <w:r w:rsidRPr="008B4A34">
        <w:rPr>
          <w:sz w:val="18"/>
          <w:szCs w:val="18"/>
          <w:lang w:val="fr-CA"/>
        </w:rPr>
        <w:t>UNEP/CBD/BS/CC/13/6.</w:t>
      </w:r>
    </w:p>
  </w:footnote>
  <w:footnote w:id="60">
    <w:p w14:paraId="197FE4D4" w14:textId="1CCFA87D" w:rsidR="00770532" w:rsidRPr="00B26026" w:rsidRDefault="00770532">
      <w:pPr>
        <w:pStyle w:val="FootnoteText"/>
        <w:rPr>
          <w:lang w:val="en-US"/>
        </w:rPr>
      </w:pPr>
      <w:r w:rsidRPr="008B4A34">
        <w:rPr>
          <w:rStyle w:val="FootnoteReference"/>
          <w:lang w:val="fr-CA"/>
        </w:rPr>
        <w:footnoteRef/>
      </w:r>
      <w:r w:rsidRPr="00B26026">
        <w:rPr>
          <w:lang w:val="en-US"/>
        </w:rPr>
        <w:t xml:space="preserve"> CBD/CP/CC/17/6.</w:t>
      </w:r>
    </w:p>
  </w:footnote>
  <w:footnote w:id="61">
    <w:p w14:paraId="0FB18B50" w14:textId="22D58FA7" w:rsidR="00770532" w:rsidRPr="0055230F" w:rsidRDefault="00770532">
      <w:pPr>
        <w:pStyle w:val="FootnoteText"/>
        <w:rPr>
          <w:lang w:val="en-US"/>
        </w:rPr>
      </w:pPr>
      <w:r w:rsidRPr="008B4A34">
        <w:rPr>
          <w:rStyle w:val="FootnoteReference"/>
          <w:lang w:val="fr-CA"/>
        </w:rPr>
        <w:footnoteRef/>
      </w:r>
      <w:r w:rsidRPr="00B26026">
        <w:rPr>
          <w:lang w:val="en-US"/>
        </w:rPr>
        <w:t xml:space="preserve"> </w:t>
      </w:r>
      <w:r w:rsidRPr="00D16C78">
        <w:rPr>
          <w:sz w:val="18"/>
          <w:lang w:val="en-US"/>
        </w:rPr>
        <w:t xml:space="preserve">http://bch.cbd.int/protocol/cpb_art23_pow_evaluation.shtml </w:t>
      </w:r>
    </w:p>
  </w:footnote>
  <w:footnote w:id="62">
    <w:p w14:paraId="3CA636DE" w14:textId="5106BCC9" w:rsidR="00770532" w:rsidRPr="00E238B1" w:rsidRDefault="00770532">
      <w:pPr>
        <w:pStyle w:val="FootnoteText"/>
        <w:rPr>
          <w:lang w:val="fr-CA"/>
        </w:rPr>
      </w:pPr>
      <w:r>
        <w:rPr>
          <w:rStyle w:val="FootnoteReference"/>
        </w:rPr>
        <w:footnoteRef/>
      </w:r>
      <w:r w:rsidRPr="00E238B1">
        <w:rPr>
          <w:lang w:val="fr-CA"/>
        </w:rPr>
        <w:t xml:space="preserve"> </w:t>
      </w:r>
      <w:r w:rsidRPr="00E238B1">
        <w:rPr>
          <w:sz w:val="18"/>
          <w:szCs w:val="18"/>
          <w:lang w:val="fr-CA"/>
        </w:rPr>
        <w:t xml:space="preserve">Le modèle du questionnaire ne permettait pas de répondre « oui, </w:t>
      </w:r>
      <w:r>
        <w:rPr>
          <w:sz w:val="18"/>
          <w:szCs w:val="18"/>
          <w:lang w:val="fr-CA"/>
        </w:rPr>
        <w:t>dans une certaine mesure ».</w:t>
      </w:r>
    </w:p>
  </w:footnote>
  <w:footnote w:id="63">
    <w:p w14:paraId="05C06C11" w14:textId="44B6E2B2" w:rsidR="00770532" w:rsidRPr="00295F59" w:rsidRDefault="00770532" w:rsidP="004569FB">
      <w:pPr>
        <w:pStyle w:val="FootnoteText"/>
        <w:rPr>
          <w:rFonts w:cs="Times New Roman"/>
          <w:sz w:val="18"/>
          <w:szCs w:val="18"/>
          <w:lang w:val="fr-CA"/>
        </w:rPr>
      </w:pPr>
      <w:r w:rsidRPr="008D6A50">
        <w:rPr>
          <w:rStyle w:val="FootnoteReference"/>
          <w:sz w:val="18"/>
          <w:szCs w:val="18"/>
        </w:rPr>
        <w:footnoteRef/>
      </w:r>
      <w:r w:rsidRPr="002918C7">
        <w:rPr>
          <w:sz w:val="18"/>
          <w:szCs w:val="18"/>
          <w:lang w:val="fr-CA"/>
        </w:rPr>
        <w:t xml:space="preserve"> </w:t>
      </w:r>
      <w:r w:rsidRPr="00295F59">
        <w:rPr>
          <w:rFonts w:cs="Times New Roman"/>
          <w:sz w:val="18"/>
          <w:szCs w:val="18"/>
          <w:lang w:val="fr-CA"/>
        </w:rPr>
        <w:t xml:space="preserve">Cette information n’était pas offerte dans les rapports </w:t>
      </w:r>
      <w:r w:rsidRPr="00295F59">
        <w:rPr>
          <w:rFonts w:eastAsia="Times New Roman" w:cs="Times New Roman"/>
          <w:sz w:val="18"/>
          <w:szCs w:val="18"/>
          <w:lang w:val="fr-CA"/>
        </w:rPr>
        <w:t>nationaux</w:t>
      </w:r>
      <w:r w:rsidRPr="00295F59">
        <w:rPr>
          <w:rFonts w:cs="Times New Roman"/>
          <w:sz w:val="18"/>
          <w:szCs w:val="18"/>
          <w:lang w:val="fr-CA"/>
        </w:rPr>
        <w:t xml:space="preserve"> précédents.</w:t>
      </w:r>
    </w:p>
  </w:footnote>
  <w:footnote w:id="64">
    <w:p w14:paraId="41FE7D26" w14:textId="2400C339" w:rsidR="00770532" w:rsidRPr="003530A5" w:rsidRDefault="00770532" w:rsidP="004569FB">
      <w:pPr>
        <w:pStyle w:val="FootnoteText"/>
        <w:rPr>
          <w:sz w:val="18"/>
          <w:szCs w:val="18"/>
          <w:lang w:val="fr-CA"/>
        </w:rPr>
      </w:pPr>
      <w:r w:rsidRPr="008D6A50">
        <w:rPr>
          <w:rStyle w:val="FootnoteReference"/>
          <w:sz w:val="18"/>
          <w:szCs w:val="18"/>
        </w:rPr>
        <w:footnoteRef/>
      </w:r>
      <w:r w:rsidRPr="003530A5">
        <w:rPr>
          <w:sz w:val="18"/>
          <w:szCs w:val="18"/>
          <w:lang w:val="fr-CA"/>
        </w:rPr>
        <w:t xml:space="preserve"> </w:t>
      </w:r>
      <w:r>
        <w:rPr>
          <w:sz w:val="18"/>
          <w:szCs w:val="18"/>
          <w:lang w:val="fr-CA"/>
        </w:rPr>
        <w:t>Sur les 194 Parties à la Convention, à l’époque</w:t>
      </w:r>
      <w:r w:rsidRPr="003530A5">
        <w:rPr>
          <w:sz w:val="18"/>
          <w:szCs w:val="18"/>
          <w:lang w:val="fr-CA"/>
        </w:rPr>
        <w:t>.</w:t>
      </w:r>
    </w:p>
  </w:footnote>
  <w:footnote w:id="65">
    <w:p w14:paraId="5B1404C1" w14:textId="1B3807E3" w:rsidR="00770532" w:rsidRPr="003530A5" w:rsidRDefault="00770532" w:rsidP="004569FB">
      <w:pPr>
        <w:pStyle w:val="FootnoteText"/>
        <w:rPr>
          <w:sz w:val="18"/>
          <w:szCs w:val="18"/>
          <w:lang w:val="fr-CA"/>
        </w:rPr>
      </w:pPr>
      <w:r w:rsidRPr="003530A5">
        <w:rPr>
          <w:rStyle w:val="FootnoteReference"/>
          <w:sz w:val="18"/>
          <w:szCs w:val="18"/>
          <w:lang w:val="fr-CA"/>
        </w:rPr>
        <w:footnoteRef/>
      </w:r>
      <w:r w:rsidRPr="003530A5">
        <w:rPr>
          <w:sz w:val="18"/>
          <w:szCs w:val="18"/>
          <w:lang w:val="fr-CA"/>
        </w:rPr>
        <w:t xml:space="preserve"> </w:t>
      </w:r>
      <w:r>
        <w:rPr>
          <w:sz w:val="18"/>
          <w:szCs w:val="18"/>
          <w:lang w:val="fr-CA"/>
        </w:rPr>
        <w:t>Sur les 196 Parties à la Convention, à l’époque</w:t>
      </w:r>
      <w:r w:rsidRPr="003530A5">
        <w:rPr>
          <w:sz w:val="18"/>
          <w:szCs w:val="18"/>
          <w:lang w:val="fr-CA"/>
        </w:rPr>
        <w:t>.</w:t>
      </w:r>
    </w:p>
  </w:footnote>
  <w:footnote w:id="66">
    <w:p w14:paraId="38A73806" w14:textId="12B9535C" w:rsidR="00770532" w:rsidRPr="003530A5" w:rsidRDefault="00770532">
      <w:pPr>
        <w:pStyle w:val="FootnoteText"/>
        <w:rPr>
          <w:lang w:val="fr-CA"/>
        </w:rPr>
      </w:pPr>
      <w:r w:rsidRPr="003530A5">
        <w:rPr>
          <w:rStyle w:val="FootnoteReference"/>
          <w:lang w:val="fr-CA"/>
        </w:rPr>
        <w:footnoteRef/>
      </w:r>
      <w:r w:rsidRPr="003530A5">
        <w:rPr>
          <w:lang w:val="fr-CA"/>
        </w:rPr>
        <w:t xml:space="preserve"> </w:t>
      </w:r>
      <w:r w:rsidRPr="00D215F0">
        <w:rPr>
          <w:rFonts w:cs="Times New Roman"/>
          <w:sz w:val="18"/>
          <w:szCs w:val="18"/>
          <w:lang w:val="fr-CA"/>
        </w:rPr>
        <w:t xml:space="preserve">L’Initiative Douanes vertes est un partenariat d’organisations internationales qui collaborent à accroître les capacités des douaniers et autres agents de contrôle des frontières et faciliter le </w:t>
      </w:r>
      <w:r w:rsidRPr="00D215F0">
        <w:rPr>
          <w:rFonts w:eastAsia="Times New Roman" w:cs="Times New Roman"/>
          <w:sz w:val="18"/>
          <w:szCs w:val="18"/>
          <w:lang w:val="fr-CA"/>
        </w:rPr>
        <w:t>commerce</w:t>
      </w:r>
      <w:r w:rsidRPr="00D215F0">
        <w:rPr>
          <w:rFonts w:cs="Times New Roman"/>
          <w:sz w:val="18"/>
          <w:szCs w:val="18"/>
          <w:lang w:val="fr-CA"/>
        </w:rPr>
        <w:t xml:space="preserve"> légal et la détection du commerce illicite des produits de base sensibles du point vue environnemental visés par certains accords et organisations multilatéraux sur l’environnement. Les accords et organisations suivants sont partenaires de l’Initiative : les Secrétariats des Conventions de Bâle, Stockholm et Rotterdam, la </w:t>
      </w:r>
      <w:r>
        <w:rPr>
          <w:rFonts w:cs="Times New Roman"/>
          <w:sz w:val="18"/>
          <w:szCs w:val="18"/>
          <w:lang w:val="fr-CA"/>
        </w:rPr>
        <w:t>Convention sur la diversité biologique</w:t>
      </w:r>
      <w:r w:rsidRPr="00D215F0">
        <w:rPr>
          <w:rFonts w:cs="Times New Roman"/>
          <w:sz w:val="18"/>
          <w:szCs w:val="18"/>
          <w:lang w:val="fr-CA"/>
        </w:rPr>
        <w:t>, la Convention sur le commerce international des espèces de faune et de flore sauvages menacées d’extinction (CITES), la Convention de Vienne pour la protection de la couche d’ozone et le Protocole de Montréal relatif à des substances qui appauvrissent la couche d’ozone, la Convention de Minamata sur le mercure, ainsi qu’Interpol, l’Office des Nations Unies contre la drogue et le crime (ONUDC), l’Organisation mondiale des douanes (OMD)</w:t>
      </w:r>
      <w:r>
        <w:rPr>
          <w:rFonts w:cs="Times New Roman"/>
          <w:sz w:val="18"/>
          <w:szCs w:val="18"/>
          <w:lang w:val="fr-CA"/>
        </w:rPr>
        <w:t xml:space="preserve"> et</w:t>
      </w:r>
      <w:r w:rsidRPr="00D215F0">
        <w:rPr>
          <w:rFonts w:cs="Times New Roman"/>
          <w:sz w:val="18"/>
          <w:szCs w:val="18"/>
          <w:lang w:val="fr-CA"/>
        </w:rPr>
        <w:t xml:space="preserve"> ActionOzone </w:t>
      </w:r>
      <w:r>
        <w:rPr>
          <w:rFonts w:cs="Times New Roman"/>
          <w:sz w:val="18"/>
          <w:szCs w:val="18"/>
          <w:lang w:val="fr-CA"/>
        </w:rPr>
        <w:t>du</w:t>
      </w:r>
      <w:r w:rsidRPr="00D215F0">
        <w:rPr>
          <w:rFonts w:cs="Times New Roman"/>
          <w:sz w:val="18"/>
          <w:szCs w:val="18"/>
          <w:lang w:val="fr-CA"/>
        </w:rPr>
        <w:t xml:space="preserve"> PNUE</w:t>
      </w:r>
      <w:r>
        <w:rPr>
          <w:rFonts w:cs="Times New Roman"/>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913621085"/>
      <w:placeholder>
        <w:docPart w:val="82182D0F2EF84A8C865674E788541DAB"/>
      </w:placeholder>
      <w:dataBinding w:prefixMappings="xmlns:ns0='http://purl.org/dc/elements/1.1/' xmlns:ns1='http://schemas.openxmlformats.org/package/2006/metadata/core-properties' " w:xpath="/ns1:coreProperties[1]/ns0:subject[1]" w:storeItemID="{6C3C8BC8-F283-45AE-878A-BAB7291924A1}"/>
      <w:text/>
    </w:sdtPr>
    <w:sdtEndPr/>
    <w:sdtContent>
      <w:p w14:paraId="2C80F15D" w14:textId="0E2700C8" w:rsidR="00770532" w:rsidRPr="00985A74" w:rsidRDefault="00770532" w:rsidP="00497555">
        <w:pPr>
          <w:pStyle w:val="Header"/>
          <w:tabs>
            <w:tab w:val="clear" w:pos="4320"/>
            <w:tab w:val="clear" w:pos="8640"/>
          </w:tabs>
          <w:jc w:val="left"/>
          <w:rPr>
            <w:noProof/>
            <w:lang w:val="fr-FR"/>
          </w:rPr>
        </w:pPr>
        <w:r>
          <w:rPr>
            <w:noProof/>
            <w:lang w:val="fr-FR"/>
          </w:rPr>
          <w:t>CBD/SBI/3/3/Add.1</w:t>
        </w:r>
      </w:p>
    </w:sdtContent>
  </w:sdt>
  <w:p w14:paraId="30E8CE3B" w14:textId="77777777" w:rsidR="00770532" w:rsidRPr="00985A74" w:rsidRDefault="00770532" w:rsidP="00497555">
    <w:pPr>
      <w:pStyle w:val="Header"/>
      <w:tabs>
        <w:tab w:val="clear" w:pos="4320"/>
        <w:tab w:val="clear" w:pos="8640"/>
      </w:tabs>
      <w:jc w:val="left"/>
      <w:rPr>
        <w:noProof/>
        <w:lang w:val="fr-FR"/>
      </w:rPr>
    </w:pPr>
    <w:r w:rsidRPr="00985A74">
      <w:rPr>
        <w:noProof/>
        <w:lang w:val="fr-FR"/>
      </w:rPr>
      <w:t xml:space="preserve">Page </w:t>
    </w:r>
    <w:r w:rsidRPr="00497555">
      <w:rPr>
        <w:noProof/>
      </w:rPr>
      <w:fldChar w:fldCharType="begin"/>
    </w:r>
    <w:r w:rsidRPr="00985A74">
      <w:rPr>
        <w:noProof/>
        <w:lang w:val="fr-FR"/>
      </w:rPr>
      <w:instrText xml:space="preserve"> PAGE   \* MERGEFORMAT </w:instrText>
    </w:r>
    <w:r w:rsidRPr="00497555">
      <w:rPr>
        <w:noProof/>
      </w:rPr>
      <w:fldChar w:fldCharType="separate"/>
    </w:r>
    <w:r>
      <w:rPr>
        <w:noProof/>
        <w:lang w:val="fr-FR"/>
      </w:rPr>
      <w:t>26</w:t>
    </w:r>
    <w:r w:rsidRPr="00497555">
      <w:rPr>
        <w:noProof/>
      </w:rPr>
      <w:fldChar w:fldCharType="end"/>
    </w:r>
  </w:p>
  <w:p w14:paraId="6E3C7A75" w14:textId="77777777" w:rsidR="00770532" w:rsidRPr="00985A74" w:rsidRDefault="00770532" w:rsidP="00497555">
    <w:pPr>
      <w:pStyle w:val="Header"/>
      <w:tabs>
        <w:tab w:val="clear" w:pos="4320"/>
        <w:tab w:val="clear" w:pos="8640"/>
      </w:tabs>
      <w:jc w:val="left"/>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576799817"/>
      <w:placeholder>
        <w:docPart w:val="CE49E04E20A54C39948CC19C501DFF12"/>
      </w:placeholder>
      <w:dataBinding w:prefixMappings="xmlns:ns0='http://purl.org/dc/elements/1.1/' xmlns:ns1='http://schemas.openxmlformats.org/package/2006/metadata/core-properties' " w:xpath="/ns1:coreProperties[1]/ns0:subject[1]" w:storeItemID="{6C3C8BC8-F283-45AE-878A-BAB7291924A1}"/>
      <w:text/>
    </w:sdtPr>
    <w:sdtEndPr/>
    <w:sdtContent>
      <w:p w14:paraId="729AF414" w14:textId="0955C3D0" w:rsidR="00770532" w:rsidRPr="00B44100" w:rsidRDefault="00770532" w:rsidP="00B44100">
        <w:pPr>
          <w:pStyle w:val="Header"/>
          <w:tabs>
            <w:tab w:val="clear" w:pos="4320"/>
            <w:tab w:val="clear" w:pos="8640"/>
          </w:tabs>
          <w:jc w:val="right"/>
          <w:rPr>
            <w:noProof/>
            <w:lang w:val="fr-FR"/>
          </w:rPr>
        </w:pPr>
        <w:r>
          <w:rPr>
            <w:noProof/>
            <w:lang w:val="fr-FR"/>
          </w:rPr>
          <w:t>CBD/SBI/3/3/Add.1</w:t>
        </w:r>
      </w:p>
    </w:sdtContent>
  </w:sdt>
  <w:p w14:paraId="3D929B4D" w14:textId="77777777" w:rsidR="00770532" w:rsidRPr="00B44100" w:rsidRDefault="00770532" w:rsidP="00B44100">
    <w:pPr>
      <w:pStyle w:val="Header"/>
      <w:tabs>
        <w:tab w:val="clear" w:pos="4320"/>
        <w:tab w:val="clear" w:pos="8640"/>
      </w:tabs>
      <w:jc w:val="right"/>
      <w:rPr>
        <w:noProof/>
        <w:lang w:val="fr-FR"/>
      </w:rPr>
    </w:pPr>
    <w:r w:rsidRPr="00B44100">
      <w:rPr>
        <w:noProof/>
        <w:lang w:val="fr-FR"/>
      </w:rPr>
      <w:t xml:space="preserve">Page </w:t>
    </w:r>
    <w:r w:rsidRPr="00497555">
      <w:rPr>
        <w:noProof/>
      </w:rPr>
      <w:fldChar w:fldCharType="begin"/>
    </w:r>
    <w:r w:rsidRPr="00B44100">
      <w:rPr>
        <w:noProof/>
        <w:lang w:val="fr-FR"/>
      </w:rPr>
      <w:instrText xml:space="preserve"> PAGE   \* MERGEFORMAT </w:instrText>
    </w:r>
    <w:r w:rsidRPr="00497555">
      <w:rPr>
        <w:noProof/>
      </w:rPr>
      <w:fldChar w:fldCharType="separate"/>
    </w:r>
    <w:r>
      <w:rPr>
        <w:noProof/>
        <w:lang w:val="fr-FR"/>
      </w:rPr>
      <w:t>27</w:t>
    </w:r>
    <w:r w:rsidRPr="00497555">
      <w:rPr>
        <w:noProof/>
      </w:rPr>
      <w:fldChar w:fldCharType="end"/>
    </w:r>
  </w:p>
  <w:p w14:paraId="11934E3A" w14:textId="77777777" w:rsidR="00770532" w:rsidRPr="00B44100" w:rsidRDefault="00770532">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F8A1" w14:textId="77777777" w:rsidR="00770532" w:rsidRDefault="00770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576"/>
    <w:multiLevelType w:val="multilevel"/>
    <w:tmpl w:val="ED86F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845F9"/>
    <w:multiLevelType w:val="hybridMultilevel"/>
    <w:tmpl w:val="4B0C9C7E"/>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50F30"/>
    <w:multiLevelType w:val="multilevel"/>
    <w:tmpl w:val="4E18595C"/>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 w15:restartNumberingAfterBreak="0">
    <w:nsid w:val="0ECC5205"/>
    <w:multiLevelType w:val="hybridMultilevel"/>
    <w:tmpl w:val="A8E6FB86"/>
    <w:lvl w:ilvl="0" w:tplc="0EC62300">
      <w:start w:val="2"/>
      <w:numFmt w:val="upperRoman"/>
      <w:lvlText w:val="%1."/>
      <w:lvlJc w:val="right"/>
      <w:pPr>
        <w:tabs>
          <w:tab w:val="num" w:pos="720"/>
        </w:tabs>
        <w:ind w:left="720" w:hanging="360"/>
      </w:pPr>
    </w:lvl>
    <w:lvl w:ilvl="1" w:tplc="FBA81D12" w:tentative="1">
      <w:start w:val="1"/>
      <w:numFmt w:val="decimal"/>
      <w:lvlText w:val="%2."/>
      <w:lvlJc w:val="left"/>
      <w:pPr>
        <w:tabs>
          <w:tab w:val="num" w:pos="1440"/>
        </w:tabs>
        <w:ind w:left="1440" w:hanging="360"/>
      </w:pPr>
    </w:lvl>
    <w:lvl w:ilvl="2" w:tplc="C4BA8E34" w:tentative="1">
      <w:start w:val="1"/>
      <w:numFmt w:val="decimal"/>
      <w:lvlText w:val="%3."/>
      <w:lvlJc w:val="left"/>
      <w:pPr>
        <w:tabs>
          <w:tab w:val="num" w:pos="2160"/>
        </w:tabs>
        <w:ind w:left="2160" w:hanging="360"/>
      </w:pPr>
    </w:lvl>
    <w:lvl w:ilvl="3" w:tplc="D90ADCE6" w:tentative="1">
      <w:start w:val="1"/>
      <w:numFmt w:val="decimal"/>
      <w:lvlText w:val="%4."/>
      <w:lvlJc w:val="left"/>
      <w:pPr>
        <w:tabs>
          <w:tab w:val="num" w:pos="2880"/>
        </w:tabs>
        <w:ind w:left="2880" w:hanging="360"/>
      </w:pPr>
    </w:lvl>
    <w:lvl w:ilvl="4" w:tplc="1C1488A0" w:tentative="1">
      <w:start w:val="1"/>
      <w:numFmt w:val="decimal"/>
      <w:lvlText w:val="%5."/>
      <w:lvlJc w:val="left"/>
      <w:pPr>
        <w:tabs>
          <w:tab w:val="num" w:pos="3600"/>
        </w:tabs>
        <w:ind w:left="3600" w:hanging="360"/>
      </w:pPr>
    </w:lvl>
    <w:lvl w:ilvl="5" w:tplc="E230E6FE" w:tentative="1">
      <w:start w:val="1"/>
      <w:numFmt w:val="decimal"/>
      <w:lvlText w:val="%6."/>
      <w:lvlJc w:val="left"/>
      <w:pPr>
        <w:tabs>
          <w:tab w:val="num" w:pos="4320"/>
        </w:tabs>
        <w:ind w:left="4320" w:hanging="360"/>
      </w:pPr>
    </w:lvl>
    <w:lvl w:ilvl="6" w:tplc="44387A52" w:tentative="1">
      <w:start w:val="1"/>
      <w:numFmt w:val="decimal"/>
      <w:lvlText w:val="%7."/>
      <w:lvlJc w:val="left"/>
      <w:pPr>
        <w:tabs>
          <w:tab w:val="num" w:pos="5040"/>
        </w:tabs>
        <w:ind w:left="5040" w:hanging="360"/>
      </w:pPr>
    </w:lvl>
    <w:lvl w:ilvl="7" w:tplc="20B07B20" w:tentative="1">
      <w:start w:val="1"/>
      <w:numFmt w:val="decimal"/>
      <w:lvlText w:val="%8."/>
      <w:lvlJc w:val="left"/>
      <w:pPr>
        <w:tabs>
          <w:tab w:val="num" w:pos="5760"/>
        </w:tabs>
        <w:ind w:left="5760" w:hanging="360"/>
      </w:pPr>
    </w:lvl>
    <w:lvl w:ilvl="8" w:tplc="DA86FEE2" w:tentative="1">
      <w:start w:val="1"/>
      <w:numFmt w:val="decimal"/>
      <w:lvlText w:val="%9."/>
      <w:lvlJc w:val="left"/>
      <w:pPr>
        <w:tabs>
          <w:tab w:val="num" w:pos="6480"/>
        </w:tabs>
        <w:ind w:left="6480" w:hanging="360"/>
      </w:pPr>
    </w:lvl>
  </w:abstractNum>
  <w:abstractNum w:abstractNumId="4" w15:restartNumberingAfterBreak="0">
    <w:nsid w:val="10A703C8"/>
    <w:multiLevelType w:val="hybridMultilevel"/>
    <w:tmpl w:val="9E1E6372"/>
    <w:lvl w:ilvl="0" w:tplc="974CC5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37AB"/>
    <w:multiLevelType w:val="hybridMultilevel"/>
    <w:tmpl w:val="F96C697C"/>
    <w:lvl w:ilvl="0" w:tplc="1F625010">
      <w:start w:val="1"/>
      <w:numFmt w:val="lowerLetter"/>
      <w:lvlText w:val="%1)"/>
      <w:lvlJc w:val="left"/>
      <w:pPr>
        <w:ind w:left="720" w:hanging="360"/>
      </w:pPr>
      <w:rPr>
        <w:rFonts w:ascii="Times New Roman" w:eastAsia="MS Mincho" w:hAnsi="Times New Roman"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03360"/>
    <w:multiLevelType w:val="hybridMultilevel"/>
    <w:tmpl w:val="07943196"/>
    <w:lvl w:ilvl="0" w:tplc="D12AAECC">
      <w:start w:val="1"/>
      <w:numFmt w:val="lowerLetter"/>
      <w:lvlText w:val="%1)"/>
      <w:lvlJc w:val="left"/>
      <w:pPr>
        <w:ind w:left="720" w:hanging="360"/>
      </w:pPr>
      <w:rPr>
        <w:rFonts w:ascii="Times New Roman" w:eastAsia="MS Mincho" w:hAnsi="Times New Roman" w:cs="Angsana New"/>
      </w:rPr>
    </w:lvl>
    <w:lvl w:ilvl="1" w:tplc="A4A252E6">
      <w:start w:val="1"/>
      <w:numFmt w:val="lowerRoman"/>
      <w:lvlText w:val="%2)"/>
      <w:lvlJc w:val="left"/>
      <w:pPr>
        <w:ind w:left="1440" w:hanging="360"/>
      </w:pPr>
      <w:rPr>
        <w:rFonts w:ascii="Times New Roman" w:eastAsia="MS Mincho" w:hAnsi="Times New Roman" w:cs="Angsana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3AE1"/>
    <w:multiLevelType w:val="hybridMultilevel"/>
    <w:tmpl w:val="27CAD9DC"/>
    <w:lvl w:ilvl="0" w:tplc="53EC12E4">
      <w:start w:val="3"/>
      <w:numFmt w:val="upperRoman"/>
      <w:lvlText w:val="%1."/>
      <w:lvlJc w:val="right"/>
      <w:pPr>
        <w:tabs>
          <w:tab w:val="num" w:pos="720"/>
        </w:tabs>
        <w:ind w:left="720" w:hanging="360"/>
      </w:pPr>
    </w:lvl>
    <w:lvl w:ilvl="1" w:tplc="F0C201C8" w:tentative="1">
      <w:start w:val="1"/>
      <w:numFmt w:val="decimal"/>
      <w:lvlText w:val="%2."/>
      <w:lvlJc w:val="left"/>
      <w:pPr>
        <w:tabs>
          <w:tab w:val="num" w:pos="1440"/>
        </w:tabs>
        <w:ind w:left="1440" w:hanging="360"/>
      </w:pPr>
    </w:lvl>
    <w:lvl w:ilvl="2" w:tplc="B6A0BEEC" w:tentative="1">
      <w:start w:val="1"/>
      <w:numFmt w:val="decimal"/>
      <w:lvlText w:val="%3."/>
      <w:lvlJc w:val="left"/>
      <w:pPr>
        <w:tabs>
          <w:tab w:val="num" w:pos="2160"/>
        </w:tabs>
        <w:ind w:left="2160" w:hanging="360"/>
      </w:pPr>
    </w:lvl>
    <w:lvl w:ilvl="3" w:tplc="D68A2378" w:tentative="1">
      <w:start w:val="1"/>
      <w:numFmt w:val="decimal"/>
      <w:lvlText w:val="%4."/>
      <w:lvlJc w:val="left"/>
      <w:pPr>
        <w:tabs>
          <w:tab w:val="num" w:pos="2880"/>
        </w:tabs>
        <w:ind w:left="2880" w:hanging="360"/>
      </w:pPr>
    </w:lvl>
    <w:lvl w:ilvl="4" w:tplc="16806F80" w:tentative="1">
      <w:start w:val="1"/>
      <w:numFmt w:val="decimal"/>
      <w:lvlText w:val="%5."/>
      <w:lvlJc w:val="left"/>
      <w:pPr>
        <w:tabs>
          <w:tab w:val="num" w:pos="3600"/>
        </w:tabs>
        <w:ind w:left="3600" w:hanging="360"/>
      </w:pPr>
    </w:lvl>
    <w:lvl w:ilvl="5" w:tplc="1C4287B0" w:tentative="1">
      <w:start w:val="1"/>
      <w:numFmt w:val="decimal"/>
      <w:lvlText w:val="%6."/>
      <w:lvlJc w:val="left"/>
      <w:pPr>
        <w:tabs>
          <w:tab w:val="num" w:pos="4320"/>
        </w:tabs>
        <w:ind w:left="4320" w:hanging="360"/>
      </w:pPr>
    </w:lvl>
    <w:lvl w:ilvl="6" w:tplc="D3EA5C2C" w:tentative="1">
      <w:start w:val="1"/>
      <w:numFmt w:val="decimal"/>
      <w:lvlText w:val="%7."/>
      <w:lvlJc w:val="left"/>
      <w:pPr>
        <w:tabs>
          <w:tab w:val="num" w:pos="5040"/>
        </w:tabs>
        <w:ind w:left="5040" w:hanging="360"/>
      </w:pPr>
    </w:lvl>
    <w:lvl w:ilvl="7" w:tplc="5D06159A" w:tentative="1">
      <w:start w:val="1"/>
      <w:numFmt w:val="decimal"/>
      <w:lvlText w:val="%8."/>
      <w:lvlJc w:val="left"/>
      <w:pPr>
        <w:tabs>
          <w:tab w:val="num" w:pos="5760"/>
        </w:tabs>
        <w:ind w:left="5760" w:hanging="360"/>
      </w:pPr>
    </w:lvl>
    <w:lvl w:ilvl="8" w:tplc="1AFA4F24" w:tentative="1">
      <w:start w:val="1"/>
      <w:numFmt w:val="decimal"/>
      <w:lvlText w:val="%9."/>
      <w:lvlJc w:val="left"/>
      <w:pPr>
        <w:tabs>
          <w:tab w:val="num" w:pos="6480"/>
        </w:tabs>
        <w:ind w:left="6480" w:hanging="360"/>
      </w:pPr>
    </w:lvl>
  </w:abstractNum>
  <w:abstractNum w:abstractNumId="8" w15:restartNumberingAfterBreak="0">
    <w:nsid w:val="1D4B037A"/>
    <w:multiLevelType w:val="hybridMultilevel"/>
    <w:tmpl w:val="ABB004FA"/>
    <w:lvl w:ilvl="0" w:tplc="8E34E4E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E3D30B4"/>
    <w:multiLevelType w:val="hybridMultilevel"/>
    <w:tmpl w:val="6632FC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C6570"/>
    <w:multiLevelType w:val="hybridMultilevel"/>
    <w:tmpl w:val="E7CC2F32"/>
    <w:lvl w:ilvl="0" w:tplc="2ED29DCA">
      <w:start w:val="4"/>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3A7960"/>
    <w:multiLevelType w:val="hybridMultilevel"/>
    <w:tmpl w:val="45960C64"/>
    <w:lvl w:ilvl="0" w:tplc="6F34BB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24247"/>
    <w:multiLevelType w:val="multilevel"/>
    <w:tmpl w:val="C00C3B76"/>
    <w:lvl w:ilvl="0">
      <w:start w:val="1"/>
      <w:numFmt w:val="bullet"/>
      <w:lvlText w:val=""/>
      <w:lvlJc w:val="left"/>
      <w:pPr>
        <w:tabs>
          <w:tab w:val="num" w:pos="3240"/>
        </w:tabs>
        <w:ind w:left="3240" w:hanging="360"/>
      </w:pPr>
      <w:rPr>
        <w:rFonts w:ascii="Symbol" w:hAnsi="Symbol" w:hint="default"/>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3" w15:restartNumberingAfterBreak="0">
    <w:nsid w:val="28D778F3"/>
    <w:multiLevelType w:val="hybridMultilevel"/>
    <w:tmpl w:val="FBDCBC2A"/>
    <w:lvl w:ilvl="0" w:tplc="951A9B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5C75AB"/>
    <w:multiLevelType w:val="multilevel"/>
    <w:tmpl w:val="EEF4B668"/>
    <w:lvl w:ilvl="0">
      <w:start w:val="1"/>
      <w:numFmt w:val="decimal"/>
      <w:lvlText w:val="%1."/>
      <w:lvlJc w:val="left"/>
      <w:pPr>
        <w:ind w:left="360" w:firstLine="0"/>
      </w:pPr>
      <w:rPr>
        <w:b w:val="0"/>
        <w:i w:val="0"/>
        <w:vertAlign w:val="baseline"/>
      </w:rPr>
    </w:lvl>
    <w:lvl w:ilvl="1">
      <w:start w:val="1"/>
      <w:numFmt w:val="lowerLetter"/>
      <w:lvlText w:val="(%2)"/>
      <w:lvlJc w:val="left"/>
      <w:pPr>
        <w:ind w:left="1080" w:firstLine="720"/>
      </w:pPr>
      <w:rPr>
        <w:sz w:val="22"/>
        <w:szCs w:val="22"/>
        <w:vertAlign w:val="baseline"/>
      </w:rPr>
    </w:lvl>
    <w:lvl w:ilvl="2">
      <w:start w:val="1"/>
      <w:numFmt w:val="lowerRoman"/>
      <w:lvlText w:val="%3."/>
      <w:lvlJc w:val="right"/>
      <w:pPr>
        <w:ind w:left="1800" w:firstLine="1620"/>
      </w:pPr>
      <w:rPr>
        <w:vertAlign w:val="baseline"/>
      </w:rPr>
    </w:lvl>
    <w:lvl w:ilvl="3">
      <w:start w:val="1"/>
      <w:numFmt w:val="lowerRoman"/>
      <w:lvlText w:val="(%4)"/>
      <w:lvlJc w:val="left"/>
      <w:pPr>
        <w:ind w:left="2520" w:firstLine="2160"/>
      </w:pPr>
      <w:rPr>
        <w:vertAlign w:val="baseline"/>
      </w:rPr>
    </w:lvl>
    <w:lvl w:ilvl="4">
      <w:start w:val="1"/>
      <w:numFmt w:val="lowerLetter"/>
      <w:lvlText w:val="%5."/>
      <w:lvlJc w:val="left"/>
      <w:pPr>
        <w:ind w:left="1637" w:firstLine="1277"/>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15:restartNumberingAfterBreak="0">
    <w:nsid w:val="29D1742E"/>
    <w:multiLevelType w:val="hybridMultilevel"/>
    <w:tmpl w:val="D03631F4"/>
    <w:lvl w:ilvl="0" w:tplc="F8E659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977D1A"/>
    <w:multiLevelType w:val="multilevel"/>
    <w:tmpl w:val="56686388"/>
    <w:lvl w:ilvl="0">
      <w:start w:val="1"/>
      <w:numFmt w:val="decimal"/>
      <w:lvlText w:val="%1."/>
      <w:lvlJc w:val="left"/>
      <w:pPr>
        <w:ind w:left="0" w:firstLine="0"/>
      </w:pPr>
      <w:rPr>
        <w:rFonts w:ascii="Times New Roman" w:eastAsia="Times New Roman" w:hAnsi="Times New Roman" w:cs="Times New Roman"/>
        <w:b w:val="0"/>
        <w:i w:val="0"/>
        <w:sz w:val="22"/>
        <w:szCs w:val="22"/>
        <w:vertAlign w:val="baseline"/>
      </w:rPr>
    </w:lvl>
    <w:lvl w:ilvl="1">
      <w:start w:val="1"/>
      <w:numFmt w:val="lowerLetter"/>
      <w:lvlText w:val="(%2)"/>
      <w:lvlJc w:val="left"/>
      <w:pPr>
        <w:ind w:left="0" w:firstLine="720"/>
      </w:pPr>
      <w:rPr>
        <w:b w:val="0"/>
        <w:i w:val="0"/>
        <w:vertAlign w:val="baseline"/>
      </w:rPr>
    </w:lvl>
    <w:lvl w:ilvl="2">
      <w:start w:val="1"/>
      <w:numFmt w:val="lowerRoman"/>
      <w:lvlText w:val="(%3)"/>
      <w:lvlJc w:val="right"/>
      <w:pPr>
        <w:ind w:left="1440" w:firstLine="1080"/>
      </w:pPr>
      <w:rPr>
        <w:vertAlign w:val="baseline"/>
      </w:rPr>
    </w:lvl>
    <w:lvl w:ilvl="3">
      <w:start w:val="1"/>
      <w:numFmt w:val="bullet"/>
      <w:lvlText w:val="●"/>
      <w:lvlJc w:val="left"/>
      <w:pPr>
        <w:ind w:left="2160" w:firstLine="1440"/>
      </w:pPr>
      <w:rPr>
        <w:rFonts w:ascii="Arial" w:eastAsia="Arial" w:hAnsi="Arial" w:cs="Arial"/>
        <w:sz w:val="28"/>
        <w:szCs w:val="28"/>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7" w15:restartNumberingAfterBreak="0">
    <w:nsid w:val="2BDC5A3A"/>
    <w:multiLevelType w:val="hybridMultilevel"/>
    <w:tmpl w:val="031A7CE8"/>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00BF1"/>
    <w:multiLevelType w:val="hybridMultilevel"/>
    <w:tmpl w:val="B8D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74AD4"/>
    <w:multiLevelType w:val="hybridMultilevel"/>
    <w:tmpl w:val="8B441434"/>
    <w:lvl w:ilvl="0" w:tplc="8378157C">
      <w:start w:val="1"/>
      <w:numFmt w:val="lowerRoman"/>
      <w:lvlText w:val="(%1)"/>
      <w:lvlJc w:val="righ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30E27B9E"/>
    <w:multiLevelType w:val="hybridMultilevel"/>
    <w:tmpl w:val="682834A6"/>
    <w:lvl w:ilvl="0" w:tplc="4BFC5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816767"/>
    <w:multiLevelType w:val="multilevel"/>
    <w:tmpl w:val="2BBC44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32EF46F3"/>
    <w:multiLevelType w:val="multilevel"/>
    <w:tmpl w:val="A14A2A76"/>
    <w:lvl w:ilvl="0">
      <w:start w:val="1"/>
      <w:numFmt w:val="upperLetter"/>
      <w:lvlText w:val="%1."/>
      <w:lvlJc w:val="left"/>
      <w:pPr>
        <w:tabs>
          <w:tab w:val="num" w:pos="2070"/>
        </w:tabs>
        <w:ind w:left="207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BF6F7F"/>
    <w:multiLevelType w:val="multilevel"/>
    <w:tmpl w:val="42042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7476CA"/>
    <w:multiLevelType w:val="hybridMultilevel"/>
    <w:tmpl w:val="F2B47342"/>
    <w:lvl w:ilvl="0" w:tplc="0C5EAE44">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D7598"/>
    <w:multiLevelType w:val="hybridMultilevel"/>
    <w:tmpl w:val="26FC1F30"/>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F1424"/>
    <w:multiLevelType w:val="hybridMultilevel"/>
    <w:tmpl w:val="306884C0"/>
    <w:lvl w:ilvl="0" w:tplc="3CDAD9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76352"/>
    <w:multiLevelType w:val="hybridMultilevel"/>
    <w:tmpl w:val="3C3C4A1E"/>
    <w:lvl w:ilvl="0" w:tplc="7B805D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BC109C9"/>
    <w:multiLevelType w:val="hybridMultilevel"/>
    <w:tmpl w:val="3124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63582"/>
    <w:multiLevelType w:val="multilevel"/>
    <w:tmpl w:val="010A3D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3CEF6CDC"/>
    <w:multiLevelType w:val="hybridMultilevel"/>
    <w:tmpl w:val="217035A8"/>
    <w:lvl w:ilvl="0" w:tplc="80663F9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9F15AE"/>
    <w:multiLevelType w:val="hybridMultilevel"/>
    <w:tmpl w:val="9E1E6372"/>
    <w:lvl w:ilvl="0" w:tplc="974CC5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1604AC"/>
    <w:multiLevelType w:val="hybridMultilevel"/>
    <w:tmpl w:val="5A2CA370"/>
    <w:lvl w:ilvl="0" w:tplc="04090017">
      <w:start w:val="1"/>
      <w:numFmt w:val="bullet"/>
      <w:lvlText w:val=""/>
      <w:lvlJc w:val="left"/>
      <w:pPr>
        <w:tabs>
          <w:tab w:val="num" w:pos="432"/>
        </w:tabs>
        <w:ind w:left="432" w:hanging="360"/>
      </w:pPr>
      <w:rPr>
        <w:rFonts w:ascii="Symbol" w:hAnsi="Symbol" w:hint="default"/>
      </w:rPr>
    </w:lvl>
    <w:lvl w:ilvl="1" w:tplc="179C2CCA">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2C42C5"/>
    <w:multiLevelType w:val="multilevel"/>
    <w:tmpl w:val="462C6584"/>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4768156C"/>
    <w:multiLevelType w:val="hybridMultilevel"/>
    <w:tmpl w:val="40EE7080"/>
    <w:lvl w:ilvl="0" w:tplc="20ACC1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BC479E"/>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0442B4"/>
    <w:multiLevelType w:val="multilevel"/>
    <w:tmpl w:val="F28A2ACA"/>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3E4250"/>
    <w:multiLevelType w:val="multilevel"/>
    <w:tmpl w:val="46A47FA6"/>
    <w:lvl w:ilvl="0">
      <w:start w:val="18"/>
      <w:numFmt w:val="decimal"/>
      <w:lvlText w:val="%1."/>
      <w:lvlJc w:val="left"/>
      <w:pPr>
        <w:tabs>
          <w:tab w:val="num" w:pos="644"/>
        </w:tabs>
        <w:ind w:left="644" w:hanging="360"/>
      </w:pPr>
    </w:lvl>
    <w:lvl w:ilvl="1">
      <w:start w:val="5"/>
      <w:numFmt w:val="upperLetter"/>
      <w:lvlText w:val="%2."/>
      <w:lvlJc w:val="left"/>
      <w:pPr>
        <w:ind w:left="1364" w:hanging="360"/>
      </w:pPr>
      <w:rPr>
        <w:rFonts w:hint="default"/>
        <w:b/>
        <w:i/>
      </w:rPr>
    </w:lvl>
    <w:lvl w:ilvl="2">
      <w:start w:val="11"/>
      <w:numFmt w:val="upperLetter"/>
      <w:lvlText w:val="%3."/>
      <w:lvlJc w:val="left"/>
      <w:pPr>
        <w:ind w:left="2084" w:hanging="360"/>
      </w:pPr>
      <w:rPr>
        <w:rFonts w:hint="default"/>
        <w:b/>
        <w:i/>
      </w:rPr>
    </w:lvl>
    <w:lvl w:ilvl="3">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8" w15:restartNumberingAfterBreak="0">
    <w:nsid w:val="4FFB064B"/>
    <w:multiLevelType w:val="hybridMultilevel"/>
    <w:tmpl w:val="286A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40" w15:restartNumberingAfterBreak="0">
    <w:nsid w:val="544E0718"/>
    <w:multiLevelType w:val="multilevel"/>
    <w:tmpl w:val="6ECA9AEE"/>
    <w:lvl w:ilvl="0">
      <w:start w:val="21"/>
      <w:numFmt w:val="decimal"/>
      <w:lvlText w:val="%1."/>
      <w:lvlJc w:val="left"/>
      <w:pPr>
        <w:tabs>
          <w:tab w:val="num" w:pos="360"/>
        </w:tabs>
        <w:ind w:left="397" w:hanging="397"/>
      </w:pPr>
      <w:rPr>
        <w:rFonts w:hint="default"/>
        <w:b w:val="0"/>
        <w:i w:val="0"/>
        <w:lang w:val="en-GB"/>
      </w:rPr>
    </w:lvl>
    <w:lvl w:ilvl="1">
      <w:start w:val="3"/>
      <w:numFmt w:val="upperLetter"/>
      <w:lvlText w:val="%2."/>
      <w:lvlJc w:val="left"/>
      <w:pPr>
        <w:ind w:left="144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4866732"/>
    <w:multiLevelType w:val="hybridMultilevel"/>
    <w:tmpl w:val="81C859FA"/>
    <w:lvl w:ilvl="0" w:tplc="EE6677A6">
      <w:start w:val="1"/>
      <w:numFmt w:val="lowerLetter"/>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3817F7"/>
    <w:multiLevelType w:val="multilevel"/>
    <w:tmpl w:val="23D29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847E2D"/>
    <w:multiLevelType w:val="multilevel"/>
    <w:tmpl w:val="24ECC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347E26"/>
    <w:multiLevelType w:val="hybridMultilevel"/>
    <w:tmpl w:val="72C6ADD8"/>
    <w:lvl w:ilvl="0" w:tplc="EC10B5A8">
      <w:start w:val="5"/>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6" w15:restartNumberingAfterBreak="0">
    <w:nsid w:val="64973173"/>
    <w:multiLevelType w:val="hybridMultilevel"/>
    <w:tmpl w:val="031A7CE8"/>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036503"/>
    <w:multiLevelType w:val="multilevel"/>
    <w:tmpl w:val="044E713C"/>
    <w:lvl w:ilvl="0">
      <w:start w:val="1"/>
      <w:numFmt w:val="upperLetter"/>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5343B1"/>
    <w:multiLevelType w:val="multilevel"/>
    <w:tmpl w:val="2F9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65D3DBD"/>
    <w:multiLevelType w:val="hybridMultilevel"/>
    <w:tmpl w:val="58485E96"/>
    <w:lvl w:ilvl="0" w:tplc="A8E8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0E563C"/>
    <w:multiLevelType w:val="hybridMultilevel"/>
    <w:tmpl w:val="295CF154"/>
    <w:lvl w:ilvl="0" w:tplc="4BFC5A3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15:restartNumberingAfterBreak="0">
    <w:nsid w:val="67783813"/>
    <w:multiLevelType w:val="hybridMultilevel"/>
    <w:tmpl w:val="62942D3C"/>
    <w:lvl w:ilvl="0" w:tplc="B42A206C">
      <w:start w:val="1"/>
      <w:numFmt w:val="decimal"/>
      <w:lvlText w:val="%1."/>
      <w:lvlJc w:val="left"/>
      <w:pPr>
        <w:ind w:left="360" w:hanging="360"/>
      </w:pPr>
      <w:rPr>
        <w:rFonts w:hint="default"/>
        <w:b w:val="0"/>
        <w:i w:val="0"/>
      </w:rPr>
    </w:lvl>
    <w:lvl w:ilvl="1" w:tplc="2A7C5268">
      <w:start w:val="1"/>
      <w:numFmt w:val="lowerLetter"/>
      <w:lvlText w:val="(%2)"/>
      <w:lvlJc w:val="left"/>
      <w:pPr>
        <w:ind w:left="1080" w:hanging="360"/>
      </w:pPr>
      <w:rPr>
        <w:rFonts w:hint="default"/>
        <w:sz w:val="22"/>
      </w:rPr>
    </w:lvl>
    <w:lvl w:ilvl="2" w:tplc="0809001B">
      <w:start w:val="1"/>
      <w:numFmt w:val="lowerRoman"/>
      <w:lvlText w:val="%3."/>
      <w:lvlJc w:val="right"/>
      <w:pPr>
        <w:ind w:left="1800" w:hanging="180"/>
      </w:pPr>
    </w:lvl>
    <w:lvl w:ilvl="3" w:tplc="EEEED00A">
      <w:start w:val="1"/>
      <w:numFmt w:val="lowerRoman"/>
      <w:lvlText w:val="(%4)"/>
      <w:lvlJc w:val="left"/>
      <w:pPr>
        <w:ind w:left="2520" w:hanging="360"/>
      </w:pPr>
      <w:rPr>
        <w:rFonts w:hint="default"/>
      </w:rPr>
    </w:lvl>
    <w:lvl w:ilvl="4" w:tplc="08090019">
      <w:start w:val="1"/>
      <w:numFmt w:val="lowerLetter"/>
      <w:lvlText w:val="%5."/>
      <w:lvlJc w:val="left"/>
      <w:pPr>
        <w:ind w:left="1637"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8BF3C5B"/>
    <w:multiLevelType w:val="multilevel"/>
    <w:tmpl w:val="3FECAA66"/>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3" w15:restartNumberingAfterBreak="0">
    <w:nsid w:val="6A5F19BD"/>
    <w:multiLevelType w:val="hybridMultilevel"/>
    <w:tmpl w:val="4BAC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BA49C0"/>
    <w:multiLevelType w:val="hybridMultilevel"/>
    <w:tmpl w:val="B224B502"/>
    <w:lvl w:ilvl="0" w:tplc="DFD45C06">
      <w:start w:val="1"/>
      <w:numFmt w:val="lowerLetter"/>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EE23244"/>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FBE1414"/>
    <w:multiLevelType w:val="multilevel"/>
    <w:tmpl w:val="010A55C2"/>
    <w:lvl w:ilvl="0">
      <w:start w:val="21"/>
      <w:numFmt w:val="decimal"/>
      <w:lvlText w:val="%1."/>
      <w:lvlJc w:val="left"/>
      <w:pPr>
        <w:tabs>
          <w:tab w:val="num" w:pos="720"/>
        </w:tabs>
        <w:ind w:left="720" w:hanging="360"/>
      </w:pPr>
      <w:rPr>
        <w:b w:val="0"/>
        <w:i w:val="0"/>
      </w:rPr>
    </w:lvl>
    <w:lvl w:ilvl="1">
      <w:start w:val="3"/>
      <w:numFmt w:val="upp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1464827"/>
    <w:multiLevelType w:val="hybridMultilevel"/>
    <w:tmpl w:val="A62C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031670"/>
    <w:multiLevelType w:val="multilevel"/>
    <w:tmpl w:val="CFBE62A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7CC316B"/>
    <w:multiLevelType w:val="multilevel"/>
    <w:tmpl w:val="462C6584"/>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15:restartNumberingAfterBreak="0">
    <w:nsid w:val="7B8A286C"/>
    <w:multiLevelType w:val="hybridMultilevel"/>
    <w:tmpl w:val="F7D09EBC"/>
    <w:lvl w:ilvl="0" w:tplc="543E62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BF35E9F"/>
    <w:multiLevelType w:val="multilevel"/>
    <w:tmpl w:val="104C9FA8"/>
    <w:lvl w:ilvl="0">
      <w:start w:val="21"/>
      <w:numFmt w:val="decimal"/>
      <w:lvlText w:val="%1."/>
      <w:lvlJc w:val="left"/>
      <w:pPr>
        <w:tabs>
          <w:tab w:val="num" w:pos="720"/>
        </w:tabs>
        <w:ind w:left="720" w:hanging="360"/>
      </w:pPr>
      <w:rPr>
        <w:b w:val="0"/>
        <w:i w:val="0"/>
      </w:rPr>
    </w:lvl>
    <w:lvl w:ilvl="1">
      <w:start w:val="3"/>
      <w:numFmt w:val="upp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AC1CC5"/>
    <w:multiLevelType w:val="hybridMultilevel"/>
    <w:tmpl w:val="25441D6A"/>
    <w:lvl w:ilvl="0" w:tplc="AD063778">
      <w:start w:val="1"/>
      <w:numFmt w:val="lowerLetter"/>
      <w:lvlText w:val="%1)"/>
      <w:lvlJc w:val="left"/>
      <w:pPr>
        <w:ind w:left="1440" w:hanging="360"/>
      </w:pPr>
      <w:rPr>
        <w:rFonts w:ascii="Times New Roman" w:eastAsia="MS Mincho" w:hAnsi="Times New Roman" w:cs="Angsana New"/>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59"/>
  </w:num>
  <w:num w:numId="4">
    <w:abstractNumId w:val="52"/>
  </w:num>
  <w:num w:numId="5">
    <w:abstractNumId w:val="29"/>
  </w:num>
  <w:num w:numId="6">
    <w:abstractNumId w:val="14"/>
  </w:num>
  <w:num w:numId="7">
    <w:abstractNumId w:val="21"/>
  </w:num>
  <w:num w:numId="8">
    <w:abstractNumId w:val="16"/>
  </w:num>
  <w:num w:numId="9">
    <w:abstractNumId w:val="2"/>
  </w:num>
  <w:num w:numId="10">
    <w:abstractNumId w:val="42"/>
    <w:lvlOverride w:ilvl="0">
      <w:lvl w:ilvl="0">
        <w:numFmt w:val="decimal"/>
        <w:lvlText w:val="%1."/>
        <w:lvlJc w:val="left"/>
      </w:lvl>
    </w:lvlOverride>
  </w:num>
  <w:num w:numId="11">
    <w:abstractNumId w:val="3"/>
  </w:num>
  <w:num w:numId="12">
    <w:abstractNumId w:val="43"/>
    <w:lvlOverride w:ilvl="0">
      <w:lvl w:ilvl="0">
        <w:numFmt w:val="decimal"/>
        <w:lvlText w:val="%1."/>
        <w:lvlJc w:val="left"/>
      </w:lvl>
    </w:lvlOverride>
  </w:num>
  <w:num w:numId="13">
    <w:abstractNumId w:val="43"/>
    <w:lvlOverride w:ilvl="0">
      <w:lvl w:ilvl="0">
        <w:numFmt w:val="decimal"/>
        <w:lvlText w:val="%1."/>
        <w:lvlJc w:val="left"/>
      </w:lvl>
    </w:lvlOverride>
  </w:num>
  <w:num w:numId="14">
    <w:abstractNumId w:val="43"/>
  </w:num>
  <w:num w:numId="15">
    <w:abstractNumId w:val="7"/>
  </w:num>
  <w:num w:numId="16">
    <w:abstractNumId w:val="37"/>
  </w:num>
  <w:num w:numId="17">
    <w:abstractNumId w:val="22"/>
  </w:num>
  <w:num w:numId="18">
    <w:abstractNumId w:val="40"/>
  </w:num>
  <w:num w:numId="19">
    <w:abstractNumId w:val="23"/>
  </w:num>
  <w:num w:numId="20">
    <w:abstractNumId w:val="51"/>
  </w:num>
  <w:num w:numId="21">
    <w:abstractNumId w:val="53"/>
  </w:num>
  <w:num w:numId="22">
    <w:abstractNumId w:val="34"/>
  </w:num>
  <w:num w:numId="23">
    <w:abstractNumId w:val="30"/>
  </w:num>
  <w:num w:numId="24">
    <w:abstractNumId w:val="61"/>
  </w:num>
  <w:num w:numId="25">
    <w:abstractNumId w:val="56"/>
  </w:num>
  <w:num w:numId="26">
    <w:abstractNumId w:val="47"/>
  </w:num>
  <w:num w:numId="27">
    <w:abstractNumId w:val="58"/>
  </w:num>
  <w:num w:numId="28">
    <w:abstractNumId w:val="57"/>
  </w:num>
  <w:num w:numId="29">
    <w:abstractNumId w:val="15"/>
  </w:num>
  <w:num w:numId="30">
    <w:abstractNumId w:val="31"/>
  </w:num>
  <w:num w:numId="31">
    <w:abstractNumId w:val="19"/>
  </w:num>
  <w:num w:numId="32">
    <w:abstractNumId w:val="4"/>
  </w:num>
  <w:num w:numId="33">
    <w:abstractNumId w:val="17"/>
  </w:num>
  <w:num w:numId="34">
    <w:abstractNumId w:val="46"/>
  </w:num>
  <w:num w:numId="35">
    <w:abstractNumId w:val="62"/>
  </w:num>
  <w:num w:numId="36">
    <w:abstractNumId w:val="48"/>
  </w:num>
  <w:num w:numId="37">
    <w:abstractNumId w:val="24"/>
  </w:num>
  <w:num w:numId="38">
    <w:abstractNumId w:val="9"/>
  </w:num>
  <w:num w:numId="39">
    <w:abstractNumId w:val="33"/>
  </w:num>
  <w:num w:numId="40">
    <w:abstractNumId w:val="38"/>
  </w:num>
  <w:num w:numId="41">
    <w:abstractNumId w:val="12"/>
  </w:num>
  <w:num w:numId="42">
    <w:abstractNumId w:val="0"/>
  </w:num>
  <w:num w:numId="43">
    <w:abstractNumId w:val="50"/>
  </w:num>
  <w:num w:numId="44">
    <w:abstractNumId w:val="20"/>
  </w:num>
  <w:num w:numId="45">
    <w:abstractNumId w:val="55"/>
  </w:num>
  <w:num w:numId="46">
    <w:abstractNumId w:val="32"/>
  </w:num>
  <w:num w:numId="47">
    <w:abstractNumId w:val="18"/>
  </w:num>
  <w:num w:numId="48">
    <w:abstractNumId w:val="35"/>
  </w:num>
  <w:num w:numId="49">
    <w:abstractNumId w:val="54"/>
  </w:num>
  <w:num w:numId="50">
    <w:abstractNumId w:val="36"/>
  </w:num>
  <w:num w:numId="51">
    <w:abstractNumId w:val="26"/>
  </w:num>
  <w:num w:numId="52">
    <w:abstractNumId w:val="11"/>
  </w:num>
  <w:num w:numId="53">
    <w:abstractNumId w:val="13"/>
  </w:num>
  <w:num w:numId="54">
    <w:abstractNumId w:val="60"/>
  </w:num>
  <w:num w:numId="55">
    <w:abstractNumId w:val="5"/>
  </w:num>
  <w:num w:numId="56">
    <w:abstractNumId w:val="28"/>
  </w:num>
  <w:num w:numId="57">
    <w:abstractNumId w:val="25"/>
  </w:num>
  <w:num w:numId="58">
    <w:abstractNumId w:val="1"/>
  </w:num>
  <w:num w:numId="59">
    <w:abstractNumId w:val="6"/>
  </w:num>
  <w:num w:numId="60">
    <w:abstractNumId w:val="45"/>
  </w:num>
  <w:num w:numId="61">
    <w:abstractNumId w:val="41"/>
  </w:num>
  <w:num w:numId="62">
    <w:abstractNumId w:val="27"/>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49"/>
  </w:num>
  <w:num w:numId="66">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6F"/>
    <w:rsid w:val="00003262"/>
    <w:rsid w:val="00003A05"/>
    <w:rsid w:val="00007F7F"/>
    <w:rsid w:val="00010610"/>
    <w:rsid w:val="00015666"/>
    <w:rsid w:val="00015D73"/>
    <w:rsid w:val="00020AC6"/>
    <w:rsid w:val="00020DA6"/>
    <w:rsid w:val="0002160B"/>
    <w:rsid w:val="00022CAD"/>
    <w:rsid w:val="00024763"/>
    <w:rsid w:val="00027216"/>
    <w:rsid w:val="000278FD"/>
    <w:rsid w:val="00027AB6"/>
    <w:rsid w:val="00030C51"/>
    <w:rsid w:val="0003142D"/>
    <w:rsid w:val="000320ED"/>
    <w:rsid w:val="000337F9"/>
    <w:rsid w:val="00034CFC"/>
    <w:rsid w:val="0003575A"/>
    <w:rsid w:val="0003630E"/>
    <w:rsid w:val="00036BBE"/>
    <w:rsid w:val="00036F43"/>
    <w:rsid w:val="0004138E"/>
    <w:rsid w:val="00042BA8"/>
    <w:rsid w:val="00043A31"/>
    <w:rsid w:val="0004688B"/>
    <w:rsid w:val="000468FC"/>
    <w:rsid w:val="000474ED"/>
    <w:rsid w:val="00050673"/>
    <w:rsid w:val="00052D9E"/>
    <w:rsid w:val="00053750"/>
    <w:rsid w:val="000538BC"/>
    <w:rsid w:val="00057DDF"/>
    <w:rsid w:val="0006118C"/>
    <w:rsid w:val="00061BE9"/>
    <w:rsid w:val="00061F4B"/>
    <w:rsid w:val="00064114"/>
    <w:rsid w:val="00067A2C"/>
    <w:rsid w:val="0007107D"/>
    <w:rsid w:val="00071A38"/>
    <w:rsid w:val="00071E1D"/>
    <w:rsid w:val="00072CF4"/>
    <w:rsid w:val="00072EAA"/>
    <w:rsid w:val="000737D8"/>
    <w:rsid w:val="00074904"/>
    <w:rsid w:val="000753B8"/>
    <w:rsid w:val="00077201"/>
    <w:rsid w:val="000803E6"/>
    <w:rsid w:val="000805EF"/>
    <w:rsid w:val="0008119C"/>
    <w:rsid w:val="000817BB"/>
    <w:rsid w:val="00083A41"/>
    <w:rsid w:val="00085162"/>
    <w:rsid w:val="00086382"/>
    <w:rsid w:val="00087262"/>
    <w:rsid w:val="00087A62"/>
    <w:rsid w:val="00087EE5"/>
    <w:rsid w:val="00090306"/>
    <w:rsid w:val="00090BD8"/>
    <w:rsid w:val="0009275D"/>
    <w:rsid w:val="0009276E"/>
    <w:rsid w:val="000927EF"/>
    <w:rsid w:val="000A0E54"/>
    <w:rsid w:val="000A155E"/>
    <w:rsid w:val="000A1A03"/>
    <w:rsid w:val="000A5388"/>
    <w:rsid w:val="000A59B7"/>
    <w:rsid w:val="000A6B13"/>
    <w:rsid w:val="000A6C3D"/>
    <w:rsid w:val="000B2381"/>
    <w:rsid w:val="000B2B6D"/>
    <w:rsid w:val="000B30A4"/>
    <w:rsid w:val="000B30F4"/>
    <w:rsid w:val="000B3C7C"/>
    <w:rsid w:val="000B4337"/>
    <w:rsid w:val="000B47D0"/>
    <w:rsid w:val="000B72E7"/>
    <w:rsid w:val="000C14FB"/>
    <w:rsid w:val="000C1E9E"/>
    <w:rsid w:val="000C258F"/>
    <w:rsid w:val="000C3F8A"/>
    <w:rsid w:val="000D1369"/>
    <w:rsid w:val="000D15BC"/>
    <w:rsid w:val="000D4924"/>
    <w:rsid w:val="000D5F29"/>
    <w:rsid w:val="000E0F6F"/>
    <w:rsid w:val="000E1717"/>
    <w:rsid w:val="000E1DEB"/>
    <w:rsid w:val="000E2595"/>
    <w:rsid w:val="000E4072"/>
    <w:rsid w:val="000E4285"/>
    <w:rsid w:val="000E5FE3"/>
    <w:rsid w:val="000E62A4"/>
    <w:rsid w:val="000E679E"/>
    <w:rsid w:val="000E7121"/>
    <w:rsid w:val="000F01E0"/>
    <w:rsid w:val="000F185F"/>
    <w:rsid w:val="000F2B45"/>
    <w:rsid w:val="000F468D"/>
    <w:rsid w:val="000F558B"/>
    <w:rsid w:val="000F7FF0"/>
    <w:rsid w:val="001001C6"/>
    <w:rsid w:val="0010032B"/>
    <w:rsid w:val="00100512"/>
    <w:rsid w:val="0010058A"/>
    <w:rsid w:val="00100984"/>
    <w:rsid w:val="0010276E"/>
    <w:rsid w:val="00106298"/>
    <w:rsid w:val="0010764B"/>
    <w:rsid w:val="001110C3"/>
    <w:rsid w:val="00111615"/>
    <w:rsid w:val="00111EBC"/>
    <w:rsid w:val="00111FAB"/>
    <w:rsid w:val="00112425"/>
    <w:rsid w:val="0011412C"/>
    <w:rsid w:val="001141AD"/>
    <w:rsid w:val="00114214"/>
    <w:rsid w:val="0011445F"/>
    <w:rsid w:val="00114A8A"/>
    <w:rsid w:val="00115221"/>
    <w:rsid w:val="001153AF"/>
    <w:rsid w:val="00115458"/>
    <w:rsid w:val="00116221"/>
    <w:rsid w:val="001176A6"/>
    <w:rsid w:val="00121429"/>
    <w:rsid w:val="00122860"/>
    <w:rsid w:val="00122E07"/>
    <w:rsid w:val="00124339"/>
    <w:rsid w:val="00124F72"/>
    <w:rsid w:val="00125B5B"/>
    <w:rsid w:val="00126ED6"/>
    <w:rsid w:val="00127EF9"/>
    <w:rsid w:val="00131F4F"/>
    <w:rsid w:val="00132AAD"/>
    <w:rsid w:val="00132F58"/>
    <w:rsid w:val="0013503B"/>
    <w:rsid w:val="0013644F"/>
    <w:rsid w:val="001368F7"/>
    <w:rsid w:val="0013704A"/>
    <w:rsid w:val="00137C3A"/>
    <w:rsid w:val="0014137B"/>
    <w:rsid w:val="00143003"/>
    <w:rsid w:val="00145DED"/>
    <w:rsid w:val="00145F71"/>
    <w:rsid w:val="00146C02"/>
    <w:rsid w:val="001501B1"/>
    <w:rsid w:val="001519F6"/>
    <w:rsid w:val="00151D71"/>
    <w:rsid w:val="00152021"/>
    <w:rsid w:val="00153A8B"/>
    <w:rsid w:val="0015465A"/>
    <w:rsid w:val="00156F30"/>
    <w:rsid w:val="00157D90"/>
    <w:rsid w:val="00160174"/>
    <w:rsid w:val="0016028C"/>
    <w:rsid w:val="00160906"/>
    <w:rsid w:val="00163F91"/>
    <w:rsid w:val="0016540D"/>
    <w:rsid w:val="00167419"/>
    <w:rsid w:val="001707F7"/>
    <w:rsid w:val="001712D1"/>
    <w:rsid w:val="001728BA"/>
    <w:rsid w:val="001738F3"/>
    <w:rsid w:val="00174609"/>
    <w:rsid w:val="00176371"/>
    <w:rsid w:val="0018105D"/>
    <w:rsid w:val="001817E1"/>
    <w:rsid w:val="00181DB4"/>
    <w:rsid w:val="00182138"/>
    <w:rsid w:val="00183866"/>
    <w:rsid w:val="00187587"/>
    <w:rsid w:val="00187CCD"/>
    <w:rsid w:val="00187EE5"/>
    <w:rsid w:val="00187F5E"/>
    <w:rsid w:val="00187FFC"/>
    <w:rsid w:val="00190008"/>
    <w:rsid w:val="00191D40"/>
    <w:rsid w:val="0019353A"/>
    <w:rsid w:val="001937E5"/>
    <w:rsid w:val="0019471B"/>
    <w:rsid w:val="001948CC"/>
    <w:rsid w:val="0019506C"/>
    <w:rsid w:val="001976F9"/>
    <w:rsid w:val="0019777C"/>
    <w:rsid w:val="00197C71"/>
    <w:rsid w:val="00197F96"/>
    <w:rsid w:val="001A1EB1"/>
    <w:rsid w:val="001A5057"/>
    <w:rsid w:val="001A6BE7"/>
    <w:rsid w:val="001A7E13"/>
    <w:rsid w:val="001B40FC"/>
    <w:rsid w:val="001B46D6"/>
    <w:rsid w:val="001B5B4B"/>
    <w:rsid w:val="001B6638"/>
    <w:rsid w:val="001B7B97"/>
    <w:rsid w:val="001C063F"/>
    <w:rsid w:val="001C194B"/>
    <w:rsid w:val="001C1AEF"/>
    <w:rsid w:val="001C1D3C"/>
    <w:rsid w:val="001C2401"/>
    <w:rsid w:val="001C4202"/>
    <w:rsid w:val="001C46F1"/>
    <w:rsid w:val="001C488D"/>
    <w:rsid w:val="001C49B2"/>
    <w:rsid w:val="001C70F5"/>
    <w:rsid w:val="001C75B2"/>
    <w:rsid w:val="001D1076"/>
    <w:rsid w:val="001D48E7"/>
    <w:rsid w:val="001E0EC5"/>
    <w:rsid w:val="001E2FE8"/>
    <w:rsid w:val="001E33FE"/>
    <w:rsid w:val="001E427B"/>
    <w:rsid w:val="001E5E25"/>
    <w:rsid w:val="001E6A76"/>
    <w:rsid w:val="001E748A"/>
    <w:rsid w:val="001F0F9D"/>
    <w:rsid w:val="001F1029"/>
    <w:rsid w:val="001F2F1E"/>
    <w:rsid w:val="001F40FF"/>
    <w:rsid w:val="001F450D"/>
    <w:rsid w:val="001F4C56"/>
    <w:rsid w:val="001F53DB"/>
    <w:rsid w:val="001F6A95"/>
    <w:rsid w:val="001F725F"/>
    <w:rsid w:val="001F7AA9"/>
    <w:rsid w:val="00200AED"/>
    <w:rsid w:val="00201CDD"/>
    <w:rsid w:val="00203116"/>
    <w:rsid w:val="0020534F"/>
    <w:rsid w:val="002076B0"/>
    <w:rsid w:val="0021076B"/>
    <w:rsid w:val="002120BC"/>
    <w:rsid w:val="00213847"/>
    <w:rsid w:val="0021624D"/>
    <w:rsid w:val="00216388"/>
    <w:rsid w:val="0021795E"/>
    <w:rsid w:val="002208D7"/>
    <w:rsid w:val="00221643"/>
    <w:rsid w:val="00223D9E"/>
    <w:rsid w:val="002250C7"/>
    <w:rsid w:val="00226453"/>
    <w:rsid w:val="002278CB"/>
    <w:rsid w:val="00231AC8"/>
    <w:rsid w:val="00231FA7"/>
    <w:rsid w:val="002341C2"/>
    <w:rsid w:val="002404CC"/>
    <w:rsid w:val="00240A67"/>
    <w:rsid w:val="002410DD"/>
    <w:rsid w:val="00243644"/>
    <w:rsid w:val="00243C94"/>
    <w:rsid w:val="002442CE"/>
    <w:rsid w:val="002462B0"/>
    <w:rsid w:val="00246DBC"/>
    <w:rsid w:val="00247864"/>
    <w:rsid w:val="00250609"/>
    <w:rsid w:val="002506D2"/>
    <w:rsid w:val="002542AF"/>
    <w:rsid w:val="00254420"/>
    <w:rsid w:val="00255FF3"/>
    <w:rsid w:val="00256C5B"/>
    <w:rsid w:val="00262E74"/>
    <w:rsid w:val="00263917"/>
    <w:rsid w:val="0026400B"/>
    <w:rsid w:val="00264149"/>
    <w:rsid w:val="00264464"/>
    <w:rsid w:val="00265A63"/>
    <w:rsid w:val="00266A00"/>
    <w:rsid w:val="00266A36"/>
    <w:rsid w:val="00266D92"/>
    <w:rsid w:val="00267650"/>
    <w:rsid w:val="002676EA"/>
    <w:rsid w:val="00267DFB"/>
    <w:rsid w:val="0027071E"/>
    <w:rsid w:val="002708D2"/>
    <w:rsid w:val="00270B17"/>
    <w:rsid w:val="00271360"/>
    <w:rsid w:val="0027147B"/>
    <w:rsid w:val="00272652"/>
    <w:rsid w:val="00272FBA"/>
    <w:rsid w:val="002762BE"/>
    <w:rsid w:val="0027733F"/>
    <w:rsid w:val="0027756A"/>
    <w:rsid w:val="00280187"/>
    <w:rsid w:val="00281E34"/>
    <w:rsid w:val="00285AB7"/>
    <w:rsid w:val="00285E90"/>
    <w:rsid w:val="0028621F"/>
    <w:rsid w:val="002865E5"/>
    <w:rsid w:val="002905F7"/>
    <w:rsid w:val="002918C7"/>
    <w:rsid w:val="00291E01"/>
    <w:rsid w:val="00294F84"/>
    <w:rsid w:val="00295768"/>
    <w:rsid w:val="00295F59"/>
    <w:rsid w:val="00296EA4"/>
    <w:rsid w:val="002971EB"/>
    <w:rsid w:val="002A2CC3"/>
    <w:rsid w:val="002A40A5"/>
    <w:rsid w:val="002A59FA"/>
    <w:rsid w:val="002B0CCB"/>
    <w:rsid w:val="002B2883"/>
    <w:rsid w:val="002B380C"/>
    <w:rsid w:val="002B3AD1"/>
    <w:rsid w:val="002B3E51"/>
    <w:rsid w:val="002B7758"/>
    <w:rsid w:val="002C1367"/>
    <w:rsid w:val="002C19E5"/>
    <w:rsid w:val="002C1D7B"/>
    <w:rsid w:val="002C37C0"/>
    <w:rsid w:val="002C62E7"/>
    <w:rsid w:val="002C6CC4"/>
    <w:rsid w:val="002D1E54"/>
    <w:rsid w:val="002D273E"/>
    <w:rsid w:val="002D4853"/>
    <w:rsid w:val="002D693F"/>
    <w:rsid w:val="002D7067"/>
    <w:rsid w:val="002E2022"/>
    <w:rsid w:val="002E24EC"/>
    <w:rsid w:val="002E3AF1"/>
    <w:rsid w:val="002E4BC0"/>
    <w:rsid w:val="002E56CD"/>
    <w:rsid w:val="002E5D58"/>
    <w:rsid w:val="002E604A"/>
    <w:rsid w:val="002E7125"/>
    <w:rsid w:val="002E756C"/>
    <w:rsid w:val="002F0AE1"/>
    <w:rsid w:val="002F13A3"/>
    <w:rsid w:val="002F1CFC"/>
    <w:rsid w:val="002F1D5B"/>
    <w:rsid w:val="002F25B4"/>
    <w:rsid w:val="002F4FE4"/>
    <w:rsid w:val="003007F5"/>
    <w:rsid w:val="00300A1E"/>
    <w:rsid w:val="00301F34"/>
    <w:rsid w:val="00302D55"/>
    <w:rsid w:val="0030359B"/>
    <w:rsid w:val="00303635"/>
    <w:rsid w:val="00304324"/>
    <w:rsid w:val="00305063"/>
    <w:rsid w:val="00305E53"/>
    <w:rsid w:val="003133A9"/>
    <w:rsid w:val="00314A07"/>
    <w:rsid w:val="00315521"/>
    <w:rsid w:val="00316D91"/>
    <w:rsid w:val="003178E9"/>
    <w:rsid w:val="00317EDE"/>
    <w:rsid w:val="003214F0"/>
    <w:rsid w:val="00321780"/>
    <w:rsid w:val="00321DBC"/>
    <w:rsid w:val="00321F1A"/>
    <w:rsid w:val="00322893"/>
    <w:rsid w:val="00322CE2"/>
    <w:rsid w:val="003231D9"/>
    <w:rsid w:val="00325476"/>
    <w:rsid w:val="003255F8"/>
    <w:rsid w:val="00327836"/>
    <w:rsid w:val="0032792D"/>
    <w:rsid w:val="00327D31"/>
    <w:rsid w:val="00332E18"/>
    <w:rsid w:val="00334A99"/>
    <w:rsid w:val="003354C8"/>
    <w:rsid w:val="003361FD"/>
    <w:rsid w:val="00336C1C"/>
    <w:rsid w:val="003378E4"/>
    <w:rsid w:val="00337F1A"/>
    <w:rsid w:val="003434D7"/>
    <w:rsid w:val="00343E2F"/>
    <w:rsid w:val="0034527D"/>
    <w:rsid w:val="0034728A"/>
    <w:rsid w:val="00347B6F"/>
    <w:rsid w:val="00351A68"/>
    <w:rsid w:val="00352C60"/>
    <w:rsid w:val="003530A5"/>
    <w:rsid w:val="003539CA"/>
    <w:rsid w:val="00353DA3"/>
    <w:rsid w:val="00355B65"/>
    <w:rsid w:val="00361318"/>
    <w:rsid w:val="00362026"/>
    <w:rsid w:val="003623F4"/>
    <w:rsid w:val="00365923"/>
    <w:rsid w:val="00365E33"/>
    <w:rsid w:val="00367978"/>
    <w:rsid w:val="003736AF"/>
    <w:rsid w:val="00373871"/>
    <w:rsid w:val="003740F6"/>
    <w:rsid w:val="00374A74"/>
    <w:rsid w:val="00376BFF"/>
    <w:rsid w:val="00376CCE"/>
    <w:rsid w:val="003822EA"/>
    <w:rsid w:val="00383744"/>
    <w:rsid w:val="00384489"/>
    <w:rsid w:val="00384D09"/>
    <w:rsid w:val="00385DF8"/>
    <w:rsid w:val="00385FAA"/>
    <w:rsid w:val="00386CD0"/>
    <w:rsid w:val="00391AB7"/>
    <w:rsid w:val="00392F8A"/>
    <w:rsid w:val="00394D5E"/>
    <w:rsid w:val="00395849"/>
    <w:rsid w:val="0039764C"/>
    <w:rsid w:val="003A124B"/>
    <w:rsid w:val="003A2253"/>
    <w:rsid w:val="003A3DD9"/>
    <w:rsid w:val="003A5334"/>
    <w:rsid w:val="003A64B1"/>
    <w:rsid w:val="003A6B1E"/>
    <w:rsid w:val="003A70E6"/>
    <w:rsid w:val="003A731B"/>
    <w:rsid w:val="003B1447"/>
    <w:rsid w:val="003B176C"/>
    <w:rsid w:val="003B2F6F"/>
    <w:rsid w:val="003B32D7"/>
    <w:rsid w:val="003B5B24"/>
    <w:rsid w:val="003B5D43"/>
    <w:rsid w:val="003B5E9D"/>
    <w:rsid w:val="003C1DE8"/>
    <w:rsid w:val="003C2D4F"/>
    <w:rsid w:val="003C4D85"/>
    <w:rsid w:val="003C4E19"/>
    <w:rsid w:val="003C6911"/>
    <w:rsid w:val="003C7292"/>
    <w:rsid w:val="003D13A4"/>
    <w:rsid w:val="003D24AC"/>
    <w:rsid w:val="003D2B87"/>
    <w:rsid w:val="003D4DF4"/>
    <w:rsid w:val="003D6E21"/>
    <w:rsid w:val="003E12DC"/>
    <w:rsid w:val="003E1729"/>
    <w:rsid w:val="003E265B"/>
    <w:rsid w:val="003E624C"/>
    <w:rsid w:val="003E6604"/>
    <w:rsid w:val="003E795A"/>
    <w:rsid w:val="003E7C2D"/>
    <w:rsid w:val="003F1BDE"/>
    <w:rsid w:val="003F241A"/>
    <w:rsid w:val="003F2E4C"/>
    <w:rsid w:val="003F3290"/>
    <w:rsid w:val="003F3721"/>
    <w:rsid w:val="003F395B"/>
    <w:rsid w:val="003F3A82"/>
    <w:rsid w:val="003F4381"/>
    <w:rsid w:val="00402D9F"/>
    <w:rsid w:val="00406C33"/>
    <w:rsid w:val="00406D32"/>
    <w:rsid w:val="00406D61"/>
    <w:rsid w:val="00407664"/>
    <w:rsid w:val="004103E0"/>
    <w:rsid w:val="00410688"/>
    <w:rsid w:val="0041069D"/>
    <w:rsid w:val="00411584"/>
    <w:rsid w:val="004119E7"/>
    <w:rsid w:val="00414E0B"/>
    <w:rsid w:val="00415330"/>
    <w:rsid w:val="004154E8"/>
    <w:rsid w:val="00415B91"/>
    <w:rsid w:val="004160B5"/>
    <w:rsid w:val="00416B45"/>
    <w:rsid w:val="004212A5"/>
    <w:rsid w:val="00423181"/>
    <w:rsid w:val="004233A7"/>
    <w:rsid w:val="00424DB5"/>
    <w:rsid w:val="004276BE"/>
    <w:rsid w:val="00430E26"/>
    <w:rsid w:val="00433BB3"/>
    <w:rsid w:val="00435754"/>
    <w:rsid w:val="00435A01"/>
    <w:rsid w:val="00437570"/>
    <w:rsid w:val="00440B39"/>
    <w:rsid w:val="00440E7F"/>
    <w:rsid w:val="004418A8"/>
    <w:rsid w:val="0044200A"/>
    <w:rsid w:val="00442936"/>
    <w:rsid w:val="004429B7"/>
    <w:rsid w:val="00443069"/>
    <w:rsid w:val="00443379"/>
    <w:rsid w:val="00444E27"/>
    <w:rsid w:val="00445325"/>
    <w:rsid w:val="0044550B"/>
    <w:rsid w:val="00445B8C"/>
    <w:rsid w:val="004463A6"/>
    <w:rsid w:val="0044676E"/>
    <w:rsid w:val="00447AB8"/>
    <w:rsid w:val="00447FEE"/>
    <w:rsid w:val="00450B12"/>
    <w:rsid w:val="004519F0"/>
    <w:rsid w:val="0045252B"/>
    <w:rsid w:val="00452772"/>
    <w:rsid w:val="00452798"/>
    <w:rsid w:val="00453B3E"/>
    <w:rsid w:val="0045597C"/>
    <w:rsid w:val="004569FB"/>
    <w:rsid w:val="004573AD"/>
    <w:rsid w:val="004625CC"/>
    <w:rsid w:val="00465178"/>
    <w:rsid w:val="004659CC"/>
    <w:rsid w:val="004670DE"/>
    <w:rsid w:val="004701AF"/>
    <w:rsid w:val="00470831"/>
    <w:rsid w:val="00471645"/>
    <w:rsid w:val="00471AF0"/>
    <w:rsid w:val="00472EF5"/>
    <w:rsid w:val="004754A4"/>
    <w:rsid w:val="0047592C"/>
    <w:rsid w:val="00481EBF"/>
    <w:rsid w:val="00481F66"/>
    <w:rsid w:val="0048292F"/>
    <w:rsid w:val="0048384C"/>
    <w:rsid w:val="00484C3D"/>
    <w:rsid w:val="004907EB"/>
    <w:rsid w:val="00490ACD"/>
    <w:rsid w:val="004926EF"/>
    <w:rsid w:val="00492E11"/>
    <w:rsid w:val="00494F69"/>
    <w:rsid w:val="00495E4B"/>
    <w:rsid w:val="0049645B"/>
    <w:rsid w:val="00497555"/>
    <w:rsid w:val="00497745"/>
    <w:rsid w:val="004A0988"/>
    <w:rsid w:val="004A3572"/>
    <w:rsid w:val="004A3BDA"/>
    <w:rsid w:val="004A4BB6"/>
    <w:rsid w:val="004A4CB2"/>
    <w:rsid w:val="004B18FC"/>
    <w:rsid w:val="004B3751"/>
    <w:rsid w:val="004B42A0"/>
    <w:rsid w:val="004B44DE"/>
    <w:rsid w:val="004B66FF"/>
    <w:rsid w:val="004C081E"/>
    <w:rsid w:val="004C0BFD"/>
    <w:rsid w:val="004C3D08"/>
    <w:rsid w:val="004C45A6"/>
    <w:rsid w:val="004C7BB5"/>
    <w:rsid w:val="004D4473"/>
    <w:rsid w:val="004D47B6"/>
    <w:rsid w:val="004E1221"/>
    <w:rsid w:val="004E2293"/>
    <w:rsid w:val="004E26D5"/>
    <w:rsid w:val="004E3926"/>
    <w:rsid w:val="004E3AC9"/>
    <w:rsid w:val="004E55D2"/>
    <w:rsid w:val="004E7382"/>
    <w:rsid w:val="004E7531"/>
    <w:rsid w:val="004F3538"/>
    <w:rsid w:val="004F37EB"/>
    <w:rsid w:val="004F5545"/>
    <w:rsid w:val="005000D0"/>
    <w:rsid w:val="005010BB"/>
    <w:rsid w:val="00504472"/>
    <w:rsid w:val="005049B5"/>
    <w:rsid w:val="005053FE"/>
    <w:rsid w:val="00505527"/>
    <w:rsid w:val="00505A7C"/>
    <w:rsid w:val="00505C5C"/>
    <w:rsid w:val="0050621A"/>
    <w:rsid w:val="005063EC"/>
    <w:rsid w:val="00507912"/>
    <w:rsid w:val="0051192B"/>
    <w:rsid w:val="00511C27"/>
    <w:rsid w:val="0051222C"/>
    <w:rsid w:val="005125C0"/>
    <w:rsid w:val="00512F64"/>
    <w:rsid w:val="00513E76"/>
    <w:rsid w:val="00515F73"/>
    <w:rsid w:val="005208CE"/>
    <w:rsid w:val="00524924"/>
    <w:rsid w:val="00525C7F"/>
    <w:rsid w:val="00531DFC"/>
    <w:rsid w:val="00532076"/>
    <w:rsid w:val="00532D40"/>
    <w:rsid w:val="00533B3E"/>
    <w:rsid w:val="00534A21"/>
    <w:rsid w:val="00535F90"/>
    <w:rsid w:val="005365CB"/>
    <w:rsid w:val="00536853"/>
    <w:rsid w:val="005425FB"/>
    <w:rsid w:val="0054284D"/>
    <w:rsid w:val="0054356B"/>
    <w:rsid w:val="00543B28"/>
    <w:rsid w:val="00544450"/>
    <w:rsid w:val="0054504F"/>
    <w:rsid w:val="00545957"/>
    <w:rsid w:val="0054632C"/>
    <w:rsid w:val="00547F2C"/>
    <w:rsid w:val="0055006F"/>
    <w:rsid w:val="00550B15"/>
    <w:rsid w:val="00551D0C"/>
    <w:rsid w:val="0055230F"/>
    <w:rsid w:val="00552444"/>
    <w:rsid w:val="00552D5D"/>
    <w:rsid w:val="00553546"/>
    <w:rsid w:val="005564EC"/>
    <w:rsid w:val="005566C4"/>
    <w:rsid w:val="00556B55"/>
    <w:rsid w:val="00560E28"/>
    <w:rsid w:val="00562A7F"/>
    <w:rsid w:val="0056323D"/>
    <w:rsid w:val="0056394D"/>
    <w:rsid w:val="00565C8B"/>
    <w:rsid w:val="00566786"/>
    <w:rsid w:val="005675D3"/>
    <w:rsid w:val="00567EDB"/>
    <w:rsid w:val="005701E1"/>
    <w:rsid w:val="00570347"/>
    <w:rsid w:val="00570562"/>
    <w:rsid w:val="00572613"/>
    <w:rsid w:val="00573FE7"/>
    <w:rsid w:val="0057444A"/>
    <w:rsid w:val="00577488"/>
    <w:rsid w:val="0058063F"/>
    <w:rsid w:val="005824A9"/>
    <w:rsid w:val="00591E95"/>
    <w:rsid w:val="0059333D"/>
    <w:rsid w:val="00597294"/>
    <w:rsid w:val="005A0B55"/>
    <w:rsid w:val="005A1698"/>
    <w:rsid w:val="005A204D"/>
    <w:rsid w:val="005A5786"/>
    <w:rsid w:val="005A58D3"/>
    <w:rsid w:val="005A6C59"/>
    <w:rsid w:val="005B0228"/>
    <w:rsid w:val="005B18E3"/>
    <w:rsid w:val="005B1A80"/>
    <w:rsid w:val="005B6DEB"/>
    <w:rsid w:val="005B74DC"/>
    <w:rsid w:val="005B77EF"/>
    <w:rsid w:val="005C05D0"/>
    <w:rsid w:val="005C0969"/>
    <w:rsid w:val="005C0E21"/>
    <w:rsid w:val="005C3916"/>
    <w:rsid w:val="005C6903"/>
    <w:rsid w:val="005C6948"/>
    <w:rsid w:val="005C6F2D"/>
    <w:rsid w:val="005C747B"/>
    <w:rsid w:val="005C7AE4"/>
    <w:rsid w:val="005D1371"/>
    <w:rsid w:val="005D23E8"/>
    <w:rsid w:val="005D2533"/>
    <w:rsid w:val="005D2C44"/>
    <w:rsid w:val="005D4AD9"/>
    <w:rsid w:val="005D5405"/>
    <w:rsid w:val="005D5B89"/>
    <w:rsid w:val="005D690D"/>
    <w:rsid w:val="005D7278"/>
    <w:rsid w:val="005E0BBB"/>
    <w:rsid w:val="005E1817"/>
    <w:rsid w:val="005E203B"/>
    <w:rsid w:val="005E28A9"/>
    <w:rsid w:val="005E4CE8"/>
    <w:rsid w:val="005E5DF1"/>
    <w:rsid w:val="005E7484"/>
    <w:rsid w:val="005E7D9D"/>
    <w:rsid w:val="005F09A6"/>
    <w:rsid w:val="005F162B"/>
    <w:rsid w:val="005F1872"/>
    <w:rsid w:val="005F23BE"/>
    <w:rsid w:val="005F3876"/>
    <w:rsid w:val="005F606F"/>
    <w:rsid w:val="005F7EB9"/>
    <w:rsid w:val="00600208"/>
    <w:rsid w:val="00600B4A"/>
    <w:rsid w:val="00600C5A"/>
    <w:rsid w:val="00602507"/>
    <w:rsid w:val="00606220"/>
    <w:rsid w:val="006109DC"/>
    <w:rsid w:val="00611E31"/>
    <w:rsid w:val="00612050"/>
    <w:rsid w:val="006121B4"/>
    <w:rsid w:val="00612ED6"/>
    <w:rsid w:val="006130D5"/>
    <w:rsid w:val="006135E9"/>
    <w:rsid w:val="00613EAD"/>
    <w:rsid w:val="00617CD7"/>
    <w:rsid w:val="006205E1"/>
    <w:rsid w:val="00622280"/>
    <w:rsid w:val="00622AA8"/>
    <w:rsid w:val="00623904"/>
    <w:rsid w:val="00624958"/>
    <w:rsid w:val="006254B2"/>
    <w:rsid w:val="00625656"/>
    <w:rsid w:val="00627D56"/>
    <w:rsid w:val="00630B61"/>
    <w:rsid w:val="006326EA"/>
    <w:rsid w:val="006337E8"/>
    <w:rsid w:val="006352B1"/>
    <w:rsid w:val="00635415"/>
    <w:rsid w:val="00636766"/>
    <w:rsid w:val="00636F2C"/>
    <w:rsid w:val="00640874"/>
    <w:rsid w:val="00641683"/>
    <w:rsid w:val="00645B17"/>
    <w:rsid w:val="00646A10"/>
    <w:rsid w:val="006516E1"/>
    <w:rsid w:val="0065202F"/>
    <w:rsid w:val="00652B42"/>
    <w:rsid w:val="00652E1F"/>
    <w:rsid w:val="006572DB"/>
    <w:rsid w:val="006609CD"/>
    <w:rsid w:val="0066496C"/>
    <w:rsid w:val="006663BD"/>
    <w:rsid w:val="00666672"/>
    <w:rsid w:val="0067072D"/>
    <w:rsid w:val="00671204"/>
    <w:rsid w:val="00671687"/>
    <w:rsid w:val="00673874"/>
    <w:rsid w:val="00674DB2"/>
    <w:rsid w:val="00675075"/>
    <w:rsid w:val="00675F30"/>
    <w:rsid w:val="00676629"/>
    <w:rsid w:val="00676EDA"/>
    <w:rsid w:val="00682D43"/>
    <w:rsid w:val="00684399"/>
    <w:rsid w:val="006845A4"/>
    <w:rsid w:val="0068561B"/>
    <w:rsid w:val="00685803"/>
    <w:rsid w:val="00686DBC"/>
    <w:rsid w:val="006870BA"/>
    <w:rsid w:val="00687F50"/>
    <w:rsid w:val="00690B72"/>
    <w:rsid w:val="0069242A"/>
    <w:rsid w:val="00692931"/>
    <w:rsid w:val="00692CFE"/>
    <w:rsid w:val="006932B1"/>
    <w:rsid w:val="006938E9"/>
    <w:rsid w:val="006947E5"/>
    <w:rsid w:val="00695068"/>
    <w:rsid w:val="00695E5A"/>
    <w:rsid w:val="006962E7"/>
    <w:rsid w:val="00696E80"/>
    <w:rsid w:val="006A079E"/>
    <w:rsid w:val="006A1483"/>
    <w:rsid w:val="006A4DCE"/>
    <w:rsid w:val="006A5A9C"/>
    <w:rsid w:val="006A6DC3"/>
    <w:rsid w:val="006A761F"/>
    <w:rsid w:val="006A7FAC"/>
    <w:rsid w:val="006B0742"/>
    <w:rsid w:val="006B12DC"/>
    <w:rsid w:val="006B279B"/>
    <w:rsid w:val="006B3454"/>
    <w:rsid w:val="006B4B06"/>
    <w:rsid w:val="006B50D6"/>
    <w:rsid w:val="006B723D"/>
    <w:rsid w:val="006B78CB"/>
    <w:rsid w:val="006C0018"/>
    <w:rsid w:val="006C163A"/>
    <w:rsid w:val="006C209A"/>
    <w:rsid w:val="006C5196"/>
    <w:rsid w:val="006C608F"/>
    <w:rsid w:val="006D1CA4"/>
    <w:rsid w:val="006D39EB"/>
    <w:rsid w:val="006D49F4"/>
    <w:rsid w:val="006E039D"/>
    <w:rsid w:val="006E0E8D"/>
    <w:rsid w:val="006E1317"/>
    <w:rsid w:val="006E3CEF"/>
    <w:rsid w:val="006E5175"/>
    <w:rsid w:val="006E68F7"/>
    <w:rsid w:val="006E6BB4"/>
    <w:rsid w:val="006F3FC7"/>
    <w:rsid w:val="00700366"/>
    <w:rsid w:val="00702B88"/>
    <w:rsid w:val="00702CCF"/>
    <w:rsid w:val="0070389B"/>
    <w:rsid w:val="00703B3E"/>
    <w:rsid w:val="00704126"/>
    <w:rsid w:val="00704129"/>
    <w:rsid w:val="007045AD"/>
    <w:rsid w:val="007046C2"/>
    <w:rsid w:val="0070473F"/>
    <w:rsid w:val="00704D99"/>
    <w:rsid w:val="00705EB3"/>
    <w:rsid w:val="0070788C"/>
    <w:rsid w:val="00710BC4"/>
    <w:rsid w:val="00710FD1"/>
    <w:rsid w:val="00711C3E"/>
    <w:rsid w:val="00711CE9"/>
    <w:rsid w:val="00714328"/>
    <w:rsid w:val="00714D27"/>
    <w:rsid w:val="00715883"/>
    <w:rsid w:val="0071601F"/>
    <w:rsid w:val="00717B37"/>
    <w:rsid w:val="00720F7A"/>
    <w:rsid w:val="00721FAC"/>
    <w:rsid w:val="0072215F"/>
    <w:rsid w:val="00722E89"/>
    <w:rsid w:val="007247A8"/>
    <w:rsid w:val="00724BAA"/>
    <w:rsid w:val="00726A3A"/>
    <w:rsid w:val="0073160E"/>
    <w:rsid w:val="00731991"/>
    <w:rsid w:val="00732185"/>
    <w:rsid w:val="00735B09"/>
    <w:rsid w:val="0073633E"/>
    <w:rsid w:val="007368EF"/>
    <w:rsid w:val="007371C7"/>
    <w:rsid w:val="0073797A"/>
    <w:rsid w:val="00737B27"/>
    <w:rsid w:val="00740B3A"/>
    <w:rsid w:val="00742ED3"/>
    <w:rsid w:val="0074443C"/>
    <w:rsid w:val="007452F5"/>
    <w:rsid w:val="007462A0"/>
    <w:rsid w:val="00746517"/>
    <w:rsid w:val="007479FC"/>
    <w:rsid w:val="00747DB0"/>
    <w:rsid w:val="00750E97"/>
    <w:rsid w:val="0075206D"/>
    <w:rsid w:val="00752892"/>
    <w:rsid w:val="0075329D"/>
    <w:rsid w:val="00754A0F"/>
    <w:rsid w:val="00757C17"/>
    <w:rsid w:val="00757EBB"/>
    <w:rsid w:val="0076083A"/>
    <w:rsid w:val="00761693"/>
    <w:rsid w:val="00762CEF"/>
    <w:rsid w:val="00763306"/>
    <w:rsid w:val="007633DE"/>
    <w:rsid w:val="0076491C"/>
    <w:rsid w:val="007658CD"/>
    <w:rsid w:val="0076742F"/>
    <w:rsid w:val="00770532"/>
    <w:rsid w:val="007710F2"/>
    <w:rsid w:val="00772D0F"/>
    <w:rsid w:val="00773BD4"/>
    <w:rsid w:val="007741FF"/>
    <w:rsid w:val="00775719"/>
    <w:rsid w:val="00776ACB"/>
    <w:rsid w:val="00780E14"/>
    <w:rsid w:val="00781F4D"/>
    <w:rsid w:val="00783780"/>
    <w:rsid w:val="00783EBD"/>
    <w:rsid w:val="00787166"/>
    <w:rsid w:val="007912C3"/>
    <w:rsid w:val="00794102"/>
    <w:rsid w:val="0079579A"/>
    <w:rsid w:val="00797D2A"/>
    <w:rsid w:val="007A0B0D"/>
    <w:rsid w:val="007A3106"/>
    <w:rsid w:val="007A3F17"/>
    <w:rsid w:val="007A4A84"/>
    <w:rsid w:val="007A5B5E"/>
    <w:rsid w:val="007A5E24"/>
    <w:rsid w:val="007A6FE3"/>
    <w:rsid w:val="007B22DE"/>
    <w:rsid w:val="007B2725"/>
    <w:rsid w:val="007B2A0D"/>
    <w:rsid w:val="007B4108"/>
    <w:rsid w:val="007B4777"/>
    <w:rsid w:val="007B71A8"/>
    <w:rsid w:val="007B76D0"/>
    <w:rsid w:val="007C066F"/>
    <w:rsid w:val="007C0C24"/>
    <w:rsid w:val="007C10FC"/>
    <w:rsid w:val="007C29F1"/>
    <w:rsid w:val="007C2B0F"/>
    <w:rsid w:val="007C306A"/>
    <w:rsid w:val="007C3CE9"/>
    <w:rsid w:val="007C546F"/>
    <w:rsid w:val="007C6FF8"/>
    <w:rsid w:val="007C71E0"/>
    <w:rsid w:val="007C73E5"/>
    <w:rsid w:val="007C74ED"/>
    <w:rsid w:val="007D23C1"/>
    <w:rsid w:val="007D2D50"/>
    <w:rsid w:val="007D4981"/>
    <w:rsid w:val="007D4DA0"/>
    <w:rsid w:val="007D576B"/>
    <w:rsid w:val="007D5850"/>
    <w:rsid w:val="007D7343"/>
    <w:rsid w:val="007D7F65"/>
    <w:rsid w:val="007E1579"/>
    <w:rsid w:val="007E71BD"/>
    <w:rsid w:val="007F0260"/>
    <w:rsid w:val="007F1807"/>
    <w:rsid w:val="007F1A27"/>
    <w:rsid w:val="007F1C81"/>
    <w:rsid w:val="007F2BAD"/>
    <w:rsid w:val="007F2C40"/>
    <w:rsid w:val="007F6806"/>
    <w:rsid w:val="007F75B8"/>
    <w:rsid w:val="00800A0B"/>
    <w:rsid w:val="00801F9C"/>
    <w:rsid w:val="008029D4"/>
    <w:rsid w:val="00805746"/>
    <w:rsid w:val="00805C0F"/>
    <w:rsid w:val="008064EE"/>
    <w:rsid w:val="0080682C"/>
    <w:rsid w:val="00811188"/>
    <w:rsid w:val="008126C9"/>
    <w:rsid w:val="0081349E"/>
    <w:rsid w:val="008134C5"/>
    <w:rsid w:val="0081452D"/>
    <w:rsid w:val="008148F1"/>
    <w:rsid w:val="008154C7"/>
    <w:rsid w:val="00817203"/>
    <w:rsid w:val="008206E2"/>
    <w:rsid w:val="00820D98"/>
    <w:rsid w:val="00821275"/>
    <w:rsid w:val="00822537"/>
    <w:rsid w:val="0082446A"/>
    <w:rsid w:val="00824886"/>
    <w:rsid w:val="0083156A"/>
    <w:rsid w:val="00831B45"/>
    <w:rsid w:val="00832A39"/>
    <w:rsid w:val="00832D36"/>
    <w:rsid w:val="00832D38"/>
    <w:rsid w:val="008330FF"/>
    <w:rsid w:val="0083332B"/>
    <w:rsid w:val="008339ED"/>
    <w:rsid w:val="00833A06"/>
    <w:rsid w:val="008341DE"/>
    <w:rsid w:val="00834806"/>
    <w:rsid w:val="00835010"/>
    <w:rsid w:val="008351AB"/>
    <w:rsid w:val="00837910"/>
    <w:rsid w:val="00840686"/>
    <w:rsid w:val="0084093F"/>
    <w:rsid w:val="00840B47"/>
    <w:rsid w:val="008425FF"/>
    <w:rsid w:val="00843872"/>
    <w:rsid w:val="0084467C"/>
    <w:rsid w:val="008458E6"/>
    <w:rsid w:val="008459D4"/>
    <w:rsid w:val="00850A3F"/>
    <w:rsid w:val="00853A7F"/>
    <w:rsid w:val="00854157"/>
    <w:rsid w:val="008550C7"/>
    <w:rsid w:val="00861853"/>
    <w:rsid w:val="008648DA"/>
    <w:rsid w:val="00870542"/>
    <w:rsid w:val="00871AEE"/>
    <w:rsid w:val="008734BC"/>
    <w:rsid w:val="008738E5"/>
    <w:rsid w:val="008739D0"/>
    <w:rsid w:val="00875174"/>
    <w:rsid w:val="008753CB"/>
    <w:rsid w:val="008753D1"/>
    <w:rsid w:val="00876DA6"/>
    <w:rsid w:val="008774E2"/>
    <w:rsid w:val="00881122"/>
    <w:rsid w:val="00881A40"/>
    <w:rsid w:val="00882C2A"/>
    <w:rsid w:val="00883FCA"/>
    <w:rsid w:val="00884831"/>
    <w:rsid w:val="00885278"/>
    <w:rsid w:val="008865BB"/>
    <w:rsid w:val="00890837"/>
    <w:rsid w:val="00890C37"/>
    <w:rsid w:val="00891315"/>
    <w:rsid w:val="00891706"/>
    <w:rsid w:val="0089226F"/>
    <w:rsid w:val="00893D86"/>
    <w:rsid w:val="008946DF"/>
    <w:rsid w:val="00895A1F"/>
    <w:rsid w:val="00895C2F"/>
    <w:rsid w:val="00896E0C"/>
    <w:rsid w:val="00896E4A"/>
    <w:rsid w:val="008970D5"/>
    <w:rsid w:val="00897296"/>
    <w:rsid w:val="008A04C1"/>
    <w:rsid w:val="008A1077"/>
    <w:rsid w:val="008A1878"/>
    <w:rsid w:val="008A1C30"/>
    <w:rsid w:val="008A3A1E"/>
    <w:rsid w:val="008A3F20"/>
    <w:rsid w:val="008A4282"/>
    <w:rsid w:val="008A4FC4"/>
    <w:rsid w:val="008A61E4"/>
    <w:rsid w:val="008A6747"/>
    <w:rsid w:val="008A67CA"/>
    <w:rsid w:val="008A6CFE"/>
    <w:rsid w:val="008B0386"/>
    <w:rsid w:val="008B12D9"/>
    <w:rsid w:val="008B3996"/>
    <w:rsid w:val="008B489A"/>
    <w:rsid w:val="008B4A34"/>
    <w:rsid w:val="008B4F61"/>
    <w:rsid w:val="008B5EDF"/>
    <w:rsid w:val="008B5F70"/>
    <w:rsid w:val="008B6256"/>
    <w:rsid w:val="008B7D5B"/>
    <w:rsid w:val="008C06D9"/>
    <w:rsid w:val="008C0D29"/>
    <w:rsid w:val="008C0E61"/>
    <w:rsid w:val="008C1030"/>
    <w:rsid w:val="008C14BA"/>
    <w:rsid w:val="008C15C9"/>
    <w:rsid w:val="008C2318"/>
    <w:rsid w:val="008C3B7F"/>
    <w:rsid w:val="008C44EB"/>
    <w:rsid w:val="008C5853"/>
    <w:rsid w:val="008C616A"/>
    <w:rsid w:val="008C657C"/>
    <w:rsid w:val="008C6876"/>
    <w:rsid w:val="008C6DB2"/>
    <w:rsid w:val="008C7BAD"/>
    <w:rsid w:val="008D3186"/>
    <w:rsid w:val="008D725B"/>
    <w:rsid w:val="008D76E6"/>
    <w:rsid w:val="008E01E6"/>
    <w:rsid w:val="008E0BF3"/>
    <w:rsid w:val="008E2291"/>
    <w:rsid w:val="008E24A8"/>
    <w:rsid w:val="008E251B"/>
    <w:rsid w:val="008E3B83"/>
    <w:rsid w:val="008E3FFF"/>
    <w:rsid w:val="008E452A"/>
    <w:rsid w:val="008E47C7"/>
    <w:rsid w:val="008E52F4"/>
    <w:rsid w:val="008E6B43"/>
    <w:rsid w:val="008E78BC"/>
    <w:rsid w:val="008E7CD4"/>
    <w:rsid w:val="008F0608"/>
    <w:rsid w:val="008F2B96"/>
    <w:rsid w:val="008F4358"/>
    <w:rsid w:val="008F5279"/>
    <w:rsid w:val="008F5EAE"/>
    <w:rsid w:val="008F63FF"/>
    <w:rsid w:val="00903619"/>
    <w:rsid w:val="00903933"/>
    <w:rsid w:val="00904CA0"/>
    <w:rsid w:val="00905733"/>
    <w:rsid w:val="00906101"/>
    <w:rsid w:val="009062D2"/>
    <w:rsid w:val="00906569"/>
    <w:rsid w:val="00906FA6"/>
    <w:rsid w:val="00907BFB"/>
    <w:rsid w:val="00907C86"/>
    <w:rsid w:val="00911E55"/>
    <w:rsid w:val="00912FE2"/>
    <w:rsid w:val="00914EF4"/>
    <w:rsid w:val="00915E08"/>
    <w:rsid w:val="0091684C"/>
    <w:rsid w:val="00916C16"/>
    <w:rsid w:val="00916E09"/>
    <w:rsid w:val="00917E91"/>
    <w:rsid w:val="00922C3A"/>
    <w:rsid w:val="00930F3C"/>
    <w:rsid w:val="0093115B"/>
    <w:rsid w:val="00931E0D"/>
    <w:rsid w:val="00932B5A"/>
    <w:rsid w:val="00935296"/>
    <w:rsid w:val="009374CA"/>
    <w:rsid w:val="009418CA"/>
    <w:rsid w:val="009421A2"/>
    <w:rsid w:val="00943DBD"/>
    <w:rsid w:val="00946C0E"/>
    <w:rsid w:val="009507E5"/>
    <w:rsid w:val="00952513"/>
    <w:rsid w:val="00953188"/>
    <w:rsid w:val="00955815"/>
    <w:rsid w:val="009559AD"/>
    <w:rsid w:val="00956A88"/>
    <w:rsid w:val="0095718F"/>
    <w:rsid w:val="0096216E"/>
    <w:rsid w:val="00963C8F"/>
    <w:rsid w:val="00963E79"/>
    <w:rsid w:val="00964086"/>
    <w:rsid w:val="00965673"/>
    <w:rsid w:val="0096659D"/>
    <w:rsid w:val="00967CE7"/>
    <w:rsid w:val="0097145E"/>
    <w:rsid w:val="00971B51"/>
    <w:rsid w:val="009742CA"/>
    <w:rsid w:val="0097532D"/>
    <w:rsid w:val="009772E5"/>
    <w:rsid w:val="009773B3"/>
    <w:rsid w:val="00977ADC"/>
    <w:rsid w:val="00980CF5"/>
    <w:rsid w:val="0098157C"/>
    <w:rsid w:val="00982475"/>
    <w:rsid w:val="009824A3"/>
    <w:rsid w:val="00984C61"/>
    <w:rsid w:val="00985A74"/>
    <w:rsid w:val="00986CB1"/>
    <w:rsid w:val="0099047B"/>
    <w:rsid w:val="00990943"/>
    <w:rsid w:val="00991422"/>
    <w:rsid w:val="00991EBE"/>
    <w:rsid w:val="00992977"/>
    <w:rsid w:val="00992F1D"/>
    <w:rsid w:val="00994160"/>
    <w:rsid w:val="00996B1B"/>
    <w:rsid w:val="00996EAF"/>
    <w:rsid w:val="00996F3A"/>
    <w:rsid w:val="00997051"/>
    <w:rsid w:val="00997795"/>
    <w:rsid w:val="009A1043"/>
    <w:rsid w:val="009A115A"/>
    <w:rsid w:val="009A170B"/>
    <w:rsid w:val="009A1808"/>
    <w:rsid w:val="009A1C54"/>
    <w:rsid w:val="009A2332"/>
    <w:rsid w:val="009A302F"/>
    <w:rsid w:val="009A3CE1"/>
    <w:rsid w:val="009B79AE"/>
    <w:rsid w:val="009C19F1"/>
    <w:rsid w:val="009C1D1E"/>
    <w:rsid w:val="009C23D2"/>
    <w:rsid w:val="009C28E9"/>
    <w:rsid w:val="009C7138"/>
    <w:rsid w:val="009D1CAC"/>
    <w:rsid w:val="009D3970"/>
    <w:rsid w:val="009D3CD9"/>
    <w:rsid w:val="009D3F86"/>
    <w:rsid w:val="009D45AC"/>
    <w:rsid w:val="009D4E28"/>
    <w:rsid w:val="009D668D"/>
    <w:rsid w:val="009E08D3"/>
    <w:rsid w:val="009E11C4"/>
    <w:rsid w:val="009E28D9"/>
    <w:rsid w:val="009E36C2"/>
    <w:rsid w:val="009E4CC9"/>
    <w:rsid w:val="009E57F7"/>
    <w:rsid w:val="009E62F2"/>
    <w:rsid w:val="009E6BDC"/>
    <w:rsid w:val="009E6C9B"/>
    <w:rsid w:val="009F01F4"/>
    <w:rsid w:val="009F06F4"/>
    <w:rsid w:val="009F097F"/>
    <w:rsid w:val="009F157F"/>
    <w:rsid w:val="009F29EA"/>
    <w:rsid w:val="009F307A"/>
    <w:rsid w:val="009F4518"/>
    <w:rsid w:val="009F6788"/>
    <w:rsid w:val="009F6B06"/>
    <w:rsid w:val="009F6D92"/>
    <w:rsid w:val="009F7714"/>
    <w:rsid w:val="009F7B61"/>
    <w:rsid w:val="00A0177D"/>
    <w:rsid w:val="00A02A3D"/>
    <w:rsid w:val="00A0414B"/>
    <w:rsid w:val="00A05668"/>
    <w:rsid w:val="00A05B07"/>
    <w:rsid w:val="00A06E51"/>
    <w:rsid w:val="00A07E78"/>
    <w:rsid w:val="00A10B0D"/>
    <w:rsid w:val="00A10F4D"/>
    <w:rsid w:val="00A11EDA"/>
    <w:rsid w:val="00A12975"/>
    <w:rsid w:val="00A12EE7"/>
    <w:rsid w:val="00A1417C"/>
    <w:rsid w:val="00A157C6"/>
    <w:rsid w:val="00A15B40"/>
    <w:rsid w:val="00A16226"/>
    <w:rsid w:val="00A16278"/>
    <w:rsid w:val="00A212E2"/>
    <w:rsid w:val="00A23040"/>
    <w:rsid w:val="00A24CE5"/>
    <w:rsid w:val="00A25050"/>
    <w:rsid w:val="00A2666F"/>
    <w:rsid w:val="00A30E74"/>
    <w:rsid w:val="00A329CD"/>
    <w:rsid w:val="00A3349D"/>
    <w:rsid w:val="00A36A8C"/>
    <w:rsid w:val="00A36B83"/>
    <w:rsid w:val="00A406C4"/>
    <w:rsid w:val="00A41FBB"/>
    <w:rsid w:val="00A42BE6"/>
    <w:rsid w:val="00A42D31"/>
    <w:rsid w:val="00A43192"/>
    <w:rsid w:val="00A44925"/>
    <w:rsid w:val="00A44B8E"/>
    <w:rsid w:val="00A4531B"/>
    <w:rsid w:val="00A46855"/>
    <w:rsid w:val="00A46AEB"/>
    <w:rsid w:val="00A539F0"/>
    <w:rsid w:val="00A549C3"/>
    <w:rsid w:val="00A557EC"/>
    <w:rsid w:val="00A56B23"/>
    <w:rsid w:val="00A5728E"/>
    <w:rsid w:val="00A603E5"/>
    <w:rsid w:val="00A61B21"/>
    <w:rsid w:val="00A62EF7"/>
    <w:rsid w:val="00A635A7"/>
    <w:rsid w:val="00A64439"/>
    <w:rsid w:val="00A65979"/>
    <w:rsid w:val="00A65A72"/>
    <w:rsid w:val="00A66772"/>
    <w:rsid w:val="00A67982"/>
    <w:rsid w:val="00A70F3F"/>
    <w:rsid w:val="00A74CEA"/>
    <w:rsid w:val="00A75F1A"/>
    <w:rsid w:val="00A76957"/>
    <w:rsid w:val="00A76C33"/>
    <w:rsid w:val="00A80D14"/>
    <w:rsid w:val="00A8338E"/>
    <w:rsid w:val="00A843AD"/>
    <w:rsid w:val="00A8455B"/>
    <w:rsid w:val="00A85D9B"/>
    <w:rsid w:val="00A90DEA"/>
    <w:rsid w:val="00A90E59"/>
    <w:rsid w:val="00A92F23"/>
    <w:rsid w:val="00A93FA2"/>
    <w:rsid w:val="00A95D7B"/>
    <w:rsid w:val="00A96829"/>
    <w:rsid w:val="00A96AD3"/>
    <w:rsid w:val="00A96E54"/>
    <w:rsid w:val="00A96E78"/>
    <w:rsid w:val="00A97A9A"/>
    <w:rsid w:val="00AA2132"/>
    <w:rsid w:val="00AA367A"/>
    <w:rsid w:val="00AA416E"/>
    <w:rsid w:val="00AA4468"/>
    <w:rsid w:val="00AA497C"/>
    <w:rsid w:val="00AA52DD"/>
    <w:rsid w:val="00AA5C2A"/>
    <w:rsid w:val="00AA5CAC"/>
    <w:rsid w:val="00AA64F2"/>
    <w:rsid w:val="00AA7049"/>
    <w:rsid w:val="00AA72A8"/>
    <w:rsid w:val="00AB05F6"/>
    <w:rsid w:val="00AB0C27"/>
    <w:rsid w:val="00AB2485"/>
    <w:rsid w:val="00AB2CA7"/>
    <w:rsid w:val="00AB7E5B"/>
    <w:rsid w:val="00AC019A"/>
    <w:rsid w:val="00AC1F7D"/>
    <w:rsid w:val="00AC1FDE"/>
    <w:rsid w:val="00AC30F6"/>
    <w:rsid w:val="00AC62CD"/>
    <w:rsid w:val="00AC6389"/>
    <w:rsid w:val="00AC6BAE"/>
    <w:rsid w:val="00AD0280"/>
    <w:rsid w:val="00AD0B0F"/>
    <w:rsid w:val="00AD216C"/>
    <w:rsid w:val="00AD2500"/>
    <w:rsid w:val="00AD277E"/>
    <w:rsid w:val="00AD37DF"/>
    <w:rsid w:val="00AD4DEF"/>
    <w:rsid w:val="00AD62D5"/>
    <w:rsid w:val="00AD6600"/>
    <w:rsid w:val="00AD6896"/>
    <w:rsid w:val="00AD7D37"/>
    <w:rsid w:val="00AE100A"/>
    <w:rsid w:val="00AE19D9"/>
    <w:rsid w:val="00AE23C9"/>
    <w:rsid w:val="00AE26DB"/>
    <w:rsid w:val="00AE3C24"/>
    <w:rsid w:val="00AE4FC2"/>
    <w:rsid w:val="00AE57E4"/>
    <w:rsid w:val="00AF018A"/>
    <w:rsid w:val="00AF112C"/>
    <w:rsid w:val="00AF126E"/>
    <w:rsid w:val="00AF231F"/>
    <w:rsid w:val="00AF36E4"/>
    <w:rsid w:val="00AF439A"/>
    <w:rsid w:val="00AF582F"/>
    <w:rsid w:val="00AF747E"/>
    <w:rsid w:val="00AF7845"/>
    <w:rsid w:val="00AF7909"/>
    <w:rsid w:val="00B02263"/>
    <w:rsid w:val="00B03BF1"/>
    <w:rsid w:val="00B063DE"/>
    <w:rsid w:val="00B11928"/>
    <w:rsid w:val="00B128D0"/>
    <w:rsid w:val="00B147C6"/>
    <w:rsid w:val="00B1530E"/>
    <w:rsid w:val="00B1772C"/>
    <w:rsid w:val="00B2027A"/>
    <w:rsid w:val="00B21B42"/>
    <w:rsid w:val="00B22426"/>
    <w:rsid w:val="00B2360E"/>
    <w:rsid w:val="00B26026"/>
    <w:rsid w:val="00B26099"/>
    <w:rsid w:val="00B26BDB"/>
    <w:rsid w:val="00B300CE"/>
    <w:rsid w:val="00B31271"/>
    <w:rsid w:val="00B318D1"/>
    <w:rsid w:val="00B32C60"/>
    <w:rsid w:val="00B3475F"/>
    <w:rsid w:val="00B35BFB"/>
    <w:rsid w:val="00B36A0F"/>
    <w:rsid w:val="00B379C4"/>
    <w:rsid w:val="00B37D15"/>
    <w:rsid w:val="00B44100"/>
    <w:rsid w:val="00B46665"/>
    <w:rsid w:val="00B47810"/>
    <w:rsid w:val="00B47918"/>
    <w:rsid w:val="00B545F3"/>
    <w:rsid w:val="00B55A7F"/>
    <w:rsid w:val="00B560C5"/>
    <w:rsid w:val="00B56D96"/>
    <w:rsid w:val="00B56F5A"/>
    <w:rsid w:val="00B5734B"/>
    <w:rsid w:val="00B600B9"/>
    <w:rsid w:val="00B61D6C"/>
    <w:rsid w:val="00B621D3"/>
    <w:rsid w:val="00B631ED"/>
    <w:rsid w:val="00B6412A"/>
    <w:rsid w:val="00B64D1D"/>
    <w:rsid w:val="00B678AB"/>
    <w:rsid w:val="00B713EF"/>
    <w:rsid w:val="00B73447"/>
    <w:rsid w:val="00B745B9"/>
    <w:rsid w:val="00B74E19"/>
    <w:rsid w:val="00B74EF2"/>
    <w:rsid w:val="00B8087A"/>
    <w:rsid w:val="00B81CFE"/>
    <w:rsid w:val="00B8222A"/>
    <w:rsid w:val="00B836F8"/>
    <w:rsid w:val="00B8409D"/>
    <w:rsid w:val="00B85A8A"/>
    <w:rsid w:val="00B864DB"/>
    <w:rsid w:val="00B87B90"/>
    <w:rsid w:val="00B907F9"/>
    <w:rsid w:val="00B90BA8"/>
    <w:rsid w:val="00B91FA9"/>
    <w:rsid w:val="00B933BB"/>
    <w:rsid w:val="00B938D1"/>
    <w:rsid w:val="00B93F5D"/>
    <w:rsid w:val="00B941E8"/>
    <w:rsid w:val="00B94520"/>
    <w:rsid w:val="00B95653"/>
    <w:rsid w:val="00B96C45"/>
    <w:rsid w:val="00BA0309"/>
    <w:rsid w:val="00BA08F1"/>
    <w:rsid w:val="00BA2ED6"/>
    <w:rsid w:val="00BA4381"/>
    <w:rsid w:val="00BA57D9"/>
    <w:rsid w:val="00BA700F"/>
    <w:rsid w:val="00BA772B"/>
    <w:rsid w:val="00BA7F98"/>
    <w:rsid w:val="00BB0610"/>
    <w:rsid w:val="00BB061D"/>
    <w:rsid w:val="00BB5509"/>
    <w:rsid w:val="00BB6244"/>
    <w:rsid w:val="00BB627B"/>
    <w:rsid w:val="00BB7067"/>
    <w:rsid w:val="00BB752E"/>
    <w:rsid w:val="00BB775B"/>
    <w:rsid w:val="00BC10A7"/>
    <w:rsid w:val="00BC1D6B"/>
    <w:rsid w:val="00BC1FAD"/>
    <w:rsid w:val="00BC4B34"/>
    <w:rsid w:val="00BC633B"/>
    <w:rsid w:val="00BC65BC"/>
    <w:rsid w:val="00BC6809"/>
    <w:rsid w:val="00BC7069"/>
    <w:rsid w:val="00BC7277"/>
    <w:rsid w:val="00BD3338"/>
    <w:rsid w:val="00BD3B66"/>
    <w:rsid w:val="00BE1CBF"/>
    <w:rsid w:val="00BE1D5A"/>
    <w:rsid w:val="00BE1F50"/>
    <w:rsid w:val="00BE2854"/>
    <w:rsid w:val="00BE2F00"/>
    <w:rsid w:val="00BE3D88"/>
    <w:rsid w:val="00BE4571"/>
    <w:rsid w:val="00BE4937"/>
    <w:rsid w:val="00BE4D2B"/>
    <w:rsid w:val="00BE559D"/>
    <w:rsid w:val="00BE5A38"/>
    <w:rsid w:val="00BE71ED"/>
    <w:rsid w:val="00BF01F9"/>
    <w:rsid w:val="00BF0FB7"/>
    <w:rsid w:val="00BF2137"/>
    <w:rsid w:val="00C00133"/>
    <w:rsid w:val="00C00E56"/>
    <w:rsid w:val="00C01248"/>
    <w:rsid w:val="00C0279A"/>
    <w:rsid w:val="00C0422A"/>
    <w:rsid w:val="00C042C5"/>
    <w:rsid w:val="00C04B78"/>
    <w:rsid w:val="00C067DC"/>
    <w:rsid w:val="00C06D13"/>
    <w:rsid w:val="00C072D7"/>
    <w:rsid w:val="00C1425F"/>
    <w:rsid w:val="00C14885"/>
    <w:rsid w:val="00C15168"/>
    <w:rsid w:val="00C20178"/>
    <w:rsid w:val="00C208B9"/>
    <w:rsid w:val="00C229D3"/>
    <w:rsid w:val="00C237E7"/>
    <w:rsid w:val="00C253E5"/>
    <w:rsid w:val="00C26009"/>
    <w:rsid w:val="00C27142"/>
    <w:rsid w:val="00C31E4C"/>
    <w:rsid w:val="00C32A41"/>
    <w:rsid w:val="00C3367B"/>
    <w:rsid w:val="00C3576E"/>
    <w:rsid w:val="00C36236"/>
    <w:rsid w:val="00C36F9D"/>
    <w:rsid w:val="00C3794D"/>
    <w:rsid w:val="00C40EEE"/>
    <w:rsid w:val="00C454C1"/>
    <w:rsid w:val="00C46E5B"/>
    <w:rsid w:val="00C47A0F"/>
    <w:rsid w:val="00C50047"/>
    <w:rsid w:val="00C52817"/>
    <w:rsid w:val="00C56A0A"/>
    <w:rsid w:val="00C5741D"/>
    <w:rsid w:val="00C574CF"/>
    <w:rsid w:val="00C57C6A"/>
    <w:rsid w:val="00C57FDF"/>
    <w:rsid w:val="00C605DA"/>
    <w:rsid w:val="00C61638"/>
    <w:rsid w:val="00C61F8C"/>
    <w:rsid w:val="00C6503E"/>
    <w:rsid w:val="00C66A78"/>
    <w:rsid w:val="00C67798"/>
    <w:rsid w:val="00C70358"/>
    <w:rsid w:val="00C7096D"/>
    <w:rsid w:val="00C74095"/>
    <w:rsid w:val="00C74CB3"/>
    <w:rsid w:val="00C74CE3"/>
    <w:rsid w:val="00C74FFB"/>
    <w:rsid w:val="00C804A3"/>
    <w:rsid w:val="00C8206C"/>
    <w:rsid w:val="00C82E7D"/>
    <w:rsid w:val="00C83657"/>
    <w:rsid w:val="00C83D9A"/>
    <w:rsid w:val="00C8400A"/>
    <w:rsid w:val="00C867FE"/>
    <w:rsid w:val="00C879B5"/>
    <w:rsid w:val="00C87C38"/>
    <w:rsid w:val="00C87D4A"/>
    <w:rsid w:val="00C92E83"/>
    <w:rsid w:val="00C935EB"/>
    <w:rsid w:val="00C93F2C"/>
    <w:rsid w:val="00C94E67"/>
    <w:rsid w:val="00C95B6D"/>
    <w:rsid w:val="00C96E2C"/>
    <w:rsid w:val="00CA1240"/>
    <w:rsid w:val="00CA278D"/>
    <w:rsid w:val="00CA39C8"/>
    <w:rsid w:val="00CA46DC"/>
    <w:rsid w:val="00CA4FD9"/>
    <w:rsid w:val="00CA5291"/>
    <w:rsid w:val="00CA572D"/>
    <w:rsid w:val="00CA5EBD"/>
    <w:rsid w:val="00CA7379"/>
    <w:rsid w:val="00CA7EAE"/>
    <w:rsid w:val="00CB237D"/>
    <w:rsid w:val="00CB2BD8"/>
    <w:rsid w:val="00CB4A19"/>
    <w:rsid w:val="00CB5393"/>
    <w:rsid w:val="00CB5BC6"/>
    <w:rsid w:val="00CB6896"/>
    <w:rsid w:val="00CC1884"/>
    <w:rsid w:val="00CC2A31"/>
    <w:rsid w:val="00CC3467"/>
    <w:rsid w:val="00CC67F3"/>
    <w:rsid w:val="00CD07DD"/>
    <w:rsid w:val="00CD1BE5"/>
    <w:rsid w:val="00CD1D43"/>
    <w:rsid w:val="00CD2255"/>
    <w:rsid w:val="00CD3234"/>
    <w:rsid w:val="00CD3CB6"/>
    <w:rsid w:val="00CD54BC"/>
    <w:rsid w:val="00CD5BE6"/>
    <w:rsid w:val="00CD7BA6"/>
    <w:rsid w:val="00CD7C18"/>
    <w:rsid w:val="00CD7E0D"/>
    <w:rsid w:val="00CE0762"/>
    <w:rsid w:val="00CE0FEE"/>
    <w:rsid w:val="00CE172E"/>
    <w:rsid w:val="00CE1FF0"/>
    <w:rsid w:val="00CE3C07"/>
    <w:rsid w:val="00CE4D6C"/>
    <w:rsid w:val="00CE53DC"/>
    <w:rsid w:val="00CE5530"/>
    <w:rsid w:val="00CE7EF4"/>
    <w:rsid w:val="00CF0099"/>
    <w:rsid w:val="00CF056F"/>
    <w:rsid w:val="00CF0F91"/>
    <w:rsid w:val="00CF1215"/>
    <w:rsid w:val="00CF28B4"/>
    <w:rsid w:val="00CF73C3"/>
    <w:rsid w:val="00CF7F25"/>
    <w:rsid w:val="00D0149F"/>
    <w:rsid w:val="00D01974"/>
    <w:rsid w:val="00D037E3"/>
    <w:rsid w:val="00D03BB9"/>
    <w:rsid w:val="00D04518"/>
    <w:rsid w:val="00D07871"/>
    <w:rsid w:val="00D07B3A"/>
    <w:rsid w:val="00D10949"/>
    <w:rsid w:val="00D127CB"/>
    <w:rsid w:val="00D14062"/>
    <w:rsid w:val="00D14EC8"/>
    <w:rsid w:val="00D16C78"/>
    <w:rsid w:val="00D16E5E"/>
    <w:rsid w:val="00D17ACA"/>
    <w:rsid w:val="00D207EE"/>
    <w:rsid w:val="00D20BD5"/>
    <w:rsid w:val="00D215F0"/>
    <w:rsid w:val="00D218AE"/>
    <w:rsid w:val="00D22AFC"/>
    <w:rsid w:val="00D230C6"/>
    <w:rsid w:val="00D26DC5"/>
    <w:rsid w:val="00D304F9"/>
    <w:rsid w:val="00D325CD"/>
    <w:rsid w:val="00D332A0"/>
    <w:rsid w:val="00D36B5A"/>
    <w:rsid w:val="00D4080A"/>
    <w:rsid w:val="00D41846"/>
    <w:rsid w:val="00D41FC6"/>
    <w:rsid w:val="00D42189"/>
    <w:rsid w:val="00D43C48"/>
    <w:rsid w:val="00D44529"/>
    <w:rsid w:val="00D460E9"/>
    <w:rsid w:val="00D479DA"/>
    <w:rsid w:val="00D50D19"/>
    <w:rsid w:val="00D51AED"/>
    <w:rsid w:val="00D51C65"/>
    <w:rsid w:val="00D52451"/>
    <w:rsid w:val="00D524CE"/>
    <w:rsid w:val="00D52D7C"/>
    <w:rsid w:val="00D52F48"/>
    <w:rsid w:val="00D537C4"/>
    <w:rsid w:val="00D54BEA"/>
    <w:rsid w:val="00D57412"/>
    <w:rsid w:val="00D57ECF"/>
    <w:rsid w:val="00D60789"/>
    <w:rsid w:val="00D616E7"/>
    <w:rsid w:val="00D641BE"/>
    <w:rsid w:val="00D70623"/>
    <w:rsid w:val="00D70930"/>
    <w:rsid w:val="00D712A7"/>
    <w:rsid w:val="00D71A61"/>
    <w:rsid w:val="00D729BF"/>
    <w:rsid w:val="00D80EA7"/>
    <w:rsid w:val="00D80EC8"/>
    <w:rsid w:val="00D81B08"/>
    <w:rsid w:val="00D82536"/>
    <w:rsid w:val="00D833C6"/>
    <w:rsid w:val="00D8594B"/>
    <w:rsid w:val="00D8609F"/>
    <w:rsid w:val="00D90215"/>
    <w:rsid w:val="00D90DE1"/>
    <w:rsid w:val="00D91E06"/>
    <w:rsid w:val="00DA3AB3"/>
    <w:rsid w:val="00DA3ECA"/>
    <w:rsid w:val="00DB20E1"/>
    <w:rsid w:val="00DB3733"/>
    <w:rsid w:val="00DB7005"/>
    <w:rsid w:val="00DC0992"/>
    <w:rsid w:val="00DC16CF"/>
    <w:rsid w:val="00DC1A09"/>
    <w:rsid w:val="00DC3504"/>
    <w:rsid w:val="00DC3BD1"/>
    <w:rsid w:val="00DC49B2"/>
    <w:rsid w:val="00DC4FA1"/>
    <w:rsid w:val="00DC6437"/>
    <w:rsid w:val="00DC764D"/>
    <w:rsid w:val="00DC7CC9"/>
    <w:rsid w:val="00DD09CB"/>
    <w:rsid w:val="00DD2C73"/>
    <w:rsid w:val="00DD374B"/>
    <w:rsid w:val="00DD3B01"/>
    <w:rsid w:val="00DD4D0E"/>
    <w:rsid w:val="00DD5397"/>
    <w:rsid w:val="00DD5EA2"/>
    <w:rsid w:val="00DD78EF"/>
    <w:rsid w:val="00DE2A40"/>
    <w:rsid w:val="00DE300E"/>
    <w:rsid w:val="00DE4301"/>
    <w:rsid w:val="00DF050C"/>
    <w:rsid w:val="00DF292F"/>
    <w:rsid w:val="00DF2A89"/>
    <w:rsid w:val="00DF5DC3"/>
    <w:rsid w:val="00E033AD"/>
    <w:rsid w:val="00E04388"/>
    <w:rsid w:val="00E050FC"/>
    <w:rsid w:val="00E0587A"/>
    <w:rsid w:val="00E05CFC"/>
    <w:rsid w:val="00E0655D"/>
    <w:rsid w:val="00E10990"/>
    <w:rsid w:val="00E13800"/>
    <w:rsid w:val="00E13D8A"/>
    <w:rsid w:val="00E13DF5"/>
    <w:rsid w:val="00E14785"/>
    <w:rsid w:val="00E14DD6"/>
    <w:rsid w:val="00E15625"/>
    <w:rsid w:val="00E203A1"/>
    <w:rsid w:val="00E207CE"/>
    <w:rsid w:val="00E212F1"/>
    <w:rsid w:val="00E238B1"/>
    <w:rsid w:val="00E23A2C"/>
    <w:rsid w:val="00E24070"/>
    <w:rsid w:val="00E24462"/>
    <w:rsid w:val="00E247DB"/>
    <w:rsid w:val="00E24DF9"/>
    <w:rsid w:val="00E2577C"/>
    <w:rsid w:val="00E26A96"/>
    <w:rsid w:val="00E2735E"/>
    <w:rsid w:val="00E301B9"/>
    <w:rsid w:val="00E30522"/>
    <w:rsid w:val="00E30B1D"/>
    <w:rsid w:val="00E31371"/>
    <w:rsid w:val="00E336BA"/>
    <w:rsid w:val="00E341FE"/>
    <w:rsid w:val="00E34EBC"/>
    <w:rsid w:val="00E3528A"/>
    <w:rsid w:val="00E37F08"/>
    <w:rsid w:val="00E40822"/>
    <w:rsid w:val="00E40C1C"/>
    <w:rsid w:val="00E43507"/>
    <w:rsid w:val="00E43F6E"/>
    <w:rsid w:val="00E4429B"/>
    <w:rsid w:val="00E44647"/>
    <w:rsid w:val="00E452A6"/>
    <w:rsid w:val="00E4533E"/>
    <w:rsid w:val="00E458D3"/>
    <w:rsid w:val="00E4709B"/>
    <w:rsid w:val="00E47D6E"/>
    <w:rsid w:val="00E47DD0"/>
    <w:rsid w:val="00E531C3"/>
    <w:rsid w:val="00E564D3"/>
    <w:rsid w:val="00E60A57"/>
    <w:rsid w:val="00E610E7"/>
    <w:rsid w:val="00E614A6"/>
    <w:rsid w:val="00E620A9"/>
    <w:rsid w:val="00E64E22"/>
    <w:rsid w:val="00E65373"/>
    <w:rsid w:val="00E65A0E"/>
    <w:rsid w:val="00E65BA2"/>
    <w:rsid w:val="00E702FB"/>
    <w:rsid w:val="00E70850"/>
    <w:rsid w:val="00E70EE1"/>
    <w:rsid w:val="00E73570"/>
    <w:rsid w:val="00E738BD"/>
    <w:rsid w:val="00E74131"/>
    <w:rsid w:val="00E75BA7"/>
    <w:rsid w:val="00E816A5"/>
    <w:rsid w:val="00E81FC3"/>
    <w:rsid w:val="00E82867"/>
    <w:rsid w:val="00E82E28"/>
    <w:rsid w:val="00E84445"/>
    <w:rsid w:val="00E84E9F"/>
    <w:rsid w:val="00E8729F"/>
    <w:rsid w:val="00E872C7"/>
    <w:rsid w:val="00E87574"/>
    <w:rsid w:val="00E87A13"/>
    <w:rsid w:val="00E87F2A"/>
    <w:rsid w:val="00E93DF4"/>
    <w:rsid w:val="00E9517C"/>
    <w:rsid w:val="00E95B8C"/>
    <w:rsid w:val="00E97396"/>
    <w:rsid w:val="00E974F2"/>
    <w:rsid w:val="00E97993"/>
    <w:rsid w:val="00EA013F"/>
    <w:rsid w:val="00EA0F6F"/>
    <w:rsid w:val="00EA43F5"/>
    <w:rsid w:val="00EA4FED"/>
    <w:rsid w:val="00EA5168"/>
    <w:rsid w:val="00EA5744"/>
    <w:rsid w:val="00EA5B22"/>
    <w:rsid w:val="00EA6457"/>
    <w:rsid w:val="00EA64A4"/>
    <w:rsid w:val="00EA7003"/>
    <w:rsid w:val="00EA702A"/>
    <w:rsid w:val="00EA7CA7"/>
    <w:rsid w:val="00EB4272"/>
    <w:rsid w:val="00EB74BB"/>
    <w:rsid w:val="00EC0972"/>
    <w:rsid w:val="00EC10CA"/>
    <w:rsid w:val="00EC1184"/>
    <w:rsid w:val="00EC1564"/>
    <w:rsid w:val="00EC35D6"/>
    <w:rsid w:val="00EC3A15"/>
    <w:rsid w:val="00EC43CF"/>
    <w:rsid w:val="00EC46BE"/>
    <w:rsid w:val="00EC4E70"/>
    <w:rsid w:val="00EC697A"/>
    <w:rsid w:val="00EC6CC2"/>
    <w:rsid w:val="00EC7752"/>
    <w:rsid w:val="00EC7B57"/>
    <w:rsid w:val="00ED070C"/>
    <w:rsid w:val="00ED139B"/>
    <w:rsid w:val="00ED231E"/>
    <w:rsid w:val="00ED2C6F"/>
    <w:rsid w:val="00ED3108"/>
    <w:rsid w:val="00ED3F2F"/>
    <w:rsid w:val="00ED4F9E"/>
    <w:rsid w:val="00ED67D6"/>
    <w:rsid w:val="00ED682D"/>
    <w:rsid w:val="00EE0963"/>
    <w:rsid w:val="00EE14FA"/>
    <w:rsid w:val="00EE2F01"/>
    <w:rsid w:val="00EE4142"/>
    <w:rsid w:val="00EE4ED5"/>
    <w:rsid w:val="00EE4F9A"/>
    <w:rsid w:val="00EE5314"/>
    <w:rsid w:val="00EE5B57"/>
    <w:rsid w:val="00EE66A8"/>
    <w:rsid w:val="00EE6EB8"/>
    <w:rsid w:val="00EF0957"/>
    <w:rsid w:val="00EF1B23"/>
    <w:rsid w:val="00EF2B2C"/>
    <w:rsid w:val="00EF47D5"/>
    <w:rsid w:val="00EF6BE6"/>
    <w:rsid w:val="00F02B7A"/>
    <w:rsid w:val="00F03226"/>
    <w:rsid w:val="00F03E72"/>
    <w:rsid w:val="00F0550C"/>
    <w:rsid w:val="00F055CF"/>
    <w:rsid w:val="00F074D1"/>
    <w:rsid w:val="00F078D1"/>
    <w:rsid w:val="00F11B42"/>
    <w:rsid w:val="00F13813"/>
    <w:rsid w:val="00F16B31"/>
    <w:rsid w:val="00F16E17"/>
    <w:rsid w:val="00F16F60"/>
    <w:rsid w:val="00F21C63"/>
    <w:rsid w:val="00F22D22"/>
    <w:rsid w:val="00F24403"/>
    <w:rsid w:val="00F25691"/>
    <w:rsid w:val="00F26174"/>
    <w:rsid w:val="00F26C62"/>
    <w:rsid w:val="00F26CC6"/>
    <w:rsid w:val="00F27871"/>
    <w:rsid w:val="00F30468"/>
    <w:rsid w:val="00F3095A"/>
    <w:rsid w:val="00F332DD"/>
    <w:rsid w:val="00F33544"/>
    <w:rsid w:val="00F33BF9"/>
    <w:rsid w:val="00F34577"/>
    <w:rsid w:val="00F3565A"/>
    <w:rsid w:val="00F3688A"/>
    <w:rsid w:val="00F36B95"/>
    <w:rsid w:val="00F37296"/>
    <w:rsid w:val="00F3779A"/>
    <w:rsid w:val="00F37E77"/>
    <w:rsid w:val="00F40B1F"/>
    <w:rsid w:val="00F416A6"/>
    <w:rsid w:val="00F421BD"/>
    <w:rsid w:val="00F438FB"/>
    <w:rsid w:val="00F43D77"/>
    <w:rsid w:val="00F4415B"/>
    <w:rsid w:val="00F44385"/>
    <w:rsid w:val="00F4450C"/>
    <w:rsid w:val="00F45028"/>
    <w:rsid w:val="00F45286"/>
    <w:rsid w:val="00F45A75"/>
    <w:rsid w:val="00F46232"/>
    <w:rsid w:val="00F47F78"/>
    <w:rsid w:val="00F50306"/>
    <w:rsid w:val="00F510A9"/>
    <w:rsid w:val="00F51F07"/>
    <w:rsid w:val="00F5283E"/>
    <w:rsid w:val="00F55D3C"/>
    <w:rsid w:val="00F567EE"/>
    <w:rsid w:val="00F56C9F"/>
    <w:rsid w:val="00F577D6"/>
    <w:rsid w:val="00F62DD0"/>
    <w:rsid w:val="00F642C7"/>
    <w:rsid w:val="00F64C31"/>
    <w:rsid w:val="00F64E6E"/>
    <w:rsid w:val="00F64F99"/>
    <w:rsid w:val="00F65CE0"/>
    <w:rsid w:val="00F663A1"/>
    <w:rsid w:val="00F663A4"/>
    <w:rsid w:val="00F674E4"/>
    <w:rsid w:val="00F675CC"/>
    <w:rsid w:val="00F679E4"/>
    <w:rsid w:val="00F703CB"/>
    <w:rsid w:val="00F704EB"/>
    <w:rsid w:val="00F73F08"/>
    <w:rsid w:val="00F748F0"/>
    <w:rsid w:val="00F749C9"/>
    <w:rsid w:val="00F75E1C"/>
    <w:rsid w:val="00F7690F"/>
    <w:rsid w:val="00F80557"/>
    <w:rsid w:val="00F80B87"/>
    <w:rsid w:val="00F83981"/>
    <w:rsid w:val="00F83A9B"/>
    <w:rsid w:val="00F84E9C"/>
    <w:rsid w:val="00F85176"/>
    <w:rsid w:val="00F85BD4"/>
    <w:rsid w:val="00F86649"/>
    <w:rsid w:val="00F909EE"/>
    <w:rsid w:val="00F90EEC"/>
    <w:rsid w:val="00F911A3"/>
    <w:rsid w:val="00F91826"/>
    <w:rsid w:val="00F9378B"/>
    <w:rsid w:val="00F93973"/>
    <w:rsid w:val="00F979AC"/>
    <w:rsid w:val="00FA05CA"/>
    <w:rsid w:val="00FA1E8C"/>
    <w:rsid w:val="00FA23BA"/>
    <w:rsid w:val="00FA42A2"/>
    <w:rsid w:val="00FA5247"/>
    <w:rsid w:val="00FA5E75"/>
    <w:rsid w:val="00FA68D3"/>
    <w:rsid w:val="00FA69CA"/>
    <w:rsid w:val="00FA6D24"/>
    <w:rsid w:val="00FA7D4A"/>
    <w:rsid w:val="00FA7FAA"/>
    <w:rsid w:val="00FB03E1"/>
    <w:rsid w:val="00FB1C91"/>
    <w:rsid w:val="00FB2CD1"/>
    <w:rsid w:val="00FB6EA8"/>
    <w:rsid w:val="00FC0DF2"/>
    <w:rsid w:val="00FC1402"/>
    <w:rsid w:val="00FC1C93"/>
    <w:rsid w:val="00FC3E6E"/>
    <w:rsid w:val="00FC435E"/>
    <w:rsid w:val="00FC47DF"/>
    <w:rsid w:val="00FC60AE"/>
    <w:rsid w:val="00FC6CB0"/>
    <w:rsid w:val="00FD2B3D"/>
    <w:rsid w:val="00FD3647"/>
    <w:rsid w:val="00FD36FE"/>
    <w:rsid w:val="00FD3BB3"/>
    <w:rsid w:val="00FD6ABC"/>
    <w:rsid w:val="00FE0090"/>
    <w:rsid w:val="00FE2BCE"/>
    <w:rsid w:val="00FE3003"/>
    <w:rsid w:val="00FE3560"/>
    <w:rsid w:val="00FE38B6"/>
    <w:rsid w:val="00FE4457"/>
    <w:rsid w:val="00FE746F"/>
    <w:rsid w:val="00FE7616"/>
    <w:rsid w:val="00FE7C85"/>
    <w:rsid w:val="00FF03CE"/>
    <w:rsid w:val="00FF0AE0"/>
    <w:rsid w:val="00FF10D5"/>
    <w:rsid w:val="00FF3296"/>
    <w:rsid w:val="00FF3771"/>
    <w:rsid w:val="00FF4B96"/>
    <w:rsid w:val="00FF5363"/>
    <w:rsid w:val="00FF6815"/>
    <w:rsid w:val="00FF6DAF"/>
    <w:rsid w:val="00FF77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04BB"/>
  <w15:chartTrackingRefBased/>
  <w15:docId w15:val="{94485938-179C-4203-9635-7C032422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b/>
      <w:bCs/>
      <w:i/>
      <w:iCs/>
    </w:rPr>
  </w:style>
  <w:style w:type="paragraph" w:styleId="Heading3">
    <w:name w:val="heading 3"/>
    <w:basedOn w:val="Normal"/>
    <w:next w:val="Normal"/>
    <w:link w:val="Heading3Char"/>
    <w:rsid w:val="004569FB"/>
    <w:pPr>
      <w:keepNext/>
      <w:keepLines/>
      <w:spacing w:before="120" w:after="120"/>
      <w:jc w:val="center"/>
      <w:outlineLvl w:val="2"/>
    </w:pPr>
    <w:rPr>
      <w:rFonts w:eastAsia="Times New Roman" w:cs="Times New Roman"/>
      <w:i/>
      <w:sz w:val="24"/>
      <w:lang w:val="en-CA" w:eastAsia="ja-JP"/>
    </w:rPr>
  </w:style>
  <w:style w:type="paragraph" w:styleId="Heading4">
    <w:name w:val="heading 4"/>
    <w:basedOn w:val="Normal"/>
    <w:next w:val="Normal"/>
    <w:link w:val="Heading4Char"/>
    <w:rsid w:val="004569FB"/>
    <w:pPr>
      <w:keepNext/>
      <w:keepLines/>
      <w:spacing w:before="120" w:after="120"/>
      <w:jc w:val="left"/>
      <w:outlineLvl w:val="3"/>
    </w:pPr>
    <w:rPr>
      <w:rFonts w:eastAsia="Times New Roman" w:cs="Times New Roman"/>
      <w:b/>
      <w:i/>
      <w:sz w:val="24"/>
      <w:lang w:val="en-CA" w:eastAsia="ja-JP"/>
    </w:rPr>
  </w:style>
  <w:style w:type="paragraph" w:styleId="Heading5">
    <w:name w:val="heading 5"/>
    <w:basedOn w:val="Normal"/>
    <w:next w:val="Normal"/>
    <w:link w:val="Heading5Char"/>
    <w:rsid w:val="004569FB"/>
    <w:pPr>
      <w:keepNext/>
      <w:keepLines/>
      <w:spacing w:before="120" w:after="120"/>
      <w:jc w:val="left"/>
      <w:outlineLvl w:val="4"/>
    </w:pPr>
    <w:rPr>
      <w:rFonts w:eastAsia="Times New Roman" w:cs="Times New Roman"/>
      <w:i/>
      <w:sz w:val="24"/>
      <w:lang w:val="en-CA" w:eastAsia="ja-JP"/>
    </w:rPr>
  </w:style>
  <w:style w:type="paragraph" w:styleId="Heading6">
    <w:name w:val="heading 6"/>
    <w:basedOn w:val="Normal"/>
    <w:next w:val="Normal"/>
    <w:link w:val="Heading6Char"/>
    <w:rsid w:val="004569FB"/>
    <w:pPr>
      <w:keepNext/>
      <w:keepLines/>
      <w:spacing w:after="240"/>
      <w:ind w:left="720"/>
      <w:jc w:val="left"/>
      <w:outlineLvl w:val="5"/>
    </w:pPr>
    <w:rPr>
      <w:rFonts w:eastAsia="Times New Roman" w:cs="Times New Roman"/>
      <w:sz w:val="24"/>
      <w:u w:val="single"/>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en-GB"/>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en-GB"/>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rPr>
  </w:style>
  <w:style w:type="character" w:customStyle="1" w:styleId="HeaderChar">
    <w:name w:val="Header Char"/>
    <w:link w:val="Header"/>
    <w:uiPriority w:val="99"/>
    <w:rsid w:val="00671687"/>
    <w:rPr>
      <w:rFonts w:ascii="Times New Roman" w:eastAsia="Times New Roman" w:hAnsi="Times New Roman" w:cs="Angsana New"/>
      <w:szCs w:val="24"/>
      <w:lang w:val="en-GB"/>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ahoma"/>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en-GB"/>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en-GB"/>
    </w:rPr>
  </w:style>
  <w:style w:type="paragraph" w:customStyle="1" w:styleId="Para1">
    <w:name w:val="Para1"/>
    <w:basedOn w:val="Normal"/>
    <w:link w:val="Para1Char1"/>
    <w:rsid w:val="000F468D"/>
    <w:pPr>
      <w:spacing w:after="120"/>
    </w:pPr>
    <w:rPr>
      <w:snapToGrid w:val="0"/>
      <w:szCs w:val="18"/>
    </w:rPr>
  </w:style>
  <w:style w:type="paragraph" w:styleId="Footer">
    <w:name w:val="footer"/>
    <w:basedOn w:val="Normal"/>
    <w:link w:val="FooterChar"/>
    <w:uiPriority w:val="99"/>
    <w:unhideWhenUsed/>
    <w:rsid w:val="00FC435E"/>
    <w:pPr>
      <w:tabs>
        <w:tab w:val="center" w:pos="4680"/>
        <w:tab w:val="right" w:pos="9360"/>
      </w:tabs>
    </w:pPr>
  </w:style>
  <w:style w:type="character" w:customStyle="1" w:styleId="FooterChar">
    <w:name w:val="Footer Char"/>
    <w:link w:val="Footer"/>
    <w:uiPriority w:val="99"/>
    <w:rsid w:val="00FC435E"/>
    <w:rPr>
      <w:rFonts w:ascii="Times New Roman" w:eastAsia="MS Mincho" w:hAnsi="Times New Roman" w:cs="Angsana New"/>
      <w:sz w:val="22"/>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nhideWhenUsed/>
    <w:qFormat/>
    <w:rsid w:val="006A4DCE"/>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6A4DCE"/>
    <w:rPr>
      <w:rFonts w:ascii="Times New Roman" w:eastAsia="MS Mincho" w:hAnsi="Times New Roman" w:cs="Angsana New"/>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6A4DCE"/>
    <w:rPr>
      <w:vertAlign w:val="superscript"/>
    </w:rPr>
  </w:style>
  <w:style w:type="character" w:styleId="CommentReference">
    <w:name w:val="annotation reference"/>
    <w:uiPriority w:val="99"/>
    <w:semiHidden/>
    <w:unhideWhenUsed/>
    <w:rsid w:val="004E2293"/>
    <w:rPr>
      <w:sz w:val="16"/>
      <w:szCs w:val="16"/>
    </w:rPr>
  </w:style>
  <w:style w:type="paragraph" w:styleId="CommentText">
    <w:name w:val="annotation text"/>
    <w:basedOn w:val="Normal"/>
    <w:link w:val="CommentTextChar"/>
    <w:uiPriority w:val="99"/>
    <w:unhideWhenUsed/>
    <w:rsid w:val="004E2293"/>
    <w:rPr>
      <w:sz w:val="20"/>
      <w:szCs w:val="20"/>
    </w:rPr>
  </w:style>
  <w:style w:type="character" w:customStyle="1" w:styleId="CommentTextChar">
    <w:name w:val="Comment Text Char"/>
    <w:link w:val="CommentText"/>
    <w:uiPriority w:val="99"/>
    <w:rsid w:val="004E2293"/>
    <w:rPr>
      <w:rFonts w:ascii="Times New Roman" w:eastAsia="MS Mincho" w:hAnsi="Times New Roman" w:cs="Angsana New"/>
      <w:lang w:val="en-GB"/>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en-GB"/>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character" w:customStyle="1" w:styleId="Heading3Char">
    <w:name w:val="Heading 3 Char"/>
    <w:basedOn w:val="DefaultParagraphFont"/>
    <w:link w:val="Heading3"/>
    <w:rsid w:val="004569FB"/>
    <w:rPr>
      <w:rFonts w:ascii="Times New Roman" w:eastAsia="Times New Roman" w:hAnsi="Times New Roman"/>
      <w:i/>
      <w:sz w:val="24"/>
      <w:szCs w:val="24"/>
      <w:lang w:val="en-CA" w:eastAsia="ja-JP"/>
    </w:rPr>
  </w:style>
  <w:style w:type="character" w:customStyle="1" w:styleId="Heading4Char">
    <w:name w:val="Heading 4 Char"/>
    <w:basedOn w:val="DefaultParagraphFont"/>
    <w:link w:val="Heading4"/>
    <w:rsid w:val="004569FB"/>
    <w:rPr>
      <w:rFonts w:ascii="Times New Roman" w:eastAsia="Times New Roman" w:hAnsi="Times New Roman"/>
      <w:b/>
      <w:i/>
      <w:sz w:val="24"/>
      <w:szCs w:val="24"/>
      <w:lang w:val="en-CA" w:eastAsia="ja-JP"/>
    </w:rPr>
  </w:style>
  <w:style w:type="character" w:customStyle="1" w:styleId="Heading5Char">
    <w:name w:val="Heading 5 Char"/>
    <w:basedOn w:val="DefaultParagraphFont"/>
    <w:link w:val="Heading5"/>
    <w:rsid w:val="004569FB"/>
    <w:rPr>
      <w:rFonts w:ascii="Times New Roman" w:eastAsia="Times New Roman" w:hAnsi="Times New Roman"/>
      <w:i/>
      <w:sz w:val="24"/>
      <w:szCs w:val="24"/>
      <w:lang w:val="en-CA" w:eastAsia="ja-JP"/>
    </w:rPr>
  </w:style>
  <w:style w:type="character" w:customStyle="1" w:styleId="Heading6Char">
    <w:name w:val="Heading 6 Char"/>
    <w:basedOn w:val="DefaultParagraphFont"/>
    <w:link w:val="Heading6"/>
    <w:rsid w:val="004569FB"/>
    <w:rPr>
      <w:rFonts w:ascii="Times New Roman" w:eastAsia="Times New Roman" w:hAnsi="Times New Roman"/>
      <w:sz w:val="24"/>
      <w:szCs w:val="24"/>
      <w:u w:val="single"/>
      <w:lang w:val="en-CA" w:eastAsia="ja-JP"/>
    </w:rPr>
  </w:style>
  <w:style w:type="paragraph" w:styleId="Title">
    <w:name w:val="Title"/>
    <w:basedOn w:val="Normal"/>
    <w:next w:val="Normal"/>
    <w:link w:val="TitleChar"/>
    <w:rsid w:val="004569FB"/>
    <w:pPr>
      <w:keepNext/>
      <w:keepLines/>
      <w:spacing w:before="480" w:after="120"/>
      <w:contextualSpacing/>
      <w:jc w:val="left"/>
    </w:pPr>
    <w:rPr>
      <w:rFonts w:eastAsia="Times New Roman" w:cs="Times New Roman"/>
      <w:b/>
      <w:sz w:val="72"/>
      <w:szCs w:val="72"/>
      <w:lang w:val="en-CA" w:eastAsia="ja-JP"/>
    </w:rPr>
  </w:style>
  <w:style w:type="character" w:customStyle="1" w:styleId="TitleChar">
    <w:name w:val="Title Char"/>
    <w:basedOn w:val="DefaultParagraphFont"/>
    <w:link w:val="Title"/>
    <w:rsid w:val="004569FB"/>
    <w:rPr>
      <w:rFonts w:ascii="Times New Roman" w:eastAsia="Times New Roman" w:hAnsi="Times New Roman"/>
      <w:b/>
      <w:sz w:val="72"/>
      <w:szCs w:val="72"/>
      <w:lang w:val="en-CA" w:eastAsia="ja-JP"/>
    </w:rPr>
  </w:style>
  <w:style w:type="paragraph" w:styleId="Subtitle">
    <w:name w:val="Subtitle"/>
    <w:basedOn w:val="Normal"/>
    <w:next w:val="Normal"/>
    <w:link w:val="SubtitleChar"/>
    <w:rsid w:val="004569FB"/>
    <w:pPr>
      <w:keepNext/>
      <w:keepLines/>
      <w:spacing w:before="360" w:after="80"/>
      <w:contextualSpacing/>
      <w:jc w:val="left"/>
    </w:pPr>
    <w:rPr>
      <w:rFonts w:ascii="Georgia" w:eastAsia="Georgia" w:hAnsi="Georgia" w:cs="Georgia"/>
      <w:i/>
      <w:color w:val="666666"/>
      <w:sz w:val="48"/>
      <w:szCs w:val="48"/>
      <w:lang w:val="en-CA" w:eastAsia="ja-JP"/>
    </w:rPr>
  </w:style>
  <w:style w:type="character" w:customStyle="1" w:styleId="SubtitleChar">
    <w:name w:val="Subtitle Char"/>
    <w:basedOn w:val="DefaultParagraphFont"/>
    <w:link w:val="Subtitle"/>
    <w:rsid w:val="004569FB"/>
    <w:rPr>
      <w:rFonts w:ascii="Georgia" w:eastAsia="Georgia" w:hAnsi="Georgia" w:cs="Georgia"/>
      <w:i/>
      <w:color w:val="666666"/>
      <w:sz w:val="48"/>
      <w:szCs w:val="48"/>
      <w:lang w:val="en-CA" w:eastAsia="ja-JP"/>
    </w:rPr>
  </w:style>
  <w:style w:type="character" w:styleId="Hyperlink">
    <w:name w:val="Hyperlink"/>
    <w:uiPriority w:val="99"/>
    <w:unhideWhenUsed/>
    <w:rsid w:val="004569FB"/>
    <w:rPr>
      <w:color w:val="0000FF"/>
      <w:u w:val="single"/>
    </w:rPr>
  </w:style>
  <w:style w:type="character" w:styleId="FollowedHyperlink">
    <w:name w:val="FollowedHyperlink"/>
    <w:uiPriority w:val="99"/>
    <w:semiHidden/>
    <w:unhideWhenUsed/>
    <w:rsid w:val="004569FB"/>
    <w:rPr>
      <w:color w:val="800080"/>
      <w:u w:val="single"/>
    </w:rPr>
  </w:style>
  <w:style w:type="paragraph" w:styleId="Revision">
    <w:name w:val="Revision"/>
    <w:hidden/>
    <w:uiPriority w:val="99"/>
    <w:semiHidden/>
    <w:rsid w:val="004569FB"/>
    <w:rPr>
      <w:rFonts w:ascii="Times New Roman" w:eastAsia="Times New Roman" w:hAnsi="Times New Roman"/>
      <w:color w:val="000000"/>
      <w:sz w:val="22"/>
      <w:szCs w:val="22"/>
      <w:lang w:val="en-US" w:eastAsia="en-US"/>
    </w:rPr>
  </w:style>
  <w:style w:type="character" w:customStyle="1" w:styleId="Para1Char1">
    <w:name w:val="Para1 Char1"/>
    <w:link w:val="Para1"/>
    <w:rsid w:val="004569FB"/>
    <w:rPr>
      <w:rFonts w:ascii="Times New Roman" w:eastAsia="MS Mincho" w:hAnsi="Times New Roman" w:cs="Angsana New"/>
      <w:snapToGrid w:val="0"/>
      <w:sz w:val="22"/>
      <w:szCs w:val="18"/>
      <w:lang w:eastAsia="en-US"/>
    </w:rPr>
  </w:style>
  <w:style w:type="paragraph" w:styleId="Caption">
    <w:name w:val="caption"/>
    <w:basedOn w:val="Normal"/>
    <w:next w:val="Normal"/>
    <w:uiPriority w:val="35"/>
    <w:unhideWhenUsed/>
    <w:qFormat/>
    <w:rsid w:val="004569FB"/>
    <w:pPr>
      <w:spacing w:after="200"/>
      <w:jc w:val="left"/>
    </w:pPr>
    <w:rPr>
      <w:rFonts w:eastAsia="Times New Roman" w:cs="Times New Roman"/>
      <w:b/>
      <w:bCs/>
      <w:color w:val="4F81BD"/>
      <w:sz w:val="18"/>
      <w:szCs w:val="18"/>
      <w:lang w:val="en-CA" w:eastAsia="ja-JP"/>
    </w:rPr>
  </w:style>
  <w:style w:type="paragraph" w:customStyle="1" w:styleId="Para3">
    <w:name w:val="Para3"/>
    <w:basedOn w:val="Normal"/>
    <w:rsid w:val="004569FB"/>
    <w:pPr>
      <w:tabs>
        <w:tab w:val="num" w:pos="1440"/>
        <w:tab w:val="left" w:pos="1980"/>
      </w:tabs>
      <w:spacing w:before="80" w:after="80"/>
      <w:ind w:left="1440" w:hanging="360"/>
      <w:jc w:val="left"/>
    </w:pPr>
    <w:rPr>
      <w:rFonts w:eastAsia="Times New Roman" w:cs="Times New Roman"/>
      <w:sz w:val="24"/>
      <w:szCs w:val="20"/>
      <w:lang w:eastAsia="ja-JP"/>
    </w:rPr>
  </w:style>
  <w:style w:type="paragraph" w:customStyle="1" w:styleId="Para4">
    <w:name w:val="Para4"/>
    <w:basedOn w:val="Para3"/>
    <w:rsid w:val="004569FB"/>
    <w:pPr>
      <w:tabs>
        <w:tab w:val="clear" w:pos="1440"/>
        <w:tab w:val="clear" w:pos="1980"/>
        <w:tab w:val="left" w:pos="2552"/>
        <w:tab w:val="num" w:pos="2880"/>
      </w:tabs>
      <w:ind w:left="2880"/>
    </w:pPr>
  </w:style>
  <w:style w:type="character" w:customStyle="1" w:styleId="Para1Char">
    <w:name w:val="Para1 Char"/>
    <w:locked/>
    <w:rsid w:val="004569FB"/>
    <w:rPr>
      <w:rFonts w:ascii="Times New Roman" w:eastAsia="Times New Roman" w:hAnsi="Times New Roman"/>
      <w:snapToGrid w:val="0"/>
      <w:sz w:val="22"/>
      <w:szCs w:val="18"/>
      <w:lang w:val="en-GB"/>
    </w:rPr>
  </w:style>
  <w:style w:type="paragraph" w:styleId="HTMLAddress">
    <w:name w:val="HTML Address"/>
    <w:basedOn w:val="Normal"/>
    <w:link w:val="HTMLAddressChar"/>
    <w:uiPriority w:val="99"/>
    <w:semiHidden/>
    <w:unhideWhenUsed/>
    <w:rsid w:val="004569FB"/>
    <w:pPr>
      <w:jc w:val="left"/>
    </w:pPr>
    <w:rPr>
      <w:rFonts w:eastAsia="Times New Roman" w:cs="Times New Roman"/>
      <w:i/>
      <w:iCs/>
      <w:sz w:val="24"/>
      <w:lang w:val="en-CA" w:eastAsia="ja-JP"/>
    </w:rPr>
  </w:style>
  <w:style w:type="character" w:customStyle="1" w:styleId="HTMLAddressChar">
    <w:name w:val="HTML Address Char"/>
    <w:basedOn w:val="DefaultParagraphFont"/>
    <w:link w:val="HTMLAddress"/>
    <w:uiPriority w:val="99"/>
    <w:semiHidden/>
    <w:rsid w:val="004569FB"/>
    <w:rPr>
      <w:rFonts w:ascii="Times New Roman" w:eastAsia="Times New Roman" w:hAnsi="Times New Roman"/>
      <w:i/>
      <w:iCs/>
      <w:sz w:val="24"/>
      <w:szCs w:val="24"/>
      <w:lang w:val="en-CA" w:eastAsia="ja-JP"/>
    </w:rPr>
  </w:style>
  <w:style w:type="paragraph" w:customStyle="1" w:styleId="Cornernotation">
    <w:name w:val="Corner notation"/>
    <w:basedOn w:val="Normal"/>
    <w:rsid w:val="004569FB"/>
    <w:pPr>
      <w:ind w:left="170" w:right="3119" w:hanging="170"/>
      <w:jc w:val="left"/>
    </w:pPr>
    <w:rPr>
      <w:rFonts w:eastAsia="Times New Roman" w:cs="Times New Roman"/>
      <w:sz w:val="24"/>
      <w:lang w:eastAsia="ja-JP"/>
    </w:rPr>
  </w:style>
  <w:style w:type="character" w:customStyle="1" w:styleId="UnresolvedMention1">
    <w:name w:val="Unresolved Mention1"/>
    <w:uiPriority w:val="99"/>
    <w:semiHidden/>
    <w:unhideWhenUsed/>
    <w:rsid w:val="004569FB"/>
    <w:rPr>
      <w:color w:val="605E5C"/>
      <w:shd w:val="clear" w:color="auto" w:fill="E1DFDD"/>
    </w:rPr>
  </w:style>
  <w:style w:type="paragraph" w:styleId="TOC9">
    <w:name w:val="toc 9"/>
    <w:basedOn w:val="Normal"/>
    <w:next w:val="Normal"/>
    <w:autoRedefine/>
    <w:uiPriority w:val="39"/>
    <w:semiHidden/>
    <w:rsid w:val="004569FB"/>
    <w:pPr>
      <w:tabs>
        <w:tab w:val="num" w:pos="2171"/>
      </w:tabs>
      <w:spacing w:before="120" w:after="120"/>
      <w:ind w:left="2171" w:hanging="360"/>
      <w:jc w:val="left"/>
    </w:pPr>
    <w:rPr>
      <w:rFonts w:eastAsia="Times New Roman" w:cs="Times New Roman"/>
    </w:rPr>
  </w:style>
  <w:style w:type="paragraph" w:customStyle="1" w:styleId="heading2notforTOC">
    <w:name w:val="heading 2 not for TOC"/>
    <w:basedOn w:val="Heading3"/>
    <w:rsid w:val="004569FB"/>
    <w:pPr>
      <w:keepLines w:val="0"/>
      <w:tabs>
        <w:tab w:val="left" w:pos="567"/>
        <w:tab w:val="num" w:pos="644"/>
      </w:tabs>
      <w:ind w:left="284"/>
    </w:pPr>
    <w:rPr>
      <w:iCs/>
      <w:sz w:val="22"/>
      <w:lang w:val="en-GB" w:eastAsia="x-none"/>
    </w:rPr>
  </w:style>
  <w:style w:type="character" w:customStyle="1" w:styleId="UnresolvedMention2">
    <w:name w:val="Unresolved Mention2"/>
    <w:basedOn w:val="DefaultParagraphFont"/>
    <w:uiPriority w:val="99"/>
    <w:semiHidden/>
    <w:unhideWhenUsed/>
    <w:rsid w:val="00EC4E70"/>
    <w:rPr>
      <w:color w:val="605E5C"/>
      <w:shd w:val="clear" w:color="auto" w:fill="E1DFDD"/>
    </w:rPr>
  </w:style>
  <w:style w:type="table" w:styleId="TableGrid">
    <w:name w:val="Table Grid"/>
    <w:basedOn w:val="TableNormal"/>
    <w:uiPriority w:val="59"/>
    <w:rsid w:val="00B93F5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3F5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F5D"/>
    <w:rPr>
      <w:color w:val="80808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C56A0A"/>
    <w:pPr>
      <w:spacing w:after="160" w:line="240" w:lineRule="exact"/>
      <w:jc w:val="left"/>
    </w:pPr>
    <w:rPr>
      <w:rFonts w:ascii="Calibri" w:eastAsia="Calibri" w:hAnsi="Calibri" w:cs="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1052">
      <w:bodyDiv w:val="1"/>
      <w:marLeft w:val="0"/>
      <w:marRight w:val="0"/>
      <w:marTop w:val="0"/>
      <w:marBottom w:val="0"/>
      <w:divBdr>
        <w:top w:val="none" w:sz="0" w:space="0" w:color="auto"/>
        <w:left w:val="none" w:sz="0" w:space="0" w:color="auto"/>
        <w:bottom w:val="none" w:sz="0" w:space="0" w:color="auto"/>
        <w:right w:val="none" w:sz="0" w:space="0" w:color="auto"/>
      </w:divBdr>
    </w:div>
    <w:div w:id="1039861654">
      <w:bodyDiv w:val="1"/>
      <w:marLeft w:val="0"/>
      <w:marRight w:val="0"/>
      <w:marTop w:val="0"/>
      <w:marBottom w:val="0"/>
      <w:divBdr>
        <w:top w:val="none" w:sz="0" w:space="0" w:color="auto"/>
        <w:left w:val="none" w:sz="0" w:space="0" w:color="auto"/>
        <w:bottom w:val="none" w:sz="0" w:space="0" w:color="auto"/>
        <w:right w:val="none" w:sz="0" w:space="0" w:color="auto"/>
      </w:divBdr>
    </w:div>
    <w:div w:id="1296059967">
      <w:bodyDiv w:val="1"/>
      <w:marLeft w:val="0"/>
      <w:marRight w:val="0"/>
      <w:marTop w:val="0"/>
      <w:marBottom w:val="0"/>
      <w:divBdr>
        <w:top w:val="none" w:sz="0" w:space="0" w:color="auto"/>
        <w:left w:val="none" w:sz="0" w:space="0" w:color="auto"/>
        <w:bottom w:val="none" w:sz="0" w:space="0" w:color="auto"/>
        <w:right w:val="none" w:sz="0" w:space="0" w:color="auto"/>
      </w:divBdr>
    </w:div>
    <w:div w:id="14073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p-mop-09/cp-mop-09-dec-06-fr.pdf" TargetMode="External"/><Relationship Id="rId20" Type="http://schemas.openxmlformats.org/officeDocument/2006/relationships/image" Target="media/image7.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mop-08/mop-08-dec-15-fr.pdf" TargetMode="External"/><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ch.cbd.int/protocol/decisions/?decisionID=12329" TargetMode="Externa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about/news/" TargetMode="External"/><Relationship Id="rId1" Type="http://schemas.openxmlformats.org/officeDocument/2006/relationships/hyperlink" Target="https://www.cbd.int/doc/notifications/2019/ntf-2019-019-bs-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A6901CC37F44978C0FD015AF4CEDBE"/>
        <w:category>
          <w:name w:val="General"/>
          <w:gallery w:val="placeholder"/>
        </w:category>
        <w:types>
          <w:type w:val="bbPlcHdr"/>
        </w:types>
        <w:behaviors>
          <w:behavior w:val="content"/>
        </w:behaviors>
        <w:guid w:val="{AD2CB991-CD94-4DB6-B618-37315DD2F2ED}"/>
      </w:docPartPr>
      <w:docPartBody>
        <w:p w:rsidR="003A1B04" w:rsidRDefault="003A1B04" w:rsidP="003A1B04">
          <w:pPr>
            <w:pStyle w:val="7DA6901CC37F44978C0FD015AF4CEDBE"/>
          </w:pPr>
          <w:r w:rsidRPr="007E02EB">
            <w:rPr>
              <w:rStyle w:val="PlaceholderText"/>
            </w:rPr>
            <w:t>[Subject]</w:t>
          </w:r>
        </w:p>
      </w:docPartBody>
    </w:docPart>
    <w:docPart>
      <w:docPartPr>
        <w:name w:val="7CAC84CC5B834614A625AEEEEF6CFDB7"/>
        <w:category>
          <w:name w:val="General"/>
          <w:gallery w:val="placeholder"/>
        </w:category>
        <w:types>
          <w:type w:val="bbPlcHdr"/>
        </w:types>
        <w:behaviors>
          <w:behavior w:val="content"/>
        </w:behaviors>
        <w:guid w:val="{BE65C213-2A3C-4DEA-8F4D-A1152BCED4CC}"/>
      </w:docPartPr>
      <w:docPartBody>
        <w:p w:rsidR="00B471DF" w:rsidRDefault="003A1B04">
          <w:r w:rsidRPr="00F75626">
            <w:rPr>
              <w:rStyle w:val="PlaceholderText"/>
            </w:rPr>
            <w:t>[Title]</w:t>
          </w:r>
        </w:p>
      </w:docPartBody>
    </w:docPart>
    <w:docPart>
      <w:docPartPr>
        <w:name w:val="82182D0F2EF84A8C865674E788541DAB"/>
        <w:category>
          <w:name w:val="General"/>
          <w:gallery w:val="placeholder"/>
        </w:category>
        <w:types>
          <w:type w:val="bbPlcHdr"/>
        </w:types>
        <w:behaviors>
          <w:behavior w:val="content"/>
        </w:behaviors>
        <w:guid w:val="{08D70CBF-3209-497C-9B9E-815BEF8BA56D}"/>
      </w:docPartPr>
      <w:docPartBody>
        <w:p w:rsidR="00B471DF" w:rsidRDefault="003A1B04">
          <w:r w:rsidRPr="00F75626">
            <w:rPr>
              <w:rStyle w:val="PlaceholderText"/>
            </w:rPr>
            <w:t>[Subject]</w:t>
          </w:r>
        </w:p>
      </w:docPartBody>
    </w:docPart>
    <w:docPart>
      <w:docPartPr>
        <w:name w:val="CE49E04E20A54C39948CC19C501DFF12"/>
        <w:category>
          <w:name w:val="General"/>
          <w:gallery w:val="placeholder"/>
        </w:category>
        <w:types>
          <w:type w:val="bbPlcHdr"/>
        </w:types>
        <w:behaviors>
          <w:behavior w:val="content"/>
        </w:behaviors>
        <w:guid w:val="{6B892EA2-6EDE-4CDC-9F40-80AD25B65916}"/>
      </w:docPartPr>
      <w:docPartBody>
        <w:p w:rsidR="00B471DF" w:rsidRDefault="003A1B04" w:rsidP="003A1B04">
          <w:pPr>
            <w:pStyle w:val="CE49E04E20A54C39948CC19C501DFF12"/>
          </w:pPr>
          <w:r w:rsidRPr="00F7562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04"/>
    <w:rsid w:val="001422AE"/>
    <w:rsid w:val="002E6A41"/>
    <w:rsid w:val="00314C64"/>
    <w:rsid w:val="00327D7A"/>
    <w:rsid w:val="003A1B04"/>
    <w:rsid w:val="003A5823"/>
    <w:rsid w:val="00421B23"/>
    <w:rsid w:val="004E44E9"/>
    <w:rsid w:val="005B100E"/>
    <w:rsid w:val="005F790B"/>
    <w:rsid w:val="00656C27"/>
    <w:rsid w:val="00657BF8"/>
    <w:rsid w:val="007D73DD"/>
    <w:rsid w:val="00830401"/>
    <w:rsid w:val="00891EFE"/>
    <w:rsid w:val="00907F3E"/>
    <w:rsid w:val="009749A8"/>
    <w:rsid w:val="009E39AB"/>
    <w:rsid w:val="00AE48E9"/>
    <w:rsid w:val="00B471DF"/>
    <w:rsid w:val="00BB0845"/>
    <w:rsid w:val="00CF0D95"/>
    <w:rsid w:val="00D152DE"/>
    <w:rsid w:val="00D5425A"/>
    <w:rsid w:val="00D6749D"/>
    <w:rsid w:val="00F039BA"/>
    <w:rsid w:val="00F1577E"/>
    <w:rsid w:val="00FB3A1C"/>
    <w:rsid w:val="00FD11D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B04"/>
    <w:rPr>
      <w:color w:val="808080"/>
    </w:rPr>
  </w:style>
  <w:style w:type="paragraph" w:customStyle="1" w:styleId="0F82417FB9EB4366ACB960FFD0A7BB8C">
    <w:name w:val="0F82417FB9EB4366ACB960FFD0A7BB8C"/>
    <w:rsid w:val="003A1B04"/>
  </w:style>
  <w:style w:type="paragraph" w:customStyle="1" w:styleId="7DA6901CC37F44978C0FD015AF4CEDBE">
    <w:name w:val="7DA6901CC37F44978C0FD015AF4CEDBE"/>
    <w:rsid w:val="003A1B04"/>
  </w:style>
  <w:style w:type="paragraph" w:customStyle="1" w:styleId="B6389A8AB36E449BAE84AB56AF4EA992">
    <w:name w:val="B6389A8AB36E449BAE84AB56AF4EA992"/>
    <w:rsid w:val="003A1B04"/>
  </w:style>
  <w:style w:type="paragraph" w:customStyle="1" w:styleId="CE49E04E20A54C39948CC19C501DFF12">
    <w:name w:val="CE49E04E20A54C39948CC19C501DFF12"/>
    <w:rsid w:val="003A1B04"/>
  </w:style>
  <w:style w:type="paragraph" w:customStyle="1" w:styleId="4FD58F16F1524AA5A3865A6D94737E2A">
    <w:name w:val="4FD58F16F1524AA5A3865A6D94737E2A"/>
    <w:rsid w:val="003A1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8455-6226-435B-A594-A80CB7E13827}">
  <ds:schemaRefs>
    <ds:schemaRef ds:uri="http://schemas.microsoft.com/sharepoint/v3/contenttype/forms"/>
  </ds:schemaRefs>
</ds:datastoreItem>
</file>

<file path=customXml/itemProps2.xml><?xml version="1.0" encoding="utf-8"?>
<ds:datastoreItem xmlns:ds="http://schemas.openxmlformats.org/officeDocument/2006/customXml" ds:itemID="{6AE98CD2-20D2-4DBC-86A4-BA7EFE019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E1FF8-10C7-4574-A3DB-D100C6321B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E416B-38CB-4CEE-93DE-8A1B411F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19728</Words>
  <Characters>112452</Characters>
  <Application>Microsoft Office Word</Application>
  <DocSecurity>0</DocSecurity>
  <Lines>937</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ANALYSE DE L’INFORMATION POUR L’ÉVALUATION ET EXAMEN DE L’EFFICACITÉ DU pROTOCOLE DE cARTAGENA SUR LA PRÉVENTION DES RISQUES BIOTECHNOLOGIQUES ET ÉVALUATION FINALE DU PLAN STRATÉGIQUE POUR LE PROTOCOLE DE CARTAGENA POUR LA PÉRIODE 2011-2020</vt:lpstr>
      <vt:lpstr>ANALYSE DE L’INFORMATION POUR L’ÉVALUATION ET EXAMEN DE L’EFFICACITÉ DU pROTOCOLE DE cARTAGENA SUR LA PRÉVENTION DES RISQUES BIOTECHNOLOGIQUES ET ÉVALUATION FINALE DU PLAN STRATÉGIQUE POUR LE PROTOCOLE DE CARTAGENA POUR LA PÉRIODE 2011-2020</vt:lpstr>
    </vt:vector>
  </TitlesOfParts>
  <Company>SCBD</Company>
  <LinksUpToDate>false</LinksUpToDate>
  <CharactersWithSpaces>131917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 L’INFORMATION POUR L’ÉVALUATION ET EXAMEN DE L’EFFICACITÉ DU pROTOCOLE DE cARTAGENA SUR LA PRÉVENTION DES RISQUES BIOTECHNOLOGIQUES ET ÉVALUATION FINALE DU PLAN STRATÉGIQUE POUR LE PROTOCOLE DE CARTAGENA POUR LA PÉRIODE 2011-2020</dc:title>
  <dc:subject>CBD/SBI/3/3/Add.1</dc:subject>
  <dc:creator>SCBD</dc:creator>
  <cp:keywords>Subsidiary Body on Implementation, third meeting, Convention on Biological Diversity</cp:keywords>
  <cp:lastModifiedBy>Paola Scarone</cp:lastModifiedBy>
  <cp:revision>5</cp:revision>
  <cp:lastPrinted>2020-09-16T18:19:00Z</cp:lastPrinted>
  <dcterms:created xsi:type="dcterms:W3CDTF">2020-09-25T20:39:00Z</dcterms:created>
  <dcterms:modified xsi:type="dcterms:W3CDTF">2020-09-29T03:25:00Z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