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604" w:type="pct"/>
        <w:tblInd w:w="-284" w:type="dxa"/>
        <w:tblLayout w:type="fixed"/>
        <w:tblLook w:val="00A0" w:firstRow="1" w:lastRow="0" w:firstColumn="1" w:lastColumn="0" w:noHBand="0" w:noVBand="0"/>
      </w:tblPr>
      <w:tblGrid>
        <w:gridCol w:w="974"/>
        <w:gridCol w:w="3980"/>
        <w:gridCol w:w="5779"/>
      </w:tblGrid>
      <w:tr w:rsidR="00E65D65" w:rsidRPr="00094684" w14:paraId="5273C545" w14:textId="77777777" w:rsidTr="00521FA7">
        <w:trPr>
          <w:trHeight w:val="851"/>
        </w:trPr>
        <w:tc>
          <w:tcPr>
            <w:tcW w:w="454" w:type="pct"/>
            <w:tcBorders>
              <w:bottom w:val="single" w:sz="8" w:space="0" w:color="auto"/>
            </w:tcBorders>
            <w:vAlign w:val="bottom"/>
          </w:tcPr>
          <w:p w14:paraId="21BFE724" w14:textId="77777777" w:rsidR="00E65D65" w:rsidRPr="008622CF" w:rsidRDefault="00282BF0" w:rsidP="00521FA7">
            <w:pPr>
              <w:tabs>
                <w:tab w:val="clear" w:pos="567"/>
                <w:tab w:val="clear" w:pos="1134"/>
                <w:tab w:val="clear" w:pos="1701"/>
                <w:tab w:val="clear" w:pos="2268"/>
              </w:tabs>
              <w:spacing w:after="120"/>
              <w:rPr>
                <w:sz w:val="24"/>
                <w:szCs w:val="24"/>
              </w:rPr>
            </w:pPr>
            <w:bookmarkStart w:id="0" w:name="_Hlk137044360"/>
            <w:bookmarkStart w:id="1" w:name="_Hlk137217151"/>
            <w:r>
              <w:rPr>
                <w:noProof/>
                <w:sz w:val="24"/>
                <w:szCs w:val="20"/>
              </w:rPr>
              <w:pict w14:anchorId="25C9A0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73017620" o:spid="_x0000_i1025" type="#_x0000_t75" alt="Macintosh HD:Users:bilodeau:Desktop:logos:template 2017:un.emf" style="width:34pt;height:28.5pt;visibility:visible">
                  <v:imagedata r:id="rId10" o:title=""/>
                </v:shape>
              </w:pict>
            </w:r>
          </w:p>
        </w:tc>
        <w:tc>
          <w:tcPr>
            <w:tcW w:w="1854" w:type="pct"/>
            <w:tcBorders>
              <w:top w:val="nil"/>
              <w:left w:val="nil"/>
              <w:bottom w:val="single" w:sz="6" w:space="0" w:color="auto"/>
              <w:right w:val="nil"/>
            </w:tcBorders>
          </w:tcPr>
          <w:p w14:paraId="5A130815" w14:textId="77777777" w:rsidR="00E65D65" w:rsidRPr="005D0241" w:rsidRDefault="00282BF0" w:rsidP="00521FA7">
            <w:pPr>
              <w:tabs>
                <w:tab w:val="clear" w:pos="567"/>
                <w:tab w:val="clear" w:pos="1134"/>
                <w:tab w:val="clear" w:pos="1701"/>
                <w:tab w:val="clear" w:pos="2268"/>
              </w:tabs>
              <w:spacing w:before="60"/>
              <w:rPr>
                <w:rFonts w:ascii="SimHei" w:eastAsia="SimHei" w:hAnsi="SimHei"/>
                <w:sz w:val="24"/>
                <w:szCs w:val="20"/>
              </w:rPr>
            </w:pPr>
            <w:r>
              <w:rPr>
                <w:rFonts w:ascii="SimHei" w:eastAsia="SimHei" w:hAnsi="SimHei"/>
                <w:noProof/>
                <w:lang w:val="en-US"/>
              </w:rPr>
              <w:pict w14:anchorId="4325B229">
                <v:shape id="Picture 1" o:spid="_x0000_s1026" type="#_x0000_t75" style="position:absolute;left:0;text-align:left;margin-left:36.65pt;margin-top:3.4pt;width:14.25pt;height:15.1pt;z-index:251658240;visibility:visible;mso-position-horizontal-relative:text;mso-position-vertical-relative:text">
                  <v:imagedata r:id="rId11" o:title=""/>
                </v:shape>
              </w:pict>
            </w:r>
            <w:r w:rsidR="00E65D65" w:rsidRPr="005D0241">
              <w:rPr>
                <w:rFonts w:ascii="SimHei" w:eastAsia="SimHei" w:hAnsi="SimHei" w:cs="SimSun" w:hint="eastAsia"/>
                <w:sz w:val="24"/>
                <w:szCs w:val="20"/>
              </w:rPr>
              <w:t>联合国</w:t>
            </w:r>
          </w:p>
          <w:p w14:paraId="272A016F" w14:textId="77777777" w:rsidR="00E65D65" w:rsidRPr="008622CF" w:rsidRDefault="00E65D65" w:rsidP="00521FA7">
            <w:pPr>
              <w:tabs>
                <w:tab w:val="clear" w:pos="567"/>
                <w:tab w:val="clear" w:pos="1134"/>
                <w:tab w:val="clear" w:pos="1701"/>
                <w:tab w:val="clear" w:pos="2268"/>
              </w:tabs>
              <w:rPr>
                <w:sz w:val="24"/>
                <w:szCs w:val="20"/>
              </w:rPr>
            </w:pPr>
            <w:r w:rsidRPr="005D0241">
              <w:rPr>
                <w:rFonts w:ascii="SimHei" w:eastAsia="SimHei" w:hAnsi="SimHei" w:cs="SimSun" w:hint="eastAsia"/>
                <w:sz w:val="24"/>
                <w:szCs w:val="20"/>
              </w:rPr>
              <w:t>环境规划署</w:t>
            </w:r>
          </w:p>
        </w:tc>
        <w:tc>
          <w:tcPr>
            <w:tcW w:w="2692" w:type="pct"/>
            <w:tcBorders>
              <w:bottom w:val="single" w:sz="8" w:space="0" w:color="auto"/>
            </w:tcBorders>
            <w:vAlign w:val="bottom"/>
          </w:tcPr>
          <w:p w14:paraId="1185BB6B" w14:textId="77777777" w:rsidR="00E65D65" w:rsidRPr="008622CF" w:rsidRDefault="00E65D65" w:rsidP="00521FA7">
            <w:pPr>
              <w:tabs>
                <w:tab w:val="clear" w:pos="567"/>
                <w:tab w:val="clear" w:pos="1134"/>
                <w:tab w:val="clear" w:pos="1701"/>
                <w:tab w:val="clear" w:pos="2268"/>
              </w:tabs>
              <w:spacing w:after="120"/>
              <w:ind w:left="2021"/>
              <w:jc w:val="right"/>
              <w:rPr>
                <w:rFonts w:eastAsia="DengXian"/>
                <w:szCs w:val="20"/>
              </w:rPr>
            </w:pPr>
            <w:r w:rsidRPr="008622CF">
              <w:rPr>
                <w:sz w:val="40"/>
                <w:szCs w:val="40"/>
              </w:rPr>
              <w:t>CBD</w:t>
            </w:r>
            <w:r w:rsidRPr="008622CF">
              <w:rPr>
                <w:sz w:val="24"/>
              </w:rPr>
              <w:t>/CP/MOP/12/</w:t>
            </w:r>
            <w:r>
              <w:rPr>
                <w:sz w:val="24"/>
              </w:rPr>
              <w:t>3</w:t>
            </w:r>
          </w:p>
        </w:tc>
      </w:tr>
      <w:tr w:rsidR="00E65D65" w:rsidRPr="00094684" w14:paraId="2FFD6A1A" w14:textId="77777777" w:rsidTr="00521FA7">
        <w:tc>
          <w:tcPr>
            <w:tcW w:w="2308" w:type="pct"/>
            <w:gridSpan w:val="2"/>
            <w:tcBorders>
              <w:top w:val="single" w:sz="8" w:space="0" w:color="auto"/>
              <w:bottom w:val="single" w:sz="12" w:space="0" w:color="auto"/>
            </w:tcBorders>
          </w:tcPr>
          <w:p w14:paraId="3E63DA42" w14:textId="77777777" w:rsidR="00E65D65" w:rsidRPr="008622CF" w:rsidRDefault="00282BF0" w:rsidP="00521FA7">
            <w:pPr>
              <w:suppressLineNumbers/>
              <w:tabs>
                <w:tab w:val="clear" w:pos="567"/>
                <w:tab w:val="clear" w:pos="1134"/>
                <w:tab w:val="clear" w:pos="1701"/>
                <w:tab w:val="clear" w:pos="2268"/>
              </w:tabs>
              <w:suppressAutoHyphens/>
              <w:spacing w:before="120" w:after="120"/>
              <w:jc w:val="left"/>
              <w:rPr>
                <w:sz w:val="24"/>
                <w:szCs w:val="20"/>
              </w:rPr>
            </w:pPr>
            <w:r>
              <w:rPr>
                <w:b/>
                <w:noProof/>
                <w:sz w:val="24"/>
                <w:szCs w:val="20"/>
              </w:rPr>
              <w:pict w14:anchorId="1830BA45">
                <v:shape id="Picture 3" o:spid="_x0000_i1026" type="#_x0000_t75" alt="CBD_logo_ch-CMYK-black [Converted]" style="width:234pt;height:84pt;visibility:visible">
                  <v:imagedata r:id="rId12" o:title=""/>
                </v:shape>
              </w:pict>
            </w:r>
          </w:p>
        </w:tc>
        <w:tc>
          <w:tcPr>
            <w:tcW w:w="2692" w:type="pct"/>
            <w:tcBorders>
              <w:top w:val="single" w:sz="8" w:space="0" w:color="auto"/>
              <w:bottom w:val="single" w:sz="12" w:space="0" w:color="auto"/>
            </w:tcBorders>
          </w:tcPr>
          <w:p w14:paraId="17B8E8ED" w14:textId="77777777" w:rsidR="00E65D65" w:rsidRPr="008622CF" w:rsidRDefault="00E65D65" w:rsidP="00521FA7">
            <w:pPr>
              <w:tabs>
                <w:tab w:val="clear" w:pos="567"/>
                <w:tab w:val="clear" w:pos="1134"/>
                <w:tab w:val="clear" w:pos="1701"/>
                <w:tab w:val="clear" w:pos="2268"/>
              </w:tabs>
              <w:ind w:left="2021"/>
              <w:rPr>
                <w:sz w:val="24"/>
                <w:szCs w:val="20"/>
              </w:rPr>
            </w:pPr>
            <w:r w:rsidRPr="008622CF">
              <w:rPr>
                <w:sz w:val="24"/>
                <w:szCs w:val="20"/>
              </w:rPr>
              <w:t>Distr.: General</w:t>
            </w:r>
          </w:p>
          <w:p w14:paraId="2BCC827F" w14:textId="77777777" w:rsidR="00E65D65" w:rsidRPr="00CF6246" w:rsidRDefault="00E65D65" w:rsidP="00521FA7">
            <w:pPr>
              <w:tabs>
                <w:tab w:val="clear" w:pos="567"/>
                <w:tab w:val="clear" w:pos="1134"/>
                <w:tab w:val="clear" w:pos="1701"/>
                <w:tab w:val="clear" w:pos="2268"/>
              </w:tabs>
              <w:ind w:left="2021"/>
              <w:rPr>
                <w:sz w:val="24"/>
                <w:szCs w:val="24"/>
              </w:rPr>
            </w:pPr>
            <w:r w:rsidRPr="00CF6246">
              <w:rPr>
                <w:noProof/>
                <w:sz w:val="24"/>
                <w:szCs w:val="24"/>
              </w:rPr>
              <w:t>12 June 2026</w:t>
            </w:r>
          </w:p>
          <w:p w14:paraId="5FB71707" w14:textId="77777777" w:rsidR="00E65D65" w:rsidRPr="008622CF" w:rsidRDefault="00E65D65" w:rsidP="00521FA7">
            <w:pPr>
              <w:tabs>
                <w:tab w:val="clear" w:pos="567"/>
                <w:tab w:val="clear" w:pos="1134"/>
                <w:tab w:val="clear" w:pos="1701"/>
                <w:tab w:val="clear" w:pos="2268"/>
              </w:tabs>
              <w:ind w:left="2021"/>
              <w:rPr>
                <w:sz w:val="24"/>
                <w:szCs w:val="20"/>
              </w:rPr>
            </w:pPr>
            <w:r w:rsidRPr="008622CF">
              <w:rPr>
                <w:sz w:val="24"/>
                <w:szCs w:val="20"/>
              </w:rPr>
              <w:t>Chinese</w:t>
            </w:r>
          </w:p>
          <w:p w14:paraId="0DFB6008" w14:textId="77777777" w:rsidR="00E65D65" w:rsidRPr="008622CF" w:rsidRDefault="00E65D65" w:rsidP="00521FA7">
            <w:pPr>
              <w:tabs>
                <w:tab w:val="clear" w:pos="567"/>
                <w:tab w:val="clear" w:pos="1134"/>
                <w:tab w:val="clear" w:pos="1701"/>
                <w:tab w:val="clear" w:pos="2268"/>
              </w:tabs>
              <w:ind w:left="2021"/>
              <w:rPr>
                <w:sz w:val="24"/>
                <w:szCs w:val="20"/>
              </w:rPr>
            </w:pPr>
            <w:r w:rsidRPr="008622CF">
              <w:rPr>
                <w:sz w:val="24"/>
                <w:szCs w:val="20"/>
              </w:rPr>
              <w:t>Original: English</w:t>
            </w:r>
          </w:p>
          <w:p w14:paraId="7F9FC960" w14:textId="77777777" w:rsidR="00E65D65" w:rsidRPr="008622CF" w:rsidRDefault="00E65D65" w:rsidP="00521FA7">
            <w:pPr>
              <w:tabs>
                <w:tab w:val="clear" w:pos="567"/>
                <w:tab w:val="clear" w:pos="1134"/>
                <w:tab w:val="clear" w:pos="1701"/>
                <w:tab w:val="clear" w:pos="2268"/>
              </w:tabs>
              <w:rPr>
                <w:sz w:val="24"/>
                <w:szCs w:val="24"/>
              </w:rPr>
            </w:pPr>
          </w:p>
        </w:tc>
      </w:tr>
      <w:bookmarkEnd w:id="0"/>
      <w:bookmarkEnd w:id="1"/>
    </w:tbl>
    <w:p w14:paraId="27DC3599" w14:textId="77777777" w:rsidR="00E65D65" w:rsidRDefault="00E65D65">
      <w:pPr>
        <w:pStyle w:val="AISpacer"/>
        <w:rPr>
          <w:szCs w:val="24"/>
        </w:rPr>
      </w:pPr>
    </w:p>
    <w:p w14:paraId="4600F35E" w14:textId="77777777" w:rsidR="00E65D65" w:rsidRDefault="00E65D65">
      <w:pPr>
        <w:pStyle w:val="AISpacer"/>
        <w:rPr>
          <w:szCs w:val="24"/>
        </w:rPr>
      </w:pPr>
    </w:p>
    <w:tbl>
      <w:tblPr>
        <w:tblW w:w="10482" w:type="dxa"/>
        <w:tblInd w:w="-283" w:type="dxa"/>
        <w:tblLayout w:type="fixed"/>
        <w:tblCellMar>
          <w:left w:w="283" w:type="dxa"/>
        </w:tblCellMar>
        <w:tblLook w:val="00A0" w:firstRow="1" w:lastRow="0" w:firstColumn="1" w:lastColumn="0" w:noHBand="0" w:noVBand="0"/>
      </w:tblPr>
      <w:tblGrid>
        <w:gridCol w:w="6686"/>
        <w:gridCol w:w="3796"/>
      </w:tblGrid>
      <w:tr w:rsidR="00E65D65" w:rsidRPr="00D47A31" w14:paraId="076A62E0" w14:textId="77777777" w:rsidTr="00915D8E">
        <w:trPr>
          <w:trHeight w:val="57"/>
        </w:trPr>
        <w:tc>
          <w:tcPr>
            <w:tcW w:w="6686" w:type="dxa"/>
          </w:tcPr>
          <w:p w14:paraId="2D852D40" w14:textId="0A642A29" w:rsidR="00E65D65" w:rsidRPr="00D47A31" w:rsidRDefault="00E65D65">
            <w:pPr>
              <w:pStyle w:val="AFCorN12Bold"/>
              <w:rPr>
                <w:szCs w:val="24"/>
                <w:lang w:val="en-US"/>
              </w:rPr>
            </w:pPr>
            <w:r w:rsidRPr="00D47A31">
              <w:rPr>
                <w:rFonts w:ascii="SimSun" w:hint="eastAsia"/>
                <w:noProof/>
                <w:szCs w:val="24"/>
              </w:rPr>
              <w:t>作为卡塔赫纳生物安全议定书缔约方会议</w:t>
            </w:r>
            <w:r w:rsidR="008D1A69">
              <w:rPr>
                <w:rFonts w:ascii="SimSun"/>
                <w:noProof/>
                <w:szCs w:val="24"/>
                <w:lang w:val="en-US"/>
              </w:rPr>
              <w:br/>
            </w:r>
            <w:r w:rsidRPr="00D47A31">
              <w:rPr>
                <w:rFonts w:ascii="SimSun" w:hint="eastAsia"/>
                <w:noProof/>
                <w:szCs w:val="24"/>
              </w:rPr>
              <w:t>的生物多样性公约缔约方大会</w:t>
            </w:r>
          </w:p>
          <w:p w14:paraId="6925AA64" w14:textId="77777777" w:rsidR="00E65D65" w:rsidRPr="00D47A31" w:rsidRDefault="00E65D65">
            <w:pPr>
              <w:pStyle w:val="Venuedate"/>
              <w:ind w:right="2280"/>
              <w:rPr>
                <w:bCs w:val="0"/>
                <w:sz w:val="24"/>
                <w:szCs w:val="24"/>
                <w:lang w:val="en-US"/>
              </w:rPr>
            </w:pPr>
            <w:r w:rsidRPr="00D47A31">
              <w:rPr>
                <w:rFonts w:ascii="SimSun" w:hint="eastAsia"/>
                <w:bCs w:val="0"/>
                <w:noProof/>
                <w:sz w:val="24"/>
                <w:szCs w:val="24"/>
              </w:rPr>
              <w:t>第十二次会议</w:t>
            </w:r>
          </w:p>
          <w:p w14:paraId="6506BCBB" w14:textId="77777777" w:rsidR="00E65D65" w:rsidRPr="00D47A31" w:rsidRDefault="00E65D65">
            <w:pPr>
              <w:pStyle w:val="Venuedate"/>
              <w:ind w:right="2280"/>
              <w:rPr>
                <w:bCs w:val="0"/>
                <w:sz w:val="24"/>
                <w:szCs w:val="24"/>
              </w:rPr>
            </w:pPr>
            <w:smartTag w:uri="urn:schemas-microsoft-com:office:smarttags" w:element="chsdate">
              <w:smartTagPr>
                <w:attr w:name="IsROCDate" w:val="False"/>
                <w:attr w:name="IsLunarDate" w:val="False"/>
                <w:attr w:name="Day" w:val="19"/>
                <w:attr w:name="Month" w:val="10"/>
                <w:attr w:name="Year" w:val="2026"/>
              </w:smartTagPr>
              <w:r w:rsidRPr="00D47A31">
                <w:rPr>
                  <w:bCs w:val="0"/>
                  <w:sz w:val="24"/>
                  <w:szCs w:val="24"/>
                  <w:lang w:val="en-US"/>
                </w:rPr>
                <w:t>2026</w:t>
              </w:r>
              <w:r w:rsidRPr="00D47A31">
                <w:rPr>
                  <w:rFonts w:ascii="SimSun" w:hint="eastAsia"/>
                  <w:bCs w:val="0"/>
                  <w:sz w:val="24"/>
                  <w:szCs w:val="24"/>
                  <w:lang w:val="zh-CN"/>
                </w:rPr>
                <w:t>年</w:t>
              </w:r>
              <w:r w:rsidRPr="00D47A31">
                <w:rPr>
                  <w:bCs w:val="0"/>
                  <w:sz w:val="24"/>
                  <w:szCs w:val="24"/>
                  <w:lang w:val="en-US"/>
                </w:rPr>
                <w:t>10</w:t>
              </w:r>
              <w:r w:rsidRPr="00D47A31">
                <w:rPr>
                  <w:rFonts w:ascii="SimSun" w:hint="eastAsia"/>
                  <w:bCs w:val="0"/>
                  <w:sz w:val="24"/>
                  <w:szCs w:val="24"/>
                  <w:lang w:val="zh-CN"/>
                </w:rPr>
                <w:t>月</w:t>
              </w:r>
              <w:r w:rsidRPr="00D47A31">
                <w:rPr>
                  <w:bCs w:val="0"/>
                  <w:sz w:val="24"/>
                  <w:szCs w:val="24"/>
                  <w:lang w:val="en-US"/>
                </w:rPr>
                <w:t>19</w:t>
              </w:r>
              <w:r w:rsidRPr="00D47A31">
                <w:rPr>
                  <w:rFonts w:ascii="SimSun" w:hint="eastAsia"/>
                  <w:bCs w:val="0"/>
                  <w:sz w:val="24"/>
                  <w:szCs w:val="24"/>
                  <w:lang w:val="zh-CN"/>
                </w:rPr>
                <w:t>日</w:t>
              </w:r>
            </w:smartTag>
            <w:r w:rsidRPr="00D47A31">
              <w:rPr>
                <w:rFonts w:ascii="SimSun" w:hint="eastAsia"/>
                <w:bCs w:val="0"/>
                <w:sz w:val="24"/>
                <w:szCs w:val="24"/>
                <w:lang w:val="zh-CN"/>
              </w:rPr>
              <w:t>至</w:t>
            </w:r>
            <w:r w:rsidRPr="00D47A31">
              <w:rPr>
                <w:bCs w:val="0"/>
                <w:sz w:val="24"/>
                <w:szCs w:val="24"/>
                <w:lang w:val="en-US"/>
              </w:rPr>
              <w:t>30</w:t>
            </w:r>
            <w:r w:rsidRPr="00D47A31">
              <w:rPr>
                <w:rFonts w:ascii="SimSun" w:hint="eastAsia"/>
                <w:bCs w:val="0"/>
                <w:sz w:val="24"/>
                <w:szCs w:val="24"/>
                <w:lang w:val="zh-CN"/>
              </w:rPr>
              <w:t>日</w:t>
            </w:r>
            <w:r w:rsidRPr="00D47A31">
              <w:rPr>
                <w:rFonts w:ascii="SimSun" w:hint="eastAsia"/>
                <w:bCs w:val="0"/>
                <w:sz w:val="24"/>
                <w:szCs w:val="24"/>
                <w:lang w:val="en-US"/>
              </w:rPr>
              <w:t>，</w:t>
            </w:r>
            <w:r w:rsidRPr="00D47A31">
              <w:rPr>
                <w:rFonts w:ascii="SimSun" w:hint="eastAsia"/>
                <w:bCs w:val="0"/>
                <w:sz w:val="24"/>
                <w:szCs w:val="24"/>
                <w:lang w:val="zh-CN"/>
              </w:rPr>
              <w:t>埃里温</w:t>
            </w:r>
          </w:p>
          <w:p w14:paraId="4E833C2E" w14:textId="77777777" w:rsidR="00E65D65" w:rsidRPr="00D47A31" w:rsidRDefault="00E65D65">
            <w:pPr>
              <w:pStyle w:val="AFCorNNormal"/>
              <w:rPr>
                <w:sz w:val="24"/>
                <w:szCs w:val="24"/>
              </w:rPr>
            </w:pPr>
            <w:r w:rsidRPr="00D47A31">
              <w:rPr>
                <w:rFonts w:ascii="SimSun" w:hint="eastAsia"/>
                <w:noProof/>
                <w:sz w:val="24"/>
                <w:szCs w:val="24"/>
              </w:rPr>
              <w:t>临时议程</w:t>
            </w:r>
            <w:r w:rsidRPr="00D47A31">
              <w:rPr>
                <w:rStyle w:val="FootnoteReference"/>
                <w:rFonts w:ascii="SimSun"/>
                <w:noProof/>
                <w:sz w:val="24"/>
                <w:szCs w:val="24"/>
              </w:rPr>
              <w:footnoteReference w:customMarkFollows="1" w:id="1"/>
              <w:t>*</w:t>
            </w:r>
            <w:r w:rsidRPr="00D47A31">
              <w:rPr>
                <w:rFonts w:ascii="SimSun" w:hint="eastAsia"/>
                <w:noProof/>
                <w:sz w:val="24"/>
                <w:szCs w:val="24"/>
              </w:rPr>
              <w:t>项目</w:t>
            </w:r>
            <w:r w:rsidRPr="00D47A31">
              <w:rPr>
                <w:noProof/>
                <w:sz w:val="24"/>
                <w:szCs w:val="24"/>
              </w:rPr>
              <w:t>5</w:t>
            </w:r>
          </w:p>
          <w:p w14:paraId="1BA8A048" w14:textId="77777777" w:rsidR="00E65D65" w:rsidRPr="00D47A31" w:rsidRDefault="00E65D65">
            <w:pPr>
              <w:pStyle w:val="AFCorNBold"/>
              <w:rPr>
                <w:sz w:val="24"/>
                <w:szCs w:val="24"/>
              </w:rPr>
            </w:pPr>
            <w:r w:rsidRPr="00D47A31">
              <w:rPr>
                <w:rFonts w:ascii="SimSun" w:hint="eastAsia"/>
                <w:noProof/>
                <w:sz w:val="24"/>
                <w:szCs w:val="24"/>
              </w:rPr>
              <w:t>履约委员会的报告</w:t>
            </w:r>
          </w:p>
        </w:tc>
        <w:tc>
          <w:tcPr>
            <w:tcW w:w="3796" w:type="dxa"/>
          </w:tcPr>
          <w:p w14:paraId="2F19AF64" w14:textId="77777777" w:rsidR="00E65D65" w:rsidRPr="00D47A31" w:rsidRDefault="00E65D65">
            <w:pPr>
              <w:pStyle w:val="CBDNormal"/>
              <w:jc w:val="left"/>
              <w:rPr>
                <w:sz w:val="24"/>
                <w:szCs w:val="24"/>
              </w:rPr>
            </w:pPr>
          </w:p>
        </w:tc>
      </w:tr>
    </w:tbl>
    <w:p w14:paraId="175FF329" w14:textId="77777777" w:rsidR="00E65D65" w:rsidRPr="00915D8E" w:rsidRDefault="00E65D65">
      <w:pPr>
        <w:pStyle w:val="CBDTitle"/>
        <w:rPr>
          <w:caps/>
          <w:szCs w:val="28"/>
        </w:rPr>
      </w:pPr>
      <w:r w:rsidRPr="00915D8E">
        <w:rPr>
          <w:rFonts w:ascii="SimSun" w:hint="eastAsia"/>
          <w:noProof/>
          <w:szCs w:val="28"/>
        </w:rPr>
        <w:t>卡塔赫纳生物安全议定书项下履约委员会第二十次和第二十一次会议的报告</w:t>
      </w:r>
    </w:p>
    <w:p w14:paraId="57001FD2" w14:textId="77777777" w:rsidR="00E65D65" w:rsidRPr="00D47A31" w:rsidRDefault="00E65D65" w:rsidP="00DC736C">
      <w:pPr>
        <w:pStyle w:val="CBDH1"/>
        <w:numPr>
          <w:ilvl w:val="0"/>
          <w:numId w:val="20"/>
        </w:numPr>
        <w:rPr>
          <w:sz w:val="24"/>
          <w:szCs w:val="24"/>
        </w:rPr>
      </w:pPr>
      <w:r w:rsidRPr="00D47A31">
        <w:rPr>
          <w:rFonts w:ascii="SimSun" w:hint="eastAsia"/>
          <w:noProof/>
          <w:sz w:val="24"/>
          <w:szCs w:val="24"/>
        </w:rPr>
        <w:t>导言</w:t>
      </w:r>
    </w:p>
    <w:p w14:paraId="3AD19069"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t>在作为卡塔赫纳生物安全议定书缔约方会议的生物多样性公约缔约方大会第十一次会议之后的闭会期间举行了两次会议</w:t>
      </w:r>
      <w:r w:rsidRPr="00D47A31">
        <w:rPr>
          <w:rFonts w:ascii="SimSun" w:hint="eastAsia"/>
          <w:sz w:val="24"/>
          <w:szCs w:val="24"/>
        </w:rPr>
        <w:t>：</w:t>
      </w:r>
      <w:r w:rsidRPr="00D47A31">
        <w:rPr>
          <w:rFonts w:ascii="SimSun" w:hint="eastAsia"/>
          <w:sz w:val="24"/>
          <w:szCs w:val="24"/>
          <w:lang w:val="zh-CN"/>
        </w:rPr>
        <w:t>第二十次会议</w:t>
      </w:r>
      <w:r w:rsidRPr="00D47A31">
        <w:rPr>
          <w:rFonts w:ascii="SimSun" w:hint="eastAsia"/>
          <w:sz w:val="24"/>
          <w:szCs w:val="24"/>
          <w:lang w:val="en-US"/>
        </w:rPr>
        <w:t>（</w:t>
      </w:r>
      <w:smartTag w:uri="urn:schemas-microsoft-com:office:smarttags" w:element="chsdate">
        <w:smartTagPr>
          <w:attr w:name="IsROCDate" w:val="False"/>
          <w:attr w:name="IsLunarDate" w:val="False"/>
          <w:attr w:name="Day" w:val="27"/>
          <w:attr w:name="Month" w:val="5"/>
          <w:attr w:name="Year" w:val="2025"/>
        </w:smartTagPr>
        <w:r w:rsidRPr="00D47A31">
          <w:rPr>
            <w:sz w:val="24"/>
            <w:szCs w:val="24"/>
            <w:lang w:val="en-US"/>
          </w:rPr>
          <w:t>2025</w:t>
        </w:r>
        <w:r w:rsidRPr="00D47A31">
          <w:rPr>
            <w:rFonts w:ascii="SimSun" w:hint="eastAsia"/>
            <w:sz w:val="24"/>
            <w:szCs w:val="24"/>
            <w:lang w:val="zh-CN"/>
          </w:rPr>
          <w:t>年</w:t>
        </w:r>
        <w:r w:rsidRPr="00D47A31">
          <w:rPr>
            <w:sz w:val="24"/>
            <w:szCs w:val="24"/>
            <w:lang w:val="en-US"/>
          </w:rPr>
          <w:t>5</w:t>
        </w:r>
        <w:r w:rsidRPr="00D47A31">
          <w:rPr>
            <w:rFonts w:ascii="SimSun" w:hint="eastAsia"/>
            <w:sz w:val="24"/>
            <w:szCs w:val="24"/>
            <w:lang w:val="zh-CN"/>
          </w:rPr>
          <w:t>月</w:t>
        </w:r>
        <w:r w:rsidRPr="00D47A31">
          <w:rPr>
            <w:sz w:val="24"/>
            <w:szCs w:val="24"/>
            <w:lang w:val="en-US"/>
          </w:rPr>
          <w:t>27</w:t>
        </w:r>
        <w:r w:rsidRPr="00D47A31">
          <w:rPr>
            <w:rFonts w:ascii="SimSun" w:hint="eastAsia"/>
            <w:sz w:val="24"/>
            <w:szCs w:val="24"/>
            <w:lang w:val="zh-CN"/>
          </w:rPr>
          <w:t>日</w:t>
        </w:r>
      </w:smartTag>
      <w:r w:rsidRPr="00D47A31">
        <w:rPr>
          <w:rFonts w:ascii="SimSun" w:hint="eastAsia"/>
          <w:sz w:val="24"/>
          <w:szCs w:val="24"/>
          <w:lang w:val="zh-CN"/>
        </w:rPr>
        <w:t>至</w:t>
      </w:r>
      <w:r w:rsidRPr="00D47A31">
        <w:rPr>
          <w:sz w:val="24"/>
          <w:szCs w:val="24"/>
          <w:lang w:val="en-US"/>
        </w:rPr>
        <w:t>29</w:t>
      </w:r>
      <w:r w:rsidRPr="00D47A31">
        <w:rPr>
          <w:rFonts w:ascii="SimSun" w:hint="eastAsia"/>
          <w:sz w:val="24"/>
          <w:szCs w:val="24"/>
          <w:lang w:val="zh-CN"/>
        </w:rPr>
        <w:t>日</w:t>
      </w:r>
      <w:r w:rsidRPr="00D47A31">
        <w:rPr>
          <w:rFonts w:ascii="SimSun" w:hint="eastAsia"/>
          <w:sz w:val="24"/>
          <w:szCs w:val="24"/>
          <w:lang w:val="en-US"/>
        </w:rPr>
        <w:t>）</w:t>
      </w:r>
      <w:r w:rsidRPr="00D47A31">
        <w:rPr>
          <w:rFonts w:ascii="SimSun" w:hint="eastAsia"/>
          <w:sz w:val="24"/>
          <w:szCs w:val="24"/>
          <w:lang w:val="zh-CN"/>
        </w:rPr>
        <w:t>和第二十一次会议</w:t>
      </w:r>
      <w:r w:rsidRPr="00D47A31">
        <w:rPr>
          <w:rFonts w:ascii="SimSun" w:hint="eastAsia"/>
          <w:sz w:val="24"/>
          <w:szCs w:val="24"/>
          <w:lang w:val="en-US"/>
        </w:rPr>
        <w:t>（</w:t>
      </w:r>
      <w:smartTag w:uri="urn:schemas-microsoft-com:office:smarttags" w:element="chsdate">
        <w:smartTagPr>
          <w:attr w:name="IsROCDate" w:val="False"/>
          <w:attr w:name="IsLunarDate" w:val="False"/>
          <w:attr w:name="Day" w:val="10"/>
          <w:attr w:name="Month" w:val="6"/>
          <w:attr w:name="Year" w:val="2026"/>
        </w:smartTagPr>
        <w:r w:rsidRPr="00D47A31">
          <w:rPr>
            <w:sz w:val="24"/>
            <w:szCs w:val="24"/>
            <w:lang w:val="en-US"/>
          </w:rPr>
          <w:t>2026</w:t>
        </w:r>
        <w:r w:rsidRPr="00D47A31">
          <w:rPr>
            <w:rFonts w:ascii="SimSun" w:hint="eastAsia"/>
            <w:sz w:val="24"/>
            <w:szCs w:val="24"/>
            <w:lang w:val="zh-CN"/>
          </w:rPr>
          <w:t>年</w:t>
        </w:r>
        <w:r w:rsidRPr="00D47A31">
          <w:rPr>
            <w:sz w:val="24"/>
            <w:szCs w:val="24"/>
            <w:lang w:val="en-US"/>
          </w:rPr>
          <w:t>6</w:t>
        </w:r>
        <w:r w:rsidRPr="00D47A31">
          <w:rPr>
            <w:rFonts w:ascii="SimSun" w:hint="eastAsia"/>
            <w:sz w:val="24"/>
            <w:szCs w:val="24"/>
            <w:lang w:val="zh-CN"/>
          </w:rPr>
          <w:t>月</w:t>
        </w:r>
        <w:r w:rsidRPr="00D47A31">
          <w:rPr>
            <w:sz w:val="24"/>
            <w:szCs w:val="24"/>
            <w:lang w:val="en-US"/>
          </w:rPr>
          <w:t>10</w:t>
        </w:r>
        <w:r w:rsidRPr="00D47A31">
          <w:rPr>
            <w:rFonts w:ascii="SimSun" w:hint="eastAsia"/>
            <w:sz w:val="24"/>
            <w:szCs w:val="24"/>
            <w:lang w:val="zh-CN"/>
          </w:rPr>
          <w:t>日</w:t>
        </w:r>
      </w:smartTag>
      <w:r w:rsidRPr="00D47A31">
        <w:rPr>
          <w:rFonts w:ascii="SimSun" w:hint="eastAsia"/>
          <w:sz w:val="24"/>
          <w:szCs w:val="24"/>
          <w:lang w:val="zh-CN"/>
        </w:rPr>
        <w:t>至</w:t>
      </w:r>
      <w:r w:rsidRPr="00D47A31">
        <w:rPr>
          <w:sz w:val="24"/>
          <w:szCs w:val="24"/>
          <w:lang w:val="en-US"/>
        </w:rPr>
        <w:t>12</w:t>
      </w:r>
      <w:r w:rsidRPr="00D47A31">
        <w:rPr>
          <w:rFonts w:ascii="SimSun" w:hint="eastAsia"/>
          <w:sz w:val="24"/>
          <w:szCs w:val="24"/>
          <w:lang w:val="zh-CN"/>
        </w:rPr>
        <w:t>日</w:t>
      </w:r>
      <w:r w:rsidRPr="00D47A31">
        <w:rPr>
          <w:rFonts w:ascii="SimSun" w:hint="eastAsia"/>
          <w:sz w:val="24"/>
          <w:szCs w:val="24"/>
          <w:lang w:val="en-US"/>
        </w:rPr>
        <w:t>）</w:t>
      </w:r>
      <w:r w:rsidRPr="00D47A31">
        <w:rPr>
          <w:rFonts w:ascii="SimSun" w:hint="eastAsia"/>
          <w:sz w:val="24"/>
          <w:szCs w:val="24"/>
          <w:lang w:val="zh-CN"/>
        </w:rPr>
        <w:t>。这两次会议均在加拿大蒙特利尔的秘书处办公地点举行。</w:t>
      </w:r>
      <w:r w:rsidRPr="00D47A31">
        <w:rPr>
          <w:sz w:val="24"/>
          <w:szCs w:val="24"/>
        </w:rPr>
        <w:t xml:space="preserve"> </w:t>
      </w:r>
    </w:p>
    <w:p w14:paraId="149DCCD0"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t>本文件载有这两次会议讨论情况及成果的综合摘要。委员会向作为议定书缔约方会议的缔约方大会提出的建议载于本报告附件一。</w:t>
      </w:r>
      <w:r w:rsidRPr="00D47A31">
        <w:rPr>
          <w:sz w:val="24"/>
          <w:szCs w:val="24"/>
        </w:rPr>
        <w:t xml:space="preserve"> </w:t>
      </w:r>
    </w:p>
    <w:p w14:paraId="04C6F1AD"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t>委员会关于其第二十次和第二十一次会议工作的完整报告</w:t>
      </w:r>
      <w:r w:rsidRPr="00D47A31">
        <w:rPr>
          <w:rStyle w:val="FootnoteReference"/>
          <w:sz w:val="24"/>
          <w:szCs w:val="24"/>
          <w:lang w:val="zh-CN"/>
        </w:rPr>
        <w:footnoteReference w:id="2"/>
      </w:r>
      <w:r w:rsidRPr="00D47A31">
        <w:rPr>
          <w:rFonts w:ascii="SimSun" w:hint="eastAsia"/>
          <w:sz w:val="24"/>
          <w:szCs w:val="24"/>
          <w:lang w:val="zh-CN"/>
        </w:rPr>
        <w:t>以及会议的工作文件均可在秘书处网站查阅。</w:t>
      </w:r>
      <w:r w:rsidRPr="00D47A31">
        <w:rPr>
          <w:sz w:val="24"/>
          <w:szCs w:val="24"/>
        </w:rPr>
        <w:t xml:space="preserve"> </w:t>
      </w:r>
    </w:p>
    <w:p w14:paraId="5F323078" w14:textId="77777777" w:rsidR="00E65D65" w:rsidRPr="00D47A31" w:rsidRDefault="00E65D65">
      <w:pPr>
        <w:pStyle w:val="CBDH1"/>
        <w:numPr>
          <w:ilvl w:val="0"/>
          <w:numId w:val="20"/>
        </w:numPr>
        <w:rPr>
          <w:sz w:val="24"/>
          <w:szCs w:val="24"/>
          <w:lang w:val="en-US"/>
        </w:rPr>
      </w:pPr>
      <w:r w:rsidRPr="00D47A31">
        <w:rPr>
          <w:rFonts w:ascii="SimSun" w:hint="eastAsia"/>
          <w:sz w:val="24"/>
          <w:szCs w:val="24"/>
          <w:lang w:val="zh-CN"/>
        </w:rPr>
        <w:t>讨论情况及成果的综合摘要</w:t>
      </w:r>
    </w:p>
    <w:p w14:paraId="237A5565"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lang w:val="en-US"/>
        </w:rPr>
      </w:pPr>
      <w:bookmarkStart w:id="2" w:name="_Hlk166443072"/>
      <w:r w:rsidRPr="00D47A31">
        <w:rPr>
          <w:rFonts w:ascii="SimSun" w:hint="eastAsia"/>
          <w:sz w:val="24"/>
          <w:szCs w:val="24"/>
          <w:lang w:val="zh-CN"/>
        </w:rPr>
        <w:t>在第二十次会议上</w:t>
      </w:r>
      <w:r w:rsidRPr="00D47A31">
        <w:rPr>
          <w:rFonts w:ascii="SimSun" w:hint="eastAsia"/>
          <w:sz w:val="24"/>
          <w:szCs w:val="24"/>
          <w:lang w:val="en-US"/>
        </w:rPr>
        <w:t>，</w:t>
      </w:r>
      <w:r w:rsidRPr="00D47A31">
        <w:rPr>
          <w:rFonts w:ascii="SimSun" w:hint="eastAsia"/>
          <w:sz w:val="24"/>
          <w:szCs w:val="24"/>
          <w:lang w:val="zh-CN"/>
        </w:rPr>
        <w:t>委员会根据履约委员会议事规则第</w:t>
      </w:r>
      <w:r w:rsidRPr="00D47A31">
        <w:rPr>
          <w:sz w:val="24"/>
          <w:szCs w:val="24"/>
          <w:lang w:val="en-US"/>
        </w:rPr>
        <w:t>12.1</w:t>
      </w:r>
      <w:r w:rsidRPr="00D47A31">
        <w:rPr>
          <w:rFonts w:ascii="SimSun" w:hint="eastAsia"/>
          <w:sz w:val="24"/>
          <w:szCs w:val="24"/>
          <w:lang w:val="zh-CN"/>
        </w:rPr>
        <w:t>条</w:t>
      </w:r>
      <w:r w:rsidRPr="00D47A31">
        <w:rPr>
          <w:rFonts w:ascii="SimSun" w:hint="eastAsia"/>
          <w:sz w:val="24"/>
          <w:szCs w:val="24"/>
          <w:lang w:val="en-US"/>
        </w:rPr>
        <w:t>，</w:t>
      </w:r>
      <w:r w:rsidRPr="00D47A31">
        <w:rPr>
          <w:rFonts w:ascii="SimSun" w:hint="eastAsia"/>
          <w:sz w:val="24"/>
          <w:szCs w:val="24"/>
          <w:lang w:val="zh-CN"/>
        </w:rPr>
        <w:t>选举</w:t>
      </w:r>
      <w:r w:rsidRPr="00D47A31">
        <w:rPr>
          <w:sz w:val="24"/>
          <w:szCs w:val="24"/>
          <w:lang w:val="en-US"/>
        </w:rPr>
        <w:t>Yan Liu</w:t>
      </w:r>
      <w:r w:rsidRPr="00D47A31">
        <w:rPr>
          <w:rFonts w:ascii="SimSun" w:hint="eastAsia"/>
          <w:sz w:val="24"/>
          <w:szCs w:val="24"/>
          <w:lang w:val="zh-CN"/>
        </w:rPr>
        <w:t>为主席和</w:t>
      </w:r>
      <w:r w:rsidRPr="00D47A31">
        <w:rPr>
          <w:sz w:val="24"/>
          <w:szCs w:val="24"/>
          <w:lang w:val="en-US"/>
        </w:rPr>
        <w:t>Casper Linnestad</w:t>
      </w:r>
      <w:r w:rsidRPr="00D47A31">
        <w:rPr>
          <w:rFonts w:ascii="SimSun" w:hint="eastAsia"/>
          <w:sz w:val="24"/>
          <w:szCs w:val="24"/>
          <w:lang w:val="zh-CN"/>
        </w:rPr>
        <w:t>为副主席。</w:t>
      </w:r>
    </w:p>
    <w:bookmarkEnd w:id="2"/>
    <w:p w14:paraId="272AC974"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t>在同次会议上</w:t>
      </w:r>
      <w:r w:rsidRPr="00D47A31">
        <w:rPr>
          <w:rFonts w:ascii="SimSun" w:hint="eastAsia"/>
          <w:sz w:val="24"/>
          <w:szCs w:val="24"/>
          <w:lang w:val="en-US"/>
        </w:rPr>
        <w:t>，</w:t>
      </w:r>
      <w:r w:rsidRPr="00D47A31">
        <w:rPr>
          <w:rFonts w:ascii="SimSun" w:hint="eastAsia"/>
          <w:sz w:val="24"/>
          <w:szCs w:val="24"/>
          <w:lang w:val="zh-CN"/>
        </w:rPr>
        <w:t>委员会审议了作为议定书缔约方会议的缔约方大会第十一次会议关于与履约相关各个议题的成果</w:t>
      </w:r>
      <w:r w:rsidRPr="00D47A31">
        <w:rPr>
          <w:rFonts w:ascii="SimSun" w:hint="eastAsia"/>
          <w:sz w:val="24"/>
          <w:szCs w:val="24"/>
          <w:lang w:val="en-US"/>
        </w:rPr>
        <w:t>，</w:t>
      </w:r>
      <w:r w:rsidRPr="00D47A31">
        <w:rPr>
          <w:rFonts w:ascii="SimSun" w:hint="eastAsia"/>
          <w:sz w:val="24"/>
          <w:szCs w:val="24"/>
          <w:lang w:val="zh-CN"/>
        </w:rPr>
        <w:t>并对作为议定书缔约方会议的缔约方大会对其提出的建议进行积极审议并作少量修改表示欢迎。在讨论第</w:t>
      </w:r>
      <w:hyperlink r:id="rId13" w:history="1">
        <w:r w:rsidRPr="00D47A31">
          <w:rPr>
            <w:rStyle w:val="Hyperlink"/>
            <w:sz w:val="24"/>
            <w:szCs w:val="24"/>
            <w:lang w:val="zh-CN"/>
          </w:rPr>
          <w:t>CP-11/1 B</w:t>
        </w:r>
      </w:hyperlink>
      <w:r w:rsidRPr="00D47A31">
        <w:rPr>
          <w:rFonts w:ascii="SimSun" w:hint="eastAsia"/>
          <w:sz w:val="24"/>
          <w:szCs w:val="24"/>
          <w:lang w:val="zh-CN"/>
        </w:rPr>
        <w:t>号决定时，委员会指出，它向七个缔约方发出告诫的建议可能促使其中四个缔约方会在作为议定书缔约方会议的缔约方大会第十一次会议举行之前提交其第四次国家报告。</w:t>
      </w:r>
    </w:p>
    <w:p w14:paraId="2F7F1EBD"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lastRenderedPageBreak/>
        <w:t>委员会欢迎作为议定书缔约方会议的缔约方大会对其关于</w:t>
      </w:r>
      <w:r w:rsidRPr="00D47A31">
        <w:rPr>
          <w:sz w:val="24"/>
          <w:szCs w:val="24"/>
        </w:rPr>
        <w:t>“</w:t>
      </w:r>
      <w:r w:rsidRPr="00D47A31">
        <w:rPr>
          <w:rFonts w:ascii="SimSun" w:hint="eastAsia"/>
          <w:sz w:val="24"/>
          <w:szCs w:val="24"/>
          <w:lang w:val="zh-CN"/>
        </w:rPr>
        <w:t>改性活生物体</w:t>
      </w:r>
      <w:r w:rsidRPr="00D47A31">
        <w:rPr>
          <w:sz w:val="24"/>
          <w:szCs w:val="24"/>
        </w:rPr>
        <w:t>”</w:t>
      </w:r>
      <w:r w:rsidRPr="00D47A31">
        <w:rPr>
          <w:rFonts w:ascii="SimSun" w:hint="eastAsia"/>
          <w:sz w:val="24"/>
          <w:szCs w:val="24"/>
          <w:lang w:val="zh-CN"/>
        </w:rPr>
        <w:t>定义的不同解释及立法方式的差异所带来的影响而进行的讨论</w:t>
      </w:r>
      <w:r w:rsidRPr="00D47A31">
        <w:rPr>
          <w:rFonts w:ascii="SimSun" w:hint="eastAsia"/>
          <w:sz w:val="24"/>
          <w:szCs w:val="24"/>
        </w:rPr>
        <w:t>，</w:t>
      </w:r>
      <w:r w:rsidRPr="00D47A31">
        <w:rPr>
          <w:rFonts w:ascii="SimSun" w:hint="eastAsia"/>
          <w:sz w:val="24"/>
          <w:szCs w:val="24"/>
          <w:lang w:val="zh-CN"/>
        </w:rPr>
        <w:t>以及由此通过的第</w:t>
      </w:r>
      <w:hyperlink r:id="rId14" w:history="1">
        <w:r w:rsidRPr="00D47A31">
          <w:rPr>
            <w:rStyle w:val="Hyperlink"/>
            <w:sz w:val="24"/>
            <w:szCs w:val="24"/>
            <w:shd w:val="clear" w:color="auto" w:fill="FFFFFF"/>
          </w:rPr>
          <w:t>CP-11/1</w:t>
        </w:r>
        <w:r w:rsidRPr="00D47A31">
          <w:rPr>
            <w:rStyle w:val="Hyperlink"/>
            <w:sz w:val="24"/>
            <w:szCs w:val="24"/>
          </w:rPr>
          <w:t> C</w:t>
        </w:r>
      </w:hyperlink>
      <w:r w:rsidRPr="00D47A31">
        <w:rPr>
          <w:rFonts w:ascii="SimSun" w:hint="eastAsia"/>
          <w:sz w:val="24"/>
          <w:szCs w:val="24"/>
          <w:lang w:val="zh-CN"/>
        </w:rPr>
        <w:t>号决定。</w:t>
      </w:r>
      <w:r w:rsidRPr="00D47A31">
        <w:rPr>
          <w:sz w:val="24"/>
          <w:szCs w:val="24"/>
          <w:shd w:val="clear" w:color="auto" w:fill="FFFFFF"/>
        </w:rPr>
        <w:t xml:space="preserve"> </w:t>
      </w:r>
    </w:p>
    <w:p w14:paraId="3ACB09F5"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t>委员会还在第二十次会议上</w:t>
      </w:r>
      <w:r w:rsidRPr="00D47A31">
        <w:rPr>
          <w:rFonts w:ascii="SimSun" w:hint="eastAsia"/>
          <w:sz w:val="24"/>
          <w:szCs w:val="24"/>
        </w:rPr>
        <w:t>，</w:t>
      </w:r>
      <w:r w:rsidRPr="00D47A31">
        <w:rPr>
          <w:rFonts w:ascii="SimSun" w:hint="eastAsia"/>
          <w:sz w:val="24"/>
          <w:szCs w:val="24"/>
          <w:lang w:val="zh-CN"/>
        </w:rPr>
        <w:t>根据生物安全信息交换所的信息审查了缔约方的履约情况。它欢迎缔约方向生物安全信息交换所继续提供准确和完整的信息所作的努力，并请执行秘书继续就此与缔约方进行后续跟进和联络。它还就此提出若干建议，供作为议定书缔约方会议的缔约方大会第十二次会议审议，具体内容载于下文附件一。</w:t>
      </w:r>
    </w:p>
    <w:p w14:paraId="1A49D8EB"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t>在同次会议上</w:t>
      </w:r>
      <w:r w:rsidRPr="00D47A31">
        <w:rPr>
          <w:rFonts w:ascii="SimSun" w:hint="eastAsia"/>
          <w:sz w:val="24"/>
          <w:szCs w:val="24"/>
        </w:rPr>
        <w:t>，</w:t>
      </w:r>
      <w:r w:rsidRPr="00D47A31">
        <w:rPr>
          <w:rFonts w:ascii="SimSun" w:hint="eastAsia"/>
          <w:sz w:val="24"/>
          <w:szCs w:val="24"/>
          <w:lang w:val="zh-CN"/>
        </w:rPr>
        <w:t>委员会审查了与履约有关的各项普遍问题</w:t>
      </w:r>
      <w:r w:rsidRPr="00D47A31">
        <w:rPr>
          <w:rFonts w:ascii="SimSun" w:hint="eastAsia"/>
          <w:sz w:val="24"/>
          <w:szCs w:val="24"/>
        </w:rPr>
        <w:t>，</w:t>
      </w:r>
      <w:r w:rsidRPr="00D47A31">
        <w:rPr>
          <w:rFonts w:ascii="SimSun" w:hint="eastAsia"/>
          <w:sz w:val="24"/>
          <w:szCs w:val="24"/>
          <w:lang w:val="zh-CN"/>
        </w:rPr>
        <w:t>并就缔约方的履约问题决定采取若干后续行动</w:t>
      </w:r>
      <w:r w:rsidRPr="00D47A31">
        <w:rPr>
          <w:rFonts w:ascii="SimSun" w:hint="eastAsia"/>
          <w:sz w:val="24"/>
          <w:szCs w:val="24"/>
        </w:rPr>
        <w:t>，</w:t>
      </w:r>
      <w:r w:rsidRPr="00D47A31">
        <w:rPr>
          <w:rFonts w:ascii="SimSun" w:hint="eastAsia"/>
          <w:sz w:val="24"/>
          <w:szCs w:val="24"/>
          <w:lang w:val="zh-CN"/>
        </w:rPr>
        <w:t>重点关注采取必要措施实施议定书的义务以及提交国家报告的义务。</w:t>
      </w:r>
      <w:r w:rsidRPr="00D47A31">
        <w:rPr>
          <w:sz w:val="24"/>
          <w:szCs w:val="24"/>
        </w:rPr>
        <w:t xml:space="preserve"> </w:t>
      </w:r>
    </w:p>
    <w:p w14:paraId="1E136BD7"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t>委员会还在第二十次会议上对自第十九次会议以来发布的各份第四次国家报告表示欢迎。然而，它对仍有</w:t>
      </w:r>
      <w:r w:rsidRPr="00D47A31">
        <w:rPr>
          <w:sz w:val="24"/>
          <w:szCs w:val="24"/>
          <w:lang w:val="zh-CN"/>
        </w:rPr>
        <w:t>12</w:t>
      </w:r>
      <w:r w:rsidRPr="00D47A31">
        <w:rPr>
          <w:rFonts w:ascii="SimSun" w:hint="eastAsia"/>
          <w:sz w:val="24"/>
          <w:szCs w:val="24"/>
          <w:lang w:val="zh-CN"/>
        </w:rPr>
        <w:t>个缔约方未提交第四次国家报告表示关切，并商定在第二十一次会议结合对提交第五次国家报告的义务的履约情况审查这些情况。</w:t>
      </w:r>
      <w:r w:rsidRPr="00D47A31">
        <w:rPr>
          <w:sz w:val="24"/>
          <w:szCs w:val="24"/>
        </w:rPr>
        <w:t xml:space="preserve"> </w:t>
      </w:r>
    </w:p>
    <w:p w14:paraId="6A1CE0FC"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t>鉴于只有那些已通过生物安全信息交换所发布其第四次国家报告的缔约方所提交的第五次国家报告才会被纳入关于议定书有效性的第五次评估与审查以及议定书执行计划的中期评估</w:t>
      </w:r>
      <w:r w:rsidRPr="00D47A31">
        <w:rPr>
          <w:rFonts w:ascii="SimSun" w:hint="eastAsia"/>
          <w:sz w:val="24"/>
          <w:szCs w:val="24"/>
        </w:rPr>
        <w:t>，</w:t>
      </w:r>
      <w:r w:rsidRPr="00D47A31">
        <w:rPr>
          <w:rFonts w:ascii="SimSun" w:hint="eastAsia"/>
          <w:sz w:val="24"/>
          <w:szCs w:val="24"/>
          <w:lang w:val="zh-CN"/>
        </w:rPr>
        <w:t>委员会决定将后续工作重点放在以非在线方式提交了第四次国家报告的八个缔约方。委员会请执行秘书致函有关缔约方的国家联络点，要求其通过生物安全信息交换所发布其国家报告。</w:t>
      </w:r>
      <w:r w:rsidRPr="00D47A31">
        <w:rPr>
          <w:sz w:val="24"/>
          <w:szCs w:val="24"/>
        </w:rPr>
        <w:t xml:space="preserve"> </w:t>
      </w:r>
    </w:p>
    <w:p w14:paraId="70F00121"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u w:color="000000"/>
        </w:rPr>
      </w:pPr>
      <w:r w:rsidRPr="00D47A31">
        <w:rPr>
          <w:rFonts w:ascii="SimSun" w:hint="eastAsia"/>
          <w:sz w:val="24"/>
          <w:szCs w:val="24"/>
          <w:lang w:val="zh-CN"/>
        </w:rPr>
        <w:t>在第二十次和第二十一次会议审议一般履约问题时</w:t>
      </w:r>
      <w:r w:rsidRPr="00D47A31">
        <w:rPr>
          <w:rFonts w:ascii="SimSun" w:hint="eastAsia"/>
          <w:sz w:val="24"/>
          <w:szCs w:val="24"/>
        </w:rPr>
        <w:t>，</w:t>
      </w:r>
      <w:r w:rsidRPr="00D47A31">
        <w:rPr>
          <w:rFonts w:ascii="SimSun" w:hint="eastAsia"/>
          <w:sz w:val="24"/>
          <w:szCs w:val="24"/>
          <w:lang w:val="zh-CN"/>
        </w:rPr>
        <w:t>委员会审议了秘书处与以下缔约方沟通的结果</w:t>
      </w:r>
      <w:r w:rsidRPr="00D47A31">
        <w:rPr>
          <w:rFonts w:ascii="SimSun" w:hint="eastAsia"/>
          <w:sz w:val="24"/>
          <w:szCs w:val="24"/>
        </w:rPr>
        <w:t>；</w:t>
      </w:r>
      <w:r w:rsidRPr="00D47A31">
        <w:rPr>
          <w:rFonts w:ascii="SimSun" w:hint="eastAsia"/>
          <w:sz w:val="24"/>
          <w:szCs w:val="24"/>
          <w:lang w:val="zh-CN"/>
        </w:rPr>
        <w:t>这些缔约方报告称它们已全部或部分落实国家措施</w:t>
      </w:r>
      <w:r w:rsidRPr="00D47A31">
        <w:rPr>
          <w:rFonts w:ascii="SimSun" w:hint="eastAsia"/>
          <w:sz w:val="24"/>
          <w:szCs w:val="24"/>
        </w:rPr>
        <w:t>，</w:t>
      </w:r>
      <w:r w:rsidRPr="00D47A31">
        <w:rPr>
          <w:rFonts w:ascii="SimSun" w:hint="eastAsia"/>
          <w:sz w:val="24"/>
          <w:szCs w:val="24"/>
          <w:lang w:val="zh-CN"/>
        </w:rPr>
        <w:t>但要么尚未通过信息交换所发布任何措施</w:t>
      </w:r>
      <w:r w:rsidRPr="00D47A31">
        <w:rPr>
          <w:rFonts w:ascii="SimSun" w:hint="eastAsia"/>
          <w:sz w:val="24"/>
          <w:szCs w:val="24"/>
        </w:rPr>
        <w:t>，</w:t>
      </w:r>
      <w:r w:rsidRPr="00D47A31">
        <w:rPr>
          <w:rFonts w:ascii="SimSun" w:hint="eastAsia"/>
          <w:sz w:val="24"/>
          <w:szCs w:val="24"/>
          <w:lang w:val="zh-CN"/>
        </w:rPr>
        <w:t>要么仅发布了联合国环境规划署由全球环境基金资助旨在制定国家生物安全框架项目下制定的国家生物安全框架。它对相关缔约方中若干缔约方通过信息交换所发布此类措施表示欢迎。在第二十一次会议上，委员会请秘书处继续跟进其余缔约方，要求其紧急上传相关措施。</w:t>
      </w:r>
    </w:p>
    <w:p w14:paraId="42684A2C"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t>委员会在第二十一次会议审议一般履约问题时</w:t>
      </w:r>
      <w:r w:rsidRPr="00D47A31">
        <w:rPr>
          <w:rFonts w:ascii="SimSun" w:hint="eastAsia"/>
          <w:sz w:val="24"/>
          <w:szCs w:val="24"/>
        </w:rPr>
        <w:t>，</w:t>
      </w:r>
      <w:r w:rsidRPr="00D47A31">
        <w:rPr>
          <w:rFonts w:ascii="SimSun" w:hint="eastAsia"/>
          <w:sz w:val="24"/>
          <w:szCs w:val="24"/>
          <w:lang w:val="zh-CN"/>
        </w:rPr>
        <w:t>审议了关于指定联络点以及提交第四次和第五次国家报告的最新进展。</w:t>
      </w:r>
      <w:r w:rsidRPr="00D47A31">
        <w:rPr>
          <w:sz w:val="24"/>
          <w:szCs w:val="24"/>
        </w:rPr>
        <w:t xml:space="preserve"> </w:t>
      </w:r>
    </w:p>
    <w:p w14:paraId="35F24523"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t>委员会对所有有能力这样做的缔约方均已指定其生物安全信息交换所国家联络点表示欢迎</w:t>
      </w:r>
      <w:r w:rsidRPr="00D47A31">
        <w:rPr>
          <w:rFonts w:ascii="SimSun" w:hint="eastAsia"/>
          <w:sz w:val="24"/>
          <w:szCs w:val="24"/>
        </w:rPr>
        <w:t>，</w:t>
      </w:r>
      <w:r w:rsidRPr="00D47A31">
        <w:rPr>
          <w:rFonts w:ascii="SimSun" w:hint="eastAsia"/>
          <w:sz w:val="24"/>
          <w:szCs w:val="24"/>
          <w:lang w:val="zh-CN"/>
        </w:rPr>
        <w:t>但关切地注意到</w:t>
      </w:r>
      <w:r w:rsidRPr="00D47A31">
        <w:rPr>
          <w:rFonts w:ascii="SimSun" w:hint="eastAsia"/>
          <w:sz w:val="24"/>
          <w:szCs w:val="24"/>
        </w:rPr>
        <w:t>，</w:t>
      </w:r>
      <w:r w:rsidRPr="00D47A31">
        <w:rPr>
          <w:rFonts w:ascii="SimSun" w:hint="eastAsia"/>
          <w:sz w:val="24"/>
          <w:szCs w:val="24"/>
          <w:lang w:val="zh-CN"/>
        </w:rPr>
        <w:t>仍有一个缔约方未指定其议定书的国家联络点。委员会还表示关切，指出许多缔约方仍未根据第</w:t>
      </w:r>
      <w:r w:rsidRPr="00D47A31">
        <w:rPr>
          <w:sz w:val="24"/>
          <w:szCs w:val="24"/>
          <w:lang w:val="zh-CN"/>
        </w:rPr>
        <w:t>17</w:t>
      </w:r>
      <w:r w:rsidRPr="00D47A31">
        <w:rPr>
          <w:rFonts w:ascii="SimSun" w:hint="eastAsia"/>
          <w:sz w:val="24"/>
          <w:szCs w:val="24"/>
          <w:lang w:val="zh-CN"/>
        </w:rPr>
        <w:t>条通过生物安全信息交换所发布信息的要求，提供其国家主管当局或联络点的信息。委员会请执行秘书跟进有关缔约方。</w:t>
      </w:r>
      <w:r w:rsidRPr="00D47A31">
        <w:rPr>
          <w:sz w:val="24"/>
          <w:szCs w:val="24"/>
        </w:rPr>
        <w:t xml:space="preserve"> </w:t>
      </w:r>
    </w:p>
    <w:p w14:paraId="2A5330AC"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t>委员会在同次会议对</w:t>
      </w:r>
      <w:r w:rsidRPr="00D47A31">
        <w:rPr>
          <w:sz w:val="24"/>
          <w:szCs w:val="24"/>
          <w:lang w:val="en-US"/>
        </w:rPr>
        <w:t>119</w:t>
      </w:r>
      <w:r w:rsidRPr="00D47A31">
        <w:rPr>
          <w:rFonts w:ascii="SimSun" w:hint="eastAsia"/>
          <w:sz w:val="24"/>
          <w:szCs w:val="24"/>
          <w:lang w:val="zh-CN"/>
        </w:rPr>
        <w:t>个缔约方在</w:t>
      </w:r>
      <w:smartTag w:uri="urn:schemas-microsoft-com:office:smarttags" w:element="chsdate">
        <w:smartTagPr>
          <w:attr w:name="IsROCDate" w:val="False"/>
          <w:attr w:name="IsLunarDate" w:val="False"/>
          <w:attr w:name="Day" w:val="28"/>
          <w:attr w:name="Month" w:val="2"/>
          <w:attr w:name="Year" w:val="2026"/>
        </w:smartTagPr>
        <w:r w:rsidRPr="00D47A31">
          <w:rPr>
            <w:sz w:val="24"/>
            <w:szCs w:val="24"/>
            <w:lang w:val="en-US"/>
          </w:rPr>
          <w:t>2026</w:t>
        </w:r>
        <w:r w:rsidRPr="00D47A31">
          <w:rPr>
            <w:rFonts w:ascii="SimSun" w:hint="eastAsia"/>
            <w:sz w:val="24"/>
            <w:szCs w:val="24"/>
            <w:lang w:val="zh-CN"/>
          </w:rPr>
          <w:t>年</w:t>
        </w:r>
        <w:r w:rsidRPr="00D47A31">
          <w:rPr>
            <w:sz w:val="24"/>
            <w:szCs w:val="24"/>
            <w:lang w:val="en-US"/>
          </w:rPr>
          <w:t>2</w:t>
        </w:r>
        <w:r w:rsidRPr="00D47A31">
          <w:rPr>
            <w:rFonts w:ascii="SimSun" w:hint="eastAsia"/>
            <w:sz w:val="24"/>
            <w:szCs w:val="24"/>
            <w:lang w:val="zh-CN"/>
          </w:rPr>
          <w:t>月</w:t>
        </w:r>
        <w:r w:rsidRPr="00D47A31">
          <w:rPr>
            <w:sz w:val="24"/>
            <w:szCs w:val="24"/>
            <w:lang w:val="en-US"/>
          </w:rPr>
          <w:t>28</w:t>
        </w:r>
        <w:r w:rsidRPr="00D47A31">
          <w:rPr>
            <w:rFonts w:ascii="SimSun" w:hint="eastAsia"/>
            <w:sz w:val="24"/>
            <w:szCs w:val="24"/>
            <w:lang w:val="zh-CN"/>
          </w:rPr>
          <w:t>日</w:t>
        </w:r>
      </w:smartTag>
      <w:r w:rsidRPr="00D47A31">
        <w:rPr>
          <w:rFonts w:ascii="SimSun" w:hint="eastAsia"/>
          <w:sz w:val="24"/>
          <w:szCs w:val="24"/>
          <w:lang w:val="zh-CN"/>
        </w:rPr>
        <w:t>报告截止日期前提交第五次国家报告表示赞赏。它对秘书处、联合国环境规划署和全球环境基金为支持缔约方在编制和发布国家报告方面提供技术和资金援助所作的努力表示欢迎。</w:t>
      </w:r>
      <w:r w:rsidRPr="00D47A31">
        <w:rPr>
          <w:sz w:val="24"/>
          <w:szCs w:val="24"/>
        </w:rPr>
        <w:t xml:space="preserve"> </w:t>
      </w:r>
    </w:p>
    <w:p w14:paraId="547F11F9"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t>委员会讨论了与编制第五次国家报告有关的经验。委员会认识到，同时报告《生物多样性公约》及其议定书下共享的信息的好处；但也了解到在同一日期提交多份不同报告给许多缔约方特别是人力资源有限的缔约方带来的挑战。</w:t>
      </w:r>
      <w:r w:rsidRPr="00D47A31">
        <w:rPr>
          <w:sz w:val="24"/>
          <w:szCs w:val="24"/>
        </w:rPr>
        <w:t xml:space="preserve"> </w:t>
      </w:r>
    </w:p>
    <w:p w14:paraId="29E14EFB"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lastRenderedPageBreak/>
        <w:t>委员会审议了如何加强对未来报告工作的支持</w:t>
      </w:r>
      <w:r w:rsidRPr="00D47A31">
        <w:rPr>
          <w:rFonts w:ascii="SimSun" w:hint="eastAsia"/>
          <w:sz w:val="24"/>
          <w:szCs w:val="24"/>
        </w:rPr>
        <w:t>，</w:t>
      </w:r>
      <w:r w:rsidRPr="00D47A31">
        <w:rPr>
          <w:rFonts w:ascii="SimSun" w:hint="eastAsia"/>
          <w:sz w:val="24"/>
          <w:szCs w:val="24"/>
          <w:lang w:val="zh-CN"/>
        </w:rPr>
        <w:t>包括在报告截止日期之前更早提供支持。</w:t>
      </w:r>
    </w:p>
    <w:p w14:paraId="439FBEA3"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t>委员会商定了针对尚未提交第五次国家报告的缔约方采取的后续行动。</w:t>
      </w:r>
      <w:r w:rsidRPr="00D47A31">
        <w:rPr>
          <w:sz w:val="24"/>
          <w:szCs w:val="24"/>
        </w:rPr>
        <w:t xml:space="preserve"> </w:t>
      </w:r>
    </w:p>
    <w:p w14:paraId="626149AE"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t>委员会欢迎自第二十次会议以来通过生物安全信息交换所提交并发布的其他第四次国家报告</w:t>
      </w:r>
      <w:r w:rsidRPr="00D47A31">
        <w:rPr>
          <w:rFonts w:ascii="SimSun" w:hint="eastAsia"/>
          <w:sz w:val="24"/>
          <w:szCs w:val="24"/>
        </w:rPr>
        <w:t>，</w:t>
      </w:r>
      <w:r w:rsidRPr="00D47A31">
        <w:rPr>
          <w:rFonts w:ascii="SimSun" w:hint="eastAsia"/>
          <w:sz w:val="24"/>
          <w:szCs w:val="24"/>
          <w:lang w:val="zh-CN"/>
        </w:rPr>
        <w:t>包括几份此前仅以离线方式提交的报告</w:t>
      </w:r>
      <w:r w:rsidRPr="00D47A31">
        <w:rPr>
          <w:rFonts w:ascii="SimSun" w:hint="eastAsia"/>
          <w:sz w:val="24"/>
          <w:szCs w:val="24"/>
        </w:rPr>
        <w:t>，</w:t>
      </w:r>
      <w:r w:rsidRPr="00D47A31">
        <w:rPr>
          <w:rFonts w:ascii="SimSun" w:hint="eastAsia"/>
          <w:sz w:val="24"/>
          <w:szCs w:val="24"/>
          <w:lang w:val="zh-CN"/>
        </w:rPr>
        <w:t>但对尚有五个缔约方未提交第四次或第五次国家报告表示关切。委员会决定跟进有关缔约方的情况，并同意在第二十二次会议结合个别不遵守履约规定的案例审议此事。</w:t>
      </w:r>
    </w:p>
    <w:p w14:paraId="49548994"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t>在第二十次和第二十一次会议上，委员会在审查个别不遵守履约规定案例的背景下，继续审议了缔约方未履行报告义务（第</w:t>
      </w:r>
      <w:r w:rsidRPr="00D47A31">
        <w:rPr>
          <w:sz w:val="24"/>
          <w:szCs w:val="24"/>
          <w:lang w:val="zh-CN"/>
        </w:rPr>
        <w:t>33</w:t>
      </w:r>
      <w:r w:rsidRPr="00D47A31">
        <w:rPr>
          <w:rFonts w:ascii="SimSun" w:hint="eastAsia"/>
          <w:sz w:val="24"/>
          <w:szCs w:val="24"/>
          <w:lang w:val="zh-CN"/>
        </w:rPr>
        <w:t>条）以及未履行采取必要和适当的法律、行政管理及其他措施以实施议定书规定的义务（第</w:t>
      </w:r>
      <w:r w:rsidRPr="00D47A31">
        <w:rPr>
          <w:sz w:val="24"/>
          <w:szCs w:val="24"/>
          <w:lang w:val="zh-CN"/>
        </w:rPr>
        <w:t>2</w:t>
      </w:r>
      <w:r w:rsidRPr="00D47A31">
        <w:rPr>
          <w:rFonts w:ascii="SimSun" w:hint="eastAsia"/>
          <w:sz w:val="24"/>
          <w:szCs w:val="24"/>
          <w:lang w:val="zh-CN"/>
        </w:rPr>
        <w:t>条第</w:t>
      </w:r>
      <w:r w:rsidRPr="00D47A31">
        <w:rPr>
          <w:sz w:val="24"/>
          <w:szCs w:val="24"/>
          <w:lang w:val="zh-CN"/>
        </w:rPr>
        <w:t>1</w:t>
      </w:r>
      <w:r w:rsidRPr="00D47A31">
        <w:rPr>
          <w:rFonts w:ascii="SimSun" w:hint="eastAsia"/>
          <w:sz w:val="24"/>
          <w:szCs w:val="24"/>
          <w:lang w:val="zh-CN"/>
        </w:rPr>
        <w:t>款）的情况。</w:t>
      </w:r>
      <w:r w:rsidRPr="00D47A31">
        <w:rPr>
          <w:sz w:val="24"/>
          <w:szCs w:val="24"/>
        </w:rPr>
        <w:t xml:space="preserve"> </w:t>
      </w:r>
    </w:p>
    <w:p w14:paraId="4B2EC5C9"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t>继第</w:t>
      </w:r>
      <w:hyperlink r:id="rId15" w:history="1">
        <w:r w:rsidRPr="00D47A31">
          <w:rPr>
            <w:rStyle w:val="Hyperlink"/>
            <w:sz w:val="24"/>
            <w:szCs w:val="24"/>
          </w:rPr>
          <w:t>CP-11/1 B</w:t>
        </w:r>
      </w:hyperlink>
      <w:r w:rsidRPr="00D47A31">
        <w:rPr>
          <w:rFonts w:ascii="SimSun" w:hint="eastAsia"/>
          <w:sz w:val="24"/>
          <w:szCs w:val="24"/>
          <w:lang w:val="zh-CN"/>
        </w:rPr>
        <w:t>号决定</w:t>
      </w:r>
      <w:r w:rsidRPr="00D47A31">
        <w:rPr>
          <w:rFonts w:ascii="SimSun" w:hint="eastAsia"/>
          <w:sz w:val="24"/>
          <w:szCs w:val="24"/>
        </w:rPr>
        <w:t>，</w:t>
      </w:r>
      <w:r w:rsidRPr="00D47A31">
        <w:rPr>
          <w:rFonts w:ascii="SimSun" w:hint="eastAsia"/>
          <w:sz w:val="24"/>
          <w:szCs w:val="24"/>
          <w:lang w:val="zh-CN"/>
        </w:rPr>
        <w:t>其中三个缔约方因未提交第三次或第四次国家报告而受到告诫</w:t>
      </w:r>
      <w:r w:rsidRPr="00D47A31">
        <w:rPr>
          <w:rFonts w:ascii="SimSun" w:hint="eastAsia"/>
          <w:sz w:val="24"/>
          <w:szCs w:val="24"/>
        </w:rPr>
        <w:t>，</w:t>
      </w:r>
      <w:r w:rsidRPr="00D47A31">
        <w:rPr>
          <w:rFonts w:ascii="SimSun" w:hint="eastAsia"/>
          <w:sz w:val="24"/>
          <w:szCs w:val="24"/>
          <w:lang w:val="zh-CN"/>
        </w:rPr>
        <w:t>并被要求其紧急提交第四次国家报告</w:t>
      </w:r>
      <w:r w:rsidRPr="00D47A31">
        <w:rPr>
          <w:rFonts w:ascii="SimSun" w:hint="eastAsia"/>
          <w:sz w:val="24"/>
          <w:szCs w:val="24"/>
        </w:rPr>
        <w:t>，</w:t>
      </w:r>
      <w:r w:rsidRPr="00D47A31">
        <w:rPr>
          <w:rFonts w:ascii="SimSun" w:hint="eastAsia"/>
          <w:sz w:val="24"/>
          <w:szCs w:val="24"/>
          <w:lang w:val="zh-CN"/>
        </w:rPr>
        <w:t>委员会继续努力支持这三个缔约方。在第二十次会议上，委员会对全球环境基金向三个缔约方提供额外支持以促进其编制第四次国家报告表示赞赏。在第二十一次会议上，委员会欢迎三个缔约方中的两个缔约方通过生物安全信息交换所发布了第四次和第五次国家报告。它还欢迎这两个缔约方利用全球环境基金提供的财政支持来编写报告。委员会就此提出了几项建议，供作为议定书缔约方会议的缔约方大会第十二次会议审议。</w:t>
      </w:r>
    </w:p>
    <w:p w14:paraId="5C6693BF"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t>委员会在同次会议欢迎秘书处与第</w:t>
      </w:r>
      <w:hyperlink r:id="rId16" w:history="1">
        <w:r w:rsidRPr="00D47A31">
          <w:rPr>
            <w:rStyle w:val="Hyperlink"/>
            <w:sz w:val="24"/>
            <w:szCs w:val="24"/>
          </w:rPr>
          <w:t>CP-11/1 B</w:t>
        </w:r>
      </w:hyperlink>
      <w:r w:rsidRPr="00D47A31">
        <w:rPr>
          <w:rFonts w:ascii="SimSun" w:hint="eastAsia"/>
          <w:sz w:val="24"/>
          <w:szCs w:val="24"/>
          <w:lang w:val="zh-CN"/>
        </w:rPr>
        <w:t>号决定提出告诫的一个缔约方之间的最近沟通。它同意如果该缔约方不在作为议定书缔约方会议的缔约方大会第十二次会议之前提交第五次国家报告就提出建议。</w:t>
      </w:r>
      <w:r w:rsidRPr="00D47A31">
        <w:rPr>
          <w:sz w:val="24"/>
          <w:szCs w:val="24"/>
        </w:rPr>
        <w:t xml:space="preserve"> </w:t>
      </w:r>
    </w:p>
    <w:p w14:paraId="663EFD85"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t>在第二十次和第二十一次会议期间</w:t>
      </w:r>
      <w:r w:rsidRPr="00D47A31">
        <w:rPr>
          <w:rFonts w:ascii="SimSun" w:hint="eastAsia"/>
          <w:sz w:val="24"/>
          <w:szCs w:val="24"/>
          <w:lang w:val="en-US"/>
        </w:rPr>
        <w:t>，</w:t>
      </w:r>
      <w:r w:rsidRPr="00D47A31">
        <w:rPr>
          <w:rFonts w:ascii="SimSun" w:hint="eastAsia"/>
          <w:sz w:val="24"/>
          <w:szCs w:val="24"/>
          <w:lang w:val="zh-CN"/>
        </w:rPr>
        <w:t>委员会审议了</w:t>
      </w:r>
      <w:r w:rsidRPr="00D47A31">
        <w:rPr>
          <w:sz w:val="24"/>
          <w:szCs w:val="24"/>
          <w:lang w:val="en-US"/>
        </w:rPr>
        <w:t>7</w:t>
      </w:r>
      <w:r w:rsidRPr="00D47A31">
        <w:rPr>
          <w:rFonts w:ascii="SimSun" w:hint="eastAsia"/>
          <w:sz w:val="24"/>
          <w:szCs w:val="24"/>
          <w:lang w:val="zh-CN"/>
        </w:rPr>
        <w:t>项新的履约行动计划</w:t>
      </w:r>
      <w:r w:rsidRPr="00D47A31">
        <w:rPr>
          <w:rFonts w:ascii="SimSun" w:hint="eastAsia"/>
          <w:sz w:val="24"/>
          <w:szCs w:val="24"/>
          <w:lang w:val="en-US"/>
        </w:rPr>
        <w:t>，</w:t>
      </w:r>
      <w:r w:rsidRPr="00D47A31">
        <w:rPr>
          <w:rFonts w:ascii="SimSun" w:hint="eastAsia"/>
          <w:sz w:val="24"/>
          <w:szCs w:val="24"/>
          <w:lang w:val="zh-CN"/>
        </w:rPr>
        <w:t>使正在积极审议的计划总数达到</w:t>
      </w:r>
      <w:r w:rsidRPr="00D47A31">
        <w:rPr>
          <w:sz w:val="24"/>
          <w:szCs w:val="24"/>
          <w:lang w:val="en-US"/>
        </w:rPr>
        <w:t>18</w:t>
      </w:r>
      <w:r w:rsidRPr="00D47A31">
        <w:rPr>
          <w:rFonts w:ascii="SimSun" w:hint="eastAsia"/>
          <w:sz w:val="24"/>
          <w:szCs w:val="24"/>
          <w:lang w:val="zh-CN"/>
        </w:rPr>
        <w:t>项。委员会讨论了每项计划的进展情况，并决定针对每个个案采取后续行动。</w:t>
      </w:r>
    </w:p>
    <w:p w14:paraId="1990D02E"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i/>
          <w:sz w:val="24"/>
          <w:szCs w:val="24"/>
        </w:rPr>
      </w:pPr>
      <w:r w:rsidRPr="00D47A31">
        <w:rPr>
          <w:rFonts w:ascii="SimSun" w:hint="eastAsia"/>
          <w:sz w:val="24"/>
          <w:szCs w:val="24"/>
          <w:lang w:val="zh-CN"/>
        </w:rPr>
        <w:t>在第二十一次会议上</w:t>
      </w:r>
      <w:r w:rsidRPr="00D47A31">
        <w:rPr>
          <w:rFonts w:ascii="SimSun" w:hint="eastAsia"/>
          <w:sz w:val="24"/>
          <w:szCs w:val="24"/>
        </w:rPr>
        <w:t>，</w:t>
      </w:r>
      <w:r w:rsidRPr="00D47A31">
        <w:rPr>
          <w:rFonts w:ascii="SimSun" w:hint="eastAsia"/>
          <w:sz w:val="24"/>
          <w:szCs w:val="24"/>
          <w:lang w:val="zh-CN"/>
        </w:rPr>
        <w:t>委员会与正在积极考虑履约行动计划的三个缔约方进行了非正式在线交流</w:t>
      </w:r>
      <w:r w:rsidRPr="00D47A31">
        <w:rPr>
          <w:rFonts w:ascii="SimSun" w:hint="eastAsia"/>
          <w:sz w:val="24"/>
          <w:szCs w:val="24"/>
        </w:rPr>
        <w:t>，</w:t>
      </w:r>
      <w:r w:rsidRPr="00D47A31">
        <w:rPr>
          <w:rFonts w:ascii="SimSun" w:hint="eastAsia"/>
          <w:sz w:val="24"/>
          <w:szCs w:val="24"/>
          <w:lang w:val="zh-CN"/>
        </w:rPr>
        <w:t>讨论了在落实这些计划方面取得的进展和面临的挑战。委员会认为，除了代表委员会开展的定期后续行动之外，这些交流也是有用的，是与缔约方就这方面取得的进展和面临的挑战进行沟通的高效和有效的手段。</w:t>
      </w:r>
    </w:p>
    <w:p w14:paraId="638F27A9"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t>委员会遗憾地注意到</w:t>
      </w:r>
      <w:r w:rsidRPr="00D47A31">
        <w:rPr>
          <w:rFonts w:ascii="SimSun" w:hint="eastAsia"/>
          <w:sz w:val="24"/>
          <w:szCs w:val="24"/>
        </w:rPr>
        <w:t>，</w:t>
      </w:r>
      <w:r w:rsidRPr="00D47A31">
        <w:rPr>
          <w:rFonts w:ascii="SimSun" w:hint="eastAsia"/>
          <w:sz w:val="24"/>
          <w:szCs w:val="24"/>
          <w:lang w:val="zh-CN"/>
        </w:rPr>
        <w:t>另有三个缔约方尚未回复委员会主席向其发出参加第二十一次会议非正式交流的邀请</w:t>
      </w:r>
      <w:r w:rsidRPr="00D47A31">
        <w:rPr>
          <w:rFonts w:ascii="SimSun" w:hint="eastAsia"/>
          <w:sz w:val="24"/>
          <w:szCs w:val="24"/>
        </w:rPr>
        <w:t>，</w:t>
      </w:r>
      <w:r w:rsidRPr="00D47A31">
        <w:rPr>
          <w:rFonts w:ascii="SimSun" w:hint="eastAsia"/>
          <w:sz w:val="24"/>
          <w:szCs w:val="24"/>
          <w:lang w:val="zh-CN"/>
        </w:rPr>
        <w:t>并同意邀请缔约方参加作为议定书缔约方会议的缔约方大会第十二次会议之后与委员会举行的在线交流。</w:t>
      </w:r>
      <w:r w:rsidRPr="00D47A31">
        <w:rPr>
          <w:sz w:val="24"/>
          <w:szCs w:val="24"/>
        </w:rPr>
        <w:t xml:space="preserve"> </w:t>
      </w:r>
    </w:p>
    <w:p w14:paraId="05F16C05"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t>在同次会议上</w:t>
      </w:r>
      <w:r w:rsidRPr="00D47A31">
        <w:rPr>
          <w:rFonts w:ascii="SimSun" w:hint="eastAsia"/>
          <w:sz w:val="24"/>
          <w:szCs w:val="24"/>
        </w:rPr>
        <w:t>，</w:t>
      </w:r>
      <w:r w:rsidRPr="00D47A31">
        <w:rPr>
          <w:rFonts w:ascii="SimSun" w:hint="eastAsia"/>
          <w:sz w:val="24"/>
          <w:szCs w:val="24"/>
          <w:lang w:val="zh-CN"/>
        </w:rPr>
        <w:t>委员会表示关切</w:t>
      </w:r>
      <w:r w:rsidRPr="00D47A31">
        <w:rPr>
          <w:rFonts w:ascii="SimSun" w:hint="eastAsia"/>
          <w:sz w:val="24"/>
          <w:szCs w:val="24"/>
        </w:rPr>
        <w:t>，</w:t>
      </w:r>
      <w:r w:rsidRPr="00D47A31">
        <w:rPr>
          <w:rFonts w:ascii="SimSun" w:hint="eastAsia"/>
          <w:sz w:val="24"/>
          <w:szCs w:val="24"/>
          <w:lang w:val="zh-CN"/>
        </w:rPr>
        <w:t>指出有六个缔约方多次未回应委员会关于制定履约行动计划的要求。委员会决定邀请缔约方的国家联络点在第二十二次会议期间进行在线交流，作为鼓励它们制定履约行动计划的替代方式。</w:t>
      </w:r>
    </w:p>
    <w:p w14:paraId="19C9A554"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t>在第二十一次会议上</w:t>
      </w:r>
      <w:r w:rsidRPr="00D47A31">
        <w:rPr>
          <w:rFonts w:ascii="SimSun" w:hint="eastAsia"/>
          <w:sz w:val="24"/>
          <w:szCs w:val="24"/>
        </w:rPr>
        <w:t>，</w:t>
      </w:r>
      <w:r w:rsidRPr="00D47A31">
        <w:rPr>
          <w:rFonts w:ascii="SimSun" w:hint="eastAsia"/>
          <w:sz w:val="24"/>
          <w:szCs w:val="24"/>
          <w:lang w:val="zh-CN"/>
        </w:rPr>
        <w:t>委员会还为《议定书》第五次评估和审查以及《卡塔赫纳议定书》执行计划和能力建设行动计划的中期评价提供了投入。委员会审查了目标</w:t>
      </w:r>
      <w:r w:rsidRPr="00D47A31">
        <w:rPr>
          <w:sz w:val="24"/>
          <w:szCs w:val="24"/>
          <w:lang w:val="zh-CN"/>
        </w:rPr>
        <w:t>A.4</w:t>
      </w:r>
      <w:r w:rsidRPr="00D47A31">
        <w:rPr>
          <w:rFonts w:ascii="SimSun" w:hint="eastAsia"/>
          <w:sz w:val="24"/>
          <w:szCs w:val="24"/>
          <w:lang w:val="zh-CN"/>
        </w:rPr>
        <w:t>以及根据相关目标提供的信息，其中特别强调履约的各个方面及其在这方面的工作。</w:t>
      </w:r>
    </w:p>
    <w:p w14:paraId="67D8531E" w14:textId="77777777" w:rsidR="00E65D65" w:rsidRPr="00D47A31" w:rsidRDefault="00E65D65" w:rsidP="00044FFF">
      <w:pPr>
        <w:pStyle w:val="CBDNormalNumber"/>
        <w:numPr>
          <w:ilvl w:val="0"/>
          <w:numId w:val="16"/>
        </w:numPr>
        <w:tabs>
          <w:tab w:val="clear" w:pos="567"/>
          <w:tab w:val="clear" w:pos="1134"/>
          <w:tab w:val="left" w:pos="1350"/>
          <w:tab w:val="left" w:pos="1620"/>
        </w:tabs>
        <w:ind w:left="630" w:firstLine="0"/>
        <w:rPr>
          <w:sz w:val="24"/>
          <w:szCs w:val="24"/>
        </w:rPr>
      </w:pPr>
      <w:r w:rsidRPr="00D47A31">
        <w:rPr>
          <w:rFonts w:ascii="SimSun" w:hint="eastAsia"/>
          <w:sz w:val="24"/>
          <w:szCs w:val="24"/>
          <w:lang w:val="zh-CN"/>
        </w:rPr>
        <w:lastRenderedPageBreak/>
        <w:t>委员会同意为附件二所载《议定书》第五次评估和审查以及《卡塔赫纳议定书》执行计划和能力建设行动计划中期评价提供意见。</w:t>
      </w:r>
    </w:p>
    <w:p w14:paraId="70F98A4D" w14:textId="77777777" w:rsidR="00E65D65" w:rsidRPr="00D47A31" w:rsidRDefault="00E65D65">
      <w:pPr>
        <w:tabs>
          <w:tab w:val="clear" w:pos="567"/>
          <w:tab w:val="clear" w:pos="1134"/>
          <w:tab w:val="clear" w:pos="1701"/>
          <w:tab w:val="clear" w:pos="2268"/>
        </w:tabs>
        <w:ind w:left="540"/>
        <w:jc w:val="left"/>
        <w:rPr>
          <w:sz w:val="24"/>
          <w:szCs w:val="24"/>
        </w:rPr>
      </w:pPr>
    </w:p>
    <w:p w14:paraId="303B9519" w14:textId="77777777" w:rsidR="00E65D65" w:rsidRPr="00D47A31" w:rsidRDefault="00E65D65">
      <w:pPr>
        <w:tabs>
          <w:tab w:val="clear" w:pos="567"/>
          <w:tab w:val="clear" w:pos="1134"/>
          <w:tab w:val="clear" w:pos="1701"/>
          <w:tab w:val="clear" w:pos="2268"/>
        </w:tabs>
        <w:jc w:val="left"/>
        <w:rPr>
          <w:sz w:val="24"/>
          <w:szCs w:val="24"/>
        </w:rPr>
        <w:sectPr w:rsidR="00E65D65" w:rsidRPr="00D47A31">
          <w:headerReference w:type="even" r:id="rId17"/>
          <w:headerReference w:type="default" r:id="rId18"/>
          <w:footerReference w:type="even" r:id="rId19"/>
          <w:footerReference w:type="default" r:id="rId20"/>
          <w:headerReference w:type="first" r:id="rId21"/>
          <w:pgSz w:w="12240" w:h="15840"/>
          <w:pgMar w:top="567" w:right="1440" w:bottom="1134" w:left="1440" w:header="709" w:footer="709" w:gutter="0"/>
          <w:cols w:space="708"/>
          <w:titlePg/>
          <w:docGrid w:linePitch="360"/>
        </w:sectPr>
      </w:pPr>
    </w:p>
    <w:p w14:paraId="78D3B3EC" w14:textId="77777777" w:rsidR="00E65D65" w:rsidRPr="00D47A31" w:rsidRDefault="00E65D65">
      <w:pPr>
        <w:pStyle w:val="CBDAnnex"/>
        <w:rPr>
          <w:sz w:val="24"/>
          <w:szCs w:val="24"/>
          <w:lang w:bidi="ar-SA"/>
        </w:rPr>
      </w:pPr>
      <w:r w:rsidRPr="00D47A31">
        <w:rPr>
          <w:rFonts w:ascii="SimSun" w:hint="eastAsia"/>
          <w:sz w:val="24"/>
          <w:szCs w:val="24"/>
          <w:lang w:val="zh-CN" w:bidi="ar-SA"/>
        </w:rPr>
        <w:lastRenderedPageBreak/>
        <w:t>附件一</w:t>
      </w:r>
    </w:p>
    <w:p w14:paraId="6CAA6EC0" w14:textId="77777777" w:rsidR="00E65D65" w:rsidRDefault="00E65D65" w:rsidP="00566743">
      <w:pPr>
        <w:pStyle w:val="CBDH1"/>
        <w:ind w:left="0" w:firstLine="0"/>
        <w:rPr>
          <w:rFonts w:ascii="SimSun" w:hAnsi="Symbol" w:hint="eastAsia"/>
          <w:sz w:val="24"/>
          <w:szCs w:val="24"/>
        </w:rPr>
      </w:pPr>
      <w:r w:rsidRPr="00D47A31">
        <w:rPr>
          <w:rFonts w:ascii="SimSun" w:hint="eastAsia"/>
          <w:color w:val="000000"/>
          <w:sz w:val="24"/>
          <w:szCs w:val="24"/>
          <w:lang w:val="zh-CN"/>
        </w:rPr>
        <w:t>卡塔赫纳生物安全议定书履约委员会向作为卡塔赫纳生物安全议定书</w:t>
      </w:r>
      <w:r w:rsidRPr="00D47A31">
        <w:rPr>
          <w:rFonts w:ascii="SimSun" w:hint="eastAsia"/>
          <w:sz w:val="24"/>
          <w:szCs w:val="24"/>
          <w:lang w:val="zh-CN"/>
        </w:rPr>
        <w:t>缔约方会议的</w:t>
      </w:r>
      <w:r>
        <w:rPr>
          <w:rFonts w:ascii="SimSun"/>
          <w:sz w:val="24"/>
          <w:szCs w:val="24"/>
          <w:lang w:val="zh-CN"/>
        </w:rPr>
        <w:br/>
      </w:r>
      <w:r w:rsidRPr="00D47A31">
        <w:rPr>
          <w:rFonts w:ascii="SimSun" w:hint="eastAsia"/>
          <w:sz w:val="24"/>
          <w:szCs w:val="24"/>
          <w:lang w:val="zh-CN"/>
        </w:rPr>
        <w:t>缔约方大会第十二次会议提出的建议</w:t>
      </w:r>
      <w:r w:rsidRPr="00E11ED8">
        <w:rPr>
          <w:rStyle w:val="FootnoteReference"/>
          <w:rFonts w:ascii="SimSun" w:hAnsi="Symbol" w:hint="eastAsia"/>
          <w:sz w:val="24"/>
          <w:szCs w:val="24"/>
        </w:rPr>
        <w:footnoteReference w:customMarkFollows="1" w:id="3"/>
        <w:sym w:font="Symbol" w:char="F02A"/>
      </w:r>
    </w:p>
    <w:p w14:paraId="054FA0B3" w14:textId="77777777" w:rsidR="009F729B" w:rsidRPr="00D47A31" w:rsidRDefault="009F729B" w:rsidP="00566743">
      <w:pPr>
        <w:pStyle w:val="CBDH1"/>
        <w:ind w:left="0" w:firstLine="0"/>
        <w:rPr>
          <w:rStyle w:val="tw4winMark"/>
          <w:b w:val="0"/>
          <w:szCs w:val="24"/>
          <w:lang w:val="en-US"/>
        </w:rPr>
      </w:pPr>
    </w:p>
    <w:p w14:paraId="6167AC11" w14:textId="77777777" w:rsidR="00E65D65" w:rsidRPr="00D47A31" w:rsidRDefault="00E65D65">
      <w:pPr>
        <w:pStyle w:val="CBDH1"/>
        <w:rPr>
          <w:sz w:val="24"/>
          <w:szCs w:val="24"/>
        </w:rPr>
      </w:pPr>
      <w:r w:rsidRPr="00D47A31">
        <w:rPr>
          <w:rFonts w:ascii="SimSun" w:hint="eastAsia"/>
          <w:sz w:val="24"/>
          <w:szCs w:val="24"/>
          <w:lang w:val="zh-CN"/>
        </w:rPr>
        <w:t>一</w:t>
      </w:r>
      <w:r w:rsidRPr="00D47A31">
        <w:rPr>
          <w:rFonts w:ascii="SimSun"/>
          <w:sz w:val="24"/>
          <w:szCs w:val="24"/>
          <w:lang w:val="en-US"/>
        </w:rPr>
        <w:t>.</w:t>
      </w:r>
      <w:r w:rsidRPr="00D47A31">
        <w:rPr>
          <w:sz w:val="24"/>
          <w:szCs w:val="24"/>
        </w:rPr>
        <w:tab/>
      </w:r>
      <w:r w:rsidRPr="00D47A31">
        <w:rPr>
          <w:rFonts w:ascii="SimSun" w:hint="eastAsia"/>
          <w:sz w:val="24"/>
          <w:szCs w:val="24"/>
          <w:lang w:val="zh-CN"/>
        </w:rPr>
        <w:t>履约</w:t>
      </w:r>
    </w:p>
    <w:p w14:paraId="6140ECCE" w14:textId="77777777" w:rsidR="00E65D65" w:rsidRPr="00D47A31" w:rsidRDefault="00E65D65">
      <w:pPr>
        <w:pStyle w:val="CBDRecommendText"/>
        <w:tabs>
          <w:tab w:val="clear" w:pos="567"/>
        </w:tabs>
        <w:rPr>
          <w:sz w:val="24"/>
          <w:szCs w:val="24"/>
        </w:rPr>
      </w:pPr>
      <w:r w:rsidRPr="00D47A31">
        <w:rPr>
          <w:sz w:val="24"/>
          <w:szCs w:val="24"/>
        </w:rPr>
        <w:t>1.</w:t>
      </w:r>
      <w:r w:rsidRPr="00D47A31">
        <w:rPr>
          <w:sz w:val="24"/>
          <w:szCs w:val="24"/>
        </w:rPr>
        <w:tab/>
      </w:r>
      <w:r w:rsidRPr="00D47A31">
        <w:rPr>
          <w:rFonts w:ascii="SimSun" w:hint="eastAsia"/>
          <w:sz w:val="24"/>
          <w:szCs w:val="24"/>
          <w:lang w:val="zh-CN"/>
        </w:rPr>
        <w:t>卡塔赫纳生物安全议定书履约委员会建议作为卡塔赫纳生物安全议定书缔约方会议的缔约方大会第十二次会议通过一项内容大致如下的决定</w:t>
      </w:r>
      <w:r w:rsidRPr="00D47A31">
        <w:rPr>
          <w:rFonts w:ascii="SimSun" w:hint="eastAsia"/>
          <w:sz w:val="24"/>
          <w:szCs w:val="24"/>
        </w:rPr>
        <w:t>：</w:t>
      </w:r>
    </w:p>
    <w:p w14:paraId="12C97281" w14:textId="77777777" w:rsidR="00E65D65" w:rsidRPr="00D47A31" w:rsidRDefault="00E65D65">
      <w:pPr>
        <w:pStyle w:val="CBDRecommendText"/>
        <w:ind w:left="576" w:firstLine="603"/>
        <w:rPr>
          <w:i/>
          <w:sz w:val="24"/>
          <w:szCs w:val="24"/>
        </w:rPr>
      </w:pPr>
      <w:r w:rsidRPr="00D47A31">
        <w:rPr>
          <w:rFonts w:ascii="KaiTi" w:eastAsia="KaiTi" w:hint="eastAsia"/>
          <w:sz w:val="24"/>
          <w:szCs w:val="24"/>
          <w:lang w:val="zh-CN"/>
        </w:rPr>
        <w:t>作为卡塔赫纳议定书缔约方会议的缔约方大会</w:t>
      </w:r>
    </w:p>
    <w:p w14:paraId="553A8645" w14:textId="77777777" w:rsidR="00E65D65" w:rsidRPr="00D47A31" w:rsidRDefault="00E65D65" w:rsidP="00044FFF">
      <w:pPr>
        <w:pStyle w:val="CBDDesicionText"/>
        <w:numPr>
          <w:ilvl w:val="0"/>
          <w:numId w:val="17"/>
        </w:numPr>
        <w:tabs>
          <w:tab w:val="clear" w:pos="567"/>
          <w:tab w:val="clear" w:pos="1701"/>
          <w:tab w:val="clear" w:pos="2268"/>
          <w:tab w:val="left" w:pos="630"/>
          <w:tab w:val="left" w:pos="1800"/>
        </w:tabs>
        <w:ind w:left="630" w:firstLine="540"/>
        <w:rPr>
          <w:sz w:val="24"/>
          <w:szCs w:val="24"/>
        </w:rPr>
      </w:pPr>
      <w:bookmarkStart w:id="3" w:name="_Hlk200722798"/>
      <w:bookmarkStart w:id="4" w:name="_Hlk200722925"/>
      <w:r w:rsidRPr="00D47A31">
        <w:rPr>
          <w:rFonts w:ascii="KaiTi" w:eastAsia="KaiTi" w:hint="eastAsia"/>
          <w:sz w:val="24"/>
          <w:szCs w:val="24"/>
          <w:lang w:val="zh-CN"/>
        </w:rPr>
        <w:t>注意到</w:t>
      </w:r>
      <w:r w:rsidRPr="00D47A31">
        <w:rPr>
          <w:rFonts w:ascii="SimSun" w:hint="eastAsia"/>
          <w:sz w:val="24"/>
          <w:szCs w:val="24"/>
          <w:lang w:val="zh-CN"/>
        </w:rPr>
        <w:t>一些缔约方尚未根据《卡塔赫纳生物安全议定书》的要求指定国家联络点、国家主管当局或联络点</w:t>
      </w:r>
      <w:r w:rsidRPr="00D47A31">
        <w:rPr>
          <w:rFonts w:ascii="SimSun" w:hint="eastAsia"/>
          <w:sz w:val="24"/>
          <w:szCs w:val="24"/>
        </w:rPr>
        <w:t>；</w:t>
      </w:r>
      <w:r w:rsidRPr="00D47A31">
        <w:rPr>
          <w:rStyle w:val="FootnoteReference"/>
          <w:sz w:val="24"/>
          <w:szCs w:val="24"/>
          <w:lang w:val="zh-CN"/>
        </w:rPr>
        <w:footnoteReference w:id="4"/>
      </w:r>
    </w:p>
    <w:bookmarkEnd w:id="3"/>
    <w:bookmarkEnd w:id="4"/>
    <w:p w14:paraId="413DE2E0" w14:textId="77777777" w:rsidR="00E65D65" w:rsidRPr="00D47A31" w:rsidRDefault="00E65D65" w:rsidP="00044FFF">
      <w:pPr>
        <w:pStyle w:val="CBDDesicionText"/>
        <w:numPr>
          <w:ilvl w:val="0"/>
          <w:numId w:val="17"/>
        </w:numPr>
        <w:tabs>
          <w:tab w:val="clear" w:pos="567"/>
          <w:tab w:val="clear" w:pos="1701"/>
          <w:tab w:val="clear" w:pos="2268"/>
          <w:tab w:val="left" w:pos="630"/>
          <w:tab w:val="left" w:pos="1800"/>
        </w:tabs>
        <w:ind w:left="630" w:firstLine="540"/>
        <w:rPr>
          <w:sz w:val="24"/>
          <w:szCs w:val="24"/>
        </w:rPr>
      </w:pPr>
      <w:r w:rsidRPr="00D47A31">
        <w:rPr>
          <w:rFonts w:ascii="KaiTi" w:eastAsia="KaiTi" w:hint="eastAsia"/>
          <w:sz w:val="24"/>
          <w:szCs w:val="24"/>
          <w:lang w:val="zh-CN"/>
        </w:rPr>
        <w:t>提醒</w:t>
      </w:r>
      <w:r w:rsidRPr="00D47A31">
        <w:rPr>
          <w:rFonts w:ascii="SimSun" w:hint="eastAsia"/>
          <w:sz w:val="24"/>
          <w:szCs w:val="24"/>
          <w:lang w:val="zh-CN"/>
        </w:rPr>
        <w:t>缔约方有义务依照《卡塔赫纳议定书》第</w:t>
      </w:r>
      <w:r w:rsidRPr="00D47A31">
        <w:rPr>
          <w:sz w:val="24"/>
          <w:szCs w:val="24"/>
        </w:rPr>
        <w:t>19</w:t>
      </w:r>
      <w:r w:rsidRPr="00D47A31">
        <w:rPr>
          <w:rFonts w:ascii="SimSun" w:hint="eastAsia"/>
          <w:sz w:val="24"/>
          <w:szCs w:val="24"/>
          <w:lang w:val="zh-CN"/>
        </w:rPr>
        <w:t>条的规定指定其国家联络点和需要根据生物安全信息交换所的运作方式指定其生物安全信息交换所国家联络点</w:t>
      </w:r>
      <w:r w:rsidRPr="00D47A31">
        <w:rPr>
          <w:rFonts w:ascii="SimSun" w:hint="eastAsia"/>
          <w:sz w:val="24"/>
          <w:szCs w:val="24"/>
        </w:rPr>
        <w:t>，</w:t>
      </w:r>
      <w:r w:rsidRPr="00D47A31">
        <w:rPr>
          <w:rFonts w:ascii="SimSun" w:hint="eastAsia"/>
          <w:sz w:val="24"/>
          <w:szCs w:val="24"/>
          <w:lang w:val="zh-CN"/>
        </w:rPr>
        <w:t>并及时更新信息</w:t>
      </w:r>
      <w:r w:rsidRPr="00D47A31">
        <w:rPr>
          <w:rFonts w:ascii="SimSun" w:hint="eastAsia"/>
          <w:sz w:val="24"/>
          <w:szCs w:val="24"/>
        </w:rPr>
        <w:t>；</w:t>
      </w:r>
      <w:r w:rsidRPr="00D47A31">
        <w:rPr>
          <w:rStyle w:val="FootnoteReference"/>
          <w:sz w:val="24"/>
          <w:szCs w:val="24"/>
          <w:lang w:val="zh-CN"/>
        </w:rPr>
        <w:footnoteReference w:id="5"/>
      </w:r>
    </w:p>
    <w:p w14:paraId="7E359518" w14:textId="77777777" w:rsidR="00E65D65" w:rsidRPr="00D47A31" w:rsidRDefault="00E65D65" w:rsidP="00044FFF">
      <w:pPr>
        <w:pStyle w:val="CBDDesicionText"/>
        <w:numPr>
          <w:ilvl w:val="0"/>
          <w:numId w:val="17"/>
        </w:numPr>
        <w:tabs>
          <w:tab w:val="clear" w:pos="567"/>
          <w:tab w:val="clear" w:pos="1701"/>
          <w:tab w:val="clear" w:pos="2268"/>
          <w:tab w:val="left" w:pos="630"/>
          <w:tab w:val="left" w:pos="1800"/>
        </w:tabs>
        <w:ind w:left="630" w:firstLine="540"/>
        <w:rPr>
          <w:sz w:val="24"/>
          <w:szCs w:val="24"/>
        </w:rPr>
      </w:pPr>
      <w:r w:rsidRPr="00D47A31">
        <w:rPr>
          <w:rFonts w:ascii="KaiTi" w:eastAsia="KaiTi" w:hint="eastAsia"/>
          <w:sz w:val="24"/>
          <w:szCs w:val="24"/>
          <w:lang w:val="zh-CN"/>
        </w:rPr>
        <w:t>又提醒</w:t>
      </w:r>
      <w:r w:rsidRPr="00D47A31">
        <w:rPr>
          <w:rFonts w:ascii="SimSun" w:hint="eastAsia"/>
          <w:sz w:val="24"/>
          <w:szCs w:val="24"/>
          <w:lang w:val="zh-CN"/>
        </w:rPr>
        <w:t>缔约方有义务依照《卡塔赫纳议定书》第</w:t>
      </w:r>
      <w:r w:rsidRPr="00D47A31">
        <w:rPr>
          <w:sz w:val="24"/>
          <w:szCs w:val="24"/>
        </w:rPr>
        <w:t>19</w:t>
      </w:r>
      <w:r w:rsidRPr="00D47A31">
        <w:rPr>
          <w:rFonts w:ascii="SimSun" w:hint="eastAsia"/>
          <w:sz w:val="24"/>
          <w:szCs w:val="24"/>
          <w:lang w:val="zh-CN"/>
        </w:rPr>
        <w:t>条的规定通过生物安全信息交换所提供一个或多个国家主管部门的联系方式</w:t>
      </w:r>
      <w:r w:rsidRPr="00D47A31">
        <w:rPr>
          <w:rFonts w:ascii="SimSun" w:hint="eastAsia"/>
          <w:sz w:val="24"/>
          <w:szCs w:val="24"/>
        </w:rPr>
        <w:t>，</w:t>
      </w:r>
      <w:r w:rsidRPr="00D47A31">
        <w:rPr>
          <w:rFonts w:ascii="SimSun" w:hint="eastAsia"/>
          <w:sz w:val="24"/>
          <w:szCs w:val="24"/>
          <w:lang w:val="zh-CN"/>
        </w:rPr>
        <w:t>并敦促尚未这样做的缔约方作为优先事项提供这一信息</w:t>
      </w:r>
      <w:r w:rsidRPr="00D47A31">
        <w:rPr>
          <w:rFonts w:ascii="SimSun" w:hint="eastAsia"/>
          <w:sz w:val="24"/>
          <w:szCs w:val="24"/>
        </w:rPr>
        <w:t>；</w:t>
      </w:r>
    </w:p>
    <w:p w14:paraId="68A5C53C" w14:textId="77777777" w:rsidR="00E65D65" w:rsidRPr="00D47A31" w:rsidRDefault="00E65D65" w:rsidP="00044FFF">
      <w:pPr>
        <w:pStyle w:val="CBDDesicionText"/>
        <w:numPr>
          <w:ilvl w:val="0"/>
          <w:numId w:val="17"/>
        </w:numPr>
        <w:tabs>
          <w:tab w:val="clear" w:pos="567"/>
          <w:tab w:val="clear" w:pos="1701"/>
          <w:tab w:val="clear" w:pos="2268"/>
          <w:tab w:val="left" w:pos="630"/>
          <w:tab w:val="left" w:pos="1800"/>
        </w:tabs>
        <w:ind w:left="630" w:firstLine="540"/>
        <w:rPr>
          <w:sz w:val="24"/>
          <w:szCs w:val="24"/>
        </w:rPr>
      </w:pPr>
      <w:r w:rsidRPr="00D47A31">
        <w:rPr>
          <w:rFonts w:ascii="KaiTi" w:eastAsia="KaiTi" w:hint="eastAsia"/>
          <w:sz w:val="24"/>
          <w:szCs w:val="24"/>
          <w:lang w:val="zh-CN"/>
        </w:rPr>
        <w:t>还提醒</w:t>
      </w:r>
      <w:r w:rsidRPr="00D47A31">
        <w:rPr>
          <w:rFonts w:ascii="SimSun" w:hint="eastAsia"/>
          <w:sz w:val="24"/>
          <w:szCs w:val="24"/>
          <w:lang w:val="zh-CN"/>
        </w:rPr>
        <w:t>缔约方有义务根据《卡塔赫纳议定书》第</w:t>
      </w:r>
      <w:r w:rsidRPr="00D47A31">
        <w:rPr>
          <w:sz w:val="24"/>
          <w:szCs w:val="24"/>
        </w:rPr>
        <w:t>17</w:t>
      </w:r>
      <w:r w:rsidRPr="00D47A31">
        <w:rPr>
          <w:rFonts w:ascii="SimSun" w:hint="eastAsia"/>
          <w:sz w:val="24"/>
          <w:szCs w:val="24"/>
          <w:lang w:val="zh-CN"/>
        </w:rPr>
        <w:t>条的规定指定一个联系点以便接收通知</w:t>
      </w:r>
      <w:r w:rsidRPr="00D47A31">
        <w:rPr>
          <w:rFonts w:ascii="SimSun" w:hint="eastAsia"/>
          <w:sz w:val="24"/>
          <w:szCs w:val="24"/>
        </w:rPr>
        <w:t>，</w:t>
      </w:r>
      <w:r w:rsidRPr="00D47A31">
        <w:rPr>
          <w:rFonts w:ascii="SimSun" w:hint="eastAsia"/>
          <w:sz w:val="24"/>
          <w:szCs w:val="24"/>
          <w:lang w:val="zh-CN"/>
        </w:rPr>
        <w:t>并敦促尚未这样做的缔约方尽快指定</w:t>
      </w:r>
      <w:r w:rsidRPr="00D47A31">
        <w:rPr>
          <w:rFonts w:ascii="SimSun" w:hint="eastAsia"/>
          <w:sz w:val="24"/>
          <w:szCs w:val="24"/>
        </w:rPr>
        <w:t>；</w:t>
      </w:r>
    </w:p>
    <w:p w14:paraId="3A8C7107" w14:textId="77777777" w:rsidR="00E65D65" w:rsidRPr="00D47A31" w:rsidRDefault="00E65D65" w:rsidP="00044FFF">
      <w:pPr>
        <w:pStyle w:val="CBDDesicionText"/>
        <w:numPr>
          <w:ilvl w:val="0"/>
          <w:numId w:val="17"/>
        </w:numPr>
        <w:tabs>
          <w:tab w:val="clear" w:pos="567"/>
          <w:tab w:val="clear" w:pos="1701"/>
          <w:tab w:val="clear" w:pos="2268"/>
          <w:tab w:val="left" w:pos="630"/>
          <w:tab w:val="left" w:pos="1800"/>
        </w:tabs>
        <w:ind w:left="630" w:firstLine="540"/>
        <w:rPr>
          <w:sz w:val="24"/>
          <w:szCs w:val="24"/>
        </w:rPr>
      </w:pPr>
      <w:r w:rsidRPr="00D47A31">
        <w:rPr>
          <w:rFonts w:ascii="KaiTi" w:eastAsia="KaiTi" w:hint="eastAsia"/>
          <w:sz w:val="24"/>
          <w:szCs w:val="24"/>
          <w:lang w:val="zh-CN"/>
        </w:rPr>
        <w:t>敦促</w:t>
      </w:r>
      <w:r w:rsidRPr="00D47A31">
        <w:rPr>
          <w:rFonts w:ascii="SimSun" w:hint="eastAsia"/>
          <w:sz w:val="24"/>
          <w:szCs w:val="24"/>
          <w:lang w:val="zh-CN"/>
        </w:rPr>
        <w:t>正在制定生物安全监管框架的缔约方加快工作</w:t>
      </w:r>
      <w:r w:rsidRPr="00D47A31">
        <w:rPr>
          <w:rFonts w:ascii="SimSun" w:hint="eastAsia"/>
          <w:sz w:val="24"/>
          <w:szCs w:val="24"/>
        </w:rPr>
        <w:t>，</w:t>
      </w:r>
      <w:r w:rsidRPr="00D47A31">
        <w:rPr>
          <w:rFonts w:ascii="SimSun" w:hint="eastAsia"/>
          <w:sz w:val="24"/>
          <w:szCs w:val="24"/>
          <w:lang w:val="zh-CN"/>
        </w:rPr>
        <w:t>同时认识到《卡塔赫纳议定书》要求缔约方采取措施实施该框架和此类措施有助于实现《昆明</w:t>
      </w:r>
      <w:r w:rsidRPr="00D47A31">
        <w:rPr>
          <w:sz w:val="24"/>
          <w:szCs w:val="24"/>
        </w:rPr>
        <w:t>-</w:t>
      </w:r>
      <w:r w:rsidRPr="00D47A31">
        <w:rPr>
          <w:rFonts w:ascii="SimSun" w:hint="eastAsia"/>
          <w:sz w:val="24"/>
          <w:szCs w:val="24"/>
          <w:lang w:val="zh-CN"/>
        </w:rPr>
        <w:t>蒙特利尔全球生物多样性框架》的行动目标</w:t>
      </w:r>
      <w:r w:rsidRPr="00D47A31">
        <w:rPr>
          <w:sz w:val="24"/>
          <w:szCs w:val="24"/>
        </w:rPr>
        <w:t>17</w:t>
      </w:r>
      <w:r w:rsidRPr="00D47A31">
        <w:rPr>
          <w:rFonts w:ascii="SimSun" w:hint="eastAsia"/>
          <w:sz w:val="24"/>
          <w:szCs w:val="24"/>
        </w:rPr>
        <w:t>，</w:t>
      </w:r>
      <w:r w:rsidRPr="00D47A31">
        <w:rPr>
          <w:rStyle w:val="FootnoteReference"/>
          <w:sz w:val="24"/>
          <w:szCs w:val="24"/>
          <w:lang w:val="zh-CN"/>
        </w:rPr>
        <w:footnoteReference w:id="6"/>
      </w:r>
      <w:r w:rsidRPr="00D47A31">
        <w:rPr>
          <w:rFonts w:ascii="SimSun" w:hint="eastAsia"/>
          <w:sz w:val="24"/>
          <w:szCs w:val="24"/>
          <w:lang w:val="zh-CN"/>
        </w:rPr>
        <w:t>并欢迎联合国环境规划署通过其法律和环境援助平台以及日本通过日本生物多样性基金向若干缔约方提供的支持</w:t>
      </w:r>
      <w:r w:rsidRPr="00D47A31">
        <w:rPr>
          <w:rFonts w:ascii="SimSun" w:hint="eastAsia"/>
          <w:sz w:val="24"/>
          <w:szCs w:val="24"/>
        </w:rPr>
        <w:t>；</w:t>
      </w:r>
    </w:p>
    <w:p w14:paraId="38D8F867" w14:textId="77777777" w:rsidR="00E65D65" w:rsidRPr="00D47A31" w:rsidRDefault="00E65D65" w:rsidP="00044FFF">
      <w:pPr>
        <w:pStyle w:val="CBDDesicionText"/>
        <w:numPr>
          <w:ilvl w:val="0"/>
          <w:numId w:val="17"/>
        </w:numPr>
        <w:tabs>
          <w:tab w:val="clear" w:pos="567"/>
          <w:tab w:val="clear" w:pos="1701"/>
          <w:tab w:val="clear" w:pos="2268"/>
          <w:tab w:val="left" w:pos="630"/>
          <w:tab w:val="left" w:pos="1800"/>
        </w:tabs>
        <w:ind w:left="630" w:firstLine="540"/>
        <w:rPr>
          <w:sz w:val="24"/>
          <w:szCs w:val="24"/>
        </w:rPr>
      </w:pPr>
      <w:r w:rsidRPr="00D47A31">
        <w:rPr>
          <w:rFonts w:ascii="KaiTi" w:eastAsia="KaiTi" w:hint="eastAsia"/>
          <w:sz w:val="24"/>
          <w:szCs w:val="24"/>
          <w:lang w:val="zh-CN"/>
        </w:rPr>
        <w:t>提醒</w:t>
      </w:r>
      <w:r w:rsidRPr="00D47A31">
        <w:rPr>
          <w:rFonts w:ascii="SimSun" w:hint="eastAsia"/>
          <w:sz w:val="24"/>
          <w:szCs w:val="24"/>
          <w:lang w:val="zh-CN"/>
        </w:rPr>
        <w:t>缔约方有义务通过生物安全信息交换所公布其实施《卡塔赫纳议定书》的法律措施</w:t>
      </w:r>
      <w:r w:rsidRPr="00D47A31">
        <w:rPr>
          <w:rFonts w:ascii="SimSun" w:hint="eastAsia"/>
          <w:sz w:val="24"/>
          <w:szCs w:val="24"/>
        </w:rPr>
        <w:t>；</w:t>
      </w:r>
    </w:p>
    <w:p w14:paraId="76BE5F9B" w14:textId="77777777" w:rsidR="00E65D65" w:rsidRPr="00D47A31" w:rsidRDefault="00E65D65" w:rsidP="00044FFF">
      <w:pPr>
        <w:pStyle w:val="CBDDesicionText"/>
        <w:numPr>
          <w:ilvl w:val="0"/>
          <w:numId w:val="17"/>
        </w:numPr>
        <w:tabs>
          <w:tab w:val="clear" w:pos="567"/>
          <w:tab w:val="clear" w:pos="1134"/>
          <w:tab w:val="clear" w:pos="1701"/>
          <w:tab w:val="clear" w:pos="2268"/>
          <w:tab w:val="left" w:pos="630"/>
          <w:tab w:val="left" w:pos="1800"/>
        </w:tabs>
        <w:ind w:left="630" w:firstLine="540"/>
        <w:rPr>
          <w:sz w:val="24"/>
          <w:szCs w:val="24"/>
        </w:rPr>
      </w:pPr>
      <w:r w:rsidRPr="00D47A31">
        <w:rPr>
          <w:rFonts w:ascii="KaiTi" w:eastAsia="KaiTi" w:hint="eastAsia"/>
          <w:sz w:val="24"/>
          <w:szCs w:val="24"/>
          <w:lang w:val="zh-CN"/>
        </w:rPr>
        <w:t>回顾</w:t>
      </w:r>
      <w:smartTag w:uri="urn:schemas-microsoft-com:office:smarttags" w:element="chsdate">
        <w:smartTagPr>
          <w:attr w:name="IsROCDate" w:val="False"/>
          <w:attr w:name="IsLunarDate" w:val="False"/>
          <w:attr w:name="Day" w:val="30"/>
          <w:attr w:name="Month" w:val="10"/>
          <w:attr w:name="Year" w:val="2024"/>
        </w:smartTagPr>
        <w:r w:rsidRPr="00D47A31">
          <w:rPr>
            <w:sz w:val="24"/>
            <w:szCs w:val="24"/>
          </w:rPr>
          <w:t>2024</w:t>
        </w:r>
        <w:r w:rsidRPr="00D47A31">
          <w:rPr>
            <w:rFonts w:ascii="SimSun" w:hint="eastAsia"/>
            <w:sz w:val="24"/>
            <w:szCs w:val="24"/>
            <w:lang w:val="zh-CN"/>
          </w:rPr>
          <w:t>年</w:t>
        </w:r>
        <w:r w:rsidRPr="00D47A31">
          <w:rPr>
            <w:sz w:val="24"/>
            <w:szCs w:val="24"/>
          </w:rPr>
          <w:t>10</w:t>
        </w:r>
        <w:r w:rsidRPr="00D47A31">
          <w:rPr>
            <w:rFonts w:ascii="SimSun" w:hint="eastAsia"/>
            <w:sz w:val="24"/>
            <w:szCs w:val="24"/>
            <w:lang w:val="zh-CN"/>
          </w:rPr>
          <w:t>月</w:t>
        </w:r>
        <w:r w:rsidRPr="00D47A31">
          <w:rPr>
            <w:sz w:val="24"/>
            <w:szCs w:val="24"/>
          </w:rPr>
          <w:t>30</w:t>
        </w:r>
        <w:r w:rsidRPr="00D47A31">
          <w:rPr>
            <w:rFonts w:ascii="SimSun" w:hint="eastAsia"/>
            <w:sz w:val="24"/>
            <w:szCs w:val="24"/>
            <w:lang w:val="zh-CN"/>
          </w:rPr>
          <w:t>日</w:t>
        </w:r>
      </w:smartTag>
      <w:r w:rsidRPr="00D47A31">
        <w:rPr>
          <w:rFonts w:ascii="SimSun" w:hint="eastAsia"/>
          <w:sz w:val="24"/>
          <w:szCs w:val="24"/>
          <w:lang w:val="zh-CN"/>
        </w:rPr>
        <w:t>第</w:t>
      </w:r>
      <w:hyperlink r:id="rId22" w:history="1">
        <w:r w:rsidRPr="00D47A31">
          <w:rPr>
            <w:rStyle w:val="Hyperlink"/>
            <w:sz w:val="24"/>
            <w:szCs w:val="24"/>
          </w:rPr>
          <w:t>CP-11/1 B</w:t>
        </w:r>
      </w:hyperlink>
      <w:r w:rsidRPr="00D47A31">
        <w:rPr>
          <w:rFonts w:ascii="SimSun" w:hint="eastAsia"/>
          <w:sz w:val="24"/>
          <w:szCs w:val="24"/>
          <w:lang w:val="zh-CN"/>
        </w:rPr>
        <w:t>号决定中的告诫</w:t>
      </w:r>
      <w:r w:rsidRPr="00D47A31">
        <w:rPr>
          <w:rFonts w:ascii="SimSun" w:hint="eastAsia"/>
          <w:sz w:val="24"/>
          <w:szCs w:val="24"/>
        </w:rPr>
        <w:t>，</w:t>
      </w:r>
      <w:r w:rsidRPr="00D47A31">
        <w:rPr>
          <w:rFonts w:ascii="SimSun" w:hint="eastAsia"/>
          <w:sz w:val="24"/>
          <w:szCs w:val="24"/>
          <w:lang w:val="zh-CN"/>
        </w:rPr>
        <w:t>并欢迎全球环境基金向受到告诫的缔约方为编制第四次和第五次国家报告提供资金</w:t>
      </w:r>
      <w:r w:rsidRPr="00D47A31">
        <w:rPr>
          <w:rFonts w:ascii="SimSun" w:hint="eastAsia"/>
          <w:sz w:val="24"/>
          <w:szCs w:val="24"/>
        </w:rPr>
        <w:t>；</w:t>
      </w:r>
    </w:p>
    <w:p w14:paraId="0066B57F" w14:textId="77777777" w:rsidR="00E65D65" w:rsidRPr="00D47A31" w:rsidRDefault="00E65D65" w:rsidP="00044FFF">
      <w:pPr>
        <w:pStyle w:val="CBDDesicionText"/>
        <w:numPr>
          <w:ilvl w:val="0"/>
          <w:numId w:val="17"/>
        </w:numPr>
        <w:tabs>
          <w:tab w:val="clear" w:pos="567"/>
          <w:tab w:val="clear" w:pos="1134"/>
          <w:tab w:val="clear" w:pos="1701"/>
          <w:tab w:val="clear" w:pos="2268"/>
          <w:tab w:val="left" w:pos="630"/>
          <w:tab w:val="left" w:pos="1800"/>
        </w:tabs>
        <w:ind w:left="630" w:firstLine="540"/>
        <w:rPr>
          <w:sz w:val="24"/>
          <w:szCs w:val="24"/>
        </w:rPr>
      </w:pPr>
      <w:r w:rsidRPr="00D47A31">
        <w:rPr>
          <w:rFonts w:ascii="KaiTi" w:eastAsia="KaiTi" w:hint="eastAsia"/>
          <w:sz w:val="24"/>
          <w:szCs w:val="24"/>
          <w:lang w:val="zh-CN"/>
        </w:rPr>
        <w:t>欢迎</w:t>
      </w:r>
      <w:r w:rsidRPr="00D47A31">
        <w:rPr>
          <w:rFonts w:ascii="SimSun" w:hint="eastAsia"/>
          <w:sz w:val="24"/>
          <w:szCs w:val="24"/>
          <w:lang w:val="zh-CN"/>
        </w:rPr>
        <w:t>伯利兹和利比亚提交第四次和第五次国家报告</w:t>
      </w:r>
      <w:r w:rsidRPr="00D47A31">
        <w:rPr>
          <w:rFonts w:ascii="SimSun" w:hint="eastAsia"/>
          <w:sz w:val="24"/>
          <w:szCs w:val="24"/>
        </w:rPr>
        <w:t>，</w:t>
      </w:r>
      <w:r w:rsidRPr="00D47A31">
        <w:rPr>
          <w:rFonts w:ascii="SimSun" w:hint="eastAsia"/>
          <w:sz w:val="24"/>
          <w:szCs w:val="24"/>
          <w:lang w:val="zh-CN"/>
        </w:rPr>
        <w:t>解决了它们不遵守报告义务的问题</w:t>
      </w:r>
      <w:r w:rsidRPr="00D47A31">
        <w:rPr>
          <w:rFonts w:ascii="SimSun" w:hint="eastAsia"/>
          <w:sz w:val="24"/>
          <w:szCs w:val="24"/>
        </w:rPr>
        <w:t>；</w:t>
      </w:r>
    </w:p>
    <w:p w14:paraId="7F4D8A19" w14:textId="77777777" w:rsidR="00E65D65" w:rsidRPr="00D47A31" w:rsidRDefault="00E65D65" w:rsidP="00044FFF">
      <w:pPr>
        <w:pStyle w:val="CBDDesicionText"/>
        <w:numPr>
          <w:ilvl w:val="0"/>
          <w:numId w:val="17"/>
        </w:numPr>
        <w:tabs>
          <w:tab w:val="clear" w:pos="567"/>
          <w:tab w:val="clear" w:pos="1134"/>
          <w:tab w:val="clear" w:pos="1701"/>
          <w:tab w:val="clear" w:pos="2268"/>
          <w:tab w:val="left" w:pos="630"/>
          <w:tab w:val="left" w:pos="1800"/>
        </w:tabs>
        <w:ind w:left="630" w:firstLine="540"/>
        <w:rPr>
          <w:sz w:val="24"/>
          <w:szCs w:val="24"/>
        </w:rPr>
      </w:pPr>
      <w:r w:rsidRPr="00D47A31">
        <w:rPr>
          <w:rFonts w:ascii="KaiTi" w:eastAsia="KaiTi" w:hint="eastAsia"/>
          <w:sz w:val="24"/>
          <w:szCs w:val="24"/>
          <w:lang w:val="zh-CN"/>
        </w:rPr>
        <w:t>表示严重关切</w:t>
      </w:r>
      <w:r w:rsidRPr="00D47A31">
        <w:rPr>
          <w:rFonts w:ascii="SimSun" w:hint="eastAsia"/>
          <w:sz w:val="24"/>
          <w:szCs w:val="24"/>
          <w:lang w:val="zh-CN"/>
        </w:rPr>
        <w:t>巴布亚新几内亚尚未提交第三次、第四次或第五次国家报告</w:t>
      </w:r>
      <w:r w:rsidRPr="00D47A31">
        <w:rPr>
          <w:rFonts w:ascii="SimSun" w:hint="eastAsia"/>
          <w:sz w:val="24"/>
          <w:szCs w:val="24"/>
        </w:rPr>
        <w:t>；</w:t>
      </w:r>
    </w:p>
    <w:p w14:paraId="5CB7CD6E" w14:textId="77777777" w:rsidR="00E65D65" w:rsidRPr="00D47A31" w:rsidRDefault="00E65D65" w:rsidP="00044FFF">
      <w:pPr>
        <w:pStyle w:val="CBDDesicionText"/>
        <w:numPr>
          <w:ilvl w:val="0"/>
          <w:numId w:val="17"/>
        </w:numPr>
        <w:tabs>
          <w:tab w:val="clear" w:pos="567"/>
          <w:tab w:val="clear" w:pos="1134"/>
          <w:tab w:val="clear" w:pos="1701"/>
          <w:tab w:val="clear" w:pos="2268"/>
          <w:tab w:val="left" w:pos="630"/>
          <w:tab w:val="left" w:pos="1800"/>
        </w:tabs>
        <w:ind w:left="630" w:firstLine="324"/>
        <w:rPr>
          <w:sz w:val="24"/>
          <w:szCs w:val="24"/>
        </w:rPr>
      </w:pPr>
      <w:r w:rsidRPr="00D47A31">
        <w:rPr>
          <w:rFonts w:ascii="KaiTi" w:eastAsia="KaiTi" w:hint="eastAsia"/>
          <w:sz w:val="24"/>
          <w:szCs w:val="24"/>
          <w:lang w:val="zh-CN"/>
        </w:rPr>
        <w:lastRenderedPageBreak/>
        <w:t>请</w:t>
      </w:r>
      <w:r w:rsidRPr="00D47A31">
        <w:rPr>
          <w:rFonts w:ascii="SimSun" w:hint="eastAsia"/>
          <w:sz w:val="24"/>
          <w:szCs w:val="24"/>
          <w:lang w:val="zh-CN"/>
        </w:rPr>
        <w:t>委员会考虑可能采取的措施</w:t>
      </w:r>
      <w:r w:rsidRPr="00D47A31">
        <w:rPr>
          <w:rFonts w:ascii="SimSun" w:hint="eastAsia"/>
          <w:sz w:val="24"/>
          <w:szCs w:val="24"/>
        </w:rPr>
        <w:t>，</w:t>
      </w:r>
      <w:r w:rsidRPr="00D47A31">
        <w:rPr>
          <w:rFonts w:ascii="SimSun" w:hint="eastAsia"/>
          <w:sz w:val="24"/>
          <w:szCs w:val="24"/>
          <w:lang w:val="zh-CN"/>
        </w:rPr>
        <w:t>解决巴布亚新几内亚一再不履行报告义务的问题</w:t>
      </w:r>
      <w:r w:rsidRPr="00D47A31">
        <w:rPr>
          <w:rFonts w:ascii="SimSun" w:hint="eastAsia"/>
          <w:sz w:val="24"/>
          <w:szCs w:val="24"/>
        </w:rPr>
        <w:t>，</w:t>
      </w:r>
      <w:r w:rsidRPr="00D47A31">
        <w:rPr>
          <w:rFonts w:ascii="SimSun" w:hint="eastAsia"/>
          <w:sz w:val="24"/>
          <w:szCs w:val="24"/>
          <w:lang w:val="zh-CN"/>
        </w:rPr>
        <w:t>并就此向作为卡塔赫纳议定书缔约方会议的缔约方大会提出建议</w:t>
      </w:r>
      <w:r w:rsidRPr="00D47A31">
        <w:rPr>
          <w:rFonts w:ascii="SimSun" w:hint="eastAsia"/>
          <w:sz w:val="24"/>
          <w:szCs w:val="24"/>
        </w:rPr>
        <w:t>，</w:t>
      </w:r>
      <w:r w:rsidRPr="00D47A31">
        <w:rPr>
          <w:rFonts w:ascii="SimSun" w:hint="eastAsia"/>
          <w:sz w:val="24"/>
          <w:szCs w:val="24"/>
          <w:lang w:val="zh-CN"/>
        </w:rPr>
        <w:t>供其第十三次会议审议</w:t>
      </w:r>
      <w:r w:rsidRPr="00D47A31">
        <w:rPr>
          <w:rFonts w:ascii="SimSun" w:hint="eastAsia"/>
          <w:sz w:val="24"/>
          <w:szCs w:val="24"/>
        </w:rPr>
        <w:t>；</w:t>
      </w:r>
    </w:p>
    <w:p w14:paraId="1250CFDA" w14:textId="77777777" w:rsidR="00E65D65" w:rsidRPr="00D47A31" w:rsidRDefault="00E65D65" w:rsidP="00AD7A30">
      <w:pPr>
        <w:pStyle w:val="CBDDesicionText"/>
        <w:numPr>
          <w:ilvl w:val="0"/>
          <w:numId w:val="17"/>
        </w:numPr>
        <w:tabs>
          <w:tab w:val="clear" w:pos="567"/>
          <w:tab w:val="clear" w:pos="1134"/>
          <w:tab w:val="clear" w:pos="1701"/>
          <w:tab w:val="clear" w:pos="2268"/>
          <w:tab w:val="left" w:pos="630"/>
          <w:tab w:val="left" w:pos="1800"/>
        </w:tabs>
        <w:ind w:left="810" w:firstLine="180"/>
        <w:rPr>
          <w:sz w:val="24"/>
          <w:szCs w:val="24"/>
        </w:rPr>
      </w:pPr>
      <w:r w:rsidRPr="00D47A31">
        <w:rPr>
          <w:rFonts w:ascii="KaiTi" w:eastAsia="KaiTi" w:hint="eastAsia"/>
          <w:sz w:val="24"/>
          <w:szCs w:val="24"/>
          <w:lang w:val="zh-CN"/>
        </w:rPr>
        <w:t>鼓励</w:t>
      </w:r>
      <w:r w:rsidRPr="00D47A31">
        <w:rPr>
          <w:rFonts w:ascii="SimSun" w:hint="eastAsia"/>
          <w:sz w:val="24"/>
          <w:szCs w:val="24"/>
          <w:lang w:val="zh-CN"/>
        </w:rPr>
        <w:t>在履行《卡塔赫纳议定书》规定的一项或多项义务方面遇到困难的缔约方向《议定书》下的履约委员会或生物多样性公约秘书处寻求援助。</w:t>
      </w:r>
      <w:r w:rsidRPr="00D47A31">
        <w:rPr>
          <w:rStyle w:val="FootnoteReference"/>
          <w:sz w:val="24"/>
          <w:szCs w:val="24"/>
          <w:lang w:val="zh-CN"/>
        </w:rPr>
        <w:footnoteReference w:id="7"/>
      </w:r>
    </w:p>
    <w:p w14:paraId="41429E56" w14:textId="77777777" w:rsidR="00E65D65" w:rsidRPr="00D47A31" w:rsidRDefault="00E65D65">
      <w:pPr>
        <w:pStyle w:val="CBDH1"/>
        <w:rPr>
          <w:sz w:val="24"/>
          <w:szCs w:val="24"/>
        </w:rPr>
      </w:pPr>
      <w:r w:rsidRPr="00D47A31">
        <w:rPr>
          <w:rFonts w:ascii="SimSun" w:hint="eastAsia"/>
          <w:sz w:val="24"/>
          <w:szCs w:val="24"/>
          <w:lang w:val="zh-CN"/>
        </w:rPr>
        <w:t>二</w:t>
      </w:r>
      <w:r w:rsidRPr="00D47A31">
        <w:rPr>
          <w:rFonts w:ascii="SimSun" w:hint="eastAsia"/>
          <w:sz w:val="24"/>
          <w:szCs w:val="24"/>
          <w:lang w:val="en-US"/>
        </w:rPr>
        <w:t>．</w:t>
      </w:r>
      <w:r w:rsidRPr="00D47A31">
        <w:rPr>
          <w:sz w:val="24"/>
          <w:szCs w:val="24"/>
        </w:rPr>
        <w:tab/>
      </w:r>
      <w:r w:rsidRPr="00D47A31">
        <w:rPr>
          <w:rFonts w:ascii="SimSun" w:hint="eastAsia"/>
          <w:color w:val="000000"/>
          <w:sz w:val="24"/>
          <w:szCs w:val="24"/>
          <w:lang w:val="zh-CN"/>
        </w:rPr>
        <w:t>生物安全信息交换所</w:t>
      </w:r>
      <w:r w:rsidRPr="00D47A31">
        <w:rPr>
          <w:rFonts w:ascii="SimSun" w:hint="eastAsia"/>
          <w:sz w:val="24"/>
          <w:szCs w:val="24"/>
          <w:lang w:val="zh-CN"/>
        </w:rPr>
        <w:t>的运作和活动</w:t>
      </w:r>
    </w:p>
    <w:p w14:paraId="33C10F4D" w14:textId="77777777" w:rsidR="00E65D65" w:rsidRPr="00D47A31" w:rsidRDefault="00E65D65">
      <w:pPr>
        <w:pStyle w:val="CBDRecommendText"/>
        <w:tabs>
          <w:tab w:val="clear" w:pos="567"/>
        </w:tabs>
        <w:rPr>
          <w:sz w:val="24"/>
          <w:szCs w:val="24"/>
        </w:rPr>
      </w:pPr>
      <w:r w:rsidRPr="00D47A31">
        <w:rPr>
          <w:sz w:val="24"/>
          <w:szCs w:val="24"/>
        </w:rPr>
        <w:t>2.</w:t>
      </w:r>
      <w:r w:rsidRPr="00D47A31">
        <w:rPr>
          <w:sz w:val="24"/>
          <w:szCs w:val="24"/>
        </w:rPr>
        <w:tab/>
      </w:r>
      <w:r w:rsidRPr="00D47A31">
        <w:rPr>
          <w:rFonts w:ascii="SimSun" w:hint="eastAsia"/>
          <w:sz w:val="24"/>
          <w:szCs w:val="24"/>
          <w:lang w:val="zh-CN"/>
        </w:rPr>
        <w:t>履约委员会建议作为议定书缔约方会议的缔约方大会第十二次会议上通过一项包含以下要素的决定</w:t>
      </w:r>
      <w:r w:rsidRPr="00D47A31">
        <w:rPr>
          <w:rFonts w:ascii="SimSun" w:hint="eastAsia"/>
          <w:sz w:val="24"/>
          <w:szCs w:val="24"/>
        </w:rPr>
        <w:t>：</w:t>
      </w:r>
    </w:p>
    <w:p w14:paraId="1074D072" w14:textId="77777777" w:rsidR="00E65D65" w:rsidRPr="00D47A31" w:rsidRDefault="00E65D65">
      <w:pPr>
        <w:pStyle w:val="CBDRecommendText"/>
        <w:ind w:left="576" w:firstLine="603"/>
        <w:rPr>
          <w:i/>
          <w:sz w:val="24"/>
          <w:szCs w:val="24"/>
        </w:rPr>
      </w:pPr>
      <w:r w:rsidRPr="00D47A31">
        <w:rPr>
          <w:rFonts w:ascii="KaiTi" w:eastAsia="KaiTi" w:hint="eastAsia"/>
          <w:sz w:val="24"/>
          <w:szCs w:val="24"/>
          <w:lang w:val="zh-CN"/>
        </w:rPr>
        <w:t>作为卡塔赫纳议定书缔约方会议的缔约方大会</w:t>
      </w:r>
    </w:p>
    <w:p w14:paraId="6C6D663A" w14:textId="77777777" w:rsidR="00E65D65" w:rsidRPr="00D47A31" w:rsidRDefault="00E65D65" w:rsidP="00044FFF">
      <w:pPr>
        <w:pStyle w:val="CBDDesicionText"/>
        <w:numPr>
          <w:ilvl w:val="0"/>
          <w:numId w:val="18"/>
        </w:numPr>
        <w:tabs>
          <w:tab w:val="clear" w:pos="567"/>
          <w:tab w:val="clear" w:pos="1134"/>
          <w:tab w:val="clear" w:pos="1701"/>
          <w:tab w:val="clear" w:pos="2268"/>
          <w:tab w:val="left" w:pos="630"/>
          <w:tab w:val="left" w:pos="1800"/>
        </w:tabs>
        <w:ind w:left="567" w:firstLine="567"/>
        <w:rPr>
          <w:i/>
          <w:sz w:val="24"/>
          <w:szCs w:val="24"/>
        </w:rPr>
      </w:pPr>
      <w:r w:rsidRPr="00D47A31">
        <w:rPr>
          <w:rFonts w:ascii="KaiTi" w:eastAsia="KaiTi" w:hint="eastAsia"/>
          <w:sz w:val="24"/>
          <w:szCs w:val="24"/>
          <w:lang w:val="zh-CN"/>
        </w:rPr>
        <w:t>欢迎</w:t>
      </w:r>
      <w:r w:rsidRPr="00D47A31">
        <w:rPr>
          <w:rFonts w:ascii="SimSun" w:hint="eastAsia"/>
          <w:sz w:val="24"/>
          <w:szCs w:val="24"/>
          <w:lang w:val="zh-CN"/>
        </w:rPr>
        <w:t>缔约方为在生物安全信息交换所保持准确和完整的信息所作的持续努力</w:t>
      </w:r>
      <w:r w:rsidRPr="00D47A31">
        <w:rPr>
          <w:rFonts w:ascii="SimSun" w:hint="eastAsia"/>
          <w:sz w:val="24"/>
          <w:szCs w:val="24"/>
        </w:rPr>
        <w:t>；</w:t>
      </w:r>
    </w:p>
    <w:p w14:paraId="3BF79D7B" w14:textId="77777777" w:rsidR="00E65D65" w:rsidRPr="00D47A31" w:rsidRDefault="00E65D65" w:rsidP="00044FFF">
      <w:pPr>
        <w:pStyle w:val="CBDDesicionText"/>
        <w:numPr>
          <w:ilvl w:val="0"/>
          <w:numId w:val="18"/>
        </w:numPr>
        <w:tabs>
          <w:tab w:val="clear" w:pos="567"/>
          <w:tab w:val="clear" w:pos="1134"/>
          <w:tab w:val="clear" w:pos="1701"/>
          <w:tab w:val="clear" w:pos="2268"/>
          <w:tab w:val="left" w:pos="630"/>
          <w:tab w:val="left" w:pos="1800"/>
        </w:tabs>
        <w:ind w:left="567" w:firstLine="567"/>
        <w:rPr>
          <w:i/>
          <w:sz w:val="24"/>
          <w:szCs w:val="24"/>
        </w:rPr>
      </w:pPr>
      <w:r w:rsidRPr="00D47A31">
        <w:rPr>
          <w:rFonts w:ascii="KaiTi" w:eastAsia="KaiTi" w:hint="eastAsia"/>
          <w:sz w:val="24"/>
          <w:szCs w:val="24"/>
          <w:lang w:val="zh-CN"/>
        </w:rPr>
        <w:t>提醒</w:t>
      </w:r>
      <w:r w:rsidRPr="00D47A31">
        <w:rPr>
          <w:rFonts w:ascii="SimSun" w:hint="eastAsia"/>
          <w:sz w:val="24"/>
          <w:szCs w:val="24"/>
          <w:lang w:val="zh-CN"/>
        </w:rPr>
        <w:t>缔约方有义务按照《卡塔赫纳生物安全议定书》第</w:t>
      </w:r>
      <w:r w:rsidRPr="00D47A31">
        <w:rPr>
          <w:sz w:val="24"/>
          <w:szCs w:val="24"/>
        </w:rPr>
        <w:t>20</w:t>
      </w:r>
      <w:r w:rsidRPr="00D47A31">
        <w:rPr>
          <w:rFonts w:ascii="SimSun" w:hint="eastAsia"/>
          <w:sz w:val="24"/>
          <w:szCs w:val="24"/>
          <w:lang w:val="zh-CN"/>
        </w:rPr>
        <w:t>条的规定</w:t>
      </w:r>
      <w:r w:rsidRPr="00D47A31">
        <w:rPr>
          <w:rFonts w:ascii="SimSun" w:hint="eastAsia"/>
          <w:sz w:val="24"/>
          <w:szCs w:val="24"/>
        </w:rPr>
        <w:t>，</w:t>
      </w:r>
      <w:r w:rsidRPr="00D47A31">
        <w:rPr>
          <w:rFonts w:ascii="SimSun" w:hint="eastAsia"/>
          <w:sz w:val="24"/>
          <w:szCs w:val="24"/>
          <w:lang w:val="zh-CN"/>
        </w:rPr>
        <w:t>通过生物安全信息交换所公布关于改性活生物体进口或释放以及相应风险评估摘要的最终决定。</w:t>
      </w:r>
      <w:r w:rsidRPr="00D47A31">
        <w:rPr>
          <w:rStyle w:val="FootnoteReference"/>
          <w:b/>
          <w:sz w:val="24"/>
          <w:szCs w:val="24"/>
          <w:lang w:val="zh-CN"/>
        </w:rPr>
        <w:footnoteReference w:id="8"/>
      </w:r>
    </w:p>
    <w:p w14:paraId="25614C6E" w14:textId="77777777" w:rsidR="00E65D65" w:rsidRPr="00D47A31" w:rsidRDefault="00E65D65">
      <w:pPr>
        <w:pStyle w:val="CBDH1"/>
        <w:rPr>
          <w:sz w:val="24"/>
          <w:szCs w:val="24"/>
        </w:rPr>
      </w:pPr>
      <w:r w:rsidRPr="00D47A31">
        <w:rPr>
          <w:rFonts w:ascii="SimSun" w:hint="eastAsia"/>
          <w:sz w:val="24"/>
          <w:szCs w:val="24"/>
          <w:lang w:val="zh-CN"/>
        </w:rPr>
        <w:t>三</w:t>
      </w:r>
      <w:r w:rsidRPr="00D47A31">
        <w:rPr>
          <w:rFonts w:ascii="SimSun"/>
          <w:sz w:val="24"/>
          <w:szCs w:val="24"/>
          <w:lang w:val="zh-CN"/>
        </w:rPr>
        <w:t>.</w:t>
      </w:r>
      <w:r w:rsidRPr="00D47A31">
        <w:rPr>
          <w:sz w:val="24"/>
          <w:szCs w:val="24"/>
        </w:rPr>
        <w:tab/>
      </w:r>
      <w:r w:rsidRPr="00D47A31">
        <w:rPr>
          <w:rFonts w:ascii="SimSun" w:hint="eastAsia"/>
          <w:sz w:val="24"/>
          <w:szCs w:val="24"/>
          <w:lang w:val="zh-CN"/>
        </w:rPr>
        <w:t>监测与汇报</w:t>
      </w:r>
    </w:p>
    <w:p w14:paraId="20BDDC26" w14:textId="77777777" w:rsidR="00E65D65" w:rsidRPr="00D47A31" w:rsidRDefault="00E65D65">
      <w:pPr>
        <w:pStyle w:val="CBDRecommendText"/>
        <w:tabs>
          <w:tab w:val="clear" w:pos="567"/>
        </w:tabs>
        <w:ind w:left="540"/>
        <w:rPr>
          <w:sz w:val="24"/>
          <w:szCs w:val="24"/>
        </w:rPr>
      </w:pPr>
      <w:r w:rsidRPr="00D47A31">
        <w:rPr>
          <w:sz w:val="24"/>
          <w:szCs w:val="24"/>
        </w:rPr>
        <w:t>3.</w:t>
      </w:r>
      <w:r w:rsidRPr="00D47A31">
        <w:rPr>
          <w:sz w:val="24"/>
          <w:szCs w:val="24"/>
        </w:rPr>
        <w:tab/>
      </w:r>
      <w:r w:rsidRPr="00D47A31">
        <w:rPr>
          <w:rFonts w:ascii="SimSun" w:hint="eastAsia"/>
          <w:sz w:val="24"/>
          <w:szCs w:val="24"/>
          <w:lang w:val="zh-CN"/>
        </w:rPr>
        <w:t>履约委员会建议作为议定书缔约方会议的缔约方大会第十二次会议上通过一项包含以下要素的决定</w:t>
      </w:r>
      <w:r w:rsidRPr="00D47A31">
        <w:rPr>
          <w:rFonts w:ascii="SimSun" w:hint="eastAsia"/>
          <w:sz w:val="24"/>
          <w:szCs w:val="24"/>
        </w:rPr>
        <w:t>：</w:t>
      </w:r>
    </w:p>
    <w:p w14:paraId="2EB35C85" w14:textId="77777777" w:rsidR="00E65D65" w:rsidRPr="00D47A31" w:rsidRDefault="00E65D65">
      <w:pPr>
        <w:pStyle w:val="CBDRecommendText"/>
        <w:rPr>
          <w:b/>
          <w:i/>
          <w:sz w:val="24"/>
          <w:szCs w:val="24"/>
        </w:rPr>
      </w:pPr>
      <w:r w:rsidRPr="00D47A31">
        <w:rPr>
          <w:i/>
          <w:sz w:val="24"/>
          <w:szCs w:val="24"/>
        </w:rPr>
        <w:tab/>
      </w:r>
      <w:r w:rsidRPr="00D47A31">
        <w:rPr>
          <w:rFonts w:ascii="KaiTi" w:eastAsia="KaiTi" w:hint="eastAsia"/>
          <w:sz w:val="24"/>
          <w:szCs w:val="24"/>
          <w:lang w:val="zh-CN"/>
        </w:rPr>
        <w:t>作为卡塔赫纳议定书缔约方会议的缔约方大会</w:t>
      </w:r>
    </w:p>
    <w:p w14:paraId="31F1356E" w14:textId="77777777" w:rsidR="00E65D65" w:rsidRPr="00D47A31" w:rsidRDefault="00E65D65" w:rsidP="00044FFF">
      <w:pPr>
        <w:pStyle w:val="CBDDesicionText"/>
        <w:numPr>
          <w:ilvl w:val="0"/>
          <w:numId w:val="19"/>
        </w:numPr>
        <w:tabs>
          <w:tab w:val="clear" w:pos="567"/>
          <w:tab w:val="clear" w:pos="1134"/>
          <w:tab w:val="clear" w:pos="1701"/>
          <w:tab w:val="clear" w:pos="2268"/>
          <w:tab w:val="left" w:pos="630"/>
          <w:tab w:val="left" w:pos="1800"/>
        </w:tabs>
        <w:ind w:left="540" w:firstLine="630"/>
        <w:rPr>
          <w:sz w:val="24"/>
          <w:szCs w:val="24"/>
        </w:rPr>
      </w:pPr>
      <w:r w:rsidRPr="00D47A31">
        <w:rPr>
          <w:rFonts w:ascii="KaiTi" w:eastAsia="KaiTi" w:hint="eastAsia"/>
          <w:sz w:val="24"/>
          <w:szCs w:val="24"/>
          <w:lang w:val="zh-CN"/>
        </w:rPr>
        <w:t>欢迎</w:t>
      </w:r>
      <w:r w:rsidRPr="00D47A31">
        <w:rPr>
          <w:rFonts w:ascii="SimSun" w:hint="eastAsia"/>
          <w:sz w:val="24"/>
          <w:szCs w:val="24"/>
          <w:lang w:val="zh-CN"/>
        </w:rPr>
        <w:t>超过三分之二的缔约方在报告截止日期前提交了关于实施《卡塔赫纳生物安全议定书》</w:t>
      </w:r>
      <w:r w:rsidRPr="00D47A31">
        <w:rPr>
          <w:rStyle w:val="FootnoteReference"/>
          <w:sz w:val="24"/>
          <w:szCs w:val="24"/>
          <w:lang w:val="zh-CN"/>
        </w:rPr>
        <w:footnoteReference w:id="9"/>
      </w:r>
      <w:r w:rsidRPr="00D47A31">
        <w:rPr>
          <w:rFonts w:ascii="SimSun" w:hint="eastAsia"/>
          <w:sz w:val="24"/>
          <w:szCs w:val="24"/>
          <w:lang w:val="zh-CN"/>
        </w:rPr>
        <w:t>的第五次国家报告</w:t>
      </w:r>
      <w:r w:rsidRPr="00D47A31">
        <w:rPr>
          <w:rFonts w:ascii="SimSun" w:hint="eastAsia"/>
          <w:sz w:val="24"/>
          <w:szCs w:val="24"/>
        </w:rPr>
        <w:t>；</w:t>
      </w:r>
    </w:p>
    <w:p w14:paraId="0D9B9202" w14:textId="77777777" w:rsidR="00E65D65" w:rsidRPr="00D47A31" w:rsidRDefault="00E65D65" w:rsidP="00044FFF">
      <w:pPr>
        <w:pStyle w:val="CBDDesicionText"/>
        <w:numPr>
          <w:ilvl w:val="0"/>
          <w:numId w:val="19"/>
        </w:numPr>
        <w:tabs>
          <w:tab w:val="clear" w:pos="567"/>
          <w:tab w:val="clear" w:pos="1134"/>
          <w:tab w:val="clear" w:pos="1701"/>
          <w:tab w:val="clear" w:pos="2268"/>
          <w:tab w:val="left" w:pos="630"/>
          <w:tab w:val="left" w:pos="1800"/>
        </w:tabs>
        <w:ind w:left="540" w:firstLine="630"/>
        <w:rPr>
          <w:sz w:val="24"/>
          <w:szCs w:val="24"/>
        </w:rPr>
      </w:pPr>
      <w:r w:rsidRPr="00D47A31">
        <w:rPr>
          <w:rFonts w:ascii="KaiTi" w:eastAsia="KaiTi" w:hint="eastAsia"/>
          <w:sz w:val="24"/>
          <w:szCs w:val="24"/>
          <w:lang w:val="zh-CN"/>
        </w:rPr>
        <w:t>提醒</w:t>
      </w:r>
      <w:r w:rsidRPr="00D47A31">
        <w:rPr>
          <w:rFonts w:ascii="SimSun" w:hint="eastAsia"/>
          <w:sz w:val="24"/>
          <w:szCs w:val="24"/>
          <w:lang w:val="zh-CN"/>
        </w:rPr>
        <w:t>尚未提交第五次国家报告的缔约方尽快通过生物安全信息交换所提交报告</w:t>
      </w:r>
      <w:r w:rsidRPr="00D47A31">
        <w:rPr>
          <w:rFonts w:ascii="SimSun" w:hint="eastAsia"/>
          <w:sz w:val="24"/>
          <w:szCs w:val="24"/>
        </w:rPr>
        <w:t>；</w:t>
      </w:r>
    </w:p>
    <w:p w14:paraId="243D106C" w14:textId="77777777" w:rsidR="00E65D65" w:rsidRPr="00D47A31" w:rsidRDefault="00E65D65" w:rsidP="00044FFF">
      <w:pPr>
        <w:pStyle w:val="CBDDesicionText"/>
        <w:numPr>
          <w:ilvl w:val="0"/>
          <w:numId w:val="19"/>
        </w:numPr>
        <w:tabs>
          <w:tab w:val="clear" w:pos="567"/>
          <w:tab w:val="clear" w:pos="1134"/>
          <w:tab w:val="clear" w:pos="1701"/>
          <w:tab w:val="clear" w:pos="2268"/>
          <w:tab w:val="left" w:pos="630"/>
          <w:tab w:val="left" w:pos="1800"/>
        </w:tabs>
        <w:ind w:left="540" w:firstLine="630"/>
        <w:rPr>
          <w:sz w:val="24"/>
          <w:szCs w:val="24"/>
        </w:rPr>
      </w:pPr>
      <w:r w:rsidRPr="00D47A31">
        <w:rPr>
          <w:rFonts w:ascii="KaiTi" w:eastAsia="KaiTi" w:hint="eastAsia"/>
          <w:sz w:val="24"/>
          <w:szCs w:val="24"/>
          <w:lang w:val="zh-CN"/>
        </w:rPr>
        <w:t>表示赞赏</w:t>
      </w:r>
      <w:r w:rsidRPr="00D47A31">
        <w:rPr>
          <w:rFonts w:ascii="SimSun" w:hint="eastAsia"/>
          <w:sz w:val="24"/>
          <w:szCs w:val="24"/>
          <w:lang w:val="zh-CN"/>
        </w:rPr>
        <w:t>全球环境基金和联合国环境规划署向符合条件的缔约方编制和提交第五次国家报告提供的支持。</w:t>
      </w:r>
    </w:p>
    <w:p w14:paraId="55ABD3D4" w14:textId="77777777" w:rsidR="00E65D65" w:rsidRPr="00D47A31" w:rsidRDefault="00E65D65">
      <w:pPr>
        <w:pStyle w:val="CBDH1"/>
        <w:rPr>
          <w:sz w:val="24"/>
          <w:szCs w:val="24"/>
        </w:rPr>
      </w:pPr>
      <w:r w:rsidRPr="00D47A31">
        <w:rPr>
          <w:rFonts w:ascii="SimSun" w:hint="eastAsia"/>
          <w:sz w:val="24"/>
          <w:szCs w:val="24"/>
          <w:lang w:val="zh-CN"/>
        </w:rPr>
        <w:t>四</w:t>
      </w:r>
      <w:r w:rsidRPr="00D47A31">
        <w:rPr>
          <w:sz w:val="24"/>
          <w:szCs w:val="24"/>
          <w:lang w:val="en-US"/>
        </w:rPr>
        <w:t>.</w:t>
      </w:r>
      <w:r w:rsidRPr="00D47A31">
        <w:rPr>
          <w:sz w:val="24"/>
          <w:szCs w:val="24"/>
        </w:rPr>
        <w:tab/>
      </w:r>
      <w:r w:rsidRPr="00D47A31">
        <w:rPr>
          <w:rFonts w:ascii="SimSun" w:hint="eastAsia"/>
          <w:sz w:val="24"/>
          <w:szCs w:val="24"/>
          <w:lang w:val="zh-CN"/>
        </w:rPr>
        <w:t>有关财务机制和财政资源的事项</w:t>
      </w:r>
    </w:p>
    <w:p w14:paraId="3BEA48A1" w14:textId="77777777" w:rsidR="00E65D65" w:rsidRPr="00D47A31" w:rsidRDefault="00E65D65">
      <w:pPr>
        <w:pStyle w:val="CBDRecommendText"/>
        <w:keepNext/>
        <w:tabs>
          <w:tab w:val="clear" w:pos="567"/>
        </w:tabs>
        <w:rPr>
          <w:sz w:val="24"/>
          <w:szCs w:val="24"/>
        </w:rPr>
      </w:pPr>
      <w:r w:rsidRPr="00D47A31">
        <w:rPr>
          <w:sz w:val="24"/>
          <w:szCs w:val="24"/>
        </w:rPr>
        <w:t>4.</w:t>
      </w:r>
      <w:r w:rsidRPr="00D47A31">
        <w:rPr>
          <w:sz w:val="24"/>
          <w:szCs w:val="24"/>
        </w:rPr>
        <w:tab/>
      </w:r>
      <w:r w:rsidRPr="00D47A31">
        <w:rPr>
          <w:rFonts w:ascii="SimSun" w:hint="eastAsia"/>
          <w:sz w:val="24"/>
          <w:szCs w:val="24"/>
          <w:lang w:val="zh-CN"/>
        </w:rPr>
        <w:t>履约委员会建议作为议定书缔约方会议的缔约方大会第十二次会议上通过一项包含以下要素的决定</w:t>
      </w:r>
      <w:r w:rsidRPr="00D47A31">
        <w:rPr>
          <w:rFonts w:ascii="SimSun" w:hint="eastAsia"/>
          <w:sz w:val="24"/>
          <w:szCs w:val="24"/>
        </w:rPr>
        <w:t>：</w:t>
      </w:r>
    </w:p>
    <w:p w14:paraId="25F10F73" w14:textId="77777777" w:rsidR="00E65D65" w:rsidRPr="00D47A31" w:rsidRDefault="00E65D65">
      <w:pPr>
        <w:pStyle w:val="CBDRecommendText"/>
        <w:rPr>
          <w:b/>
          <w:i/>
          <w:sz w:val="24"/>
          <w:szCs w:val="24"/>
        </w:rPr>
      </w:pPr>
      <w:r w:rsidRPr="00D47A31">
        <w:rPr>
          <w:i/>
          <w:sz w:val="24"/>
          <w:szCs w:val="24"/>
        </w:rPr>
        <w:tab/>
      </w:r>
      <w:r w:rsidRPr="00D47A31">
        <w:rPr>
          <w:rFonts w:ascii="KaiTi" w:eastAsia="KaiTi" w:hint="eastAsia"/>
          <w:sz w:val="24"/>
          <w:szCs w:val="24"/>
          <w:lang w:val="zh-CN"/>
        </w:rPr>
        <w:t>作为卡塔赫纳议定书缔约方会议的缔约方大会</w:t>
      </w:r>
    </w:p>
    <w:p w14:paraId="2BEA62C7" w14:textId="77777777" w:rsidR="00E65D65" w:rsidRPr="00D47A31" w:rsidRDefault="00E65D65">
      <w:pPr>
        <w:pStyle w:val="CBDRecommendText"/>
        <w:rPr>
          <w:sz w:val="24"/>
          <w:szCs w:val="24"/>
        </w:rPr>
      </w:pPr>
      <w:r w:rsidRPr="00D47A31">
        <w:rPr>
          <w:i/>
          <w:sz w:val="24"/>
          <w:szCs w:val="24"/>
        </w:rPr>
        <w:tab/>
      </w:r>
      <w:r w:rsidRPr="00D47A31">
        <w:rPr>
          <w:rFonts w:ascii="KaiTi" w:eastAsia="KaiTi" w:hint="eastAsia"/>
          <w:sz w:val="24"/>
          <w:szCs w:val="24"/>
          <w:lang w:val="zh-CN"/>
        </w:rPr>
        <w:t>建议</w:t>
      </w:r>
      <w:r w:rsidRPr="00D47A31">
        <w:rPr>
          <w:rFonts w:ascii="SimSun" w:hint="eastAsia"/>
          <w:sz w:val="24"/>
          <w:szCs w:val="24"/>
          <w:lang w:val="zh-CN"/>
        </w:rPr>
        <w:t>生物多样性公约</w:t>
      </w:r>
      <w:r w:rsidRPr="00D47A31">
        <w:rPr>
          <w:rStyle w:val="FootnoteReference"/>
          <w:sz w:val="24"/>
          <w:szCs w:val="24"/>
          <w:lang w:val="zh-CN"/>
        </w:rPr>
        <w:footnoteReference w:id="10"/>
      </w:r>
      <w:r w:rsidRPr="00D47A31">
        <w:rPr>
          <w:rFonts w:ascii="SimSun" w:hint="eastAsia"/>
          <w:sz w:val="24"/>
          <w:szCs w:val="24"/>
          <w:lang w:val="zh-CN"/>
        </w:rPr>
        <w:t>缔约方大会第十七届会议在向财务机制提供的指导意见中</w:t>
      </w:r>
      <w:r w:rsidRPr="00D47A31">
        <w:rPr>
          <w:rFonts w:ascii="SimSun" w:hint="eastAsia"/>
          <w:sz w:val="24"/>
          <w:szCs w:val="24"/>
        </w:rPr>
        <w:t>，</w:t>
      </w:r>
      <w:r w:rsidRPr="00D47A31">
        <w:rPr>
          <w:rFonts w:ascii="SimSun" w:hint="eastAsia"/>
          <w:sz w:val="24"/>
          <w:szCs w:val="24"/>
          <w:lang w:val="zh-CN"/>
        </w:rPr>
        <w:t>请全球环境基金及时提供资金</w:t>
      </w:r>
      <w:r w:rsidRPr="00D47A31">
        <w:rPr>
          <w:rFonts w:ascii="SimSun" w:hint="eastAsia"/>
          <w:sz w:val="24"/>
          <w:szCs w:val="24"/>
        </w:rPr>
        <w:t>，</w:t>
      </w:r>
      <w:r w:rsidRPr="00D47A31">
        <w:rPr>
          <w:rFonts w:ascii="SimSun" w:hint="eastAsia"/>
          <w:sz w:val="24"/>
          <w:szCs w:val="24"/>
          <w:lang w:val="zh-CN"/>
        </w:rPr>
        <w:t>以支持符合条件的缔约方编制和提交关于实施《卡塔赫纳生物安全议定书》的第六次国家报告。</w:t>
      </w:r>
      <w:r w:rsidRPr="00D47A31">
        <w:rPr>
          <w:rStyle w:val="FootnoteReference"/>
          <w:sz w:val="24"/>
          <w:szCs w:val="24"/>
          <w:lang w:val="zh-CN"/>
        </w:rPr>
        <w:footnoteReference w:id="11"/>
      </w:r>
    </w:p>
    <w:p w14:paraId="59DC4861" w14:textId="77777777" w:rsidR="00E65D65" w:rsidRPr="00D47A31" w:rsidRDefault="00E65D65">
      <w:pPr>
        <w:pStyle w:val="CBDAnnex"/>
        <w:rPr>
          <w:sz w:val="24"/>
          <w:szCs w:val="24"/>
          <w:lang w:bidi="ar-SA"/>
        </w:rPr>
      </w:pPr>
      <w:r w:rsidRPr="00D47A31">
        <w:rPr>
          <w:rFonts w:ascii="SimSun" w:hint="eastAsia"/>
          <w:sz w:val="24"/>
          <w:szCs w:val="24"/>
          <w:lang w:val="zh-CN" w:bidi="ar-SA"/>
        </w:rPr>
        <w:lastRenderedPageBreak/>
        <w:t>附件二</w:t>
      </w:r>
    </w:p>
    <w:p w14:paraId="72D19424" w14:textId="77777777" w:rsidR="00E65D65" w:rsidRPr="00D47A31" w:rsidRDefault="00E65D65">
      <w:pPr>
        <w:pStyle w:val="CBDTitle"/>
        <w:rPr>
          <w:sz w:val="24"/>
          <w:szCs w:val="24"/>
        </w:rPr>
      </w:pPr>
      <w:r w:rsidRPr="00D47A31">
        <w:rPr>
          <w:rFonts w:ascii="SimSun" w:hint="eastAsia"/>
          <w:sz w:val="24"/>
          <w:szCs w:val="24"/>
          <w:lang w:val="zh-CN"/>
        </w:rPr>
        <w:t>卡塔赫纳生物安全议定书履约委员会为《议定书》第五次评估和审查以及《议定书》执行计划和能力建设行动计划中期评价提供的意见</w:t>
      </w:r>
    </w:p>
    <w:p w14:paraId="6D2D2049" w14:textId="77777777" w:rsidR="00E65D65" w:rsidRPr="00D47A31" w:rsidRDefault="00E65D65">
      <w:pPr>
        <w:pStyle w:val="CBDNormalNoNumber"/>
        <w:rPr>
          <w:sz w:val="24"/>
          <w:szCs w:val="24"/>
        </w:rPr>
      </w:pPr>
      <w:r w:rsidRPr="00D47A31">
        <w:rPr>
          <w:rFonts w:ascii="SimSun" w:hint="eastAsia"/>
          <w:sz w:val="24"/>
          <w:szCs w:val="24"/>
          <w:lang w:val="zh-CN"/>
        </w:rPr>
        <w:t>履约委员会建议</w:t>
      </w:r>
      <w:r w:rsidRPr="00D47A31">
        <w:rPr>
          <w:rFonts w:ascii="SimSun" w:hint="eastAsia"/>
          <w:sz w:val="24"/>
          <w:szCs w:val="24"/>
        </w:rPr>
        <w:t>，</w:t>
      </w:r>
      <w:r w:rsidRPr="00D47A31">
        <w:rPr>
          <w:rFonts w:ascii="SimSun" w:hint="eastAsia"/>
          <w:sz w:val="24"/>
          <w:szCs w:val="24"/>
          <w:lang w:val="zh-CN"/>
        </w:rPr>
        <w:t>作为对《卡塔赫纳生物安全议定书》第五次评估和审查以及《议定书》执行计划和能力建设行动计划中期评价的贡献</w:t>
      </w:r>
      <w:r w:rsidRPr="00D47A31">
        <w:rPr>
          <w:rFonts w:ascii="SimSun" w:hint="eastAsia"/>
          <w:sz w:val="24"/>
          <w:szCs w:val="24"/>
        </w:rPr>
        <w:t>，</w:t>
      </w:r>
      <w:r w:rsidRPr="00D47A31">
        <w:rPr>
          <w:rFonts w:ascii="SimSun" w:hint="eastAsia"/>
          <w:sz w:val="24"/>
          <w:szCs w:val="24"/>
          <w:lang w:val="zh-CN"/>
        </w:rPr>
        <w:t>执行问题附属机构第七次会议应在其建议的决定草案中纳入以下要点</w:t>
      </w:r>
      <w:r w:rsidRPr="00D47A31">
        <w:rPr>
          <w:rFonts w:ascii="SimSun" w:hint="eastAsia"/>
          <w:sz w:val="24"/>
          <w:szCs w:val="24"/>
        </w:rPr>
        <w:t>，</w:t>
      </w:r>
      <w:r w:rsidRPr="00D47A31">
        <w:rPr>
          <w:rFonts w:ascii="SimSun" w:hint="eastAsia"/>
          <w:sz w:val="24"/>
          <w:szCs w:val="24"/>
          <w:lang w:val="zh-CN"/>
        </w:rPr>
        <w:t>供作为议定书缔约方会议的缔约方大会第十二次会议审议</w:t>
      </w:r>
      <w:r w:rsidRPr="00D47A31">
        <w:rPr>
          <w:rFonts w:ascii="SimSun" w:hint="eastAsia"/>
          <w:sz w:val="24"/>
          <w:szCs w:val="24"/>
        </w:rPr>
        <w:t>：</w:t>
      </w:r>
      <w:r w:rsidRPr="00D47A31">
        <w:rPr>
          <w:sz w:val="24"/>
          <w:szCs w:val="24"/>
        </w:rPr>
        <w:t xml:space="preserve"> </w:t>
      </w:r>
    </w:p>
    <w:p w14:paraId="773C906B" w14:textId="77777777" w:rsidR="00E65D65" w:rsidRPr="00D47A31" w:rsidRDefault="00E65D65">
      <w:pPr>
        <w:pStyle w:val="CBDNormalNumber"/>
        <w:tabs>
          <w:tab w:val="clear" w:pos="567"/>
          <w:tab w:val="clear" w:pos="1134"/>
          <w:tab w:val="clear" w:pos="2268"/>
          <w:tab w:val="clear" w:pos="2835"/>
          <w:tab w:val="clear" w:pos="3402"/>
          <w:tab w:val="clear" w:pos="3969"/>
        </w:tabs>
        <w:ind w:left="567" w:firstLine="567"/>
        <w:rPr>
          <w:sz w:val="24"/>
          <w:szCs w:val="24"/>
        </w:rPr>
      </w:pPr>
      <w:r w:rsidRPr="00D47A31">
        <w:rPr>
          <w:sz w:val="24"/>
          <w:szCs w:val="24"/>
        </w:rPr>
        <w:t>1.</w:t>
      </w:r>
      <w:r w:rsidRPr="00D47A31">
        <w:rPr>
          <w:sz w:val="24"/>
          <w:szCs w:val="24"/>
        </w:rPr>
        <w:tab/>
      </w:r>
      <w:r w:rsidRPr="00D47A31">
        <w:rPr>
          <w:rFonts w:ascii="SimSun" w:hint="eastAsia"/>
          <w:sz w:val="24"/>
          <w:szCs w:val="24"/>
          <w:lang w:val="zh-CN"/>
        </w:rPr>
        <w:t>欢迎缔约方在履行《议定书》相关义务方面取得的进展</w:t>
      </w:r>
      <w:r w:rsidRPr="00D47A31">
        <w:rPr>
          <w:rFonts w:ascii="SimSun" w:hint="eastAsia"/>
          <w:sz w:val="24"/>
          <w:szCs w:val="24"/>
        </w:rPr>
        <w:t>，</w:t>
      </w:r>
      <w:r w:rsidRPr="00D47A31">
        <w:rPr>
          <w:rFonts w:ascii="SimSun" w:hint="eastAsia"/>
          <w:sz w:val="24"/>
          <w:szCs w:val="24"/>
          <w:lang w:val="zh-CN"/>
        </w:rPr>
        <w:t>特别是在提交国家报告和在生物安全信息交换所发布信息方面的进展</w:t>
      </w:r>
      <w:r w:rsidRPr="00D47A31">
        <w:rPr>
          <w:rFonts w:ascii="SimSun" w:hint="eastAsia"/>
          <w:sz w:val="24"/>
          <w:szCs w:val="24"/>
        </w:rPr>
        <w:t>；</w:t>
      </w:r>
    </w:p>
    <w:p w14:paraId="697D5B78" w14:textId="77777777" w:rsidR="00E65D65" w:rsidRPr="00D47A31" w:rsidRDefault="00E65D65">
      <w:pPr>
        <w:pStyle w:val="CBDNormalNumber"/>
        <w:tabs>
          <w:tab w:val="clear" w:pos="567"/>
          <w:tab w:val="clear" w:pos="1134"/>
          <w:tab w:val="clear" w:pos="2268"/>
          <w:tab w:val="clear" w:pos="2835"/>
          <w:tab w:val="clear" w:pos="3402"/>
          <w:tab w:val="clear" w:pos="3969"/>
        </w:tabs>
        <w:ind w:left="567" w:firstLine="567"/>
        <w:rPr>
          <w:sz w:val="24"/>
          <w:szCs w:val="24"/>
        </w:rPr>
      </w:pPr>
      <w:r w:rsidRPr="00D47A31">
        <w:rPr>
          <w:sz w:val="24"/>
          <w:szCs w:val="24"/>
        </w:rPr>
        <w:t>2.</w:t>
      </w:r>
      <w:r w:rsidRPr="00D47A31">
        <w:rPr>
          <w:sz w:val="24"/>
          <w:szCs w:val="24"/>
        </w:rPr>
        <w:tab/>
      </w:r>
      <w:r w:rsidRPr="00D47A31">
        <w:rPr>
          <w:rFonts w:ascii="SimSun" w:hint="eastAsia"/>
          <w:sz w:val="24"/>
          <w:szCs w:val="24"/>
          <w:lang w:val="zh-CN"/>
        </w:rPr>
        <w:t>还欢迎在履行指定国家联络点的义务方面的高履约率</w:t>
      </w:r>
      <w:r w:rsidRPr="00D47A31">
        <w:rPr>
          <w:rFonts w:ascii="SimSun" w:hint="eastAsia"/>
          <w:sz w:val="24"/>
          <w:szCs w:val="24"/>
        </w:rPr>
        <w:t>；</w:t>
      </w:r>
    </w:p>
    <w:p w14:paraId="092AFB84" w14:textId="77777777" w:rsidR="00E65D65" w:rsidRPr="00D47A31" w:rsidRDefault="00E65D65">
      <w:pPr>
        <w:pStyle w:val="CBDNormalNumber"/>
        <w:tabs>
          <w:tab w:val="clear" w:pos="567"/>
          <w:tab w:val="clear" w:pos="1134"/>
          <w:tab w:val="clear" w:pos="2268"/>
          <w:tab w:val="clear" w:pos="2835"/>
          <w:tab w:val="clear" w:pos="3402"/>
          <w:tab w:val="clear" w:pos="3969"/>
        </w:tabs>
        <w:ind w:left="567" w:firstLine="567"/>
        <w:rPr>
          <w:sz w:val="24"/>
          <w:szCs w:val="24"/>
        </w:rPr>
      </w:pPr>
      <w:r w:rsidRPr="00D47A31">
        <w:rPr>
          <w:sz w:val="24"/>
          <w:szCs w:val="24"/>
        </w:rPr>
        <w:t>3.</w:t>
      </w:r>
      <w:r w:rsidRPr="00D47A31">
        <w:rPr>
          <w:sz w:val="24"/>
          <w:szCs w:val="24"/>
        </w:rPr>
        <w:tab/>
      </w:r>
      <w:r w:rsidRPr="00D47A31">
        <w:rPr>
          <w:rFonts w:ascii="SimSun" w:hint="eastAsia"/>
          <w:sz w:val="24"/>
          <w:szCs w:val="24"/>
          <w:lang w:val="zh-CN"/>
        </w:rPr>
        <w:t>赞赏地注意到缔约方在指定国家主管部门方面取得的进展</w:t>
      </w:r>
      <w:r w:rsidRPr="00D47A31">
        <w:rPr>
          <w:rFonts w:ascii="SimSun" w:hint="eastAsia"/>
          <w:sz w:val="24"/>
          <w:szCs w:val="24"/>
        </w:rPr>
        <w:t>，</w:t>
      </w:r>
      <w:r w:rsidRPr="00D47A31">
        <w:rPr>
          <w:rFonts w:ascii="SimSun" w:hint="eastAsia"/>
          <w:sz w:val="24"/>
          <w:szCs w:val="24"/>
          <w:lang w:val="zh-CN"/>
        </w:rPr>
        <w:t>但对少数缔约方仍未指定国家主管部门表示关切</w:t>
      </w:r>
      <w:r w:rsidRPr="00D47A31">
        <w:rPr>
          <w:rFonts w:ascii="SimSun" w:hint="eastAsia"/>
          <w:sz w:val="24"/>
          <w:szCs w:val="24"/>
        </w:rPr>
        <w:t>，</w:t>
      </w:r>
      <w:r w:rsidRPr="00D47A31">
        <w:rPr>
          <w:rFonts w:ascii="SimSun" w:hint="eastAsia"/>
          <w:sz w:val="24"/>
          <w:szCs w:val="24"/>
          <w:lang w:val="zh-CN"/>
        </w:rPr>
        <w:t>并敦促其尽快完成指定</w:t>
      </w:r>
      <w:r w:rsidRPr="00D47A31">
        <w:rPr>
          <w:rFonts w:ascii="SimSun" w:hint="eastAsia"/>
          <w:sz w:val="24"/>
          <w:szCs w:val="24"/>
        </w:rPr>
        <w:t>；</w:t>
      </w:r>
    </w:p>
    <w:p w14:paraId="50FFA02A" w14:textId="77777777" w:rsidR="00E65D65" w:rsidRPr="00D47A31" w:rsidRDefault="00E65D65">
      <w:pPr>
        <w:pStyle w:val="CBDNormalNumber"/>
        <w:tabs>
          <w:tab w:val="clear" w:pos="567"/>
          <w:tab w:val="clear" w:pos="1134"/>
          <w:tab w:val="clear" w:pos="2268"/>
          <w:tab w:val="clear" w:pos="2835"/>
          <w:tab w:val="clear" w:pos="3402"/>
          <w:tab w:val="clear" w:pos="3969"/>
        </w:tabs>
        <w:ind w:left="567" w:firstLine="567"/>
        <w:rPr>
          <w:sz w:val="24"/>
          <w:szCs w:val="24"/>
        </w:rPr>
      </w:pPr>
      <w:r w:rsidRPr="00D47A31">
        <w:rPr>
          <w:sz w:val="24"/>
          <w:szCs w:val="24"/>
        </w:rPr>
        <w:t>4.</w:t>
      </w:r>
      <w:r w:rsidRPr="00D47A31">
        <w:rPr>
          <w:sz w:val="24"/>
          <w:szCs w:val="24"/>
        </w:rPr>
        <w:tab/>
      </w:r>
      <w:r w:rsidRPr="00D47A31">
        <w:rPr>
          <w:rFonts w:ascii="SimSun" w:hint="eastAsia"/>
          <w:sz w:val="24"/>
          <w:szCs w:val="24"/>
          <w:lang w:val="zh-CN"/>
        </w:rPr>
        <w:t>欢迎履约委员会发挥的支持作用</w:t>
      </w:r>
      <w:r w:rsidRPr="00D47A31">
        <w:rPr>
          <w:rFonts w:ascii="SimSun" w:hint="eastAsia"/>
          <w:sz w:val="24"/>
          <w:szCs w:val="24"/>
        </w:rPr>
        <w:t>，</w:t>
      </w:r>
      <w:r w:rsidRPr="00D47A31">
        <w:rPr>
          <w:rFonts w:ascii="SimSun" w:hint="eastAsia"/>
          <w:sz w:val="24"/>
          <w:szCs w:val="24"/>
          <w:lang w:val="zh-CN"/>
        </w:rPr>
        <w:t>并承认该委员会定期并循序渐进跟进缔约方履约事项的重要性</w:t>
      </w:r>
      <w:r w:rsidRPr="00D47A31">
        <w:rPr>
          <w:rFonts w:ascii="SimSun" w:hint="eastAsia"/>
          <w:sz w:val="24"/>
          <w:szCs w:val="24"/>
        </w:rPr>
        <w:t>，</w:t>
      </w:r>
      <w:r w:rsidRPr="00D47A31">
        <w:rPr>
          <w:rFonts w:ascii="SimSun" w:hint="eastAsia"/>
          <w:sz w:val="24"/>
          <w:szCs w:val="24"/>
          <w:lang w:val="zh-CN"/>
        </w:rPr>
        <w:t>以及履约委员会为支持履约和实现《卡塔赫纳生物安全议定书》执行计划目标</w:t>
      </w:r>
      <w:r w:rsidRPr="00D47A31">
        <w:rPr>
          <w:sz w:val="24"/>
          <w:szCs w:val="24"/>
        </w:rPr>
        <w:t>A.4</w:t>
      </w:r>
      <w:r w:rsidRPr="00D47A31">
        <w:rPr>
          <w:rFonts w:ascii="SimSun" w:hint="eastAsia"/>
          <w:sz w:val="24"/>
          <w:szCs w:val="24"/>
          <w:lang w:val="zh-CN"/>
        </w:rPr>
        <w:t>所采取的正式履约措施和非正式举措</w:t>
      </w:r>
      <w:r w:rsidRPr="00D47A31">
        <w:rPr>
          <w:rFonts w:ascii="SimSun" w:hint="eastAsia"/>
          <w:sz w:val="24"/>
          <w:szCs w:val="24"/>
        </w:rPr>
        <w:t>；</w:t>
      </w:r>
    </w:p>
    <w:p w14:paraId="79B04159" w14:textId="77777777" w:rsidR="00E65D65" w:rsidRPr="00D47A31" w:rsidRDefault="00E65D65">
      <w:pPr>
        <w:pStyle w:val="CBDNormalNumber"/>
        <w:tabs>
          <w:tab w:val="clear" w:pos="567"/>
          <w:tab w:val="clear" w:pos="1134"/>
          <w:tab w:val="clear" w:pos="2268"/>
          <w:tab w:val="clear" w:pos="2835"/>
          <w:tab w:val="clear" w:pos="3402"/>
          <w:tab w:val="clear" w:pos="3969"/>
        </w:tabs>
        <w:ind w:left="567" w:firstLine="567"/>
        <w:rPr>
          <w:sz w:val="24"/>
          <w:szCs w:val="24"/>
        </w:rPr>
      </w:pPr>
      <w:r w:rsidRPr="00D47A31">
        <w:rPr>
          <w:sz w:val="24"/>
          <w:szCs w:val="24"/>
        </w:rPr>
        <w:t>5.</w:t>
      </w:r>
      <w:r w:rsidRPr="00D47A31">
        <w:rPr>
          <w:sz w:val="24"/>
          <w:szCs w:val="24"/>
        </w:rPr>
        <w:tab/>
      </w:r>
      <w:r w:rsidRPr="00D47A31">
        <w:rPr>
          <w:rFonts w:ascii="SimSun" w:hint="eastAsia"/>
          <w:sz w:val="24"/>
          <w:szCs w:val="24"/>
          <w:lang w:val="zh-CN"/>
        </w:rPr>
        <w:t>请缔约方在收到履约委员会来函时予以充分配合</w:t>
      </w:r>
      <w:r w:rsidRPr="00D47A31">
        <w:rPr>
          <w:rFonts w:ascii="SimSun" w:hint="eastAsia"/>
          <w:sz w:val="24"/>
          <w:szCs w:val="24"/>
        </w:rPr>
        <w:t>；</w:t>
      </w:r>
    </w:p>
    <w:p w14:paraId="79C7E838" w14:textId="77777777" w:rsidR="00E65D65" w:rsidRPr="00D47A31" w:rsidRDefault="00E65D65">
      <w:pPr>
        <w:pStyle w:val="CBDNormalNumber"/>
        <w:tabs>
          <w:tab w:val="clear" w:pos="567"/>
          <w:tab w:val="clear" w:pos="1134"/>
          <w:tab w:val="clear" w:pos="2268"/>
          <w:tab w:val="clear" w:pos="2835"/>
          <w:tab w:val="clear" w:pos="3402"/>
          <w:tab w:val="clear" w:pos="3969"/>
        </w:tabs>
        <w:ind w:left="567" w:firstLine="567"/>
        <w:rPr>
          <w:sz w:val="24"/>
          <w:szCs w:val="24"/>
        </w:rPr>
      </w:pPr>
      <w:r w:rsidRPr="00D47A31">
        <w:rPr>
          <w:sz w:val="24"/>
          <w:szCs w:val="24"/>
        </w:rPr>
        <w:t>6.</w:t>
      </w:r>
      <w:r w:rsidRPr="00D47A31">
        <w:rPr>
          <w:sz w:val="24"/>
          <w:szCs w:val="24"/>
        </w:rPr>
        <w:tab/>
      </w:r>
      <w:r w:rsidRPr="00D47A31">
        <w:rPr>
          <w:rFonts w:ascii="SimSun" w:hint="eastAsia"/>
          <w:sz w:val="24"/>
          <w:szCs w:val="24"/>
          <w:lang w:val="zh-CN"/>
        </w:rPr>
        <w:t>对一些缔约方尚未采纳任何执行《卡塔赫纳议定书》的措施</w:t>
      </w:r>
      <w:r w:rsidRPr="00D47A31">
        <w:rPr>
          <w:rFonts w:ascii="SimSun" w:hint="eastAsia"/>
          <w:sz w:val="24"/>
          <w:szCs w:val="24"/>
        </w:rPr>
        <w:t>，</w:t>
      </w:r>
      <w:r w:rsidRPr="00D47A31">
        <w:rPr>
          <w:rFonts w:ascii="SimSun" w:hint="eastAsia"/>
          <w:sz w:val="24"/>
          <w:szCs w:val="24"/>
          <w:lang w:val="zh-CN"/>
        </w:rPr>
        <w:t>或仅采纳了措施草案或临时措施表示关切</w:t>
      </w:r>
      <w:r w:rsidRPr="00D47A31">
        <w:rPr>
          <w:rFonts w:ascii="SimSun" w:hint="eastAsia"/>
          <w:sz w:val="24"/>
          <w:szCs w:val="24"/>
        </w:rPr>
        <w:t>；</w:t>
      </w:r>
    </w:p>
    <w:p w14:paraId="052493F9" w14:textId="77777777" w:rsidR="00E65D65" w:rsidRPr="00D47A31" w:rsidRDefault="00E65D65">
      <w:pPr>
        <w:pStyle w:val="CBDNormalNumber"/>
        <w:tabs>
          <w:tab w:val="clear" w:pos="567"/>
          <w:tab w:val="clear" w:pos="1134"/>
          <w:tab w:val="clear" w:pos="2268"/>
          <w:tab w:val="clear" w:pos="2835"/>
          <w:tab w:val="clear" w:pos="3402"/>
          <w:tab w:val="clear" w:pos="3969"/>
        </w:tabs>
        <w:ind w:left="567" w:firstLine="567"/>
        <w:rPr>
          <w:sz w:val="24"/>
          <w:szCs w:val="24"/>
        </w:rPr>
      </w:pPr>
      <w:r w:rsidRPr="00D47A31">
        <w:rPr>
          <w:sz w:val="24"/>
          <w:szCs w:val="24"/>
        </w:rPr>
        <w:t>7.</w:t>
      </w:r>
      <w:r w:rsidRPr="00D47A31">
        <w:rPr>
          <w:sz w:val="24"/>
          <w:szCs w:val="24"/>
        </w:rPr>
        <w:tab/>
      </w:r>
      <w:r w:rsidRPr="00D47A31">
        <w:rPr>
          <w:rFonts w:ascii="SimSun" w:hint="eastAsia"/>
          <w:spacing w:val="-4"/>
          <w:sz w:val="24"/>
          <w:szCs w:val="24"/>
          <w:lang w:val="zh-CN"/>
        </w:rPr>
        <w:t>请尚未充分落实法律措施、行政措施及其他措施以履行《卡塔赫纳议定书》规定义务的缔约方将相关工作作为优先事项</w:t>
      </w:r>
      <w:r w:rsidRPr="00D47A31">
        <w:rPr>
          <w:rFonts w:ascii="SimSun" w:hint="eastAsia"/>
          <w:spacing w:val="-4"/>
          <w:sz w:val="24"/>
          <w:szCs w:val="24"/>
        </w:rPr>
        <w:t>，</w:t>
      </w:r>
      <w:r w:rsidRPr="00D47A31">
        <w:rPr>
          <w:rFonts w:ascii="SimSun" w:hint="eastAsia"/>
          <w:spacing w:val="-4"/>
          <w:sz w:val="24"/>
          <w:szCs w:val="24"/>
          <w:lang w:val="zh-CN"/>
        </w:rPr>
        <w:t>并采取行动确保必要的政治意愿和认识</w:t>
      </w:r>
      <w:r w:rsidRPr="00D47A31">
        <w:rPr>
          <w:rFonts w:ascii="SimSun" w:hint="eastAsia"/>
          <w:spacing w:val="-4"/>
          <w:sz w:val="24"/>
          <w:szCs w:val="24"/>
        </w:rPr>
        <w:t>，</w:t>
      </w:r>
      <w:r w:rsidRPr="00D47A31">
        <w:rPr>
          <w:rFonts w:ascii="SimSun" w:hint="eastAsia"/>
          <w:spacing w:val="-4"/>
          <w:sz w:val="24"/>
          <w:szCs w:val="24"/>
          <w:lang w:val="zh-CN"/>
        </w:rPr>
        <w:t>同时承认缔约方面临各种挑战</w:t>
      </w:r>
      <w:r w:rsidRPr="00D47A31">
        <w:rPr>
          <w:rFonts w:ascii="SimSun" w:hint="eastAsia"/>
          <w:spacing w:val="-4"/>
          <w:sz w:val="24"/>
          <w:szCs w:val="24"/>
        </w:rPr>
        <w:t>，</w:t>
      </w:r>
      <w:r w:rsidRPr="00D47A31">
        <w:rPr>
          <w:rFonts w:ascii="SimSun" w:hint="eastAsia"/>
          <w:spacing w:val="-4"/>
          <w:sz w:val="24"/>
          <w:szCs w:val="24"/>
          <w:lang w:val="zh-CN"/>
        </w:rPr>
        <w:t>阻碍其充分履行《议定书》第</w:t>
      </w:r>
      <w:r w:rsidRPr="00D47A31">
        <w:rPr>
          <w:spacing w:val="-4"/>
          <w:sz w:val="24"/>
          <w:szCs w:val="24"/>
        </w:rPr>
        <w:t>2</w:t>
      </w:r>
      <w:r w:rsidRPr="00D47A31">
        <w:rPr>
          <w:rFonts w:ascii="SimSun" w:hint="eastAsia"/>
          <w:spacing w:val="-4"/>
          <w:sz w:val="24"/>
          <w:szCs w:val="24"/>
          <w:lang w:val="zh-CN"/>
        </w:rPr>
        <w:t>条第</w:t>
      </w:r>
      <w:r w:rsidRPr="00D47A31">
        <w:rPr>
          <w:spacing w:val="-4"/>
          <w:sz w:val="24"/>
          <w:szCs w:val="24"/>
        </w:rPr>
        <w:t>1</w:t>
      </w:r>
      <w:r w:rsidRPr="00D47A31">
        <w:rPr>
          <w:rFonts w:ascii="SimSun" w:hint="eastAsia"/>
          <w:spacing w:val="-4"/>
          <w:sz w:val="24"/>
          <w:szCs w:val="24"/>
          <w:lang w:val="zh-CN"/>
        </w:rPr>
        <w:t>款规定的义务</w:t>
      </w:r>
      <w:r w:rsidRPr="00D47A31">
        <w:rPr>
          <w:rFonts w:ascii="SimSun" w:hint="eastAsia"/>
          <w:spacing w:val="-4"/>
          <w:sz w:val="24"/>
          <w:szCs w:val="24"/>
        </w:rPr>
        <w:t>；</w:t>
      </w:r>
    </w:p>
    <w:p w14:paraId="674D7306" w14:textId="77777777" w:rsidR="00E65D65" w:rsidRPr="00D47A31" w:rsidRDefault="00E65D65">
      <w:pPr>
        <w:pStyle w:val="CBDNormalNumber"/>
        <w:tabs>
          <w:tab w:val="clear" w:pos="567"/>
          <w:tab w:val="clear" w:pos="1134"/>
          <w:tab w:val="clear" w:pos="2268"/>
          <w:tab w:val="clear" w:pos="2835"/>
          <w:tab w:val="clear" w:pos="3402"/>
          <w:tab w:val="clear" w:pos="3969"/>
        </w:tabs>
        <w:ind w:left="567" w:firstLine="567"/>
        <w:rPr>
          <w:sz w:val="24"/>
          <w:szCs w:val="24"/>
        </w:rPr>
      </w:pPr>
      <w:r w:rsidRPr="00D47A31">
        <w:rPr>
          <w:sz w:val="24"/>
          <w:szCs w:val="24"/>
        </w:rPr>
        <w:t>8.</w:t>
      </w:r>
      <w:r w:rsidRPr="00D47A31">
        <w:rPr>
          <w:sz w:val="24"/>
          <w:szCs w:val="24"/>
        </w:rPr>
        <w:tab/>
      </w:r>
      <w:r w:rsidRPr="00D47A31">
        <w:rPr>
          <w:rFonts w:ascii="SimSun" w:hint="eastAsia"/>
          <w:sz w:val="24"/>
          <w:szCs w:val="24"/>
          <w:lang w:val="zh-CN"/>
        </w:rPr>
        <w:t>敦促尚未充分向生物安全信息交换所提供所有必要信息并保持记录更新的缔约方落实相关工作</w:t>
      </w:r>
      <w:r w:rsidRPr="00D47A31">
        <w:rPr>
          <w:rFonts w:ascii="SimSun" w:hint="eastAsia"/>
          <w:sz w:val="24"/>
          <w:szCs w:val="24"/>
        </w:rPr>
        <w:t>，</w:t>
      </w:r>
      <w:r w:rsidRPr="00D47A31">
        <w:rPr>
          <w:rFonts w:ascii="SimSun" w:hint="eastAsia"/>
          <w:sz w:val="24"/>
          <w:szCs w:val="24"/>
          <w:lang w:val="zh-CN"/>
        </w:rPr>
        <w:t>尤其注意到第五次国家报告中报告的非法和无意中造成的越境转移信息在许多情况下并未通过生物安全信息交换所共享</w:t>
      </w:r>
      <w:r w:rsidRPr="00D47A31">
        <w:rPr>
          <w:rFonts w:ascii="SimSun" w:hint="eastAsia"/>
          <w:sz w:val="24"/>
          <w:szCs w:val="24"/>
        </w:rPr>
        <w:t>；</w:t>
      </w:r>
    </w:p>
    <w:p w14:paraId="21429688" w14:textId="77777777" w:rsidR="00E65D65" w:rsidRPr="00D47A31" w:rsidRDefault="00E65D65">
      <w:pPr>
        <w:pStyle w:val="CBDNormalNumber"/>
        <w:tabs>
          <w:tab w:val="clear" w:pos="567"/>
          <w:tab w:val="clear" w:pos="1134"/>
          <w:tab w:val="clear" w:pos="2268"/>
          <w:tab w:val="clear" w:pos="2835"/>
          <w:tab w:val="clear" w:pos="3402"/>
          <w:tab w:val="clear" w:pos="3969"/>
        </w:tabs>
        <w:ind w:left="567" w:firstLine="567"/>
        <w:rPr>
          <w:sz w:val="24"/>
          <w:szCs w:val="24"/>
        </w:rPr>
      </w:pPr>
      <w:r w:rsidRPr="00D47A31">
        <w:rPr>
          <w:sz w:val="24"/>
          <w:szCs w:val="24"/>
        </w:rPr>
        <w:t>9.</w:t>
      </w:r>
      <w:r w:rsidRPr="00D47A31">
        <w:rPr>
          <w:sz w:val="24"/>
          <w:szCs w:val="24"/>
        </w:rPr>
        <w:tab/>
      </w:r>
      <w:r w:rsidRPr="00D47A31">
        <w:rPr>
          <w:rFonts w:ascii="SimSun" w:hint="eastAsia"/>
          <w:sz w:val="24"/>
          <w:szCs w:val="24"/>
          <w:lang w:val="zh-CN"/>
        </w:rPr>
        <w:t>建议缔约方大会在通过关于支持《卡塔赫纳议定书》执行工作的资金机制指导意见时</w:t>
      </w:r>
      <w:r w:rsidRPr="00D47A31">
        <w:rPr>
          <w:rFonts w:ascii="SimSun" w:hint="eastAsia"/>
          <w:sz w:val="24"/>
          <w:szCs w:val="24"/>
        </w:rPr>
        <w:t>，</w:t>
      </w:r>
      <w:r w:rsidRPr="00D47A31">
        <w:rPr>
          <w:rFonts w:ascii="SimSun" w:hint="eastAsia"/>
          <w:sz w:val="24"/>
          <w:szCs w:val="24"/>
          <w:lang w:val="zh-CN"/>
        </w:rPr>
        <w:t>请全球环境基金向符合条件的缔约方提供专项资助</w:t>
      </w:r>
      <w:r w:rsidRPr="00D47A31">
        <w:rPr>
          <w:rFonts w:ascii="SimSun" w:hint="eastAsia"/>
          <w:sz w:val="24"/>
          <w:szCs w:val="24"/>
        </w:rPr>
        <w:t>，</w:t>
      </w:r>
      <w:r w:rsidRPr="00D47A31">
        <w:rPr>
          <w:rFonts w:ascii="SimSun" w:hint="eastAsia"/>
          <w:sz w:val="24"/>
          <w:szCs w:val="24"/>
          <w:lang w:val="zh-CN"/>
        </w:rPr>
        <w:t>用于</w:t>
      </w:r>
      <w:r w:rsidRPr="00D47A31">
        <w:rPr>
          <w:rFonts w:ascii="SimSun" w:hint="eastAsia"/>
          <w:sz w:val="24"/>
          <w:szCs w:val="24"/>
        </w:rPr>
        <w:t>：（</w:t>
      </w:r>
      <w:r w:rsidRPr="00D47A31">
        <w:rPr>
          <w:sz w:val="24"/>
          <w:szCs w:val="24"/>
        </w:rPr>
        <w:t>a</w:t>
      </w:r>
      <w:r w:rsidRPr="00D47A31">
        <w:rPr>
          <w:rFonts w:ascii="SimSun" w:hint="eastAsia"/>
          <w:sz w:val="24"/>
          <w:szCs w:val="24"/>
        </w:rPr>
        <w:t>）</w:t>
      </w:r>
      <w:r w:rsidRPr="00D47A31">
        <w:rPr>
          <w:rFonts w:ascii="SimSun" w:hint="eastAsia"/>
          <w:sz w:val="24"/>
          <w:szCs w:val="24"/>
          <w:lang w:val="zh-CN"/>
        </w:rPr>
        <w:t>出台执行《议定书》的法律措施、行政措施及其他措施</w:t>
      </w:r>
      <w:r w:rsidRPr="00D47A31">
        <w:rPr>
          <w:rFonts w:ascii="SimSun" w:hint="eastAsia"/>
          <w:sz w:val="24"/>
          <w:szCs w:val="24"/>
        </w:rPr>
        <w:t>；（</w:t>
      </w:r>
      <w:r w:rsidRPr="00D47A31">
        <w:rPr>
          <w:sz w:val="24"/>
          <w:szCs w:val="24"/>
        </w:rPr>
        <w:t>b</w:t>
      </w:r>
      <w:r w:rsidRPr="00D47A31">
        <w:rPr>
          <w:rFonts w:ascii="SimSun" w:hint="eastAsia"/>
          <w:sz w:val="24"/>
          <w:szCs w:val="24"/>
        </w:rPr>
        <w:t>）</w:t>
      </w:r>
      <w:r w:rsidRPr="00D47A31">
        <w:rPr>
          <w:rFonts w:ascii="SimSun" w:hint="eastAsia"/>
          <w:sz w:val="24"/>
          <w:szCs w:val="24"/>
          <w:lang w:val="zh-CN"/>
        </w:rPr>
        <w:t>支持符合条件的缔约方执行履约行动计划</w:t>
      </w:r>
      <w:r w:rsidRPr="00D47A31">
        <w:rPr>
          <w:rFonts w:ascii="SimSun" w:hint="eastAsia"/>
          <w:sz w:val="24"/>
          <w:szCs w:val="24"/>
        </w:rPr>
        <w:t>，</w:t>
      </w:r>
      <w:r w:rsidRPr="00D47A31">
        <w:rPr>
          <w:rFonts w:ascii="SimSun" w:hint="eastAsia"/>
          <w:sz w:val="24"/>
          <w:szCs w:val="24"/>
          <w:lang w:val="zh-CN"/>
        </w:rPr>
        <w:t>以实现对《议定书》的履约</w:t>
      </w:r>
      <w:r w:rsidRPr="00D47A31">
        <w:rPr>
          <w:rFonts w:ascii="SimSun" w:hint="eastAsia"/>
          <w:sz w:val="24"/>
          <w:szCs w:val="24"/>
        </w:rPr>
        <w:t>；</w:t>
      </w:r>
    </w:p>
    <w:p w14:paraId="1295A1B9" w14:textId="77777777" w:rsidR="00E65D65" w:rsidRPr="00D47A31" w:rsidRDefault="00E65D65">
      <w:pPr>
        <w:pStyle w:val="CBDNormalNumber"/>
        <w:tabs>
          <w:tab w:val="clear" w:pos="567"/>
          <w:tab w:val="clear" w:pos="1134"/>
          <w:tab w:val="clear" w:pos="2268"/>
          <w:tab w:val="clear" w:pos="2835"/>
          <w:tab w:val="clear" w:pos="3402"/>
          <w:tab w:val="clear" w:pos="3969"/>
        </w:tabs>
        <w:ind w:left="567" w:firstLine="567"/>
        <w:rPr>
          <w:sz w:val="24"/>
          <w:szCs w:val="24"/>
        </w:rPr>
      </w:pPr>
      <w:r w:rsidRPr="00D47A31">
        <w:rPr>
          <w:sz w:val="24"/>
          <w:szCs w:val="24"/>
        </w:rPr>
        <w:t>10.</w:t>
      </w:r>
      <w:r w:rsidRPr="00D47A31">
        <w:rPr>
          <w:sz w:val="24"/>
          <w:szCs w:val="24"/>
        </w:rPr>
        <w:tab/>
      </w:r>
      <w:r w:rsidRPr="00D47A31">
        <w:rPr>
          <w:rFonts w:ascii="SimSun" w:hint="eastAsia"/>
          <w:sz w:val="24"/>
          <w:szCs w:val="24"/>
          <w:lang w:val="zh-CN"/>
        </w:rPr>
        <w:t>欢迎履约委员会对《卡塔赫纳议定书》第五次评估和审查以及《议定书》执行计划中期评价提供的意见</w:t>
      </w:r>
      <w:r w:rsidRPr="00D47A31">
        <w:rPr>
          <w:rFonts w:ascii="SimSun" w:hint="eastAsia"/>
          <w:sz w:val="24"/>
          <w:szCs w:val="24"/>
        </w:rPr>
        <w:t>，</w:t>
      </w:r>
      <w:r w:rsidRPr="00D47A31">
        <w:rPr>
          <w:rFonts w:ascii="SimSun" w:hint="eastAsia"/>
          <w:sz w:val="24"/>
          <w:szCs w:val="24"/>
          <w:lang w:val="zh-CN"/>
        </w:rPr>
        <w:t>并请履约委员会继续为第六次评估和审查以及《议定书》执行计划最后评价提供意见。</w:t>
      </w:r>
    </w:p>
    <w:p w14:paraId="1169E02C" w14:textId="77777777" w:rsidR="00E65D65" w:rsidRPr="00D47A31" w:rsidRDefault="00E65D65">
      <w:pPr>
        <w:pStyle w:val="CBDNormalNumber"/>
        <w:tabs>
          <w:tab w:val="clear" w:pos="567"/>
          <w:tab w:val="clear" w:pos="1134"/>
          <w:tab w:val="clear" w:pos="1701"/>
          <w:tab w:val="clear" w:pos="2268"/>
          <w:tab w:val="clear" w:pos="2835"/>
          <w:tab w:val="clear" w:pos="3402"/>
          <w:tab w:val="clear" w:pos="3969"/>
          <w:tab w:val="left" w:pos="1710"/>
        </w:tabs>
        <w:ind w:left="1170"/>
        <w:jc w:val="center"/>
        <w:rPr>
          <w:sz w:val="24"/>
          <w:szCs w:val="24"/>
        </w:rPr>
      </w:pPr>
      <w:r w:rsidRPr="00D47A31">
        <w:rPr>
          <w:sz w:val="24"/>
          <w:szCs w:val="24"/>
        </w:rPr>
        <w:t>__________</w:t>
      </w:r>
    </w:p>
    <w:sectPr w:rsidR="00E65D65" w:rsidRPr="00D47A31" w:rsidSect="00E65D65">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C63CC" w14:textId="77777777" w:rsidR="00282BF0" w:rsidRDefault="00282BF0">
      <w:pPr>
        <w:rPr>
          <w:szCs w:val="24"/>
        </w:rPr>
      </w:pPr>
      <w:r>
        <w:rPr>
          <w:szCs w:val="24"/>
        </w:rPr>
        <w:separator/>
      </w:r>
    </w:p>
  </w:endnote>
  <w:endnote w:type="continuationSeparator" w:id="0">
    <w:p w14:paraId="26428A5E" w14:textId="77777777" w:rsidR="00282BF0" w:rsidRDefault="00282BF0">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9AB01" w14:textId="77777777" w:rsidR="00E65D65" w:rsidRDefault="00E65D65">
    <w:pPr>
      <w:pStyle w:val="Footer"/>
      <w:jc w:val="left"/>
      <w:rPr>
        <w:szCs w:val="24"/>
      </w:rPr>
    </w:pPr>
    <w:r>
      <w:rPr>
        <w:szCs w:val="24"/>
      </w:rPr>
      <w:fldChar w:fldCharType="begin"/>
    </w:r>
    <w:r>
      <w:rPr>
        <w:szCs w:val="24"/>
      </w:rPr>
      <w:instrText xml:space="preserve"> PAGE </w:instrText>
    </w:r>
    <w:r>
      <w:rPr>
        <w:szCs w:val="24"/>
      </w:rPr>
      <w:fldChar w:fldCharType="separate"/>
    </w:r>
    <w:r>
      <w:rPr>
        <w:noProof/>
        <w:szCs w:val="24"/>
      </w:rPr>
      <w:t>6</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7</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2ACA4" w14:textId="77777777" w:rsidR="00E65D65" w:rsidRDefault="00E65D65">
    <w:pPr>
      <w:pStyle w:val="Footer"/>
      <w:jc w:val="right"/>
      <w:rPr>
        <w:szCs w:val="24"/>
      </w:rPr>
    </w:pPr>
    <w:r>
      <w:rPr>
        <w:szCs w:val="24"/>
      </w:rPr>
      <w:fldChar w:fldCharType="begin"/>
    </w:r>
    <w:r>
      <w:rPr>
        <w:szCs w:val="24"/>
      </w:rPr>
      <w:instrText xml:space="preserve"> PAGE </w:instrText>
    </w:r>
    <w:r>
      <w:rPr>
        <w:szCs w:val="24"/>
      </w:rPr>
      <w:fldChar w:fldCharType="separate"/>
    </w:r>
    <w:r>
      <w:rPr>
        <w:noProof/>
        <w:szCs w:val="24"/>
      </w:rPr>
      <w:t>7</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7</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C5490" w14:textId="77777777" w:rsidR="00282BF0" w:rsidRDefault="00282BF0">
      <w:pPr>
        <w:rPr>
          <w:szCs w:val="24"/>
        </w:rPr>
      </w:pPr>
      <w:r>
        <w:rPr>
          <w:szCs w:val="24"/>
        </w:rPr>
        <w:separator/>
      </w:r>
    </w:p>
  </w:footnote>
  <w:footnote w:type="continuationSeparator" w:id="0">
    <w:p w14:paraId="17A204C9" w14:textId="77777777" w:rsidR="00282BF0" w:rsidRDefault="00282BF0">
      <w:pPr>
        <w:rPr>
          <w:szCs w:val="24"/>
        </w:rPr>
      </w:pPr>
      <w:r>
        <w:rPr>
          <w:szCs w:val="24"/>
        </w:rPr>
        <w:continuationSeparator/>
      </w:r>
    </w:p>
  </w:footnote>
  <w:footnote w:id="1">
    <w:p w14:paraId="5596F844" w14:textId="77777777" w:rsidR="00E65D65" w:rsidRDefault="00E65D65">
      <w:pPr>
        <w:pStyle w:val="FootnoteText"/>
      </w:pPr>
      <w:r w:rsidRPr="00B928EF">
        <w:rPr>
          <w:rStyle w:val="FootnoteReference"/>
          <w:szCs w:val="24"/>
        </w:rPr>
        <w:t>*</w:t>
      </w:r>
      <w:r w:rsidRPr="00B928EF">
        <w:rPr>
          <w:szCs w:val="24"/>
        </w:rPr>
        <w:t xml:space="preserve"> </w:t>
      </w:r>
      <w:hyperlink r:id="rId1" w:history="1">
        <w:r w:rsidRPr="00B928EF">
          <w:rPr>
            <w:rStyle w:val="Hyperlink"/>
            <w:szCs w:val="24"/>
            <w:lang w:val="en-CA"/>
          </w:rPr>
          <w:t>CBD/CP/MOP/12/1</w:t>
        </w:r>
      </w:hyperlink>
      <w:r w:rsidRPr="00B928EF">
        <w:rPr>
          <w:rFonts w:hAnsi="SimSun" w:hint="eastAsia"/>
          <w:szCs w:val="24"/>
          <w:lang w:val="zh-CN"/>
        </w:rPr>
        <w:t>。</w:t>
      </w:r>
    </w:p>
  </w:footnote>
  <w:footnote w:id="2">
    <w:p w14:paraId="1BBF3281" w14:textId="77777777" w:rsidR="00E65D65" w:rsidRDefault="00E65D65">
      <w:pPr>
        <w:pStyle w:val="FootnoteText"/>
      </w:pPr>
      <w:r w:rsidRPr="00B928EF">
        <w:rPr>
          <w:rStyle w:val="FootnoteReference"/>
          <w:szCs w:val="24"/>
        </w:rPr>
        <w:footnoteRef/>
      </w:r>
      <w:r w:rsidRPr="00B928EF">
        <w:rPr>
          <w:szCs w:val="24"/>
        </w:rPr>
        <w:t xml:space="preserve"> </w:t>
      </w:r>
      <w:r w:rsidRPr="00B928EF">
        <w:rPr>
          <w:rFonts w:hAnsi="SimSun" w:hint="eastAsia"/>
          <w:szCs w:val="24"/>
          <w:lang w:val="zh-CN"/>
        </w:rPr>
        <w:t>分别为</w:t>
      </w:r>
      <w:hyperlink r:id="rId2" w:history="1">
        <w:r w:rsidRPr="00B928EF">
          <w:rPr>
            <w:rStyle w:val="Hyperlink"/>
            <w:szCs w:val="24"/>
            <w:lang w:val="zh-CN"/>
          </w:rPr>
          <w:t>CBD/CC/20/6</w:t>
        </w:r>
      </w:hyperlink>
      <w:r w:rsidRPr="00B928EF">
        <w:rPr>
          <w:szCs w:val="24"/>
          <w:lang w:val="zh-CN"/>
        </w:rPr>
        <w:t xml:space="preserve"> </w:t>
      </w:r>
      <w:r w:rsidRPr="00B928EF">
        <w:rPr>
          <w:szCs w:val="24"/>
          <w:lang w:val="zh-CN"/>
        </w:rPr>
        <w:t xml:space="preserve">and </w:t>
      </w:r>
      <w:hyperlink r:id="rId3" w:history="1">
        <w:r w:rsidRPr="00B928EF">
          <w:rPr>
            <w:rStyle w:val="Hyperlink"/>
            <w:szCs w:val="24"/>
            <w:lang w:val="zh-CN"/>
          </w:rPr>
          <w:t>CBD/CC/21/5</w:t>
        </w:r>
      </w:hyperlink>
      <w:r w:rsidRPr="00B928EF">
        <w:rPr>
          <w:rFonts w:hAnsi="SimSun" w:hint="eastAsia"/>
          <w:szCs w:val="24"/>
          <w:lang w:val="zh-CN"/>
        </w:rPr>
        <w:t>。</w:t>
      </w:r>
      <w:r w:rsidRPr="00B928EF">
        <w:rPr>
          <w:szCs w:val="24"/>
        </w:rPr>
        <w:t xml:space="preserve"> </w:t>
      </w:r>
    </w:p>
  </w:footnote>
  <w:footnote w:id="3">
    <w:p w14:paraId="110144A0" w14:textId="77777777" w:rsidR="00E65D65" w:rsidRDefault="00E65D65">
      <w:pPr>
        <w:pStyle w:val="FootnoteText"/>
      </w:pPr>
      <w:r w:rsidRPr="00B928EF">
        <w:rPr>
          <w:rStyle w:val="FootnoteReference"/>
          <w:szCs w:val="18"/>
        </w:rPr>
        <w:sym w:font="Symbol" w:char="F02A"/>
      </w:r>
      <w:r w:rsidRPr="00B928EF">
        <w:t xml:space="preserve"> </w:t>
      </w:r>
      <w:r w:rsidRPr="00B928EF">
        <w:rPr>
          <w:rFonts w:hAnsi="SimSun" w:hint="eastAsia"/>
        </w:rPr>
        <w:t>按照作为议定书缔约方会议的缔约方大会以往会议所采取的做法，建议可以分配给与其最密切相关的议程项目。</w:t>
      </w:r>
    </w:p>
  </w:footnote>
  <w:footnote w:id="4">
    <w:p w14:paraId="78B265B8" w14:textId="77777777" w:rsidR="00E65D65" w:rsidRDefault="00E65D65">
      <w:pPr>
        <w:pStyle w:val="FootnoteText"/>
      </w:pPr>
      <w:r w:rsidRPr="00B928EF">
        <w:rPr>
          <w:rStyle w:val="FootnoteReference"/>
          <w:szCs w:val="24"/>
        </w:rPr>
        <w:footnoteRef/>
      </w:r>
      <w:r w:rsidRPr="00B928EF">
        <w:rPr>
          <w:szCs w:val="24"/>
        </w:rPr>
        <w:t xml:space="preserve"> </w:t>
      </w:r>
      <w:r w:rsidRPr="00B928EF">
        <w:rPr>
          <w:rFonts w:hAnsi="SimSun" w:hint="eastAsia"/>
          <w:szCs w:val="24"/>
          <w:lang w:val="zh-CN"/>
        </w:rPr>
        <w:t>联合国，《</w:t>
      </w:r>
      <w:r w:rsidRPr="00B928EF">
        <w:rPr>
          <w:rFonts w:ascii="KaiTi" w:eastAsia="KaiTi" w:hAnsi="SimSun" w:hint="eastAsia"/>
          <w:szCs w:val="24"/>
          <w:lang w:val="zh-CN"/>
        </w:rPr>
        <w:t>条约汇编</w:t>
      </w:r>
      <w:r w:rsidRPr="00B928EF">
        <w:rPr>
          <w:rFonts w:hAnsi="SimSun" w:hint="eastAsia"/>
          <w:szCs w:val="24"/>
          <w:lang w:val="zh-CN"/>
        </w:rPr>
        <w:t>》，第</w:t>
      </w:r>
      <w:r w:rsidRPr="00B928EF">
        <w:rPr>
          <w:szCs w:val="24"/>
          <w:lang w:val="zh-CN"/>
        </w:rPr>
        <w:t>2226</w:t>
      </w:r>
      <w:r w:rsidRPr="00B928EF">
        <w:rPr>
          <w:rFonts w:hAnsi="SimSun" w:hint="eastAsia"/>
          <w:szCs w:val="24"/>
          <w:lang w:val="zh-CN"/>
        </w:rPr>
        <w:t>卷，第</w:t>
      </w:r>
      <w:r w:rsidRPr="00B928EF">
        <w:rPr>
          <w:szCs w:val="24"/>
          <w:lang w:val="zh-CN"/>
        </w:rPr>
        <w:t>30619</w:t>
      </w:r>
      <w:r w:rsidRPr="00B928EF">
        <w:rPr>
          <w:rFonts w:hAnsi="SimSun" w:hint="eastAsia"/>
          <w:szCs w:val="24"/>
          <w:lang w:val="zh-CN"/>
        </w:rPr>
        <w:t>号。</w:t>
      </w:r>
    </w:p>
  </w:footnote>
  <w:footnote w:id="5">
    <w:p w14:paraId="6EF53B80" w14:textId="77777777" w:rsidR="00E65D65" w:rsidRDefault="00E65D65">
      <w:pPr>
        <w:pStyle w:val="FootnoteText"/>
      </w:pPr>
      <w:r w:rsidRPr="00B928EF">
        <w:rPr>
          <w:rStyle w:val="FootnoteReference"/>
          <w:szCs w:val="24"/>
        </w:rPr>
        <w:footnoteRef/>
      </w:r>
      <w:r w:rsidRPr="00B928EF">
        <w:rPr>
          <w:szCs w:val="24"/>
        </w:rPr>
        <w:t xml:space="preserve"> </w:t>
      </w:r>
      <w:r w:rsidRPr="00B928EF">
        <w:rPr>
          <w:rFonts w:hAnsi="SimSun" w:hint="eastAsia"/>
          <w:szCs w:val="24"/>
          <w:lang w:val="zh-CN"/>
        </w:rPr>
        <w:t>第</w:t>
      </w:r>
      <w:hyperlink r:id="rId4" w:history="1">
        <w:r w:rsidRPr="00B928EF">
          <w:rPr>
            <w:rStyle w:val="Hyperlink"/>
            <w:szCs w:val="24"/>
            <w:lang w:val="zh-CN"/>
          </w:rPr>
          <w:t>BS-I/3</w:t>
        </w:r>
      </w:hyperlink>
      <w:r w:rsidRPr="00B928EF">
        <w:rPr>
          <w:rFonts w:hAnsi="SimSun" w:hint="eastAsia"/>
          <w:szCs w:val="24"/>
          <w:lang w:val="zh-CN"/>
        </w:rPr>
        <w:t>号决定，附件。</w:t>
      </w:r>
    </w:p>
  </w:footnote>
  <w:footnote w:id="6">
    <w:p w14:paraId="50F8A0D9" w14:textId="77777777" w:rsidR="00E65D65" w:rsidRDefault="00E65D65">
      <w:pPr>
        <w:pStyle w:val="FootnoteText"/>
      </w:pPr>
      <w:r w:rsidRPr="00B928EF">
        <w:rPr>
          <w:rStyle w:val="FootnoteReference"/>
          <w:szCs w:val="24"/>
        </w:rPr>
        <w:footnoteRef/>
      </w:r>
      <w:r w:rsidRPr="00B928EF">
        <w:rPr>
          <w:szCs w:val="24"/>
        </w:rPr>
        <w:t xml:space="preserve"> </w:t>
      </w:r>
      <w:r w:rsidRPr="00B928EF">
        <w:rPr>
          <w:rFonts w:hAnsi="SimSun" w:hint="eastAsia"/>
          <w:szCs w:val="24"/>
          <w:lang w:val="zh-CN"/>
        </w:rPr>
        <w:t>第</w:t>
      </w:r>
      <w:hyperlink r:id="rId5" w:history="1">
        <w:r w:rsidRPr="00B928EF">
          <w:rPr>
            <w:rStyle w:val="Hyperlink"/>
            <w:szCs w:val="24"/>
            <w:lang w:val="en-CA"/>
          </w:rPr>
          <w:t>15/4</w:t>
        </w:r>
      </w:hyperlink>
      <w:r w:rsidRPr="00B928EF">
        <w:rPr>
          <w:rFonts w:hAnsi="SimSun" w:hint="eastAsia"/>
          <w:szCs w:val="24"/>
          <w:lang w:val="zh-CN"/>
        </w:rPr>
        <w:t>号决定，附件。</w:t>
      </w:r>
    </w:p>
  </w:footnote>
  <w:footnote w:id="7">
    <w:p w14:paraId="6D3F8EB4" w14:textId="77777777" w:rsidR="00E65D65" w:rsidRDefault="00E65D65">
      <w:pPr>
        <w:pStyle w:val="FootnoteText"/>
      </w:pPr>
      <w:r w:rsidRPr="00B928EF">
        <w:rPr>
          <w:rStyle w:val="FootnoteReference"/>
          <w:szCs w:val="24"/>
        </w:rPr>
        <w:footnoteRef/>
      </w:r>
      <w:r w:rsidRPr="00B928EF">
        <w:rPr>
          <w:szCs w:val="24"/>
        </w:rPr>
        <w:t xml:space="preserve"> </w:t>
      </w:r>
      <w:r w:rsidRPr="00B928EF">
        <w:rPr>
          <w:rFonts w:hint="eastAsia"/>
          <w:szCs w:val="24"/>
          <w:lang w:val="zh-CN"/>
        </w:rPr>
        <w:t>联合国，《</w:t>
      </w:r>
      <w:r w:rsidRPr="00B928EF">
        <w:rPr>
          <w:rFonts w:eastAsia="KaiTi" w:hint="eastAsia"/>
          <w:szCs w:val="24"/>
          <w:lang w:val="zh-CN"/>
        </w:rPr>
        <w:t>条约汇编</w:t>
      </w:r>
      <w:r w:rsidRPr="00B928EF">
        <w:rPr>
          <w:rFonts w:hint="eastAsia"/>
          <w:szCs w:val="24"/>
          <w:lang w:val="zh-CN"/>
        </w:rPr>
        <w:t>》，第</w:t>
      </w:r>
      <w:r w:rsidRPr="00B928EF">
        <w:rPr>
          <w:szCs w:val="24"/>
          <w:lang w:val="zh-CN"/>
        </w:rPr>
        <w:t>1760</w:t>
      </w:r>
      <w:r w:rsidRPr="00B928EF">
        <w:rPr>
          <w:rFonts w:hint="eastAsia"/>
          <w:szCs w:val="24"/>
          <w:lang w:val="zh-CN"/>
        </w:rPr>
        <w:t>卷，第</w:t>
      </w:r>
      <w:r w:rsidRPr="00B928EF">
        <w:rPr>
          <w:szCs w:val="24"/>
          <w:lang w:val="zh-CN"/>
        </w:rPr>
        <w:t>30619</w:t>
      </w:r>
      <w:r w:rsidRPr="00B928EF">
        <w:rPr>
          <w:rFonts w:hint="eastAsia"/>
          <w:szCs w:val="24"/>
          <w:lang w:val="zh-CN"/>
        </w:rPr>
        <w:t>号。</w:t>
      </w:r>
    </w:p>
  </w:footnote>
  <w:footnote w:id="8">
    <w:p w14:paraId="3A52827B" w14:textId="77777777" w:rsidR="00E65D65" w:rsidRDefault="00E65D65">
      <w:pPr>
        <w:pStyle w:val="FootnoteText"/>
      </w:pPr>
      <w:r w:rsidRPr="00B928EF">
        <w:rPr>
          <w:rStyle w:val="FootnoteReference"/>
          <w:szCs w:val="24"/>
        </w:rPr>
        <w:footnoteRef/>
      </w:r>
      <w:r w:rsidRPr="00B928EF">
        <w:rPr>
          <w:szCs w:val="24"/>
        </w:rPr>
        <w:t xml:space="preserve"> </w:t>
      </w:r>
      <w:r w:rsidRPr="00B928EF">
        <w:rPr>
          <w:rFonts w:hint="eastAsia"/>
          <w:szCs w:val="24"/>
          <w:lang w:val="zh-CN"/>
        </w:rPr>
        <w:t>同上，第</w:t>
      </w:r>
      <w:r w:rsidRPr="00B928EF">
        <w:rPr>
          <w:kern w:val="18"/>
          <w:szCs w:val="24"/>
          <w:lang w:val="zh-CN"/>
        </w:rPr>
        <w:t>2226</w:t>
      </w:r>
      <w:r w:rsidRPr="00B928EF">
        <w:rPr>
          <w:rFonts w:hint="eastAsia"/>
          <w:kern w:val="18"/>
          <w:szCs w:val="24"/>
          <w:lang w:val="zh-CN"/>
        </w:rPr>
        <w:t>卷，第</w:t>
      </w:r>
      <w:r w:rsidRPr="00B928EF">
        <w:rPr>
          <w:kern w:val="18"/>
          <w:szCs w:val="24"/>
          <w:lang w:val="zh-CN"/>
        </w:rPr>
        <w:t>30619</w:t>
      </w:r>
      <w:r w:rsidRPr="00B928EF">
        <w:rPr>
          <w:rFonts w:hint="eastAsia"/>
          <w:kern w:val="18"/>
          <w:szCs w:val="24"/>
          <w:lang w:val="zh-CN"/>
        </w:rPr>
        <w:t>号。</w:t>
      </w:r>
    </w:p>
  </w:footnote>
  <w:footnote w:id="9">
    <w:p w14:paraId="0A648287" w14:textId="77777777" w:rsidR="00E65D65" w:rsidRDefault="00E65D65">
      <w:pPr>
        <w:pStyle w:val="FootnoteText"/>
      </w:pPr>
      <w:r w:rsidRPr="00B928EF">
        <w:rPr>
          <w:rStyle w:val="FootnoteReference"/>
          <w:szCs w:val="24"/>
        </w:rPr>
        <w:footnoteRef/>
      </w:r>
      <w:r w:rsidRPr="00B928EF">
        <w:rPr>
          <w:szCs w:val="24"/>
          <w:lang w:val="es-ES"/>
        </w:rPr>
        <w:t xml:space="preserve"> </w:t>
      </w:r>
      <w:r w:rsidRPr="00B928EF">
        <w:rPr>
          <w:rFonts w:hint="eastAsia"/>
          <w:szCs w:val="24"/>
          <w:lang w:val="zh-CN"/>
        </w:rPr>
        <w:t>同上。</w:t>
      </w:r>
    </w:p>
  </w:footnote>
  <w:footnote w:id="10">
    <w:p w14:paraId="4CF0205A" w14:textId="77777777" w:rsidR="00E65D65" w:rsidRDefault="00E65D65">
      <w:pPr>
        <w:pStyle w:val="FootnoteText"/>
      </w:pPr>
      <w:r w:rsidRPr="00B928EF">
        <w:rPr>
          <w:rStyle w:val="FootnoteReference"/>
          <w:szCs w:val="24"/>
        </w:rPr>
        <w:footnoteRef/>
      </w:r>
      <w:r w:rsidRPr="00B928EF">
        <w:rPr>
          <w:szCs w:val="24"/>
          <w:lang w:val="es-ES"/>
        </w:rPr>
        <w:t xml:space="preserve"> </w:t>
      </w:r>
      <w:r w:rsidRPr="00B928EF">
        <w:rPr>
          <w:rFonts w:hint="eastAsia"/>
          <w:szCs w:val="24"/>
          <w:lang w:val="zh-CN"/>
        </w:rPr>
        <w:t>同上</w:t>
      </w:r>
      <w:r w:rsidRPr="00B928EF">
        <w:rPr>
          <w:rFonts w:hint="eastAsia"/>
          <w:szCs w:val="24"/>
          <w:lang w:val="es-ES"/>
        </w:rPr>
        <w:t>，</w:t>
      </w:r>
      <w:r w:rsidRPr="00B928EF">
        <w:rPr>
          <w:rFonts w:hint="eastAsia"/>
          <w:szCs w:val="24"/>
          <w:lang w:val="zh-CN"/>
        </w:rPr>
        <w:t>第</w:t>
      </w:r>
      <w:r w:rsidRPr="00B928EF">
        <w:rPr>
          <w:kern w:val="18"/>
          <w:szCs w:val="24"/>
          <w:lang w:val="es-ES"/>
        </w:rPr>
        <w:t>1760</w:t>
      </w:r>
      <w:r w:rsidRPr="00B928EF">
        <w:rPr>
          <w:rFonts w:hint="eastAsia"/>
          <w:kern w:val="18"/>
          <w:szCs w:val="24"/>
          <w:lang w:val="zh-CN"/>
        </w:rPr>
        <w:t>卷</w:t>
      </w:r>
      <w:r w:rsidRPr="00B928EF">
        <w:rPr>
          <w:rFonts w:hint="eastAsia"/>
          <w:kern w:val="18"/>
          <w:szCs w:val="24"/>
          <w:lang w:val="es-ES"/>
        </w:rPr>
        <w:t>，</w:t>
      </w:r>
      <w:r w:rsidRPr="00B928EF">
        <w:rPr>
          <w:rFonts w:hint="eastAsia"/>
          <w:kern w:val="18"/>
          <w:szCs w:val="24"/>
          <w:lang w:val="zh-CN"/>
        </w:rPr>
        <w:t>第</w:t>
      </w:r>
      <w:r w:rsidRPr="00B928EF">
        <w:rPr>
          <w:kern w:val="18"/>
          <w:szCs w:val="24"/>
          <w:lang w:val="es-ES"/>
        </w:rPr>
        <w:t>30619</w:t>
      </w:r>
      <w:r w:rsidRPr="00B928EF">
        <w:rPr>
          <w:rFonts w:hint="eastAsia"/>
          <w:kern w:val="18"/>
          <w:szCs w:val="24"/>
          <w:lang w:val="zh-CN"/>
        </w:rPr>
        <w:t>号。</w:t>
      </w:r>
    </w:p>
  </w:footnote>
  <w:footnote w:id="11">
    <w:p w14:paraId="3315F616" w14:textId="77777777" w:rsidR="00E65D65" w:rsidRDefault="00E65D65">
      <w:pPr>
        <w:pStyle w:val="FootnoteText"/>
      </w:pPr>
      <w:r w:rsidRPr="00B928EF">
        <w:rPr>
          <w:rStyle w:val="FootnoteReference"/>
          <w:szCs w:val="24"/>
        </w:rPr>
        <w:footnoteRef/>
      </w:r>
      <w:r w:rsidRPr="00B928EF">
        <w:rPr>
          <w:szCs w:val="24"/>
          <w:lang w:val="es-ES"/>
        </w:rPr>
        <w:t xml:space="preserve"> </w:t>
      </w:r>
      <w:r w:rsidRPr="00B928EF">
        <w:rPr>
          <w:rFonts w:hint="eastAsia"/>
          <w:szCs w:val="24"/>
          <w:lang w:val="zh-CN"/>
        </w:rPr>
        <w:t>同上</w:t>
      </w:r>
      <w:r w:rsidRPr="00B928EF">
        <w:rPr>
          <w:rFonts w:hint="eastAsia"/>
          <w:szCs w:val="24"/>
          <w:lang w:val="es-ES"/>
        </w:rPr>
        <w:t>，</w:t>
      </w:r>
      <w:r w:rsidRPr="00B928EF">
        <w:rPr>
          <w:rFonts w:hint="eastAsia"/>
          <w:szCs w:val="24"/>
          <w:lang w:val="zh-CN"/>
        </w:rPr>
        <w:t>第</w:t>
      </w:r>
      <w:r w:rsidRPr="00B928EF">
        <w:rPr>
          <w:kern w:val="18"/>
          <w:szCs w:val="24"/>
          <w:lang w:val="es-ES"/>
        </w:rPr>
        <w:t>2226</w:t>
      </w:r>
      <w:r w:rsidRPr="00B928EF">
        <w:rPr>
          <w:rFonts w:hint="eastAsia"/>
          <w:kern w:val="18"/>
          <w:szCs w:val="24"/>
          <w:lang w:val="zh-CN"/>
        </w:rPr>
        <w:t>卷</w:t>
      </w:r>
      <w:r w:rsidRPr="00B928EF">
        <w:rPr>
          <w:rFonts w:hint="eastAsia"/>
          <w:kern w:val="18"/>
          <w:szCs w:val="24"/>
          <w:lang w:val="es-ES"/>
        </w:rPr>
        <w:t>，</w:t>
      </w:r>
      <w:r w:rsidRPr="00B928EF">
        <w:rPr>
          <w:rFonts w:hint="eastAsia"/>
          <w:kern w:val="18"/>
          <w:szCs w:val="24"/>
          <w:lang w:val="zh-CN"/>
        </w:rPr>
        <w:t>第</w:t>
      </w:r>
      <w:r w:rsidRPr="00B928EF">
        <w:rPr>
          <w:kern w:val="18"/>
          <w:szCs w:val="24"/>
          <w:lang w:val="es-ES"/>
        </w:rPr>
        <w:t>30619</w:t>
      </w:r>
      <w:r w:rsidRPr="00B928EF">
        <w:rPr>
          <w:rFonts w:hint="eastAsia"/>
          <w:kern w:val="18"/>
          <w:szCs w:val="24"/>
          <w:lang w:val="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52F41" w14:textId="77777777" w:rsidR="00E65D65" w:rsidRPr="006A3D0E" w:rsidRDefault="00E65D65">
    <w:pPr>
      <w:pStyle w:val="ABSymbol"/>
      <w:pBdr>
        <w:bottom w:val="single" w:sz="4" w:space="1" w:color="auto"/>
      </w:pBdr>
      <w:tabs>
        <w:tab w:val="clear" w:pos="567"/>
      </w:tabs>
      <w:spacing w:after="240"/>
      <w:ind w:left="0"/>
      <w:jc w:val="left"/>
      <w:rPr>
        <w:sz w:val="24"/>
        <w:szCs w:val="24"/>
      </w:rPr>
    </w:pPr>
    <w:r w:rsidRPr="006A3D0E">
      <w:rPr>
        <w:sz w:val="24"/>
        <w:szCs w:val="24"/>
      </w:rPr>
      <w:t>CBD/CP/MOP/12/3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CF8EB" w14:textId="77777777" w:rsidR="00E65D65" w:rsidRPr="006A3D0E" w:rsidRDefault="00E65D65">
    <w:pPr>
      <w:pStyle w:val="Header"/>
      <w:spacing w:after="240"/>
      <w:jc w:val="right"/>
      <w:rPr>
        <w:sz w:val="24"/>
        <w:szCs w:val="24"/>
      </w:rPr>
    </w:pPr>
    <w:r w:rsidRPr="006A3D0E">
      <w:rPr>
        <w:sz w:val="24"/>
        <w:szCs w:val="24"/>
      </w:rPr>
      <w:t>CBD/CP/MOP/12/3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9BEC4" w14:textId="77777777" w:rsidR="00E65D65" w:rsidRDefault="00E65D65">
    <w:pPr>
      <w:pStyle w:val="Header"/>
      <w:pBdr>
        <w:bottom w:val="none" w:sz="0" w:space="0" w:color="auto"/>
      </w:pBd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08083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626098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C0A78B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DCC73F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C1CF1D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4609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DAE77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71C2C1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76C16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0AEF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E13156"/>
    <w:multiLevelType w:val="hybridMultilevel"/>
    <w:tmpl w:val="7C741260"/>
    <w:lvl w:ilvl="0" w:tplc="45961FD2">
      <w:start w:val="1"/>
      <w:numFmt w:val="chineseCountingThousand"/>
      <w:lvlText w:val="%1."/>
      <w:lvlJc w:val="right"/>
      <w:pPr>
        <w:tabs>
          <w:tab w:val="num" w:pos="0"/>
        </w:tabs>
        <w:ind w:left="720" w:hanging="360"/>
      </w:pPr>
      <w:rPr>
        <w:rFonts w:cs="Times New Roman" w:hint="eastAsia"/>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9202814"/>
    <w:multiLevelType w:val="multilevel"/>
    <w:tmpl w:val="19202814"/>
    <w:lvl w:ilvl="0">
      <w:start w:val="1"/>
      <w:numFmt w:val="decimal"/>
      <w:lvlText w:val="%1."/>
      <w:lvlJc w:val="left"/>
      <w:pPr>
        <w:ind w:left="1170" w:hanging="360"/>
      </w:pPr>
      <w:rPr>
        <w:rFonts w:cs="Times New Roman" w:hint="default"/>
        <w:b w:val="0"/>
        <w:bCs w:val="0"/>
        <w:i w:val="0"/>
        <w:iCs w:val="0"/>
      </w:rPr>
    </w:lvl>
    <w:lvl w:ilvl="1">
      <w:start w:val="1"/>
      <w:numFmt w:val="lowerLetter"/>
      <w:lvlText w:val="%2."/>
      <w:lvlJc w:val="left"/>
      <w:pPr>
        <w:ind w:left="2520" w:hanging="360"/>
      </w:pPr>
      <w:rPr>
        <w:rFonts w:cs="Times New Roman"/>
      </w:rPr>
    </w:lvl>
    <w:lvl w:ilvl="2">
      <w:start w:val="1"/>
      <w:numFmt w:val="lowerRoman"/>
      <w:lvlText w:val="%3."/>
      <w:lvlJc w:val="right"/>
      <w:pPr>
        <w:ind w:left="3240" w:hanging="180"/>
      </w:pPr>
      <w:rPr>
        <w:rFonts w:cs="Times New Roman"/>
      </w:rPr>
    </w:lvl>
    <w:lvl w:ilvl="3">
      <w:start w:val="1"/>
      <w:numFmt w:val="decimal"/>
      <w:lvlText w:val="%4."/>
      <w:lvlJc w:val="left"/>
      <w:pPr>
        <w:ind w:left="3960" w:hanging="360"/>
      </w:pPr>
      <w:rPr>
        <w:rFonts w:cs="Times New Roman"/>
      </w:rPr>
    </w:lvl>
    <w:lvl w:ilvl="4">
      <w:start w:val="1"/>
      <w:numFmt w:val="lowerLetter"/>
      <w:lvlText w:val="%5."/>
      <w:lvlJc w:val="left"/>
      <w:pPr>
        <w:ind w:left="4680" w:hanging="360"/>
      </w:pPr>
      <w:rPr>
        <w:rFonts w:cs="Times New Roman"/>
      </w:rPr>
    </w:lvl>
    <w:lvl w:ilvl="5">
      <w:start w:val="1"/>
      <w:numFmt w:val="lowerRoman"/>
      <w:lvlText w:val="%6."/>
      <w:lvlJc w:val="right"/>
      <w:pPr>
        <w:ind w:left="5400" w:hanging="180"/>
      </w:pPr>
      <w:rPr>
        <w:rFonts w:cs="Times New Roman"/>
      </w:rPr>
    </w:lvl>
    <w:lvl w:ilvl="6">
      <w:start w:val="1"/>
      <w:numFmt w:val="decimal"/>
      <w:lvlText w:val="%7."/>
      <w:lvlJc w:val="left"/>
      <w:pPr>
        <w:ind w:left="6120" w:hanging="360"/>
      </w:pPr>
      <w:rPr>
        <w:rFonts w:cs="Times New Roman"/>
      </w:rPr>
    </w:lvl>
    <w:lvl w:ilvl="7">
      <w:start w:val="1"/>
      <w:numFmt w:val="lowerLetter"/>
      <w:lvlText w:val="%8."/>
      <w:lvlJc w:val="left"/>
      <w:pPr>
        <w:ind w:left="6840" w:hanging="360"/>
      </w:pPr>
      <w:rPr>
        <w:rFonts w:cs="Times New Roman"/>
      </w:rPr>
    </w:lvl>
    <w:lvl w:ilvl="8">
      <w:start w:val="1"/>
      <w:numFmt w:val="lowerRoman"/>
      <w:lvlText w:val="%9."/>
      <w:lvlJc w:val="right"/>
      <w:pPr>
        <w:ind w:left="7560" w:hanging="180"/>
      </w:pPr>
      <w:rPr>
        <w:rFonts w:cs="Times New Roman"/>
      </w:rPr>
    </w:lvl>
  </w:abstractNum>
  <w:abstractNum w:abstractNumId="12" w15:restartNumberingAfterBreak="0">
    <w:nsid w:val="19C30760"/>
    <w:multiLevelType w:val="multilevel"/>
    <w:tmpl w:val="F642F158"/>
    <w:lvl w:ilvl="0">
      <w:start w:val="1"/>
      <w:numFmt w:val="upperRoman"/>
      <w:lvlText w:val="%1."/>
      <w:lvlJc w:val="right"/>
      <w:pPr>
        <w:ind w:left="720" w:hanging="360"/>
      </w:pPr>
      <w:rPr>
        <w:rFonts w:cs="Times New Roman"/>
        <w:sz w:val="28"/>
        <w:szCs w:val="2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1AD479C5"/>
    <w:multiLevelType w:val="multilevel"/>
    <w:tmpl w:val="FF9225CA"/>
    <w:lvl w:ilvl="0">
      <w:start w:val="1"/>
      <w:numFmt w:val="decimal"/>
      <w:lvlText w:val="%1."/>
      <w:lvlJc w:val="left"/>
      <w:pPr>
        <w:ind w:left="1260" w:hanging="360"/>
      </w:pPr>
      <w:rPr>
        <w:rFonts w:cs="Times New Roman" w:hint="default"/>
        <w:i w:val="0"/>
        <w:iCs w:val="0"/>
        <w:sz w:val="22"/>
        <w:szCs w:val="22"/>
      </w:rPr>
    </w:lvl>
    <w:lvl w:ilvl="1">
      <w:start w:val="1"/>
      <w:numFmt w:val="lowerLetter"/>
      <w:lvlText w:val="%2."/>
      <w:lvlJc w:val="left"/>
      <w:pPr>
        <w:ind w:left="1980" w:hanging="360"/>
      </w:pPr>
      <w:rPr>
        <w:rFonts w:cs="Times New Roman"/>
      </w:rPr>
    </w:lvl>
    <w:lvl w:ilvl="2">
      <w:start w:val="1"/>
      <w:numFmt w:val="lowerRoman"/>
      <w:lvlText w:val="%3."/>
      <w:lvlJc w:val="right"/>
      <w:pPr>
        <w:ind w:left="2700" w:hanging="180"/>
      </w:pPr>
      <w:rPr>
        <w:rFonts w:cs="Times New Roman"/>
      </w:rPr>
    </w:lvl>
    <w:lvl w:ilvl="3">
      <w:start w:val="1"/>
      <w:numFmt w:val="decimal"/>
      <w:lvlText w:val="%4."/>
      <w:lvlJc w:val="left"/>
      <w:pPr>
        <w:ind w:left="3420" w:hanging="360"/>
      </w:pPr>
      <w:rPr>
        <w:rFonts w:cs="Times New Roman"/>
      </w:rPr>
    </w:lvl>
    <w:lvl w:ilvl="4">
      <w:start w:val="1"/>
      <w:numFmt w:val="lowerLetter"/>
      <w:lvlText w:val="%5."/>
      <w:lvlJc w:val="left"/>
      <w:pPr>
        <w:ind w:left="4140" w:hanging="360"/>
      </w:pPr>
      <w:rPr>
        <w:rFonts w:cs="Times New Roman"/>
      </w:rPr>
    </w:lvl>
    <w:lvl w:ilvl="5">
      <w:start w:val="1"/>
      <w:numFmt w:val="lowerRoman"/>
      <w:lvlText w:val="%6."/>
      <w:lvlJc w:val="right"/>
      <w:pPr>
        <w:ind w:left="4860" w:hanging="180"/>
      </w:pPr>
      <w:rPr>
        <w:rFonts w:cs="Times New Roman"/>
      </w:rPr>
    </w:lvl>
    <w:lvl w:ilvl="6">
      <w:start w:val="1"/>
      <w:numFmt w:val="decimal"/>
      <w:lvlText w:val="%7."/>
      <w:lvlJc w:val="left"/>
      <w:pPr>
        <w:ind w:left="5580" w:hanging="360"/>
      </w:pPr>
      <w:rPr>
        <w:rFonts w:cs="Times New Roman"/>
      </w:rPr>
    </w:lvl>
    <w:lvl w:ilvl="7">
      <w:start w:val="1"/>
      <w:numFmt w:val="lowerLetter"/>
      <w:lvlText w:val="%8."/>
      <w:lvlJc w:val="left"/>
      <w:pPr>
        <w:ind w:left="6300" w:hanging="360"/>
      </w:pPr>
      <w:rPr>
        <w:rFonts w:cs="Times New Roman"/>
      </w:rPr>
    </w:lvl>
    <w:lvl w:ilvl="8">
      <w:start w:val="1"/>
      <w:numFmt w:val="lowerRoman"/>
      <w:lvlText w:val="%9."/>
      <w:lvlJc w:val="right"/>
      <w:pPr>
        <w:ind w:left="7020" w:hanging="180"/>
      </w:pPr>
      <w:rPr>
        <w:rFonts w:cs="Times New Roman"/>
      </w:rPr>
    </w:lvl>
  </w:abstractNum>
  <w:abstractNum w:abstractNumId="14" w15:restartNumberingAfterBreak="0">
    <w:nsid w:val="48E4287B"/>
    <w:multiLevelType w:val="multilevel"/>
    <w:tmpl w:val="48E4287B"/>
    <w:lvl w:ilvl="0">
      <w:start w:val="1"/>
      <w:numFmt w:val="decimal"/>
      <w:lvlText w:val="%1."/>
      <w:lvlJc w:val="left"/>
      <w:pPr>
        <w:tabs>
          <w:tab w:val="left" w:pos="360"/>
        </w:tabs>
      </w:pPr>
      <w:rPr>
        <w:rFonts w:cs="Times New Roman"/>
      </w:rPr>
    </w:lvl>
    <w:lvl w:ilvl="1">
      <w:start w:val="1"/>
      <w:numFmt w:val="lowerLetter"/>
      <w:lvlText w:val="(%2)"/>
      <w:lvlJc w:val="left"/>
      <w:pPr>
        <w:tabs>
          <w:tab w:val="left" w:pos="1440"/>
        </w:tabs>
        <w:ind w:firstLine="720"/>
      </w:pPr>
      <w:rPr>
        <w:rFonts w:cs="Times New Roman"/>
      </w:rPr>
    </w:lvl>
    <w:lvl w:ilvl="2">
      <w:start w:val="1"/>
      <w:numFmt w:val="lowerRoman"/>
      <w:lvlText w:val="(%3)"/>
      <w:lvlJc w:val="right"/>
      <w:pPr>
        <w:tabs>
          <w:tab w:val="left" w:pos="1440"/>
        </w:tabs>
        <w:ind w:left="1440" w:hanging="360"/>
      </w:pPr>
      <w:rPr>
        <w:rFonts w:cs="Times New Roman"/>
      </w:rPr>
    </w:lvl>
    <w:lvl w:ilvl="3">
      <w:start w:val="1"/>
      <w:numFmt w:val="bullet"/>
      <w:pStyle w:val="Para3"/>
      <w:lvlText w:val=""/>
      <w:lvlJc w:val="left"/>
      <w:pPr>
        <w:tabs>
          <w:tab w:val="left" w:pos="2160"/>
        </w:tabs>
        <w:ind w:left="2160" w:hanging="720"/>
      </w:pPr>
      <w:rPr>
        <w:rFonts w:ascii="Symbol" w:hAnsi="Symbol" w:hint="default"/>
        <w:sz w:val="28"/>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15" w15:restartNumberingAfterBreak="0">
    <w:nsid w:val="4E0442B4"/>
    <w:multiLevelType w:val="multilevel"/>
    <w:tmpl w:val="4E0442B4"/>
    <w:lvl w:ilvl="0">
      <w:start w:val="1"/>
      <w:numFmt w:val="decimal"/>
      <w:pStyle w:val="Para1"/>
      <w:lvlText w:val="%1."/>
      <w:lvlJc w:val="left"/>
      <w:pPr>
        <w:tabs>
          <w:tab w:val="left" w:pos="360"/>
        </w:tabs>
      </w:pPr>
      <w:rPr>
        <w:rFonts w:ascii="Times New Roman" w:hAnsi="Times New Roman" w:cs="Times New Roman" w:hint="default"/>
        <w:b w:val="0"/>
        <w:i w:val="0"/>
        <w:sz w:val="22"/>
      </w:rPr>
    </w:lvl>
    <w:lvl w:ilvl="1">
      <w:start w:val="1"/>
      <w:numFmt w:val="lowerLetter"/>
      <w:lvlText w:val="(%2)"/>
      <w:lvlJc w:val="left"/>
      <w:pPr>
        <w:tabs>
          <w:tab w:val="left" w:pos="1440"/>
        </w:tabs>
        <w:ind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16" w15:restartNumberingAfterBreak="0">
    <w:nsid w:val="601D13B9"/>
    <w:multiLevelType w:val="multilevel"/>
    <w:tmpl w:val="601D13B9"/>
    <w:lvl w:ilvl="0">
      <w:start w:val="1"/>
      <w:numFmt w:val="decimal"/>
      <w:lvlText w:val="%1."/>
      <w:lvlJc w:val="left"/>
      <w:pPr>
        <w:ind w:left="1170" w:hanging="360"/>
      </w:pPr>
      <w:rPr>
        <w:rFonts w:cs="Times New Roman" w:hint="default"/>
        <w:b w:val="0"/>
        <w:bCs w:val="0"/>
      </w:rPr>
    </w:lvl>
    <w:lvl w:ilvl="1">
      <w:start w:val="1"/>
      <w:numFmt w:val="lowerLetter"/>
      <w:lvlText w:val="%2."/>
      <w:lvlJc w:val="left"/>
      <w:pPr>
        <w:ind w:left="2520" w:hanging="360"/>
      </w:pPr>
      <w:rPr>
        <w:rFonts w:cs="Times New Roman"/>
      </w:rPr>
    </w:lvl>
    <w:lvl w:ilvl="2">
      <w:start w:val="1"/>
      <w:numFmt w:val="lowerRoman"/>
      <w:lvlText w:val="%3."/>
      <w:lvlJc w:val="right"/>
      <w:pPr>
        <w:ind w:left="3240" w:hanging="180"/>
      </w:pPr>
      <w:rPr>
        <w:rFonts w:cs="Times New Roman"/>
      </w:rPr>
    </w:lvl>
    <w:lvl w:ilvl="3">
      <w:start w:val="1"/>
      <w:numFmt w:val="decimal"/>
      <w:lvlText w:val="%4."/>
      <w:lvlJc w:val="left"/>
      <w:pPr>
        <w:ind w:left="3960" w:hanging="360"/>
      </w:pPr>
      <w:rPr>
        <w:rFonts w:cs="Times New Roman"/>
      </w:rPr>
    </w:lvl>
    <w:lvl w:ilvl="4">
      <w:start w:val="1"/>
      <w:numFmt w:val="lowerLetter"/>
      <w:lvlText w:val="%5."/>
      <w:lvlJc w:val="left"/>
      <w:pPr>
        <w:ind w:left="4680" w:hanging="360"/>
      </w:pPr>
      <w:rPr>
        <w:rFonts w:cs="Times New Roman"/>
      </w:rPr>
    </w:lvl>
    <w:lvl w:ilvl="5">
      <w:start w:val="1"/>
      <w:numFmt w:val="lowerRoman"/>
      <w:lvlText w:val="%6."/>
      <w:lvlJc w:val="right"/>
      <w:pPr>
        <w:ind w:left="5400" w:hanging="180"/>
      </w:pPr>
      <w:rPr>
        <w:rFonts w:cs="Times New Roman"/>
      </w:rPr>
    </w:lvl>
    <w:lvl w:ilvl="6">
      <w:start w:val="1"/>
      <w:numFmt w:val="decimal"/>
      <w:lvlText w:val="%7."/>
      <w:lvlJc w:val="left"/>
      <w:pPr>
        <w:ind w:left="6120" w:hanging="360"/>
      </w:pPr>
      <w:rPr>
        <w:rFonts w:cs="Times New Roman"/>
      </w:rPr>
    </w:lvl>
    <w:lvl w:ilvl="7">
      <w:start w:val="1"/>
      <w:numFmt w:val="lowerLetter"/>
      <w:lvlText w:val="%8."/>
      <w:lvlJc w:val="left"/>
      <w:pPr>
        <w:ind w:left="6840" w:hanging="360"/>
      </w:pPr>
      <w:rPr>
        <w:rFonts w:cs="Times New Roman"/>
      </w:rPr>
    </w:lvl>
    <w:lvl w:ilvl="8">
      <w:start w:val="1"/>
      <w:numFmt w:val="lowerRoman"/>
      <w:lvlText w:val="%9."/>
      <w:lvlJc w:val="right"/>
      <w:pPr>
        <w:ind w:left="7560" w:hanging="180"/>
      </w:pPr>
      <w:rPr>
        <w:rFonts w:cs="Times New Roman"/>
      </w:rPr>
    </w:lvl>
  </w:abstractNum>
  <w:abstractNum w:abstractNumId="17" w15:restartNumberingAfterBreak="0">
    <w:nsid w:val="66E22BD7"/>
    <w:multiLevelType w:val="multilevel"/>
    <w:tmpl w:val="66E22BD7"/>
    <w:lvl w:ilvl="0">
      <w:start w:val="1"/>
      <w:numFmt w:val="decimal"/>
      <w:lvlText w:val="%1."/>
      <w:lvlJc w:val="left"/>
      <w:pPr>
        <w:ind w:left="1170" w:hanging="360"/>
      </w:pPr>
      <w:rPr>
        <w:rFonts w:cs="Times New Roman" w:hint="default"/>
        <w:b w:val="0"/>
        <w:bCs w:val="0"/>
      </w:rPr>
    </w:lvl>
    <w:lvl w:ilvl="1">
      <w:start w:val="1"/>
      <w:numFmt w:val="lowerLetter"/>
      <w:lvlText w:val="%2."/>
      <w:lvlJc w:val="left"/>
      <w:pPr>
        <w:ind w:left="2520" w:hanging="360"/>
      </w:pPr>
      <w:rPr>
        <w:rFonts w:cs="Times New Roman"/>
      </w:rPr>
    </w:lvl>
    <w:lvl w:ilvl="2">
      <w:start w:val="1"/>
      <w:numFmt w:val="lowerRoman"/>
      <w:lvlText w:val="%3."/>
      <w:lvlJc w:val="right"/>
      <w:pPr>
        <w:ind w:left="3240" w:hanging="180"/>
      </w:pPr>
      <w:rPr>
        <w:rFonts w:cs="Times New Roman"/>
      </w:rPr>
    </w:lvl>
    <w:lvl w:ilvl="3">
      <w:start w:val="1"/>
      <w:numFmt w:val="decimal"/>
      <w:lvlText w:val="%4."/>
      <w:lvlJc w:val="left"/>
      <w:pPr>
        <w:ind w:left="3960" w:hanging="360"/>
      </w:pPr>
      <w:rPr>
        <w:rFonts w:cs="Times New Roman"/>
      </w:rPr>
    </w:lvl>
    <w:lvl w:ilvl="4">
      <w:start w:val="1"/>
      <w:numFmt w:val="lowerLetter"/>
      <w:lvlText w:val="%5."/>
      <w:lvlJc w:val="left"/>
      <w:pPr>
        <w:ind w:left="4680" w:hanging="360"/>
      </w:pPr>
      <w:rPr>
        <w:rFonts w:cs="Times New Roman"/>
      </w:rPr>
    </w:lvl>
    <w:lvl w:ilvl="5">
      <w:start w:val="1"/>
      <w:numFmt w:val="lowerRoman"/>
      <w:lvlText w:val="%6."/>
      <w:lvlJc w:val="right"/>
      <w:pPr>
        <w:ind w:left="5400" w:hanging="180"/>
      </w:pPr>
      <w:rPr>
        <w:rFonts w:cs="Times New Roman"/>
      </w:rPr>
    </w:lvl>
    <w:lvl w:ilvl="6">
      <w:start w:val="1"/>
      <w:numFmt w:val="decimal"/>
      <w:lvlText w:val="%7."/>
      <w:lvlJc w:val="left"/>
      <w:pPr>
        <w:ind w:left="6120" w:hanging="360"/>
      </w:pPr>
      <w:rPr>
        <w:rFonts w:cs="Times New Roman"/>
      </w:rPr>
    </w:lvl>
    <w:lvl w:ilvl="7">
      <w:start w:val="1"/>
      <w:numFmt w:val="lowerLetter"/>
      <w:lvlText w:val="%8."/>
      <w:lvlJc w:val="left"/>
      <w:pPr>
        <w:ind w:left="6840" w:hanging="360"/>
      </w:pPr>
      <w:rPr>
        <w:rFonts w:cs="Times New Roman"/>
      </w:rPr>
    </w:lvl>
    <w:lvl w:ilvl="8">
      <w:start w:val="1"/>
      <w:numFmt w:val="lowerRoman"/>
      <w:lvlText w:val="%9."/>
      <w:lvlJc w:val="right"/>
      <w:pPr>
        <w:ind w:left="7560" w:hanging="180"/>
      </w:pPr>
      <w:rPr>
        <w:rFonts w:cs="Times New Roman"/>
      </w:rPr>
    </w:lvl>
  </w:abstractNum>
  <w:abstractNum w:abstractNumId="18" w15:restartNumberingAfterBreak="0">
    <w:nsid w:val="6D191DF4"/>
    <w:multiLevelType w:val="multilevel"/>
    <w:tmpl w:val="6D191DF4"/>
    <w:lvl w:ilvl="0">
      <w:start w:val="1"/>
      <w:numFmt w:val="upperRoman"/>
      <w:pStyle w:val="Heading1"/>
      <w:lvlText w:val="%1."/>
      <w:lvlJc w:val="left"/>
      <w:pPr>
        <w:tabs>
          <w:tab w:val="left" w:pos="567"/>
        </w:tabs>
        <w:ind w:left="567" w:hanging="567"/>
      </w:pPr>
      <w:rPr>
        <w:rFonts w:ascii="Times New Roman" w:hAnsi="Times New Roman" w:cs="Times New Roman" w:hint="default"/>
        <w:sz w:val="28"/>
      </w:rPr>
    </w:lvl>
    <w:lvl w:ilvl="1">
      <w:start w:val="1"/>
      <w:numFmt w:val="upperLetter"/>
      <w:pStyle w:val="Heading2"/>
      <w:lvlText w:val="%2."/>
      <w:lvlJc w:val="left"/>
      <w:pPr>
        <w:tabs>
          <w:tab w:val="left"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left"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left"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left"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 w15:restartNumberingAfterBreak="0">
    <w:nsid w:val="6ED82968"/>
    <w:multiLevelType w:val="multilevel"/>
    <w:tmpl w:val="6ED82968"/>
    <w:lvl w:ilvl="0">
      <w:start w:val="1"/>
      <w:numFmt w:val="bullet"/>
      <w:pStyle w:val="CBD-Doc"/>
      <w:lvlText w:val=""/>
      <w:lvlJc w:val="left"/>
      <w:pPr>
        <w:tabs>
          <w:tab w:val="left" w:pos="567"/>
        </w:tabs>
        <w:ind w:left="567" w:hanging="567"/>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0" w15:restartNumberingAfterBreak="0">
    <w:nsid w:val="6FF7321D"/>
    <w:multiLevelType w:val="multilevel"/>
    <w:tmpl w:val="6FF7321D"/>
    <w:lvl w:ilvl="0">
      <w:start w:val="1"/>
      <w:numFmt w:val="upperRoman"/>
      <w:lvlText w:val="%1."/>
      <w:lvlJc w:val="right"/>
      <w:pPr>
        <w:tabs>
          <w:tab w:val="left"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left"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356735283">
    <w:abstractNumId w:val="3"/>
  </w:num>
  <w:num w:numId="2" w16cid:durableId="261038626">
    <w:abstractNumId w:val="5"/>
  </w:num>
  <w:num w:numId="3" w16cid:durableId="297688688">
    <w:abstractNumId w:val="8"/>
  </w:num>
  <w:num w:numId="4" w16cid:durableId="1833986272">
    <w:abstractNumId w:val="9"/>
  </w:num>
  <w:num w:numId="5" w16cid:durableId="1681155814">
    <w:abstractNumId w:val="6"/>
  </w:num>
  <w:num w:numId="6" w16cid:durableId="1341350931">
    <w:abstractNumId w:val="2"/>
  </w:num>
  <w:num w:numId="7" w16cid:durableId="1666855090">
    <w:abstractNumId w:val="7"/>
  </w:num>
  <w:num w:numId="8" w16cid:durableId="2109231495">
    <w:abstractNumId w:val="4"/>
  </w:num>
  <w:num w:numId="9" w16cid:durableId="1612933281">
    <w:abstractNumId w:val="1"/>
  </w:num>
  <w:num w:numId="10" w16cid:durableId="398525404">
    <w:abstractNumId w:val="0"/>
  </w:num>
  <w:num w:numId="11" w16cid:durableId="602540699">
    <w:abstractNumId w:val="18"/>
  </w:num>
  <w:num w:numId="12" w16cid:durableId="1981883378">
    <w:abstractNumId w:val="20"/>
  </w:num>
  <w:num w:numId="13" w16cid:durableId="1333142078">
    <w:abstractNumId w:val="15"/>
  </w:num>
  <w:num w:numId="14" w16cid:durableId="38282158">
    <w:abstractNumId w:val="14"/>
  </w:num>
  <w:num w:numId="15" w16cid:durableId="1638873033">
    <w:abstractNumId w:val="19"/>
  </w:num>
  <w:num w:numId="16" w16cid:durableId="549652600">
    <w:abstractNumId w:val="13"/>
  </w:num>
  <w:num w:numId="17" w16cid:durableId="1315915634">
    <w:abstractNumId w:val="16"/>
  </w:num>
  <w:num w:numId="18" w16cid:durableId="2022119383">
    <w:abstractNumId w:val="11"/>
  </w:num>
  <w:num w:numId="19" w16cid:durableId="1152018448">
    <w:abstractNumId w:val="17"/>
  </w:num>
  <w:num w:numId="20" w16cid:durableId="1657346023">
    <w:abstractNumId w:val="10"/>
  </w:num>
  <w:num w:numId="21" w16cid:durableId="1195771641">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evenAndOddHeaders/>
  <w:noPunctuationKerning/>
  <w:characterSpacingControl w:val="doNotCompress"/>
  <w:footnotePr>
    <w:footnote w:id="-1"/>
    <w:footnote w:id="0"/>
  </w:footnotePr>
  <w:endnotePr>
    <w:endnote w:id="-1"/>
    <w:endnote w:id="0"/>
  </w:endnotePr>
  <w:compat>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1DB7"/>
    <w:rsid w:val="00000318"/>
    <w:rsid w:val="0000051D"/>
    <w:rsid w:val="00000ED4"/>
    <w:rsid w:val="00001448"/>
    <w:rsid w:val="00001985"/>
    <w:rsid w:val="00003D61"/>
    <w:rsid w:val="00004805"/>
    <w:rsid w:val="00005DA0"/>
    <w:rsid w:val="000064F9"/>
    <w:rsid w:val="000071A4"/>
    <w:rsid w:val="000071E9"/>
    <w:rsid w:val="00010486"/>
    <w:rsid w:val="00013020"/>
    <w:rsid w:val="00013784"/>
    <w:rsid w:val="000143CF"/>
    <w:rsid w:val="00016FDE"/>
    <w:rsid w:val="000200B2"/>
    <w:rsid w:val="00024CEC"/>
    <w:rsid w:val="00027A58"/>
    <w:rsid w:val="00027B34"/>
    <w:rsid w:val="00027F7E"/>
    <w:rsid w:val="000315F2"/>
    <w:rsid w:val="00031903"/>
    <w:rsid w:val="000326EB"/>
    <w:rsid w:val="00033809"/>
    <w:rsid w:val="00034FDA"/>
    <w:rsid w:val="00035139"/>
    <w:rsid w:val="000353F2"/>
    <w:rsid w:val="000355B4"/>
    <w:rsid w:val="00036482"/>
    <w:rsid w:val="00037E87"/>
    <w:rsid w:val="000401DA"/>
    <w:rsid w:val="000418CF"/>
    <w:rsid w:val="00042413"/>
    <w:rsid w:val="00042424"/>
    <w:rsid w:val="0004316D"/>
    <w:rsid w:val="00044D79"/>
    <w:rsid w:val="00044EE5"/>
    <w:rsid w:val="00044FFF"/>
    <w:rsid w:val="00046413"/>
    <w:rsid w:val="000477C2"/>
    <w:rsid w:val="0005001F"/>
    <w:rsid w:val="00050917"/>
    <w:rsid w:val="0005095E"/>
    <w:rsid w:val="00051283"/>
    <w:rsid w:val="00051738"/>
    <w:rsid w:val="00054B5C"/>
    <w:rsid w:val="00055E0F"/>
    <w:rsid w:val="0005623D"/>
    <w:rsid w:val="00057253"/>
    <w:rsid w:val="00060687"/>
    <w:rsid w:val="00062833"/>
    <w:rsid w:val="00063162"/>
    <w:rsid w:val="00063AB5"/>
    <w:rsid w:val="00064AD2"/>
    <w:rsid w:val="00066972"/>
    <w:rsid w:val="00070692"/>
    <w:rsid w:val="00070826"/>
    <w:rsid w:val="00070DD0"/>
    <w:rsid w:val="0007171B"/>
    <w:rsid w:val="00071E20"/>
    <w:rsid w:val="000724A0"/>
    <w:rsid w:val="000741FC"/>
    <w:rsid w:val="0007469A"/>
    <w:rsid w:val="00075129"/>
    <w:rsid w:val="000818B5"/>
    <w:rsid w:val="000822A3"/>
    <w:rsid w:val="00085A80"/>
    <w:rsid w:val="00090361"/>
    <w:rsid w:val="000904A2"/>
    <w:rsid w:val="000929A1"/>
    <w:rsid w:val="00094684"/>
    <w:rsid w:val="00096B39"/>
    <w:rsid w:val="00096ED0"/>
    <w:rsid w:val="000976F1"/>
    <w:rsid w:val="000A0E1C"/>
    <w:rsid w:val="000A1673"/>
    <w:rsid w:val="000A2336"/>
    <w:rsid w:val="000A2F1B"/>
    <w:rsid w:val="000A4DF9"/>
    <w:rsid w:val="000A6EB4"/>
    <w:rsid w:val="000B0D80"/>
    <w:rsid w:val="000B1E48"/>
    <w:rsid w:val="000B3498"/>
    <w:rsid w:val="000B499B"/>
    <w:rsid w:val="000B5741"/>
    <w:rsid w:val="000B58EB"/>
    <w:rsid w:val="000B68D4"/>
    <w:rsid w:val="000B6E2D"/>
    <w:rsid w:val="000B6EB8"/>
    <w:rsid w:val="000B6F95"/>
    <w:rsid w:val="000B78F9"/>
    <w:rsid w:val="000B7C9A"/>
    <w:rsid w:val="000C042A"/>
    <w:rsid w:val="000C179D"/>
    <w:rsid w:val="000C22D7"/>
    <w:rsid w:val="000C2346"/>
    <w:rsid w:val="000C2AF4"/>
    <w:rsid w:val="000C5350"/>
    <w:rsid w:val="000C542B"/>
    <w:rsid w:val="000C54F2"/>
    <w:rsid w:val="000C5D78"/>
    <w:rsid w:val="000C616C"/>
    <w:rsid w:val="000C6BCF"/>
    <w:rsid w:val="000D02E2"/>
    <w:rsid w:val="000D0704"/>
    <w:rsid w:val="000D0E2D"/>
    <w:rsid w:val="000D0F68"/>
    <w:rsid w:val="000D1797"/>
    <w:rsid w:val="000D241A"/>
    <w:rsid w:val="000D26E8"/>
    <w:rsid w:val="000D3367"/>
    <w:rsid w:val="000D4B94"/>
    <w:rsid w:val="000D5BD4"/>
    <w:rsid w:val="000D6E6D"/>
    <w:rsid w:val="000E0F24"/>
    <w:rsid w:val="000E3164"/>
    <w:rsid w:val="000E3184"/>
    <w:rsid w:val="000E45F2"/>
    <w:rsid w:val="000E673A"/>
    <w:rsid w:val="000F0AFF"/>
    <w:rsid w:val="000F13E4"/>
    <w:rsid w:val="000F1C92"/>
    <w:rsid w:val="000F2FBD"/>
    <w:rsid w:val="000F4412"/>
    <w:rsid w:val="000F51E6"/>
    <w:rsid w:val="000F6945"/>
    <w:rsid w:val="000F6DBE"/>
    <w:rsid w:val="000F74F5"/>
    <w:rsid w:val="000F78FC"/>
    <w:rsid w:val="00100EDC"/>
    <w:rsid w:val="001011B9"/>
    <w:rsid w:val="00102895"/>
    <w:rsid w:val="00102A97"/>
    <w:rsid w:val="00105372"/>
    <w:rsid w:val="001054A6"/>
    <w:rsid w:val="00106B8D"/>
    <w:rsid w:val="00106D6B"/>
    <w:rsid w:val="00107033"/>
    <w:rsid w:val="001078A1"/>
    <w:rsid w:val="00107ECE"/>
    <w:rsid w:val="00110447"/>
    <w:rsid w:val="00110DBD"/>
    <w:rsid w:val="001117A3"/>
    <w:rsid w:val="0011185D"/>
    <w:rsid w:val="00111D9C"/>
    <w:rsid w:val="001122B2"/>
    <w:rsid w:val="001128CE"/>
    <w:rsid w:val="00113DE7"/>
    <w:rsid w:val="00113F4C"/>
    <w:rsid w:val="00114780"/>
    <w:rsid w:val="0011552D"/>
    <w:rsid w:val="00116987"/>
    <w:rsid w:val="00121654"/>
    <w:rsid w:val="001228B2"/>
    <w:rsid w:val="00123437"/>
    <w:rsid w:val="0012352E"/>
    <w:rsid w:val="001235A1"/>
    <w:rsid w:val="001242DE"/>
    <w:rsid w:val="00124F24"/>
    <w:rsid w:val="00127904"/>
    <w:rsid w:val="001312AD"/>
    <w:rsid w:val="0013189D"/>
    <w:rsid w:val="00131E7A"/>
    <w:rsid w:val="001339AD"/>
    <w:rsid w:val="00133DF5"/>
    <w:rsid w:val="00134846"/>
    <w:rsid w:val="00134DF2"/>
    <w:rsid w:val="00135362"/>
    <w:rsid w:val="0013628D"/>
    <w:rsid w:val="001400DA"/>
    <w:rsid w:val="0014082C"/>
    <w:rsid w:val="00140E01"/>
    <w:rsid w:val="00141412"/>
    <w:rsid w:val="00141DCF"/>
    <w:rsid w:val="00142713"/>
    <w:rsid w:val="00143BEF"/>
    <w:rsid w:val="0014472A"/>
    <w:rsid w:val="00146372"/>
    <w:rsid w:val="00146681"/>
    <w:rsid w:val="00150EEE"/>
    <w:rsid w:val="0015326F"/>
    <w:rsid w:val="001542C3"/>
    <w:rsid w:val="001550B3"/>
    <w:rsid w:val="00155439"/>
    <w:rsid w:val="00156270"/>
    <w:rsid w:val="001575BC"/>
    <w:rsid w:val="00157ECE"/>
    <w:rsid w:val="00161C2D"/>
    <w:rsid w:val="0016350F"/>
    <w:rsid w:val="001643AF"/>
    <w:rsid w:val="001657BE"/>
    <w:rsid w:val="00165C93"/>
    <w:rsid w:val="001666B3"/>
    <w:rsid w:val="00170769"/>
    <w:rsid w:val="00172AF6"/>
    <w:rsid w:val="00173648"/>
    <w:rsid w:val="00173DD6"/>
    <w:rsid w:val="00174393"/>
    <w:rsid w:val="00174D0A"/>
    <w:rsid w:val="00175A66"/>
    <w:rsid w:val="0017602C"/>
    <w:rsid w:val="0017675C"/>
    <w:rsid w:val="00176CEE"/>
    <w:rsid w:val="00181FA1"/>
    <w:rsid w:val="0018251E"/>
    <w:rsid w:val="001828D9"/>
    <w:rsid w:val="001858FB"/>
    <w:rsid w:val="00185F0F"/>
    <w:rsid w:val="00186BAF"/>
    <w:rsid w:val="00186DD8"/>
    <w:rsid w:val="00187AB7"/>
    <w:rsid w:val="00191039"/>
    <w:rsid w:val="001928EA"/>
    <w:rsid w:val="001949DA"/>
    <w:rsid w:val="00195B08"/>
    <w:rsid w:val="00196C19"/>
    <w:rsid w:val="0019731D"/>
    <w:rsid w:val="00197341"/>
    <w:rsid w:val="001979AF"/>
    <w:rsid w:val="001A06B7"/>
    <w:rsid w:val="001A17CC"/>
    <w:rsid w:val="001A18A8"/>
    <w:rsid w:val="001A1EAE"/>
    <w:rsid w:val="001A28D9"/>
    <w:rsid w:val="001A29D5"/>
    <w:rsid w:val="001A35EC"/>
    <w:rsid w:val="001A3791"/>
    <w:rsid w:val="001A38CC"/>
    <w:rsid w:val="001A3BFA"/>
    <w:rsid w:val="001A4B67"/>
    <w:rsid w:val="001A4E7F"/>
    <w:rsid w:val="001A5324"/>
    <w:rsid w:val="001A5BB5"/>
    <w:rsid w:val="001A5FA7"/>
    <w:rsid w:val="001A6031"/>
    <w:rsid w:val="001A7A92"/>
    <w:rsid w:val="001B035A"/>
    <w:rsid w:val="001B0602"/>
    <w:rsid w:val="001B0FE5"/>
    <w:rsid w:val="001B13AE"/>
    <w:rsid w:val="001B13FE"/>
    <w:rsid w:val="001B1CB3"/>
    <w:rsid w:val="001B2C7F"/>
    <w:rsid w:val="001B413B"/>
    <w:rsid w:val="001B43D5"/>
    <w:rsid w:val="001B45C4"/>
    <w:rsid w:val="001B53C0"/>
    <w:rsid w:val="001B6D7B"/>
    <w:rsid w:val="001B753D"/>
    <w:rsid w:val="001B78D5"/>
    <w:rsid w:val="001C0A3E"/>
    <w:rsid w:val="001C1B5F"/>
    <w:rsid w:val="001C2085"/>
    <w:rsid w:val="001C242F"/>
    <w:rsid w:val="001C2C0A"/>
    <w:rsid w:val="001C3613"/>
    <w:rsid w:val="001C3D23"/>
    <w:rsid w:val="001C441E"/>
    <w:rsid w:val="001C4474"/>
    <w:rsid w:val="001C4ABE"/>
    <w:rsid w:val="001C4BC4"/>
    <w:rsid w:val="001C5EF9"/>
    <w:rsid w:val="001C69CA"/>
    <w:rsid w:val="001C6F88"/>
    <w:rsid w:val="001C74CF"/>
    <w:rsid w:val="001C7B2A"/>
    <w:rsid w:val="001C7B62"/>
    <w:rsid w:val="001D16EF"/>
    <w:rsid w:val="001D27BC"/>
    <w:rsid w:val="001D3ECF"/>
    <w:rsid w:val="001E03C8"/>
    <w:rsid w:val="001E096D"/>
    <w:rsid w:val="001E230C"/>
    <w:rsid w:val="001E2AD1"/>
    <w:rsid w:val="001E454A"/>
    <w:rsid w:val="001E57F1"/>
    <w:rsid w:val="001E5BE6"/>
    <w:rsid w:val="001E600B"/>
    <w:rsid w:val="001E6108"/>
    <w:rsid w:val="001E6A86"/>
    <w:rsid w:val="001F1559"/>
    <w:rsid w:val="001F2951"/>
    <w:rsid w:val="001F2A1A"/>
    <w:rsid w:val="001F3109"/>
    <w:rsid w:val="001F3569"/>
    <w:rsid w:val="001F4321"/>
    <w:rsid w:val="001F5C3D"/>
    <w:rsid w:val="001F5D95"/>
    <w:rsid w:val="001F66D8"/>
    <w:rsid w:val="00200D10"/>
    <w:rsid w:val="002017CE"/>
    <w:rsid w:val="00202C95"/>
    <w:rsid w:val="00203626"/>
    <w:rsid w:val="002052D3"/>
    <w:rsid w:val="00205607"/>
    <w:rsid w:val="0020612E"/>
    <w:rsid w:val="0020757F"/>
    <w:rsid w:val="00210D68"/>
    <w:rsid w:val="00211269"/>
    <w:rsid w:val="00211ED6"/>
    <w:rsid w:val="00212485"/>
    <w:rsid w:val="0021271E"/>
    <w:rsid w:val="002133BC"/>
    <w:rsid w:val="0021347F"/>
    <w:rsid w:val="00214144"/>
    <w:rsid w:val="002164E1"/>
    <w:rsid w:val="00217176"/>
    <w:rsid w:val="00217A0B"/>
    <w:rsid w:val="00217A7B"/>
    <w:rsid w:val="00220041"/>
    <w:rsid w:val="002204F3"/>
    <w:rsid w:val="00220B01"/>
    <w:rsid w:val="00222570"/>
    <w:rsid w:val="00223E12"/>
    <w:rsid w:val="00226DA3"/>
    <w:rsid w:val="00227D0F"/>
    <w:rsid w:val="002306AB"/>
    <w:rsid w:val="00231717"/>
    <w:rsid w:val="00231A94"/>
    <w:rsid w:val="0023255A"/>
    <w:rsid w:val="00232C88"/>
    <w:rsid w:val="00233930"/>
    <w:rsid w:val="00233BD7"/>
    <w:rsid w:val="00235B6F"/>
    <w:rsid w:val="00237014"/>
    <w:rsid w:val="00241355"/>
    <w:rsid w:val="00244B85"/>
    <w:rsid w:val="0024557D"/>
    <w:rsid w:val="00245890"/>
    <w:rsid w:val="00246E22"/>
    <w:rsid w:val="00250E40"/>
    <w:rsid w:val="00250FD6"/>
    <w:rsid w:val="002520DC"/>
    <w:rsid w:val="0025246D"/>
    <w:rsid w:val="002526BB"/>
    <w:rsid w:val="00253BD5"/>
    <w:rsid w:val="00255090"/>
    <w:rsid w:val="00257AAA"/>
    <w:rsid w:val="00257C6A"/>
    <w:rsid w:val="00257D60"/>
    <w:rsid w:val="0026054C"/>
    <w:rsid w:val="00261436"/>
    <w:rsid w:val="00263686"/>
    <w:rsid w:val="002638D1"/>
    <w:rsid w:val="00264D5F"/>
    <w:rsid w:val="00265F5E"/>
    <w:rsid w:val="002675A0"/>
    <w:rsid w:val="00271BCF"/>
    <w:rsid w:val="00273EA8"/>
    <w:rsid w:val="002762C6"/>
    <w:rsid w:val="002769CE"/>
    <w:rsid w:val="0028015F"/>
    <w:rsid w:val="0028104E"/>
    <w:rsid w:val="002812BB"/>
    <w:rsid w:val="002815EE"/>
    <w:rsid w:val="00282983"/>
    <w:rsid w:val="00282ADE"/>
    <w:rsid w:val="00282B23"/>
    <w:rsid w:val="00282BF0"/>
    <w:rsid w:val="0028304F"/>
    <w:rsid w:val="00284028"/>
    <w:rsid w:val="002869B6"/>
    <w:rsid w:val="00287BCE"/>
    <w:rsid w:val="0029020F"/>
    <w:rsid w:val="00290319"/>
    <w:rsid w:val="00291ED9"/>
    <w:rsid w:val="00293B9A"/>
    <w:rsid w:val="002968E1"/>
    <w:rsid w:val="00297EBE"/>
    <w:rsid w:val="002A1867"/>
    <w:rsid w:val="002A3211"/>
    <w:rsid w:val="002A3E02"/>
    <w:rsid w:val="002A457D"/>
    <w:rsid w:val="002A59B4"/>
    <w:rsid w:val="002A7D5E"/>
    <w:rsid w:val="002B042F"/>
    <w:rsid w:val="002B053A"/>
    <w:rsid w:val="002B4002"/>
    <w:rsid w:val="002B42A5"/>
    <w:rsid w:val="002B45E2"/>
    <w:rsid w:val="002B4E6D"/>
    <w:rsid w:val="002B4F5E"/>
    <w:rsid w:val="002B6634"/>
    <w:rsid w:val="002B6A83"/>
    <w:rsid w:val="002B791A"/>
    <w:rsid w:val="002C4CB2"/>
    <w:rsid w:val="002C72AD"/>
    <w:rsid w:val="002C7438"/>
    <w:rsid w:val="002D162F"/>
    <w:rsid w:val="002D303C"/>
    <w:rsid w:val="002D3933"/>
    <w:rsid w:val="002D7FB6"/>
    <w:rsid w:val="002E6862"/>
    <w:rsid w:val="002E7987"/>
    <w:rsid w:val="002F0DD1"/>
    <w:rsid w:val="002F283D"/>
    <w:rsid w:val="002F31C3"/>
    <w:rsid w:val="002F3858"/>
    <w:rsid w:val="002F4C05"/>
    <w:rsid w:val="002F6B47"/>
    <w:rsid w:val="00300670"/>
    <w:rsid w:val="003008FE"/>
    <w:rsid w:val="0030169D"/>
    <w:rsid w:val="00301C9C"/>
    <w:rsid w:val="00302119"/>
    <w:rsid w:val="00304309"/>
    <w:rsid w:val="0030557F"/>
    <w:rsid w:val="003060EB"/>
    <w:rsid w:val="0030699A"/>
    <w:rsid w:val="00306EC8"/>
    <w:rsid w:val="00307A2E"/>
    <w:rsid w:val="0031039F"/>
    <w:rsid w:val="00312BD9"/>
    <w:rsid w:val="00313D5F"/>
    <w:rsid w:val="0031405F"/>
    <w:rsid w:val="003153EB"/>
    <w:rsid w:val="003157C6"/>
    <w:rsid w:val="00316684"/>
    <w:rsid w:val="00317123"/>
    <w:rsid w:val="00317895"/>
    <w:rsid w:val="003201AE"/>
    <w:rsid w:val="0032136E"/>
    <w:rsid w:val="00321937"/>
    <w:rsid w:val="00321985"/>
    <w:rsid w:val="003225DC"/>
    <w:rsid w:val="0032283C"/>
    <w:rsid w:val="0032325D"/>
    <w:rsid w:val="00323B03"/>
    <w:rsid w:val="00324EAE"/>
    <w:rsid w:val="00325A4C"/>
    <w:rsid w:val="00326E3D"/>
    <w:rsid w:val="00330683"/>
    <w:rsid w:val="00330B19"/>
    <w:rsid w:val="00331839"/>
    <w:rsid w:val="00331DED"/>
    <w:rsid w:val="00331F54"/>
    <w:rsid w:val="0033587E"/>
    <w:rsid w:val="00335C31"/>
    <w:rsid w:val="003362D5"/>
    <w:rsid w:val="00340360"/>
    <w:rsid w:val="00340773"/>
    <w:rsid w:val="00341B86"/>
    <w:rsid w:val="0034307D"/>
    <w:rsid w:val="00344B58"/>
    <w:rsid w:val="003455FE"/>
    <w:rsid w:val="003475FF"/>
    <w:rsid w:val="00347F82"/>
    <w:rsid w:val="00351205"/>
    <w:rsid w:val="0035264E"/>
    <w:rsid w:val="00353EB9"/>
    <w:rsid w:val="003569C4"/>
    <w:rsid w:val="00356AD6"/>
    <w:rsid w:val="00357769"/>
    <w:rsid w:val="00360339"/>
    <w:rsid w:val="003608DF"/>
    <w:rsid w:val="00364644"/>
    <w:rsid w:val="003649F0"/>
    <w:rsid w:val="00364B95"/>
    <w:rsid w:val="00364E2A"/>
    <w:rsid w:val="003709D0"/>
    <w:rsid w:val="00372F74"/>
    <w:rsid w:val="0037391E"/>
    <w:rsid w:val="00373A5B"/>
    <w:rsid w:val="00374017"/>
    <w:rsid w:val="0037416D"/>
    <w:rsid w:val="003766C7"/>
    <w:rsid w:val="003823DA"/>
    <w:rsid w:val="00382D11"/>
    <w:rsid w:val="0038392D"/>
    <w:rsid w:val="00384B45"/>
    <w:rsid w:val="00384C53"/>
    <w:rsid w:val="00387F5D"/>
    <w:rsid w:val="00392028"/>
    <w:rsid w:val="00393662"/>
    <w:rsid w:val="00394CF7"/>
    <w:rsid w:val="00395168"/>
    <w:rsid w:val="00395C14"/>
    <w:rsid w:val="003A047E"/>
    <w:rsid w:val="003A14AA"/>
    <w:rsid w:val="003A2249"/>
    <w:rsid w:val="003A28E4"/>
    <w:rsid w:val="003A5511"/>
    <w:rsid w:val="003A56B3"/>
    <w:rsid w:val="003A5AA3"/>
    <w:rsid w:val="003A7717"/>
    <w:rsid w:val="003B098D"/>
    <w:rsid w:val="003B1396"/>
    <w:rsid w:val="003B3F32"/>
    <w:rsid w:val="003B53F2"/>
    <w:rsid w:val="003B6625"/>
    <w:rsid w:val="003B67FE"/>
    <w:rsid w:val="003C01BD"/>
    <w:rsid w:val="003C0C10"/>
    <w:rsid w:val="003C2A10"/>
    <w:rsid w:val="003C2E2F"/>
    <w:rsid w:val="003C4CBB"/>
    <w:rsid w:val="003C63B5"/>
    <w:rsid w:val="003C7085"/>
    <w:rsid w:val="003D05E1"/>
    <w:rsid w:val="003D1CE2"/>
    <w:rsid w:val="003D1F3D"/>
    <w:rsid w:val="003D1F93"/>
    <w:rsid w:val="003D242A"/>
    <w:rsid w:val="003D2A94"/>
    <w:rsid w:val="003D3DCC"/>
    <w:rsid w:val="003D4159"/>
    <w:rsid w:val="003D6309"/>
    <w:rsid w:val="003D6E3A"/>
    <w:rsid w:val="003E0E0B"/>
    <w:rsid w:val="003E1EE0"/>
    <w:rsid w:val="003E29F7"/>
    <w:rsid w:val="003E2E28"/>
    <w:rsid w:val="003E3B7A"/>
    <w:rsid w:val="003E3DC2"/>
    <w:rsid w:val="003E571C"/>
    <w:rsid w:val="003E5968"/>
    <w:rsid w:val="003E636A"/>
    <w:rsid w:val="003E73B6"/>
    <w:rsid w:val="003F111C"/>
    <w:rsid w:val="003F1A75"/>
    <w:rsid w:val="003F1D46"/>
    <w:rsid w:val="003F43D0"/>
    <w:rsid w:val="003F554C"/>
    <w:rsid w:val="003F55C9"/>
    <w:rsid w:val="003F5969"/>
    <w:rsid w:val="003F6219"/>
    <w:rsid w:val="003F664F"/>
    <w:rsid w:val="003F6F25"/>
    <w:rsid w:val="003F7224"/>
    <w:rsid w:val="003F7471"/>
    <w:rsid w:val="0040021B"/>
    <w:rsid w:val="0040040B"/>
    <w:rsid w:val="00400591"/>
    <w:rsid w:val="0040226E"/>
    <w:rsid w:val="00402D17"/>
    <w:rsid w:val="00402F47"/>
    <w:rsid w:val="00404BF4"/>
    <w:rsid w:val="00407274"/>
    <w:rsid w:val="0040766A"/>
    <w:rsid w:val="00407686"/>
    <w:rsid w:val="0041221D"/>
    <w:rsid w:val="00413115"/>
    <w:rsid w:val="00414761"/>
    <w:rsid w:val="00414B62"/>
    <w:rsid w:val="0041728D"/>
    <w:rsid w:val="004202BD"/>
    <w:rsid w:val="004219AE"/>
    <w:rsid w:val="00422A24"/>
    <w:rsid w:val="00422FCC"/>
    <w:rsid w:val="004236B9"/>
    <w:rsid w:val="004237E8"/>
    <w:rsid w:val="004256D1"/>
    <w:rsid w:val="0042668F"/>
    <w:rsid w:val="004266D3"/>
    <w:rsid w:val="00426878"/>
    <w:rsid w:val="00427D21"/>
    <w:rsid w:val="004306FE"/>
    <w:rsid w:val="004316F1"/>
    <w:rsid w:val="00431CF5"/>
    <w:rsid w:val="00432F5C"/>
    <w:rsid w:val="00435148"/>
    <w:rsid w:val="00441454"/>
    <w:rsid w:val="0044215D"/>
    <w:rsid w:val="00442B0D"/>
    <w:rsid w:val="004440B7"/>
    <w:rsid w:val="004440ED"/>
    <w:rsid w:val="004453CF"/>
    <w:rsid w:val="004454D1"/>
    <w:rsid w:val="00446F89"/>
    <w:rsid w:val="00447643"/>
    <w:rsid w:val="00447F4A"/>
    <w:rsid w:val="00450F44"/>
    <w:rsid w:val="00451015"/>
    <w:rsid w:val="00452BE1"/>
    <w:rsid w:val="004547D5"/>
    <w:rsid w:val="00455E5E"/>
    <w:rsid w:val="00456847"/>
    <w:rsid w:val="00456849"/>
    <w:rsid w:val="00456F67"/>
    <w:rsid w:val="00457A1F"/>
    <w:rsid w:val="00460E08"/>
    <w:rsid w:val="00461737"/>
    <w:rsid w:val="004628BB"/>
    <w:rsid w:val="00462FA8"/>
    <w:rsid w:val="0046348F"/>
    <w:rsid w:val="00463601"/>
    <w:rsid w:val="00463D80"/>
    <w:rsid w:val="004644C2"/>
    <w:rsid w:val="004651BD"/>
    <w:rsid w:val="004658AA"/>
    <w:rsid w:val="00466ED5"/>
    <w:rsid w:val="00467F9C"/>
    <w:rsid w:val="00471520"/>
    <w:rsid w:val="004721AC"/>
    <w:rsid w:val="00472340"/>
    <w:rsid w:val="00473DEA"/>
    <w:rsid w:val="00474606"/>
    <w:rsid w:val="0047569E"/>
    <w:rsid w:val="00475C69"/>
    <w:rsid w:val="00477924"/>
    <w:rsid w:val="00481382"/>
    <w:rsid w:val="00481F1A"/>
    <w:rsid w:val="00482B34"/>
    <w:rsid w:val="00483A07"/>
    <w:rsid w:val="00483ECB"/>
    <w:rsid w:val="004843C2"/>
    <w:rsid w:val="004873E4"/>
    <w:rsid w:val="0049018B"/>
    <w:rsid w:val="0049107D"/>
    <w:rsid w:val="00492F31"/>
    <w:rsid w:val="004940C5"/>
    <w:rsid w:val="00494985"/>
    <w:rsid w:val="0049764E"/>
    <w:rsid w:val="004A0AD6"/>
    <w:rsid w:val="004A30ED"/>
    <w:rsid w:val="004A31E4"/>
    <w:rsid w:val="004A3499"/>
    <w:rsid w:val="004A40D4"/>
    <w:rsid w:val="004A7EEA"/>
    <w:rsid w:val="004B008D"/>
    <w:rsid w:val="004B0AF0"/>
    <w:rsid w:val="004B2691"/>
    <w:rsid w:val="004B3447"/>
    <w:rsid w:val="004B6F32"/>
    <w:rsid w:val="004C0D9A"/>
    <w:rsid w:val="004C102D"/>
    <w:rsid w:val="004C1AE5"/>
    <w:rsid w:val="004C4658"/>
    <w:rsid w:val="004C518B"/>
    <w:rsid w:val="004C536D"/>
    <w:rsid w:val="004C571F"/>
    <w:rsid w:val="004C57E4"/>
    <w:rsid w:val="004C70C6"/>
    <w:rsid w:val="004D0296"/>
    <w:rsid w:val="004D3D6E"/>
    <w:rsid w:val="004D4C15"/>
    <w:rsid w:val="004D6DF2"/>
    <w:rsid w:val="004D6E5F"/>
    <w:rsid w:val="004E06CE"/>
    <w:rsid w:val="004E07D8"/>
    <w:rsid w:val="004E0B60"/>
    <w:rsid w:val="004E0E54"/>
    <w:rsid w:val="004E13CF"/>
    <w:rsid w:val="004E22BA"/>
    <w:rsid w:val="004E282A"/>
    <w:rsid w:val="004E319D"/>
    <w:rsid w:val="004E58E9"/>
    <w:rsid w:val="004E5CE1"/>
    <w:rsid w:val="004E6E88"/>
    <w:rsid w:val="004F1292"/>
    <w:rsid w:val="004F2290"/>
    <w:rsid w:val="004F2FCC"/>
    <w:rsid w:val="004F4F1C"/>
    <w:rsid w:val="004F4FE7"/>
    <w:rsid w:val="004F5BF8"/>
    <w:rsid w:val="004F5F8F"/>
    <w:rsid w:val="004F635E"/>
    <w:rsid w:val="004F76DE"/>
    <w:rsid w:val="004F7EF8"/>
    <w:rsid w:val="005002B1"/>
    <w:rsid w:val="005003C5"/>
    <w:rsid w:val="005018AF"/>
    <w:rsid w:val="00501A68"/>
    <w:rsid w:val="0050462F"/>
    <w:rsid w:val="00505688"/>
    <w:rsid w:val="00506A56"/>
    <w:rsid w:val="00506E58"/>
    <w:rsid w:val="00506F67"/>
    <w:rsid w:val="0050775B"/>
    <w:rsid w:val="0051006C"/>
    <w:rsid w:val="00511B3F"/>
    <w:rsid w:val="0051228B"/>
    <w:rsid w:val="00512294"/>
    <w:rsid w:val="00517955"/>
    <w:rsid w:val="00520C66"/>
    <w:rsid w:val="005217AD"/>
    <w:rsid w:val="00521A92"/>
    <w:rsid w:val="00521FA7"/>
    <w:rsid w:val="005220CD"/>
    <w:rsid w:val="0052304E"/>
    <w:rsid w:val="00523E25"/>
    <w:rsid w:val="00524CC5"/>
    <w:rsid w:val="00525BF7"/>
    <w:rsid w:val="00525E18"/>
    <w:rsid w:val="0053029C"/>
    <w:rsid w:val="0053140A"/>
    <w:rsid w:val="00532F07"/>
    <w:rsid w:val="00533AA2"/>
    <w:rsid w:val="00534681"/>
    <w:rsid w:val="005349F6"/>
    <w:rsid w:val="00536B4E"/>
    <w:rsid w:val="00536C07"/>
    <w:rsid w:val="00536E33"/>
    <w:rsid w:val="00536E87"/>
    <w:rsid w:val="005408AB"/>
    <w:rsid w:val="005413B9"/>
    <w:rsid w:val="00542123"/>
    <w:rsid w:val="00544224"/>
    <w:rsid w:val="00544322"/>
    <w:rsid w:val="005452D3"/>
    <w:rsid w:val="00545533"/>
    <w:rsid w:val="00545F11"/>
    <w:rsid w:val="005517DD"/>
    <w:rsid w:val="0055277E"/>
    <w:rsid w:val="005527EA"/>
    <w:rsid w:val="00553095"/>
    <w:rsid w:val="005562C6"/>
    <w:rsid w:val="0056068E"/>
    <w:rsid w:val="00561CB8"/>
    <w:rsid w:val="00563442"/>
    <w:rsid w:val="00563486"/>
    <w:rsid w:val="0056348E"/>
    <w:rsid w:val="005634FB"/>
    <w:rsid w:val="00565B42"/>
    <w:rsid w:val="00565E40"/>
    <w:rsid w:val="00566743"/>
    <w:rsid w:val="00567D30"/>
    <w:rsid w:val="00573187"/>
    <w:rsid w:val="00575156"/>
    <w:rsid w:val="00575AC3"/>
    <w:rsid w:val="00575BE3"/>
    <w:rsid w:val="0058012E"/>
    <w:rsid w:val="00580883"/>
    <w:rsid w:val="00580EE8"/>
    <w:rsid w:val="005815EC"/>
    <w:rsid w:val="00581F39"/>
    <w:rsid w:val="00582579"/>
    <w:rsid w:val="00582657"/>
    <w:rsid w:val="005839BE"/>
    <w:rsid w:val="00584E04"/>
    <w:rsid w:val="0058667C"/>
    <w:rsid w:val="00586691"/>
    <w:rsid w:val="00586828"/>
    <w:rsid w:val="0059078D"/>
    <w:rsid w:val="0059227F"/>
    <w:rsid w:val="00594127"/>
    <w:rsid w:val="00594D7E"/>
    <w:rsid w:val="00595C71"/>
    <w:rsid w:val="005961D8"/>
    <w:rsid w:val="00596B0D"/>
    <w:rsid w:val="005975B5"/>
    <w:rsid w:val="005A25A3"/>
    <w:rsid w:val="005A3D92"/>
    <w:rsid w:val="005A5048"/>
    <w:rsid w:val="005A5F53"/>
    <w:rsid w:val="005A6333"/>
    <w:rsid w:val="005A6629"/>
    <w:rsid w:val="005B0869"/>
    <w:rsid w:val="005B0A55"/>
    <w:rsid w:val="005B1C18"/>
    <w:rsid w:val="005B2FB1"/>
    <w:rsid w:val="005B35E2"/>
    <w:rsid w:val="005B7104"/>
    <w:rsid w:val="005B7809"/>
    <w:rsid w:val="005C01A6"/>
    <w:rsid w:val="005C025C"/>
    <w:rsid w:val="005C0F3E"/>
    <w:rsid w:val="005C127C"/>
    <w:rsid w:val="005C35BB"/>
    <w:rsid w:val="005C3BB5"/>
    <w:rsid w:val="005C41A9"/>
    <w:rsid w:val="005C4CE6"/>
    <w:rsid w:val="005C5771"/>
    <w:rsid w:val="005D009D"/>
    <w:rsid w:val="005D0241"/>
    <w:rsid w:val="005D424F"/>
    <w:rsid w:val="005D48D4"/>
    <w:rsid w:val="005D5DD7"/>
    <w:rsid w:val="005D5F73"/>
    <w:rsid w:val="005D6527"/>
    <w:rsid w:val="005D6561"/>
    <w:rsid w:val="005D74E0"/>
    <w:rsid w:val="005D7E94"/>
    <w:rsid w:val="005E1553"/>
    <w:rsid w:val="005E1A1E"/>
    <w:rsid w:val="005E3BC7"/>
    <w:rsid w:val="005E55CA"/>
    <w:rsid w:val="005E69C7"/>
    <w:rsid w:val="005E7300"/>
    <w:rsid w:val="005F2CF3"/>
    <w:rsid w:val="005F32A4"/>
    <w:rsid w:val="005F44B6"/>
    <w:rsid w:val="005F494A"/>
    <w:rsid w:val="005F5CC6"/>
    <w:rsid w:val="005F75BF"/>
    <w:rsid w:val="005F7F4D"/>
    <w:rsid w:val="006009F3"/>
    <w:rsid w:val="00600F09"/>
    <w:rsid w:val="006013FE"/>
    <w:rsid w:val="006049DE"/>
    <w:rsid w:val="00604B20"/>
    <w:rsid w:val="006077F3"/>
    <w:rsid w:val="0060794E"/>
    <w:rsid w:val="00607CA1"/>
    <w:rsid w:val="00607ED8"/>
    <w:rsid w:val="00611B6A"/>
    <w:rsid w:val="006122BA"/>
    <w:rsid w:val="00612554"/>
    <w:rsid w:val="0061598E"/>
    <w:rsid w:val="0062314B"/>
    <w:rsid w:val="006232FF"/>
    <w:rsid w:val="00623D49"/>
    <w:rsid w:val="00626561"/>
    <w:rsid w:val="006270C1"/>
    <w:rsid w:val="00627F14"/>
    <w:rsid w:val="00630EC6"/>
    <w:rsid w:val="00631807"/>
    <w:rsid w:val="00631989"/>
    <w:rsid w:val="0063365B"/>
    <w:rsid w:val="00633A45"/>
    <w:rsid w:val="00636236"/>
    <w:rsid w:val="00636431"/>
    <w:rsid w:val="006377A5"/>
    <w:rsid w:val="00640548"/>
    <w:rsid w:val="006409EF"/>
    <w:rsid w:val="0064119C"/>
    <w:rsid w:val="006423F1"/>
    <w:rsid w:val="006424A9"/>
    <w:rsid w:val="0064253B"/>
    <w:rsid w:val="006428E1"/>
    <w:rsid w:val="0064426D"/>
    <w:rsid w:val="0064454B"/>
    <w:rsid w:val="00646788"/>
    <w:rsid w:val="006478BF"/>
    <w:rsid w:val="00651354"/>
    <w:rsid w:val="0065371B"/>
    <w:rsid w:val="0065630D"/>
    <w:rsid w:val="00657687"/>
    <w:rsid w:val="00661668"/>
    <w:rsid w:val="0066411D"/>
    <w:rsid w:val="00667DC1"/>
    <w:rsid w:val="00674549"/>
    <w:rsid w:val="006751C5"/>
    <w:rsid w:val="00677392"/>
    <w:rsid w:val="00677B4E"/>
    <w:rsid w:val="006800E6"/>
    <w:rsid w:val="006811E2"/>
    <w:rsid w:val="006838CF"/>
    <w:rsid w:val="00683DD4"/>
    <w:rsid w:val="0068434A"/>
    <w:rsid w:val="00686097"/>
    <w:rsid w:val="00690D4B"/>
    <w:rsid w:val="00692DBC"/>
    <w:rsid w:val="00692EC8"/>
    <w:rsid w:val="00694421"/>
    <w:rsid w:val="00694C95"/>
    <w:rsid w:val="00694E91"/>
    <w:rsid w:val="00695FF4"/>
    <w:rsid w:val="006966CB"/>
    <w:rsid w:val="00697323"/>
    <w:rsid w:val="006978B5"/>
    <w:rsid w:val="006A0DC5"/>
    <w:rsid w:val="006A18B4"/>
    <w:rsid w:val="006A18E0"/>
    <w:rsid w:val="006A200C"/>
    <w:rsid w:val="006A20EF"/>
    <w:rsid w:val="006A2B56"/>
    <w:rsid w:val="006A2BC7"/>
    <w:rsid w:val="006A2E35"/>
    <w:rsid w:val="006A3147"/>
    <w:rsid w:val="006A3D0E"/>
    <w:rsid w:val="006A4914"/>
    <w:rsid w:val="006A6131"/>
    <w:rsid w:val="006A62DC"/>
    <w:rsid w:val="006A655F"/>
    <w:rsid w:val="006A73C1"/>
    <w:rsid w:val="006B0ECA"/>
    <w:rsid w:val="006B1C1F"/>
    <w:rsid w:val="006B1D8A"/>
    <w:rsid w:val="006B2178"/>
    <w:rsid w:val="006B21C0"/>
    <w:rsid w:val="006B2290"/>
    <w:rsid w:val="006B34D4"/>
    <w:rsid w:val="006B4BFC"/>
    <w:rsid w:val="006B71F5"/>
    <w:rsid w:val="006B7544"/>
    <w:rsid w:val="006B7640"/>
    <w:rsid w:val="006B7F58"/>
    <w:rsid w:val="006C15D9"/>
    <w:rsid w:val="006C16F7"/>
    <w:rsid w:val="006C22EB"/>
    <w:rsid w:val="006C3629"/>
    <w:rsid w:val="006C3AB5"/>
    <w:rsid w:val="006C4554"/>
    <w:rsid w:val="006C4EDB"/>
    <w:rsid w:val="006C4F0E"/>
    <w:rsid w:val="006C5DB1"/>
    <w:rsid w:val="006C5FFA"/>
    <w:rsid w:val="006C6A8E"/>
    <w:rsid w:val="006D0705"/>
    <w:rsid w:val="006D1080"/>
    <w:rsid w:val="006D6FC7"/>
    <w:rsid w:val="006D7626"/>
    <w:rsid w:val="006D7BBF"/>
    <w:rsid w:val="006D7F19"/>
    <w:rsid w:val="006E19B5"/>
    <w:rsid w:val="006E24B9"/>
    <w:rsid w:val="006E2E74"/>
    <w:rsid w:val="006E3342"/>
    <w:rsid w:val="006E752E"/>
    <w:rsid w:val="006F1798"/>
    <w:rsid w:val="006F2015"/>
    <w:rsid w:val="006F2A88"/>
    <w:rsid w:val="006F3F48"/>
    <w:rsid w:val="006F43C5"/>
    <w:rsid w:val="006F463D"/>
    <w:rsid w:val="006F5033"/>
    <w:rsid w:val="006F576E"/>
    <w:rsid w:val="007007F5"/>
    <w:rsid w:val="00702ACE"/>
    <w:rsid w:val="00703A58"/>
    <w:rsid w:val="00703AB8"/>
    <w:rsid w:val="007045E8"/>
    <w:rsid w:val="00704EAE"/>
    <w:rsid w:val="0070520A"/>
    <w:rsid w:val="00707410"/>
    <w:rsid w:val="007105C4"/>
    <w:rsid w:val="00710C6C"/>
    <w:rsid w:val="00712804"/>
    <w:rsid w:val="00713017"/>
    <w:rsid w:val="0071624A"/>
    <w:rsid w:val="00716EF5"/>
    <w:rsid w:val="00717D88"/>
    <w:rsid w:val="00717E61"/>
    <w:rsid w:val="00717F69"/>
    <w:rsid w:val="00721173"/>
    <w:rsid w:val="00721351"/>
    <w:rsid w:val="0072281B"/>
    <w:rsid w:val="007237C8"/>
    <w:rsid w:val="00724503"/>
    <w:rsid w:val="007248AA"/>
    <w:rsid w:val="00725325"/>
    <w:rsid w:val="00726A43"/>
    <w:rsid w:val="0073089F"/>
    <w:rsid w:val="0073155A"/>
    <w:rsid w:val="00732223"/>
    <w:rsid w:val="00732DCB"/>
    <w:rsid w:val="00734209"/>
    <w:rsid w:val="007349CD"/>
    <w:rsid w:val="00734DEE"/>
    <w:rsid w:val="00735DE7"/>
    <w:rsid w:val="00736751"/>
    <w:rsid w:val="007371EA"/>
    <w:rsid w:val="00737CF8"/>
    <w:rsid w:val="00740760"/>
    <w:rsid w:val="00740FCB"/>
    <w:rsid w:val="007410DD"/>
    <w:rsid w:val="0074151F"/>
    <w:rsid w:val="00741A2D"/>
    <w:rsid w:val="00742B86"/>
    <w:rsid w:val="0074354C"/>
    <w:rsid w:val="007440A7"/>
    <w:rsid w:val="00750AB8"/>
    <w:rsid w:val="00751BA0"/>
    <w:rsid w:val="007523F1"/>
    <w:rsid w:val="007539AF"/>
    <w:rsid w:val="007567C5"/>
    <w:rsid w:val="00757ACF"/>
    <w:rsid w:val="0076068A"/>
    <w:rsid w:val="0076283B"/>
    <w:rsid w:val="00764B5D"/>
    <w:rsid w:val="00765B4B"/>
    <w:rsid w:val="007664C3"/>
    <w:rsid w:val="007676FC"/>
    <w:rsid w:val="007717CD"/>
    <w:rsid w:val="007718F2"/>
    <w:rsid w:val="00772C57"/>
    <w:rsid w:val="00773034"/>
    <w:rsid w:val="0077345E"/>
    <w:rsid w:val="0077403D"/>
    <w:rsid w:val="00774838"/>
    <w:rsid w:val="00775375"/>
    <w:rsid w:val="00776B9C"/>
    <w:rsid w:val="007779F6"/>
    <w:rsid w:val="00777BA1"/>
    <w:rsid w:val="00777BE2"/>
    <w:rsid w:val="0078152C"/>
    <w:rsid w:val="00782B28"/>
    <w:rsid w:val="0078325F"/>
    <w:rsid w:val="00783983"/>
    <w:rsid w:val="00785435"/>
    <w:rsid w:val="00785E08"/>
    <w:rsid w:val="00786056"/>
    <w:rsid w:val="00786EE6"/>
    <w:rsid w:val="00786FAB"/>
    <w:rsid w:val="00787440"/>
    <w:rsid w:val="00787A3B"/>
    <w:rsid w:val="0079293B"/>
    <w:rsid w:val="007939B6"/>
    <w:rsid w:val="007942D3"/>
    <w:rsid w:val="00796FF1"/>
    <w:rsid w:val="007A0E50"/>
    <w:rsid w:val="007A10FE"/>
    <w:rsid w:val="007A1AF4"/>
    <w:rsid w:val="007B00CF"/>
    <w:rsid w:val="007B034B"/>
    <w:rsid w:val="007B2099"/>
    <w:rsid w:val="007B27D2"/>
    <w:rsid w:val="007B45D3"/>
    <w:rsid w:val="007B53D3"/>
    <w:rsid w:val="007B6238"/>
    <w:rsid w:val="007B6C09"/>
    <w:rsid w:val="007B769D"/>
    <w:rsid w:val="007B7741"/>
    <w:rsid w:val="007C0B07"/>
    <w:rsid w:val="007C2544"/>
    <w:rsid w:val="007C3858"/>
    <w:rsid w:val="007C43A3"/>
    <w:rsid w:val="007C43A5"/>
    <w:rsid w:val="007C4951"/>
    <w:rsid w:val="007C5561"/>
    <w:rsid w:val="007C56FC"/>
    <w:rsid w:val="007C6429"/>
    <w:rsid w:val="007C65DE"/>
    <w:rsid w:val="007C6EB0"/>
    <w:rsid w:val="007C77A5"/>
    <w:rsid w:val="007C7869"/>
    <w:rsid w:val="007D02A7"/>
    <w:rsid w:val="007D05A2"/>
    <w:rsid w:val="007D1376"/>
    <w:rsid w:val="007D15E2"/>
    <w:rsid w:val="007D1664"/>
    <w:rsid w:val="007D1B94"/>
    <w:rsid w:val="007D26C6"/>
    <w:rsid w:val="007D668C"/>
    <w:rsid w:val="007D7E80"/>
    <w:rsid w:val="007E09DA"/>
    <w:rsid w:val="007E0D36"/>
    <w:rsid w:val="007E0F8A"/>
    <w:rsid w:val="007E27F6"/>
    <w:rsid w:val="007E3936"/>
    <w:rsid w:val="007E6F56"/>
    <w:rsid w:val="007F0852"/>
    <w:rsid w:val="007F4686"/>
    <w:rsid w:val="007F718D"/>
    <w:rsid w:val="007F7396"/>
    <w:rsid w:val="00801490"/>
    <w:rsid w:val="00801FAD"/>
    <w:rsid w:val="008026A8"/>
    <w:rsid w:val="008032F0"/>
    <w:rsid w:val="00804878"/>
    <w:rsid w:val="008055B6"/>
    <w:rsid w:val="00806470"/>
    <w:rsid w:val="008075D9"/>
    <w:rsid w:val="0080777F"/>
    <w:rsid w:val="00810D2D"/>
    <w:rsid w:val="008113B4"/>
    <w:rsid w:val="00814885"/>
    <w:rsid w:val="00815940"/>
    <w:rsid w:val="008162FF"/>
    <w:rsid w:val="008163C3"/>
    <w:rsid w:val="008178B6"/>
    <w:rsid w:val="0082571F"/>
    <w:rsid w:val="0082714F"/>
    <w:rsid w:val="00827CB2"/>
    <w:rsid w:val="00830068"/>
    <w:rsid w:val="0083057A"/>
    <w:rsid w:val="00831E9E"/>
    <w:rsid w:val="0083220B"/>
    <w:rsid w:val="00832BFE"/>
    <w:rsid w:val="00833A3E"/>
    <w:rsid w:val="00834B05"/>
    <w:rsid w:val="00835152"/>
    <w:rsid w:val="0083607C"/>
    <w:rsid w:val="0083708E"/>
    <w:rsid w:val="0083729E"/>
    <w:rsid w:val="0084182C"/>
    <w:rsid w:val="00841FDB"/>
    <w:rsid w:val="00842093"/>
    <w:rsid w:val="008422F8"/>
    <w:rsid w:val="00842445"/>
    <w:rsid w:val="00842803"/>
    <w:rsid w:val="00842BEF"/>
    <w:rsid w:val="008435D6"/>
    <w:rsid w:val="008453C9"/>
    <w:rsid w:val="0084628D"/>
    <w:rsid w:val="00847FB4"/>
    <w:rsid w:val="008527CF"/>
    <w:rsid w:val="00853351"/>
    <w:rsid w:val="0085524C"/>
    <w:rsid w:val="008556C2"/>
    <w:rsid w:val="008569B7"/>
    <w:rsid w:val="00856DF6"/>
    <w:rsid w:val="008609BC"/>
    <w:rsid w:val="008610A3"/>
    <w:rsid w:val="008612FB"/>
    <w:rsid w:val="00861E2A"/>
    <w:rsid w:val="008622CF"/>
    <w:rsid w:val="008626CA"/>
    <w:rsid w:val="00862DFB"/>
    <w:rsid w:val="00863D1C"/>
    <w:rsid w:val="00863E76"/>
    <w:rsid w:val="008641F2"/>
    <w:rsid w:val="00864612"/>
    <w:rsid w:val="00865B74"/>
    <w:rsid w:val="00866063"/>
    <w:rsid w:val="008672B9"/>
    <w:rsid w:val="00870BC9"/>
    <w:rsid w:val="00871F74"/>
    <w:rsid w:val="00872881"/>
    <w:rsid w:val="00873525"/>
    <w:rsid w:val="00873CF4"/>
    <w:rsid w:val="00873E6B"/>
    <w:rsid w:val="008750F9"/>
    <w:rsid w:val="008756A9"/>
    <w:rsid w:val="00875D4E"/>
    <w:rsid w:val="00882350"/>
    <w:rsid w:val="008836FB"/>
    <w:rsid w:val="0088405E"/>
    <w:rsid w:val="00884AFD"/>
    <w:rsid w:val="00886DB3"/>
    <w:rsid w:val="0089206B"/>
    <w:rsid w:val="00892929"/>
    <w:rsid w:val="0089309D"/>
    <w:rsid w:val="008930C1"/>
    <w:rsid w:val="008942DE"/>
    <w:rsid w:val="008958AC"/>
    <w:rsid w:val="00895C2B"/>
    <w:rsid w:val="008974F0"/>
    <w:rsid w:val="008A088C"/>
    <w:rsid w:val="008A1499"/>
    <w:rsid w:val="008A159B"/>
    <w:rsid w:val="008A24C8"/>
    <w:rsid w:val="008A2B16"/>
    <w:rsid w:val="008A316D"/>
    <w:rsid w:val="008A3900"/>
    <w:rsid w:val="008A4CD9"/>
    <w:rsid w:val="008A6E51"/>
    <w:rsid w:val="008B012A"/>
    <w:rsid w:val="008B0271"/>
    <w:rsid w:val="008B110C"/>
    <w:rsid w:val="008B1B8F"/>
    <w:rsid w:val="008B234B"/>
    <w:rsid w:val="008B363E"/>
    <w:rsid w:val="008B5DD6"/>
    <w:rsid w:val="008B61B6"/>
    <w:rsid w:val="008B6B9B"/>
    <w:rsid w:val="008C1003"/>
    <w:rsid w:val="008C32B6"/>
    <w:rsid w:val="008C571E"/>
    <w:rsid w:val="008C5843"/>
    <w:rsid w:val="008C5B60"/>
    <w:rsid w:val="008C5C84"/>
    <w:rsid w:val="008C5FFF"/>
    <w:rsid w:val="008C625A"/>
    <w:rsid w:val="008C6B39"/>
    <w:rsid w:val="008C6E04"/>
    <w:rsid w:val="008D0096"/>
    <w:rsid w:val="008D0722"/>
    <w:rsid w:val="008D1A69"/>
    <w:rsid w:val="008D2A0B"/>
    <w:rsid w:val="008D3764"/>
    <w:rsid w:val="008E35BC"/>
    <w:rsid w:val="008E3702"/>
    <w:rsid w:val="008E43BD"/>
    <w:rsid w:val="008E49DC"/>
    <w:rsid w:val="008E5CFF"/>
    <w:rsid w:val="008E719D"/>
    <w:rsid w:val="008F0502"/>
    <w:rsid w:val="008F31DB"/>
    <w:rsid w:val="008F542A"/>
    <w:rsid w:val="008F5BC7"/>
    <w:rsid w:val="008F5E37"/>
    <w:rsid w:val="008F640E"/>
    <w:rsid w:val="008F74D4"/>
    <w:rsid w:val="00900CD0"/>
    <w:rsid w:val="009014D8"/>
    <w:rsid w:val="0090236A"/>
    <w:rsid w:val="0090246B"/>
    <w:rsid w:val="00902AD3"/>
    <w:rsid w:val="00904596"/>
    <w:rsid w:val="00905FBD"/>
    <w:rsid w:val="0090697C"/>
    <w:rsid w:val="00906D2E"/>
    <w:rsid w:val="00906E17"/>
    <w:rsid w:val="0091114A"/>
    <w:rsid w:val="009111E0"/>
    <w:rsid w:val="0091155D"/>
    <w:rsid w:val="009126C0"/>
    <w:rsid w:val="00912D80"/>
    <w:rsid w:val="00913B0C"/>
    <w:rsid w:val="00915D8E"/>
    <w:rsid w:val="00916F8C"/>
    <w:rsid w:val="00916FA1"/>
    <w:rsid w:val="009170D2"/>
    <w:rsid w:val="00917764"/>
    <w:rsid w:val="009224AE"/>
    <w:rsid w:val="00922BA1"/>
    <w:rsid w:val="009240CB"/>
    <w:rsid w:val="009246FC"/>
    <w:rsid w:val="009307C6"/>
    <w:rsid w:val="00930A6A"/>
    <w:rsid w:val="00930BA1"/>
    <w:rsid w:val="0093135A"/>
    <w:rsid w:val="0093169E"/>
    <w:rsid w:val="00932B58"/>
    <w:rsid w:val="009339B6"/>
    <w:rsid w:val="009341FC"/>
    <w:rsid w:val="00934594"/>
    <w:rsid w:val="00935B0B"/>
    <w:rsid w:val="00937328"/>
    <w:rsid w:val="0093761D"/>
    <w:rsid w:val="00941D1E"/>
    <w:rsid w:val="00943D0F"/>
    <w:rsid w:val="00943EB8"/>
    <w:rsid w:val="009444D9"/>
    <w:rsid w:val="00944A97"/>
    <w:rsid w:val="00945845"/>
    <w:rsid w:val="0094591F"/>
    <w:rsid w:val="00945CD9"/>
    <w:rsid w:val="00950471"/>
    <w:rsid w:val="009505C9"/>
    <w:rsid w:val="00950752"/>
    <w:rsid w:val="0095087E"/>
    <w:rsid w:val="0095199C"/>
    <w:rsid w:val="00951F95"/>
    <w:rsid w:val="00952D85"/>
    <w:rsid w:val="00953B26"/>
    <w:rsid w:val="009546B2"/>
    <w:rsid w:val="00954FA4"/>
    <w:rsid w:val="00955FA2"/>
    <w:rsid w:val="009564EB"/>
    <w:rsid w:val="00956CA5"/>
    <w:rsid w:val="00957062"/>
    <w:rsid w:val="009576BF"/>
    <w:rsid w:val="00957B62"/>
    <w:rsid w:val="00960A19"/>
    <w:rsid w:val="009621C4"/>
    <w:rsid w:val="00963262"/>
    <w:rsid w:val="009637CE"/>
    <w:rsid w:val="00963E2A"/>
    <w:rsid w:val="009650C6"/>
    <w:rsid w:val="00965935"/>
    <w:rsid w:val="00965B13"/>
    <w:rsid w:val="00966424"/>
    <w:rsid w:val="00967221"/>
    <w:rsid w:val="00974F84"/>
    <w:rsid w:val="00974FFA"/>
    <w:rsid w:val="009753B2"/>
    <w:rsid w:val="00975BC4"/>
    <w:rsid w:val="009767C1"/>
    <w:rsid w:val="0097694F"/>
    <w:rsid w:val="00977214"/>
    <w:rsid w:val="0097751B"/>
    <w:rsid w:val="009805D7"/>
    <w:rsid w:val="009807A3"/>
    <w:rsid w:val="00980967"/>
    <w:rsid w:val="00981474"/>
    <w:rsid w:val="00984549"/>
    <w:rsid w:val="009846C8"/>
    <w:rsid w:val="00984BAF"/>
    <w:rsid w:val="00985DCC"/>
    <w:rsid w:val="0098602E"/>
    <w:rsid w:val="00986286"/>
    <w:rsid w:val="0098739E"/>
    <w:rsid w:val="00990358"/>
    <w:rsid w:val="00990C3F"/>
    <w:rsid w:val="009933F4"/>
    <w:rsid w:val="0099566B"/>
    <w:rsid w:val="00995E81"/>
    <w:rsid w:val="009960D7"/>
    <w:rsid w:val="00996ED2"/>
    <w:rsid w:val="009976FC"/>
    <w:rsid w:val="00997D45"/>
    <w:rsid w:val="009A0674"/>
    <w:rsid w:val="009A1170"/>
    <w:rsid w:val="009A2BE7"/>
    <w:rsid w:val="009A31AB"/>
    <w:rsid w:val="009A3DF8"/>
    <w:rsid w:val="009A69E5"/>
    <w:rsid w:val="009B26A9"/>
    <w:rsid w:val="009B61C6"/>
    <w:rsid w:val="009B6F42"/>
    <w:rsid w:val="009C141D"/>
    <w:rsid w:val="009C198D"/>
    <w:rsid w:val="009C2393"/>
    <w:rsid w:val="009C2DE6"/>
    <w:rsid w:val="009C2DF3"/>
    <w:rsid w:val="009C37F5"/>
    <w:rsid w:val="009C61AC"/>
    <w:rsid w:val="009C7C78"/>
    <w:rsid w:val="009C7D06"/>
    <w:rsid w:val="009D0654"/>
    <w:rsid w:val="009D1671"/>
    <w:rsid w:val="009D186D"/>
    <w:rsid w:val="009D37BD"/>
    <w:rsid w:val="009D45BF"/>
    <w:rsid w:val="009D4E6D"/>
    <w:rsid w:val="009D53F3"/>
    <w:rsid w:val="009D59E1"/>
    <w:rsid w:val="009D5D5B"/>
    <w:rsid w:val="009D5E7A"/>
    <w:rsid w:val="009D66B9"/>
    <w:rsid w:val="009E1DF5"/>
    <w:rsid w:val="009F415D"/>
    <w:rsid w:val="009F52A5"/>
    <w:rsid w:val="009F64A2"/>
    <w:rsid w:val="009F7227"/>
    <w:rsid w:val="009F729B"/>
    <w:rsid w:val="009F75B2"/>
    <w:rsid w:val="00A00DFD"/>
    <w:rsid w:val="00A00E47"/>
    <w:rsid w:val="00A01087"/>
    <w:rsid w:val="00A0191C"/>
    <w:rsid w:val="00A04931"/>
    <w:rsid w:val="00A05FA3"/>
    <w:rsid w:val="00A06709"/>
    <w:rsid w:val="00A06744"/>
    <w:rsid w:val="00A10498"/>
    <w:rsid w:val="00A111D1"/>
    <w:rsid w:val="00A11AC0"/>
    <w:rsid w:val="00A11EF9"/>
    <w:rsid w:val="00A11F77"/>
    <w:rsid w:val="00A12F46"/>
    <w:rsid w:val="00A134E7"/>
    <w:rsid w:val="00A14A4E"/>
    <w:rsid w:val="00A15399"/>
    <w:rsid w:val="00A15F4F"/>
    <w:rsid w:val="00A15F8D"/>
    <w:rsid w:val="00A2139B"/>
    <w:rsid w:val="00A21895"/>
    <w:rsid w:val="00A22258"/>
    <w:rsid w:val="00A22FF0"/>
    <w:rsid w:val="00A23CF8"/>
    <w:rsid w:val="00A242E6"/>
    <w:rsid w:val="00A24334"/>
    <w:rsid w:val="00A2673F"/>
    <w:rsid w:val="00A26E4C"/>
    <w:rsid w:val="00A279C8"/>
    <w:rsid w:val="00A31BB9"/>
    <w:rsid w:val="00A329C3"/>
    <w:rsid w:val="00A330EC"/>
    <w:rsid w:val="00A3485D"/>
    <w:rsid w:val="00A34AC9"/>
    <w:rsid w:val="00A35217"/>
    <w:rsid w:val="00A35C71"/>
    <w:rsid w:val="00A40FC3"/>
    <w:rsid w:val="00A42749"/>
    <w:rsid w:val="00A442D0"/>
    <w:rsid w:val="00A44AC9"/>
    <w:rsid w:val="00A456C3"/>
    <w:rsid w:val="00A4596A"/>
    <w:rsid w:val="00A478ED"/>
    <w:rsid w:val="00A47AD9"/>
    <w:rsid w:val="00A47CC6"/>
    <w:rsid w:val="00A47F6F"/>
    <w:rsid w:val="00A5081C"/>
    <w:rsid w:val="00A51626"/>
    <w:rsid w:val="00A518AD"/>
    <w:rsid w:val="00A53162"/>
    <w:rsid w:val="00A53B63"/>
    <w:rsid w:val="00A53CA4"/>
    <w:rsid w:val="00A53DD8"/>
    <w:rsid w:val="00A5416D"/>
    <w:rsid w:val="00A5501A"/>
    <w:rsid w:val="00A550D4"/>
    <w:rsid w:val="00A552FB"/>
    <w:rsid w:val="00A55F46"/>
    <w:rsid w:val="00A56712"/>
    <w:rsid w:val="00A5725B"/>
    <w:rsid w:val="00A57475"/>
    <w:rsid w:val="00A6108F"/>
    <w:rsid w:val="00A61CCE"/>
    <w:rsid w:val="00A625D5"/>
    <w:rsid w:val="00A64AA1"/>
    <w:rsid w:val="00A66931"/>
    <w:rsid w:val="00A6698A"/>
    <w:rsid w:val="00A67602"/>
    <w:rsid w:val="00A70B45"/>
    <w:rsid w:val="00A72D9E"/>
    <w:rsid w:val="00A735CE"/>
    <w:rsid w:val="00A74A05"/>
    <w:rsid w:val="00A750EC"/>
    <w:rsid w:val="00A8063E"/>
    <w:rsid w:val="00A80C71"/>
    <w:rsid w:val="00A8368E"/>
    <w:rsid w:val="00A836D7"/>
    <w:rsid w:val="00A84EC1"/>
    <w:rsid w:val="00A85352"/>
    <w:rsid w:val="00A862D0"/>
    <w:rsid w:val="00A904DC"/>
    <w:rsid w:val="00A94300"/>
    <w:rsid w:val="00A96784"/>
    <w:rsid w:val="00AA2046"/>
    <w:rsid w:val="00AA298D"/>
    <w:rsid w:val="00AA3294"/>
    <w:rsid w:val="00AA3C61"/>
    <w:rsid w:val="00AA3F15"/>
    <w:rsid w:val="00AA58D9"/>
    <w:rsid w:val="00AA58F7"/>
    <w:rsid w:val="00AA6155"/>
    <w:rsid w:val="00AA6E8E"/>
    <w:rsid w:val="00AA6F92"/>
    <w:rsid w:val="00AA701C"/>
    <w:rsid w:val="00AB137F"/>
    <w:rsid w:val="00AB19A4"/>
    <w:rsid w:val="00AB2F76"/>
    <w:rsid w:val="00AB31D0"/>
    <w:rsid w:val="00AB4C04"/>
    <w:rsid w:val="00AB4D54"/>
    <w:rsid w:val="00AB595A"/>
    <w:rsid w:val="00AB596A"/>
    <w:rsid w:val="00AB6934"/>
    <w:rsid w:val="00AB6A7F"/>
    <w:rsid w:val="00AB6CD2"/>
    <w:rsid w:val="00AB6E4E"/>
    <w:rsid w:val="00AB7873"/>
    <w:rsid w:val="00AC155E"/>
    <w:rsid w:val="00AC3C51"/>
    <w:rsid w:val="00AC4F01"/>
    <w:rsid w:val="00AD38BD"/>
    <w:rsid w:val="00AD42F4"/>
    <w:rsid w:val="00AD4A10"/>
    <w:rsid w:val="00AD6E2F"/>
    <w:rsid w:val="00AD7A30"/>
    <w:rsid w:val="00AE0AF2"/>
    <w:rsid w:val="00AE23E8"/>
    <w:rsid w:val="00AE464A"/>
    <w:rsid w:val="00AE4A51"/>
    <w:rsid w:val="00AE6346"/>
    <w:rsid w:val="00AE6C7F"/>
    <w:rsid w:val="00AF1DDE"/>
    <w:rsid w:val="00AF306D"/>
    <w:rsid w:val="00AF34FB"/>
    <w:rsid w:val="00AF42DE"/>
    <w:rsid w:val="00AF4C8E"/>
    <w:rsid w:val="00AF614D"/>
    <w:rsid w:val="00AF671D"/>
    <w:rsid w:val="00AF6820"/>
    <w:rsid w:val="00B00375"/>
    <w:rsid w:val="00B009F0"/>
    <w:rsid w:val="00B014C0"/>
    <w:rsid w:val="00B01DEB"/>
    <w:rsid w:val="00B01EF4"/>
    <w:rsid w:val="00B05191"/>
    <w:rsid w:val="00B052F3"/>
    <w:rsid w:val="00B056B3"/>
    <w:rsid w:val="00B1118B"/>
    <w:rsid w:val="00B1131B"/>
    <w:rsid w:val="00B11816"/>
    <w:rsid w:val="00B12405"/>
    <w:rsid w:val="00B14220"/>
    <w:rsid w:val="00B14C8D"/>
    <w:rsid w:val="00B14F82"/>
    <w:rsid w:val="00B158F7"/>
    <w:rsid w:val="00B16CB7"/>
    <w:rsid w:val="00B174B3"/>
    <w:rsid w:val="00B17C77"/>
    <w:rsid w:val="00B204D8"/>
    <w:rsid w:val="00B213E3"/>
    <w:rsid w:val="00B225EC"/>
    <w:rsid w:val="00B23F86"/>
    <w:rsid w:val="00B24901"/>
    <w:rsid w:val="00B313F6"/>
    <w:rsid w:val="00B3369F"/>
    <w:rsid w:val="00B33C4C"/>
    <w:rsid w:val="00B343BB"/>
    <w:rsid w:val="00B362C0"/>
    <w:rsid w:val="00B3668B"/>
    <w:rsid w:val="00B370B4"/>
    <w:rsid w:val="00B40EBB"/>
    <w:rsid w:val="00B41B1B"/>
    <w:rsid w:val="00B41BE9"/>
    <w:rsid w:val="00B41EBD"/>
    <w:rsid w:val="00B41FA4"/>
    <w:rsid w:val="00B42957"/>
    <w:rsid w:val="00B429AE"/>
    <w:rsid w:val="00B43BD4"/>
    <w:rsid w:val="00B44388"/>
    <w:rsid w:val="00B44987"/>
    <w:rsid w:val="00B44C84"/>
    <w:rsid w:val="00B452AE"/>
    <w:rsid w:val="00B457C3"/>
    <w:rsid w:val="00B458D1"/>
    <w:rsid w:val="00B47469"/>
    <w:rsid w:val="00B47991"/>
    <w:rsid w:val="00B50C19"/>
    <w:rsid w:val="00B50D76"/>
    <w:rsid w:val="00B51AFE"/>
    <w:rsid w:val="00B539B0"/>
    <w:rsid w:val="00B540FE"/>
    <w:rsid w:val="00B5418E"/>
    <w:rsid w:val="00B54B42"/>
    <w:rsid w:val="00B553B7"/>
    <w:rsid w:val="00B56728"/>
    <w:rsid w:val="00B603B6"/>
    <w:rsid w:val="00B60F16"/>
    <w:rsid w:val="00B6173A"/>
    <w:rsid w:val="00B63928"/>
    <w:rsid w:val="00B64410"/>
    <w:rsid w:val="00B65216"/>
    <w:rsid w:val="00B66E33"/>
    <w:rsid w:val="00B6717A"/>
    <w:rsid w:val="00B677B4"/>
    <w:rsid w:val="00B729D0"/>
    <w:rsid w:val="00B72DA2"/>
    <w:rsid w:val="00B7520D"/>
    <w:rsid w:val="00B76884"/>
    <w:rsid w:val="00B76D5A"/>
    <w:rsid w:val="00B774E1"/>
    <w:rsid w:val="00B817CF"/>
    <w:rsid w:val="00B81DB7"/>
    <w:rsid w:val="00B83031"/>
    <w:rsid w:val="00B83BDE"/>
    <w:rsid w:val="00B84266"/>
    <w:rsid w:val="00B846CC"/>
    <w:rsid w:val="00B86A91"/>
    <w:rsid w:val="00B875E6"/>
    <w:rsid w:val="00B906C9"/>
    <w:rsid w:val="00B911A1"/>
    <w:rsid w:val="00B928EF"/>
    <w:rsid w:val="00B92CB8"/>
    <w:rsid w:val="00B932B0"/>
    <w:rsid w:val="00B94E6C"/>
    <w:rsid w:val="00B950A7"/>
    <w:rsid w:val="00B9517E"/>
    <w:rsid w:val="00B95E5F"/>
    <w:rsid w:val="00B964E5"/>
    <w:rsid w:val="00B96538"/>
    <w:rsid w:val="00BA01C6"/>
    <w:rsid w:val="00BA050F"/>
    <w:rsid w:val="00BA22C3"/>
    <w:rsid w:val="00BA3890"/>
    <w:rsid w:val="00BA424F"/>
    <w:rsid w:val="00BA507B"/>
    <w:rsid w:val="00BA5A3D"/>
    <w:rsid w:val="00BA68C6"/>
    <w:rsid w:val="00BA7BF5"/>
    <w:rsid w:val="00BB13C1"/>
    <w:rsid w:val="00BB1439"/>
    <w:rsid w:val="00BB299A"/>
    <w:rsid w:val="00BB4606"/>
    <w:rsid w:val="00BB4642"/>
    <w:rsid w:val="00BB49C2"/>
    <w:rsid w:val="00BB4E60"/>
    <w:rsid w:val="00BB51C7"/>
    <w:rsid w:val="00BC0CEA"/>
    <w:rsid w:val="00BC0E44"/>
    <w:rsid w:val="00BC1633"/>
    <w:rsid w:val="00BC3BC5"/>
    <w:rsid w:val="00BC58A7"/>
    <w:rsid w:val="00BC70B4"/>
    <w:rsid w:val="00BC7C19"/>
    <w:rsid w:val="00BD0076"/>
    <w:rsid w:val="00BD314C"/>
    <w:rsid w:val="00BD3A9D"/>
    <w:rsid w:val="00BD5691"/>
    <w:rsid w:val="00BD6E36"/>
    <w:rsid w:val="00BE055A"/>
    <w:rsid w:val="00BE4E59"/>
    <w:rsid w:val="00BE57BB"/>
    <w:rsid w:val="00BE7188"/>
    <w:rsid w:val="00BE719A"/>
    <w:rsid w:val="00BE7792"/>
    <w:rsid w:val="00BF2E99"/>
    <w:rsid w:val="00BF70A4"/>
    <w:rsid w:val="00BF749F"/>
    <w:rsid w:val="00C010A6"/>
    <w:rsid w:val="00C03941"/>
    <w:rsid w:val="00C04DAD"/>
    <w:rsid w:val="00C05AA6"/>
    <w:rsid w:val="00C07D5A"/>
    <w:rsid w:val="00C07EF5"/>
    <w:rsid w:val="00C1134B"/>
    <w:rsid w:val="00C119B3"/>
    <w:rsid w:val="00C12122"/>
    <w:rsid w:val="00C13D1D"/>
    <w:rsid w:val="00C145B6"/>
    <w:rsid w:val="00C1601E"/>
    <w:rsid w:val="00C163D2"/>
    <w:rsid w:val="00C16A68"/>
    <w:rsid w:val="00C2040C"/>
    <w:rsid w:val="00C20D7C"/>
    <w:rsid w:val="00C21A0D"/>
    <w:rsid w:val="00C231D4"/>
    <w:rsid w:val="00C23D2F"/>
    <w:rsid w:val="00C24C0B"/>
    <w:rsid w:val="00C27067"/>
    <w:rsid w:val="00C300CF"/>
    <w:rsid w:val="00C30CD6"/>
    <w:rsid w:val="00C30F9E"/>
    <w:rsid w:val="00C322E8"/>
    <w:rsid w:val="00C32E1F"/>
    <w:rsid w:val="00C339F3"/>
    <w:rsid w:val="00C34767"/>
    <w:rsid w:val="00C3504F"/>
    <w:rsid w:val="00C36963"/>
    <w:rsid w:val="00C36A30"/>
    <w:rsid w:val="00C37263"/>
    <w:rsid w:val="00C40C3B"/>
    <w:rsid w:val="00C411C3"/>
    <w:rsid w:val="00C418EE"/>
    <w:rsid w:val="00C42E6B"/>
    <w:rsid w:val="00C43144"/>
    <w:rsid w:val="00C43D2F"/>
    <w:rsid w:val="00C43E9C"/>
    <w:rsid w:val="00C443BD"/>
    <w:rsid w:val="00C44823"/>
    <w:rsid w:val="00C44C80"/>
    <w:rsid w:val="00C451C5"/>
    <w:rsid w:val="00C46DE8"/>
    <w:rsid w:val="00C51512"/>
    <w:rsid w:val="00C522F5"/>
    <w:rsid w:val="00C526C9"/>
    <w:rsid w:val="00C53576"/>
    <w:rsid w:val="00C54189"/>
    <w:rsid w:val="00C550BC"/>
    <w:rsid w:val="00C5684E"/>
    <w:rsid w:val="00C60116"/>
    <w:rsid w:val="00C6025E"/>
    <w:rsid w:val="00C615DD"/>
    <w:rsid w:val="00C61794"/>
    <w:rsid w:val="00C63C27"/>
    <w:rsid w:val="00C64498"/>
    <w:rsid w:val="00C66778"/>
    <w:rsid w:val="00C66E6B"/>
    <w:rsid w:val="00C66FF9"/>
    <w:rsid w:val="00C67C16"/>
    <w:rsid w:val="00C70442"/>
    <w:rsid w:val="00C707E0"/>
    <w:rsid w:val="00C72966"/>
    <w:rsid w:val="00C73DB4"/>
    <w:rsid w:val="00C74538"/>
    <w:rsid w:val="00C75C95"/>
    <w:rsid w:val="00C75E55"/>
    <w:rsid w:val="00C77411"/>
    <w:rsid w:val="00C7765A"/>
    <w:rsid w:val="00C77F45"/>
    <w:rsid w:val="00C81C90"/>
    <w:rsid w:val="00C825DC"/>
    <w:rsid w:val="00C8266C"/>
    <w:rsid w:val="00C83A98"/>
    <w:rsid w:val="00C849EC"/>
    <w:rsid w:val="00C84CE0"/>
    <w:rsid w:val="00C84FB1"/>
    <w:rsid w:val="00C915B0"/>
    <w:rsid w:val="00C9161D"/>
    <w:rsid w:val="00C924D1"/>
    <w:rsid w:val="00C96490"/>
    <w:rsid w:val="00C96567"/>
    <w:rsid w:val="00C96B22"/>
    <w:rsid w:val="00CA0C1D"/>
    <w:rsid w:val="00CA621E"/>
    <w:rsid w:val="00CB0192"/>
    <w:rsid w:val="00CB17D9"/>
    <w:rsid w:val="00CB18C6"/>
    <w:rsid w:val="00CB24F9"/>
    <w:rsid w:val="00CB2ADB"/>
    <w:rsid w:val="00CB3DEC"/>
    <w:rsid w:val="00CB4C15"/>
    <w:rsid w:val="00CB5369"/>
    <w:rsid w:val="00CB5B7E"/>
    <w:rsid w:val="00CB5C19"/>
    <w:rsid w:val="00CB66BE"/>
    <w:rsid w:val="00CC2239"/>
    <w:rsid w:val="00CC526E"/>
    <w:rsid w:val="00CC704C"/>
    <w:rsid w:val="00CD0A93"/>
    <w:rsid w:val="00CD1571"/>
    <w:rsid w:val="00CD298E"/>
    <w:rsid w:val="00CD3704"/>
    <w:rsid w:val="00CD4BDF"/>
    <w:rsid w:val="00CD64F1"/>
    <w:rsid w:val="00CD6707"/>
    <w:rsid w:val="00CD6A3D"/>
    <w:rsid w:val="00CD72A6"/>
    <w:rsid w:val="00CD7BA5"/>
    <w:rsid w:val="00CE2864"/>
    <w:rsid w:val="00CE4BC4"/>
    <w:rsid w:val="00CE4FF3"/>
    <w:rsid w:val="00CE6FE1"/>
    <w:rsid w:val="00CF1848"/>
    <w:rsid w:val="00CF403A"/>
    <w:rsid w:val="00CF4DEA"/>
    <w:rsid w:val="00CF54D5"/>
    <w:rsid w:val="00CF6246"/>
    <w:rsid w:val="00CF70F6"/>
    <w:rsid w:val="00CF73B8"/>
    <w:rsid w:val="00CF7B84"/>
    <w:rsid w:val="00D0136E"/>
    <w:rsid w:val="00D01946"/>
    <w:rsid w:val="00D01FB8"/>
    <w:rsid w:val="00D03A03"/>
    <w:rsid w:val="00D06618"/>
    <w:rsid w:val="00D07741"/>
    <w:rsid w:val="00D07C17"/>
    <w:rsid w:val="00D12044"/>
    <w:rsid w:val="00D128CC"/>
    <w:rsid w:val="00D159DF"/>
    <w:rsid w:val="00D15A16"/>
    <w:rsid w:val="00D16256"/>
    <w:rsid w:val="00D162A9"/>
    <w:rsid w:val="00D170D9"/>
    <w:rsid w:val="00D20AD9"/>
    <w:rsid w:val="00D21516"/>
    <w:rsid w:val="00D23C15"/>
    <w:rsid w:val="00D24B37"/>
    <w:rsid w:val="00D2579F"/>
    <w:rsid w:val="00D30262"/>
    <w:rsid w:val="00D32212"/>
    <w:rsid w:val="00D33EFC"/>
    <w:rsid w:val="00D3472D"/>
    <w:rsid w:val="00D36AE7"/>
    <w:rsid w:val="00D37762"/>
    <w:rsid w:val="00D40DBC"/>
    <w:rsid w:val="00D410C5"/>
    <w:rsid w:val="00D42690"/>
    <w:rsid w:val="00D430AC"/>
    <w:rsid w:val="00D4470F"/>
    <w:rsid w:val="00D46EA9"/>
    <w:rsid w:val="00D47A31"/>
    <w:rsid w:val="00D47C2E"/>
    <w:rsid w:val="00D528BF"/>
    <w:rsid w:val="00D53ECB"/>
    <w:rsid w:val="00D54893"/>
    <w:rsid w:val="00D61C85"/>
    <w:rsid w:val="00D6219B"/>
    <w:rsid w:val="00D6426C"/>
    <w:rsid w:val="00D643B9"/>
    <w:rsid w:val="00D6505F"/>
    <w:rsid w:val="00D67460"/>
    <w:rsid w:val="00D71E1F"/>
    <w:rsid w:val="00D72AA1"/>
    <w:rsid w:val="00D72B54"/>
    <w:rsid w:val="00D72F65"/>
    <w:rsid w:val="00D73532"/>
    <w:rsid w:val="00D74371"/>
    <w:rsid w:val="00D745B1"/>
    <w:rsid w:val="00D74758"/>
    <w:rsid w:val="00D75CA6"/>
    <w:rsid w:val="00D7643A"/>
    <w:rsid w:val="00D766AE"/>
    <w:rsid w:val="00D76A18"/>
    <w:rsid w:val="00D76D9D"/>
    <w:rsid w:val="00D80849"/>
    <w:rsid w:val="00D80C54"/>
    <w:rsid w:val="00D810F8"/>
    <w:rsid w:val="00D82E8F"/>
    <w:rsid w:val="00D84795"/>
    <w:rsid w:val="00D84CC3"/>
    <w:rsid w:val="00D86189"/>
    <w:rsid w:val="00D86FD7"/>
    <w:rsid w:val="00D90B04"/>
    <w:rsid w:val="00D9259B"/>
    <w:rsid w:val="00D92858"/>
    <w:rsid w:val="00D92C25"/>
    <w:rsid w:val="00D93E25"/>
    <w:rsid w:val="00D95B56"/>
    <w:rsid w:val="00DA1AF6"/>
    <w:rsid w:val="00DA1C94"/>
    <w:rsid w:val="00DA2718"/>
    <w:rsid w:val="00DA37E9"/>
    <w:rsid w:val="00DA5106"/>
    <w:rsid w:val="00DA51CD"/>
    <w:rsid w:val="00DA5BB5"/>
    <w:rsid w:val="00DA5F37"/>
    <w:rsid w:val="00DA6993"/>
    <w:rsid w:val="00DA69DA"/>
    <w:rsid w:val="00DA729B"/>
    <w:rsid w:val="00DA7E3C"/>
    <w:rsid w:val="00DB090A"/>
    <w:rsid w:val="00DB0951"/>
    <w:rsid w:val="00DB1083"/>
    <w:rsid w:val="00DB124A"/>
    <w:rsid w:val="00DB1E08"/>
    <w:rsid w:val="00DB1EA4"/>
    <w:rsid w:val="00DB2DE5"/>
    <w:rsid w:val="00DB4EFE"/>
    <w:rsid w:val="00DB5640"/>
    <w:rsid w:val="00DB5D72"/>
    <w:rsid w:val="00DB5E0F"/>
    <w:rsid w:val="00DC0C3B"/>
    <w:rsid w:val="00DC0C6B"/>
    <w:rsid w:val="00DC18D5"/>
    <w:rsid w:val="00DC1E57"/>
    <w:rsid w:val="00DC25D3"/>
    <w:rsid w:val="00DC32C2"/>
    <w:rsid w:val="00DC37B4"/>
    <w:rsid w:val="00DC406D"/>
    <w:rsid w:val="00DC4E76"/>
    <w:rsid w:val="00DC6B5A"/>
    <w:rsid w:val="00DC736C"/>
    <w:rsid w:val="00DD0793"/>
    <w:rsid w:val="00DD118C"/>
    <w:rsid w:val="00DD165C"/>
    <w:rsid w:val="00DD3AA7"/>
    <w:rsid w:val="00DD3CB3"/>
    <w:rsid w:val="00DD5B59"/>
    <w:rsid w:val="00DD7955"/>
    <w:rsid w:val="00DE1144"/>
    <w:rsid w:val="00DE49C2"/>
    <w:rsid w:val="00DE4E85"/>
    <w:rsid w:val="00DE63F9"/>
    <w:rsid w:val="00DE765C"/>
    <w:rsid w:val="00DF1230"/>
    <w:rsid w:val="00DF1907"/>
    <w:rsid w:val="00DF193C"/>
    <w:rsid w:val="00DF34DC"/>
    <w:rsid w:val="00DF3F16"/>
    <w:rsid w:val="00DF46B6"/>
    <w:rsid w:val="00DF76B2"/>
    <w:rsid w:val="00E01A8B"/>
    <w:rsid w:val="00E03B0E"/>
    <w:rsid w:val="00E049FC"/>
    <w:rsid w:val="00E0564D"/>
    <w:rsid w:val="00E057D1"/>
    <w:rsid w:val="00E05F15"/>
    <w:rsid w:val="00E06B66"/>
    <w:rsid w:val="00E06D36"/>
    <w:rsid w:val="00E07E30"/>
    <w:rsid w:val="00E10A09"/>
    <w:rsid w:val="00E113A4"/>
    <w:rsid w:val="00E119AE"/>
    <w:rsid w:val="00E11D0D"/>
    <w:rsid w:val="00E11ED8"/>
    <w:rsid w:val="00E13C0B"/>
    <w:rsid w:val="00E13EE9"/>
    <w:rsid w:val="00E14D11"/>
    <w:rsid w:val="00E1511A"/>
    <w:rsid w:val="00E161D8"/>
    <w:rsid w:val="00E1626E"/>
    <w:rsid w:val="00E16C21"/>
    <w:rsid w:val="00E20236"/>
    <w:rsid w:val="00E21409"/>
    <w:rsid w:val="00E21612"/>
    <w:rsid w:val="00E21EF5"/>
    <w:rsid w:val="00E2300E"/>
    <w:rsid w:val="00E2590D"/>
    <w:rsid w:val="00E2667B"/>
    <w:rsid w:val="00E27E9E"/>
    <w:rsid w:val="00E3043B"/>
    <w:rsid w:val="00E3100E"/>
    <w:rsid w:val="00E32C46"/>
    <w:rsid w:val="00E33B2A"/>
    <w:rsid w:val="00E34546"/>
    <w:rsid w:val="00E347D1"/>
    <w:rsid w:val="00E35237"/>
    <w:rsid w:val="00E35FE2"/>
    <w:rsid w:val="00E378E6"/>
    <w:rsid w:val="00E40309"/>
    <w:rsid w:val="00E41287"/>
    <w:rsid w:val="00E41372"/>
    <w:rsid w:val="00E41CF4"/>
    <w:rsid w:val="00E42562"/>
    <w:rsid w:val="00E42899"/>
    <w:rsid w:val="00E43621"/>
    <w:rsid w:val="00E445F0"/>
    <w:rsid w:val="00E450F2"/>
    <w:rsid w:val="00E454F2"/>
    <w:rsid w:val="00E45ED0"/>
    <w:rsid w:val="00E473D4"/>
    <w:rsid w:val="00E47D1F"/>
    <w:rsid w:val="00E529F2"/>
    <w:rsid w:val="00E530E7"/>
    <w:rsid w:val="00E54671"/>
    <w:rsid w:val="00E54B0A"/>
    <w:rsid w:val="00E55400"/>
    <w:rsid w:val="00E565CE"/>
    <w:rsid w:val="00E604A1"/>
    <w:rsid w:val="00E605A1"/>
    <w:rsid w:val="00E605D0"/>
    <w:rsid w:val="00E626AB"/>
    <w:rsid w:val="00E62D2C"/>
    <w:rsid w:val="00E641E1"/>
    <w:rsid w:val="00E64B29"/>
    <w:rsid w:val="00E65309"/>
    <w:rsid w:val="00E6551E"/>
    <w:rsid w:val="00E65D1E"/>
    <w:rsid w:val="00E65D65"/>
    <w:rsid w:val="00E66235"/>
    <w:rsid w:val="00E66494"/>
    <w:rsid w:val="00E67DF3"/>
    <w:rsid w:val="00E72397"/>
    <w:rsid w:val="00E7246A"/>
    <w:rsid w:val="00E72BFF"/>
    <w:rsid w:val="00E72C19"/>
    <w:rsid w:val="00E764D3"/>
    <w:rsid w:val="00E76CF9"/>
    <w:rsid w:val="00E833BB"/>
    <w:rsid w:val="00E8360E"/>
    <w:rsid w:val="00E83C24"/>
    <w:rsid w:val="00E8493E"/>
    <w:rsid w:val="00E85F78"/>
    <w:rsid w:val="00E87369"/>
    <w:rsid w:val="00E87A31"/>
    <w:rsid w:val="00E9138F"/>
    <w:rsid w:val="00E9209D"/>
    <w:rsid w:val="00E930C0"/>
    <w:rsid w:val="00E9318D"/>
    <w:rsid w:val="00E93400"/>
    <w:rsid w:val="00E93F3E"/>
    <w:rsid w:val="00E95B3A"/>
    <w:rsid w:val="00E96ED0"/>
    <w:rsid w:val="00E97527"/>
    <w:rsid w:val="00E97534"/>
    <w:rsid w:val="00EA08A6"/>
    <w:rsid w:val="00EA14FE"/>
    <w:rsid w:val="00EA1DF5"/>
    <w:rsid w:val="00EA225F"/>
    <w:rsid w:val="00EA38CB"/>
    <w:rsid w:val="00EA43E8"/>
    <w:rsid w:val="00EA69B1"/>
    <w:rsid w:val="00EA727C"/>
    <w:rsid w:val="00EA741C"/>
    <w:rsid w:val="00EA76FC"/>
    <w:rsid w:val="00EB0C86"/>
    <w:rsid w:val="00EB21F9"/>
    <w:rsid w:val="00EB3571"/>
    <w:rsid w:val="00EB443E"/>
    <w:rsid w:val="00EB5167"/>
    <w:rsid w:val="00EB5399"/>
    <w:rsid w:val="00EB5507"/>
    <w:rsid w:val="00EB6335"/>
    <w:rsid w:val="00EB6A16"/>
    <w:rsid w:val="00EC1A0D"/>
    <w:rsid w:val="00EC27DB"/>
    <w:rsid w:val="00EC3A45"/>
    <w:rsid w:val="00EC717B"/>
    <w:rsid w:val="00EC7766"/>
    <w:rsid w:val="00ED7503"/>
    <w:rsid w:val="00ED7B0D"/>
    <w:rsid w:val="00EE1C51"/>
    <w:rsid w:val="00EE22A0"/>
    <w:rsid w:val="00EE3CE1"/>
    <w:rsid w:val="00EE4368"/>
    <w:rsid w:val="00EE4BDF"/>
    <w:rsid w:val="00EE4ECD"/>
    <w:rsid w:val="00EE787D"/>
    <w:rsid w:val="00EF00CD"/>
    <w:rsid w:val="00EF0A8C"/>
    <w:rsid w:val="00EF365A"/>
    <w:rsid w:val="00EF509D"/>
    <w:rsid w:val="00EF54D7"/>
    <w:rsid w:val="00EF6338"/>
    <w:rsid w:val="00EF654D"/>
    <w:rsid w:val="00EF66B1"/>
    <w:rsid w:val="00EF69F5"/>
    <w:rsid w:val="00EF71E9"/>
    <w:rsid w:val="00EF74BD"/>
    <w:rsid w:val="00EF7928"/>
    <w:rsid w:val="00EF793C"/>
    <w:rsid w:val="00F01DF5"/>
    <w:rsid w:val="00F03437"/>
    <w:rsid w:val="00F05B6F"/>
    <w:rsid w:val="00F063C2"/>
    <w:rsid w:val="00F06E6E"/>
    <w:rsid w:val="00F0763B"/>
    <w:rsid w:val="00F07705"/>
    <w:rsid w:val="00F11086"/>
    <w:rsid w:val="00F11186"/>
    <w:rsid w:val="00F139DA"/>
    <w:rsid w:val="00F153C0"/>
    <w:rsid w:val="00F15B15"/>
    <w:rsid w:val="00F164AC"/>
    <w:rsid w:val="00F16983"/>
    <w:rsid w:val="00F208F4"/>
    <w:rsid w:val="00F21783"/>
    <w:rsid w:val="00F21842"/>
    <w:rsid w:val="00F21943"/>
    <w:rsid w:val="00F22FA4"/>
    <w:rsid w:val="00F236DC"/>
    <w:rsid w:val="00F2740B"/>
    <w:rsid w:val="00F27C77"/>
    <w:rsid w:val="00F303BB"/>
    <w:rsid w:val="00F30C13"/>
    <w:rsid w:val="00F3120D"/>
    <w:rsid w:val="00F313A4"/>
    <w:rsid w:val="00F33284"/>
    <w:rsid w:val="00F350FE"/>
    <w:rsid w:val="00F41012"/>
    <w:rsid w:val="00F41099"/>
    <w:rsid w:val="00F413D1"/>
    <w:rsid w:val="00F4233B"/>
    <w:rsid w:val="00F42373"/>
    <w:rsid w:val="00F423FA"/>
    <w:rsid w:val="00F42601"/>
    <w:rsid w:val="00F42E44"/>
    <w:rsid w:val="00F444BC"/>
    <w:rsid w:val="00F44740"/>
    <w:rsid w:val="00F448E7"/>
    <w:rsid w:val="00F454A9"/>
    <w:rsid w:val="00F4657E"/>
    <w:rsid w:val="00F4791F"/>
    <w:rsid w:val="00F50C1C"/>
    <w:rsid w:val="00F5145E"/>
    <w:rsid w:val="00F52BA7"/>
    <w:rsid w:val="00F52FFC"/>
    <w:rsid w:val="00F53193"/>
    <w:rsid w:val="00F5357C"/>
    <w:rsid w:val="00F5357E"/>
    <w:rsid w:val="00F53998"/>
    <w:rsid w:val="00F54521"/>
    <w:rsid w:val="00F54E17"/>
    <w:rsid w:val="00F57AF7"/>
    <w:rsid w:val="00F61666"/>
    <w:rsid w:val="00F62034"/>
    <w:rsid w:val="00F62E57"/>
    <w:rsid w:val="00F6586C"/>
    <w:rsid w:val="00F672C1"/>
    <w:rsid w:val="00F70B9C"/>
    <w:rsid w:val="00F70DFA"/>
    <w:rsid w:val="00F73207"/>
    <w:rsid w:val="00F73E13"/>
    <w:rsid w:val="00F73E54"/>
    <w:rsid w:val="00F73E94"/>
    <w:rsid w:val="00F742A3"/>
    <w:rsid w:val="00F74A8B"/>
    <w:rsid w:val="00F7552B"/>
    <w:rsid w:val="00F8177C"/>
    <w:rsid w:val="00F8190B"/>
    <w:rsid w:val="00F81F3A"/>
    <w:rsid w:val="00F82DBE"/>
    <w:rsid w:val="00F86B3C"/>
    <w:rsid w:val="00F9038B"/>
    <w:rsid w:val="00F92469"/>
    <w:rsid w:val="00F92593"/>
    <w:rsid w:val="00F92A6A"/>
    <w:rsid w:val="00F92B82"/>
    <w:rsid w:val="00F933EA"/>
    <w:rsid w:val="00F94202"/>
    <w:rsid w:val="00F94271"/>
    <w:rsid w:val="00F94774"/>
    <w:rsid w:val="00F948CE"/>
    <w:rsid w:val="00F94BC2"/>
    <w:rsid w:val="00F950BF"/>
    <w:rsid w:val="00F95C52"/>
    <w:rsid w:val="00F9708C"/>
    <w:rsid w:val="00FA001E"/>
    <w:rsid w:val="00FA049E"/>
    <w:rsid w:val="00FA109B"/>
    <w:rsid w:val="00FA27F2"/>
    <w:rsid w:val="00FA3072"/>
    <w:rsid w:val="00FA3684"/>
    <w:rsid w:val="00FA4BF4"/>
    <w:rsid w:val="00FA5E33"/>
    <w:rsid w:val="00FA6281"/>
    <w:rsid w:val="00FA663B"/>
    <w:rsid w:val="00FA7E45"/>
    <w:rsid w:val="00FB11F0"/>
    <w:rsid w:val="00FB2BC4"/>
    <w:rsid w:val="00FB3B24"/>
    <w:rsid w:val="00FB42B2"/>
    <w:rsid w:val="00FB650A"/>
    <w:rsid w:val="00FB6657"/>
    <w:rsid w:val="00FB6BB5"/>
    <w:rsid w:val="00FB6FC8"/>
    <w:rsid w:val="00FB72A2"/>
    <w:rsid w:val="00FB79CE"/>
    <w:rsid w:val="00FC0BC0"/>
    <w:rsid w:val="00FC0C13"/>
    <w:rsid w:val="00FC2AA1"/>
    <w:rsid w:val="00FC41C7"/>
    <w:rsid w:val="00FC4441"/>
    <w:rsid w:val="00FC53DB"/>
    <w:rsid w:val="00FC585D"/>
    <w:rsid w:val="00FC67DF"/>
    <w:rsid w:val="00FC7C7E"/>
    <w:rsid w:val="00FD008F"/>
    <w:rsid w:val="00FD0482"/>
    <w:rsid w:val="00FD07FA"/>
    <w:rsid w:val="00FD0B86"/>
    <w:rsid w:val="00FD27C9"/>
    <w:rsid w:val="00FD2ECD"/>
    <w:rsid w:val="00FD3119"/>
    <w:rsid w:val="00FD401D"/>
    <w:rsid w:val="00FD6DD0"/>
    <w:rsid w:val="00FD76CC"/>
    <w:rsid w:val="00FE0074"/>
    <w:rsid w:val="00FE10E5"/>
    <w:rsid w:val="00FE2373"/>
    <w:rsid w:val="00FE2A01"/>
    <w:rsid w:val="00FE314E"/>
    <w:rsid w:val="00FE35E7"/>
    <w:rsid w:val="00FE3EAA"/>
    <w:rsid w:val="00FE462D"/>
    <w:rsid w:val="00FE46ED"/>
    <w:rsid w:val="00FE4F47"/>
    <w:rsid w:val="00FE5268"/>
    <w:rsid w:val="00FE613C"/>
    <w:rsid w:val="00FE7238"/>
    <w:rsid w:val="00FE73D4"/>
    <w:rsid w:val="00FE7F2A"/>
    <w:rsid w:val="00FF06AA"/>
    <w:rsid w:val="00FF1156"/>
    <w:rsid w:val="00FF22BC"/>
    <w:rsid w:val="00FF3DEC"/>
    <w:rsid w:val="00FF3E4C"/>
    <w:rsid w:val="00FF5CE2"/>
    <w:rsid w:val="00FF62FD"/>
    <w:rsid w:val="00FF7996"/>
    <w:rsid w:val="481F0950"/>
    <w:rsid w:val="5E934209"/>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7"/>
    <o:shapelayout v:ext="edit">
      <o:idmap v:ext="edit" data="1"/>
    </o:shapelayout>
  </w:shapeDefaults>
  <w:decimalSymbol w:val="."/>
  <w:listSeparator w:val=","/>
  <w14:docId w14:val="09573323"/>
  <w15:docId w15:val="{83CB1A8D-A25C-430F-A3D6-BECDDCB41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sz w:val="22"/>
      <w:szCs w:val="22"/>
      <w:lang w:val="en-GB"/>
    </w:rPr>
  </w:style>
  <w:style w:type="paragraph" w:styleId="Heading1">
    <w:name w:val="heading 1"/>
    <w:basedOn w:val="Normal"/>
    <w:next w:val="Heading2"/>
    <w:link w:val="Heading1Char"/>
    <w:uiPriority w:val="99"/>
    <w:qFormat/>
    <w:pPr>
      <w:keepNext/>
      <w:keepLines/>
      <w:numPr>
        <w:numId w:val="11"/>
      </w:numPr>
      <w:spacing w:before="240" w:after="120"/>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11"/>
      </w:numPr>
      <w:spacing w:before="120" w:after="120"/>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11"/>
      </w:numPr>
      <w:spacing w:before="120" w:after="120"/>
      <w:jc w:val="left"/>
      <w:outlineLvl w:val="2"/>
    </w:pPr>
    <w:rPr>
      <w:b/>
      <w:bCs/>
    </w:rPr>
  </w:style>
  <w:style w:type="paragraph" w:styleId="Heading4">
    <w:name w:val="heading 4"/>
    <w:basedOn w:val="Normal"/>
    <w:next w:val="CBDNormalNumber"/>
    <w:link w:val="Heading4Char"/>
    <w:uiPriority w:val="99"/>
    <w:qFormat/>
    <w:pPr>
      <w:keepNext/>
      <w:numPr>
        <w:ilvl w:val="3"/>
        <w:numId w:val="11"/>
      </w:numPr>
      <w:spacing w:before="120" w:after="120"/>
      <w:jc w:val="left"/>
      <w:outlineLvl w:val="3"/>
    </w:pPr>
    <w:rPr>
      <w:b/>
      <w:bCs/>
    </w:rPr>
  </w:style>
  <w:style w:type="paragraph" w:styleId="Heading5">
    <w:name w:val="heading 5"/>
    <w:basedOn w:val="Normal"/>
    <w:next w:val="Normal"/>
    <w:link w:val="Heading5Char"/>
    <w:uiPriority w:val="99"/>
    <w:qFormat/>
    <w:pPr>
      <w:keepNext/>
      <w:numPr>
        <w:ilvl w:val="4"/>
        <w:numId w:val="11"/>
      </w:numPr>
      <w:spacing w:before="120" w:after="120"/>
      <w:jc w:val="left"/>
      <w:outlineLvl w:val="4"/>
    </w:pPr>
    <w:rPr>
      <w:i/>
      <w:iCs/>
    </w:rPr>
  </w:style>
  <w:style w:type="paragraph" w:styleId="Heading6">
    <w:name w:val="heading 6"/>
    <w:basedOn w:val="Normal"/>
    <w:next w:val="Normal"/>
    <w:link w:val="Heading6Char"/>
    <w:uiPriority w:val="99"/>
    <w:qFormat/>
    <w:pPr>
      <w:keepNext/>
      <w:keepLines/>
      <w:numPr>
        <w:ilvl w:val="5"/>
        <w:numId w:val="1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1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1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12"/>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b/>
      <w:bCs/>
      <w:kern w:val="2"/>
      <w:sz w:val="28"/>
      <w:szCs w:val="32"/>
      <w:lang w:val="en-GB"/>
    </w:rPr>
  </w:style>
  <w:style w:type="character" w:customStyle="1" w:styleId="Heading2Char">
    <w:name w:val="Heading 2 Char"/>
    <w:link w:val="Heading2"/>
    <w:uiPriority w:val="99"/>
    <w:locked/>
    <w:rPr>
      <w:rFonts w:ascii="Times New Roman Bold" w:hAnsi="Times New Roman Bold"/>
      <w:b/>
      <w:sz w:val="24"/>
      <w:szCs w:val="26"/>
      <w:lang w:val="en-GB"/>
    </w:rPr>
  </w:style>
  <w:style w:type="character" w:customStyle="1" w:styleId="Heading3Char">
    <w:name w:val="Heading 3 Char"/>
    <w:link w:val="Heading3"/>
    <w:uiPriority w:val="99"/>
    <w:locked/>
    <w:rPr>
      <w:b/>
      <w:bCs/>
      <w:lang w:val="en-GB"/>
    </w:rPr>
  </w:style>
  <w:style w:type="character" w:customStyle="1" w:styleId="Heading4Char">
    <w:name w:val="Heading 4 Char"/>
    <w:link w:val="Heading4"/>
    <w:uiPriority w:val="99"/>
    <w:locked/>
    <w:rPr>
      <w:b/>
      <w:bCs/>
      <w:lang w:val="en-GB"/>
    </w:rPr>
  </w:style>
  <w:style w:type="character" w:customStyle="1" w:styleId="Heading5Char">
    <w:name w:val="Heading 5 Char"/>
    <w:link w:val="Heading5"/>
    <w:uiPriority w:val="99"/>
    <w:locked/>
    <w:rPr>
      <w:i/>
      <w:iCs/>
      <w:lang w:val="en-GB"/>
    </w:rPr>
  </w:style>
  <w:style w:type="character" w:customStyle="1" w:styleId="Heading6Char">
    <w:name w:val="Heading 6 Char"/>
    <w:link w:val="Heading6"/>
    <w:uiPriority w:val="99"/>
    <w:locked/>
    <w:rPr>
      <w:bCs/>
      <w:sz w:val="24"/>
      <w:lang w:val="en-GB"/>
    </w:rPr>
  </w:style>
  <w:style w:type="character" w:customStyle="1" w:styleId="Heading7Char">
    <w:name w:val="Heading 7 Char"/>
    <w:link w:val="Heading7"/>
    <w:uiPriority w:val="99"/>
    <w:locked/>
    <w:rPr>
      <w:b/>
      <w:u w:val="single"/>
      <w:lang w:val="en-GB"/>
    </w:rPr>
  </w:style>
  <w:style w:type="character" w:customStyle="1" w:styleId="Heading8Char">
    <w:name w:val="Heading 8 Char"/>
    <w:link w:val="Heading8"/>
    <w:uiPriority w:val="99"/>
    <w:locked/>
    <w:rPr>
      <w:b/>
      <w:u w:val="single"/>
      <w:lang w:val="en-GB"/>
    </w:rPr>
  </w:style>
  <w:style w:type="character" w:customStyle="1" w:styleId="Heading9Char">
    <w:name w:val="Heading 9 Char"/>
    <w:link w:val="Heading9"/>
    <w:uiPriority w:val="99"/>
    <w:locked/>
    <w:rPr>
      <w:u w:val="single"/>
      <w:lang w:val="en-GB"/>
    </w:r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lang w:val="en-GB"/>
    </w:rPr>
  </w:style>
  <w:style w:type="character" w:customStyle="1" w:styleId="MacroTextChar">
    <w:name w:val="Macro Text Char"/>
    <w:link w:val="MacroText"/>
    <w:uiPriority w:val="99"/>
    <w:semiHidden/>
    <w:locked/>
    <w:rPr>
      <w:rFonts w:ascii="Times New Roman" w:hAnsi="Times New Roman" w:cs="Times New Roman"/>
      <w:lang w:val="en-GB" w:bidi="ar-SA"/>
    </w:rPr>
  </w:style>
  <w:style w:type="paragraph" w:customStyle="1" w:styleId="CBDNormalNumber">
    <w:name w:val="CBD_Normal_Number"/>
    <w:basedOn w:val="CBDNormal"/>
    <w:uiPriority w:val="99"/>
    <w:pPr>
      <w:tabs>
        <w:tab w:val="left" w:pos="3969"/>
      </w:tabs>
      <w:spacing w:before="120" w:after="120"/>
    </w:p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sz w:val="22"/>
      <w:szCs w:val="22"/>
      <w:lang w:val="en-GB"/>
    </w:rPr>
  </w:style>
  <w:style w:type="paragraph" w:styleId="List3">
    <w:name w:val="List 3"/>
    <w:basedOn w:val="Normal"/>
    <w:uiPriority w:val="99"/>
    <w:semiHidden/>
    <w:pPr>
      <w:ind w:left="849" w:hanging="283"/>
      <w:contextualSpacing/>
    </w:p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sz w:val="18"/>
      <w:szCs w:val="18"/>
    </w:rPr>
  </w:style>
  <w:style w:type="paragraph" w:styleId="ListNumber2">
    <w:name w:val="List Number 2"/>
    <w:basedOn w:val="Normal"/>
    <w:uiPriority w:val="99"/>
    <w:semiHidden/>
    <w:pPr>
      <w:tabs>
        <w:tab w:val="left" w:pos="643"/>
      </w:tabs>
      <w:ind w:left="643" w:hanging="360"/>
      <w:contextualSpacing/>
    </w:p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ascii="Times New Roman" w:eastAsia="Times New Roman" w:hAnsi="Times New Roman" w:cs="Times New Roman"/>
      <w:sz w:val="22"/>
      <w:szCs w:val="22"/>
      <w:lang w:val="en-GB"/>
    </w:rPr>
  </w:style>
  <w:style w:type="paragraph" w:styleId="ListBullet4">
    <w:name w:val="List Bullet 4"/>
    <w:basedOn w:val="Normal"/>
    <w:uiPriority w:val="99"/>
    <w:semiHidden/>
    <w:pPr>
      <w:tabs>
        <w:tab w:val="left" w:pos="1209"/>
      </w:tabs>
      <w:ind w:left="1209" w:hanging="360"/>
      <w:contextualSpacing/>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ascii="Times New Roman" w:eastAsia="Times New Roman" w:hAnsi="Times New Roman" w:cs="Times New Roman"/>
      <w:sz w:val="22"/>
      <w:szCs w:val="22"/>
      <w:lang w:val="en-GB"/>
    </w:rPr>
  </w:style>
  <w:style w:type="paragraph" w:styleId="ListNumber">
    <w:name w:val="List Number"/>
    <w:basedOn w:val="Normal"/>
    <w:uiPriority w:val="99"/>
    <w:semiHidden/>
    <w:pPr>
      <w:tabs>
        <w:tab w:val="left" w:pos="360"/>
      </w:tabs>
      <w:ind w:left="360" w:hanging="360"/>
      <w:contextualSpacing/>
    </w:pPr>
  </w:style>
  <w:style w:type="paragraph" w:styleId="NormalIndent">
    <w:name w:val="Normal Indent"/>
    <w:basedOn w:val="Normal"/>
    <w:uiPriority w:val="99"/>
    <w:semiHidden/>
    <w:pPr>
      <w:ind w:left="720"/>
    </w:pPr>
  </w:style>
  <w:style w:type="paragraph" w:styleId="Caption">
    <w:name w:val="caption"/>
    <w:basedOn w:val="Normal"/>
    <w:next w:val="Normal"/>
    <w:uiPriority w:val="99"/>
    <w:qFormat/>
    <w:pPr>
      <w:keepNext/>
      <w:keepLines/>
      <w:spacing w:after="200"/>
    </w:pPr>
    <w:rPr>
      <w:b/>
      <w:iCs/>
      <w:szCs w:val="18"/>
    </w:r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ListBullet">
    <w:name w:val="List Bullet"/>
    <w:basedOn w:val="Normal"/>
    <w:uiPriority w:val="99"/>
    <w:semiHidden/>
    <w:pPr>
      <w:tabs>
        <w:tab w:val="left" w:pos="360"/>
      </w:tabs>
      <w:ind w:left="360" w:hanging="360"/>
      <w:contextualSpacing/>
    </w:p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link w:val="DocumentMap"/>
    <w:uiPriority w:val="99"/>
    <w:semiHidden/>
    <w:locked/>
    <w:rPr>
      <w:rFonts w:ascii="Times New Roman" w:eastAsia="Times New Roman" w:hAnsi="Times New Roman" w:cs="Times New Roman"/>
      <w:sz w:val="16"/>
      <w:szCs w:val="16"/>
      <w:lang w:val="en-GB"/>
    </w:rPr>
  </w:style>
  <w:style w:type="paragraph" w:styleId="TOAHeading">
    <w:name w:val="toa heading"/>
    <w:basedOn w:val="Normal"/>
    <w:next w:val="Normal"/>
    <w:uiPriority w:val="99"/>
    <w:semiHidden/>
    <w:pPr>
      <w:spacing w:before="120"/>
    </w:pPr>
    <w:rPr>
      <w:b/>
      <w:bCs/>
      <w:sz w:val="24"/>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ascii="Times New Roman" w:eastAsia="Times New Roman" w:hAnsi="Times New Roman" w:cs="Times New Roman"/>
      <w:sz w:val="20"/>
      <w:szCs w:val="20"/>
      <w:lang w:val="en-GB"/>
    </w:r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ascii="Times New Roman" w:eastAsia="Times New Roman" w:hAnsi="Times New Roman" w:cs="Times New Roman"/>
      <w:sz w:val="22"/>
      <w:szCs w:val="22"/>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ascii="Times New Roman" w:eastAsia="Times New Roman" w:hAnsi="Times New Roman" w:cs="Times New Roman"/>
      <w:sz w:val="16"/>
      <w:szCs w:val="16"/>
      <w:lang w:val="en-GB"/>
    </w:rPr>
  </w:style>
  <w:style w:type="paragraph" w:styleId="Closing">
    <w:name w:val="Closing"/>
    <w:basedOn w:val="Normal"/>
    <w:link w:val="ClosingChar"/>
    <w:uiPriority w:val="99"/>
    <w:semiHidden/>
    <w:pPr>
      <w:ind w:left="4252"/>
    </w:pPr>
  </w:style>
  <w:style w:type="character" w:customStyle="1" w:styleId="ClosingChar">
    <w:name w:val="Closing Char"/>
    <w:link w:val="Closing"/>
    <w:uiPriority w:val="99"/>
    <w:semiHidden/>
    <w:locked/>
    <w:rPr>
      <w:rFonts w:ascii="Times New Roman" w:eastAsia="Times New Roman" w:hAnsi="Times New Roman" w:cs="Times New Roman"/>
      <w:sz w:val="22"/>
      <w:szCs w:val="22"/>
      <w:lang w:val="en-GB"/>
    </w:rPr>
  </w:style>
  <w:style w:type="paragraph" w:styleId="ListBullet3">
    <w:name w:val="List Bullet 3"/>
    <w:basedOn w:val="Normal"/>
    <w:uiPriority w:val="99"/>
    <w:semiHidden/>
    <w:pPr>
      <w:tabs>
        <w:tab w:val="left" w:pos="926"/>
      </w:tabs>
      <w:ind w:left="926" w:hanging="360"/>
      <w:contextualSpacing/>
    </w:pPr>
  </w:style>
  <w:style w:type="paragraph" w:styleId="BodyText">
    <w:name w:val="Body Text"/>
    <w:basedOn w:val="Normal"/>
    <w:link w:val="BodyTextChar"/>
    <w:uiPriority w:val="99"/>
    <w:pPr>
      <w:spacing w:after="120" w:line="259" w:lineRule="auto"/>
      <w:jc w:val="left"/>
    </w:pPr>
    <w:rPr>
      <w:kern w:val="2"/>
    </w:rPr>
  </w:style>
  <w:style w:type="character" w:customStyle="1" w:styleId="BodyTextChar">
    <w:name w:val="Body Text Char"/>
    <w:link w:val="BodyText"/>
    <w:uiPriority w:val="99"/>
    <w:locked/>
    <w:rPr>
      <w:rFonts w:eastAsia="Times New Roman" w:cs="Times New Roman"/>
      <w:kern w:val="2"/>
      <w:sz w:val="22"/>
      <w:szCs w:val="22"/>
      <w:lang w:val="en-GB"/>
    </w:rPr>
  </w:style>
  <w:style w:type="paragraph" w:styleId="BodyTextIndent">
    <w:name w:val="Body Text Indent"/>
    <w:basedOn w:val="Normal"/>
    <w:link w:val="BodyTextIndentChar"/>
    <w:uiPriority w:val="99"/>
    <w:pPr>
      <w:spacing w:before="120" w:after="120"/>
      <w:ind w:left="1440" w:hanging="720"/>
      <w:jc w:val="left"/>
    </w:pPr>
  </w:style>
  <w:style w:type="character" w:customStyle="1" w:styleId="BodyTextIndentChar">
    <w:name w:val="Body Text Indent Char"/>
    <w:link w:val="BodyTextIndent"/>
    <w:uiPriority w:val="99"/>
    <w:locked/>
    <w:rPr>
      <w:rFonts w:ascii="Times New Roman" w:eastAsia="Times New Roman" w:hAnsi="Times New Roman" w:cs="Times New Roman"/>
      <w:sz w:val="22"/>
      <w:szCs w:val="22"/>
      <w:lang w:val="en-GB"/>
    </w:rPr>
  </w:style>
  <w:style w:type="paragraph" w:styleId="ListNumber3">
    <w:name w:val="List Number 3"/>
    <w:basedOn w:val="Normal"/>
    <w:uiPriority w:val="99"/>
    <w:semiHidden/>
    <w:pPr>
      <w:tabs>
        <w:tab w:val="left" w:pos="926"/>
      </w:tabs>
      <w:ind w:left="926" w:hanging="360"/>
      <w:contextualSpacing/>
    </w:pPr>
  </w:style>
  <w:style w:type="paragraph" w:styleId="List2">
    <w:name w:val="List 2"/>
    <w:basedOn w:val="Normal"/>
    <w:uiPriority w:val="99"/>
    <w:semiHidden/>
    <w:pPr>
      <w:ind w:left="566" w:hanging="283"/>
      <w:contextualSpacing/>
    </w:pPr>
  </w:style>
  <w:style w:type="paragraph" w:styleId="ListContinue">
    <w:name w:val="List Continue"/>
    <w:basedOn w:val="Normal"/>
    <w:uiPriority w:val="99"/>
    <w:semiHidden/>
    <w:pPr>
      <w:spacing w:after="120"/>
      <w:ind w:left="283"/>
      <w:contextualSpacing/>
    </w:pPr>
  </w:style>
  <w:style w:type="paragraph" w:styleId="BlockText">
    <w:name w:val="Block Text"/>
    <w:basedOn w:val="Normal"/>
    <w:uiPriority w:val="99"/>
    <w:semiHidden/>
    <w:pPr>
      <w:pBdr>
        <w:top w:val="single" w:sz="2" w:space="10" w:color="4F81BD"/>
        <w:left w:val="single" w:sz="2" w:space="10" w:color="4F81BD"/>
        <w:bottom w:val="single" w:sz="2" w:space="10" w:color="4F81BD"/>
        <w:right w:val="single" w:sz="2" w:space="10" w:color="4F81BD"/>
      </w:pBdr>
      <w:ind w:left="1152" w:right="1152"/>
    </w:pPr>
    <w:rPr>
      <w:i/>
      <w:iCs/>
      <w:color w:val="4F81BD"/>
    </w:rPr>
  </w:style>
  <w:style w:type="paragraph" w:styleId="ListBullet2">
    <w:name w:val="List Bullet 2"/>
    <w:basedOn w:val="Normal"/>
    <w:uiPriority w:val="99"/>
    <w:semiHidden/>
    <w:pPr>
      <w:tabs>
        <w:tab w:val="left" w:pos="643"/>
      </w:tabs>
      <w:ind w:left="643" w:hanging="360"/>
      <w:contextualSpacing/>
    </w:p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ascii="Times New Roman" w:eastAsia="Times New Roman" w:hAnsi="Times New Roman" w:cs="Times New Roman"/>
      <w:i/>
      <w:iCs/>
      <w:sz w:val="22"/>
      <w:szCs w:val="22"/>
      <w:lang w:val="en-GB"/>
    </w:r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szCs w:val="18"/>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iCs/>
      <w:szCs w:val="20"/>
    </w:rPr>
  </w:style>
  <w:style w:type="paragraph" w:styleId="PlainText">
    <w:name w:val="Plain Text"/>
    <w:basedOn w:val="Normal"/>
    <w:link w:val="PlainTextChar"/>
    <w:uiPriority w:val="99"/>
    <w:semiHidden/>
    <w:rPr>
      <w:sz w:val="21"/>
      <w:szCs w:val="21"/>
    </w:rPr>
  </w:style>
  <w:style w:type="character" w:customStyle="1" w:styleId="PlainTextChar">
    <w:name w:val="Plain Text Char"/>
    <w:link w:val="PlainText"/>
    <w:uiPriority w:val="99"/>
    <w:semiHidden/>
    <w:locked/>
    <w:rPr>
      <w:rFonts w:ascii="Times New Roman" w:eastAsia="Times New Roman" w:hAnsi="Times New Roman" w:cs="Times New Roman"/>
      <w:sz w:val="21"/>
      <w:szCs w:val="21"/>
      <w:lang w:val="en-GB"/>
    </w:rPr>
  </w:style>
  <w:style w:type="paragraph" w:styleId="ListBullet5">
    <w:name w:val="List Bullet 5"/>
    <w:basedOn w:val="Normal"/>
    <w:uiPriority w:val="99"/>
    <w:semiHidden/>
    <w:pPr>
      <w:tabs>
        <w:tab w:val="left" w:pos="1492"/>
      </w:tabs>
      <w:ind w:left="1492" w:hanging="360"/>
      <w:contextualSpacing/>
    </w:pPr>
  </w:style>
  <w:style w:type="paragraph" w:styleId="ListNumber4">
    <w:name w:val="List Number 4"/>
    <w:basedOn w:val="Normal"/>
    <w:uiPriority w:val="99"/>
    <w:semiHidden/>
    <w:pPr>
      <w:tabs>
        <w:tab w:val="left" w:pos="1209"/>
      </w:tabs>
      <w:ind w:left="1209" w:hanging="360"/>
      <w:contextualSpacing/>
    </w:p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sz w:val="18"/>
      <w:szCs w:val="18"/>
    </w:r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ascii="Times New Roman" w:eastAsia="Times New Roman" w:hAnsi="Times New Roman" w:cs="Times New Roman"/>
      <w:sz w:val="22"/>
      <w:szCs w:val="22"/>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link w:val="BodyTextIndent2"/>
    <w:uiPriority w:val="99"/>
    <w:semiHidden/>
    <w:locked/>
    <w:rPr>
      <w:rFonts w:ascii="Times New Roman" w:eastAsia="Times New Roman" w:hAnsi="Times New Roman" w:cs="Times New Roman"/>
      <w:sz w:val="22"/>
      <w:szCs w:val="22"/>
      <w:lang w:val="en-GB"/>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Pr>
      <w:rFonts w:ascii="Courier New" w:eastAsia="Times New Roman" w:hAnsi="Courier New" w:cs="Times New Roman"/>
      <w:sz w:val="22"/>
      <w:szCs w:val="22"/>
      <w:lang w:val="en-GB"/>
    </w:rPr>
  </w:style>
  <w:style w:type="paragraph" w:styleId="ListContinue5">
    <w:name w:val="List Continue 5"/>
    <w:basedOn w:val="Normal"/>
    <w:uiPriority w:val="99"/>
    <w:semiHidden/>
    <w:pPr>
      <w:spacing w:after="120"/>
      <w:ind w:left="1415"/>
      <w:contextualSpacing/>
    </w:pPr>
  </w:style>
  <w:style w:type="paragraph" w:styleId="BalloonText">
    <w:name w:val="Balloon Text"/>
    <w:basedOn w:val="Normal"/>
    <w:link w:val="BalloonTextChar"/>
    <w:uiPriority w:val="99"/>
    <w:semiHidden/>
    <w:rPr>
      <w:sz w:val="18"/>
      <w:szCs w:val="18"/>
    </w:rPr>
  </w:style>
  <w:style w:type="character" w:customStyle="1" w:styleId="BalloonTextChar">
    <w:name w:val="Balloon Text Char"/>
    <w:link w:val="BalloonText"/>
    <w:uiPriority w:val="99"/>
    <w:semiHidden/>
    <w:locked/>
    <w:rPr>
      <w:rFonts w:ascii="Times New Roman" w:eastAsia="Times New Roman" w:hAnsi="Times New Roman" w:cs="Times New Roman"/>
      <w:sz w:val="18"/>
      <w:szCs w:val="18"/>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link w:val="Footer"/>
    <w:uiPriority w:val="99"/>
    <w:locked/>
    <w:rPr>
      <w:rFonts w:ascii="Times New Roman" w:eastAsia="Times New Roman" w:hAnsi="Times New Roman" w:cs="Times New Roman"/>
      <w:sz w:val="22"/>
      <w:szCs w:val="22"/>
      <w:lang w:val="en-GB"/>
    </w:rPr>
  </w:style>
  <w:style w:type="paragraph" w:styleId="EnvelopeReturn">
    <w:name w:val="envelope return"/>
    <w:basedOn w:val="Normal"/>
    <w:uiPriority w:val="99"/>
    <w:semiHidden/>
    <w:rPr>
      <w:sz w:val="20"/>
      <w:szCs w:val="20"/>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Pr>
      <w:rFonts w:ascii="Times New Roman" w:eastAsia="Times New Roman" w:hAnsi="Times New Roman" w:cs="Times New Roman"/>
      <w:sz w:val="22"/>
      <w:szCs w:val="22"/>
      <w:lang w:val="en-GB"/>
    </w:rPr>
  </w:style>
  <w:style w:type="paragraph" w:styleId="Signature">
    <w:name w:val="Signature"/>
    <w:basedOn w:val="Normal"/>
    <w:link w:val="SignatureChar"/>
    <w:uiPriority w:val="99"/>
    <w:semiHidden/>
    <w:pPr>
      <w:ind w:left="4252"/>
    </w:pPr>
  </w:style>
  <w:style w:type="character" w:customStyle="1" w:styleId="SignatureChar">
    <w:name w:val="Signature Char"/>
    <w:link w:val="Signature"/>
    <w:uiPriority w:val="99"/>
    <w:semiHidden/>
    <w:locked/>
    <w:rPr>
      <w:rFonts w:ascii="Times New Roman" w:eastAsia="Times New Roman" w:hAnsi="Times New Roman" w:cs="Times New Roman"/>
      <w:sz w:val="22"/>
      <w:szCs w:val="22"/>
      <w:lang w:val="en-GB"/>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bCs/>
      <w:szCs w:val="20"/>
    </w:rPr>
  </w:style>
  <w:style w:type="paragraph" w:styleId="ListContinue4">
    <w:name w:val="List Continue 4"/>
    <w:basedOn w:val="Normal"/>
    <w:uiPriority w:val="99"/>
    <w:semiHidden/>
    <w:pPr>
      <w:spacing w:after="120"/>
      <w:ind w:left="1132"/>
      <w:contextualSpacing/>
    </w:p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szCs w:val="18"/>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Heading">
    <w:name w:val="index heading"/>
    <w:basedOn w:val="Normal"/>
    <w:next w:val="Index1"/>
    <w:uiPriority w:val="99"/>
    <w:semiHidden/>
    <w:rPr>
      <w:b/>
      <w:bCs/>
    </w:rPr>
  </w:style>
  <w:style w:type="paragraph" w:styleId="Subtitle">
    <w:name w:val="Subtitle"/>
    <w:basedOn w:val="Normal"/>
    <w:next w:val="Normal"/>
    <w:link w:val="SubtitleChar"/>
    <w:uiPriority w:val="99"/>
    <w:qFormat/>
    <w:rPr>
      <w:i/>
      <w:iCs/>
      <w:color w:val="4F81BD"/>
      <w:spacing w:val="15"/>
      <w:sz w:val="24"/>
    </w:rPr>
  </w:style>
  <w:style w:type="character" w:customStyle="1" w:styleId="SubtitleChar">
    <w:name w:val="Subtitle Char"/>
    <w:link w:val="Subtitle"/>
    <w:uiPriority w:val="99"/>
    <w:locked/>
    <w:rPr>
      <w:rFonts w:ascii="Times New Roman" w:eastAsia="Times New Roman" w:hAnsi="Times New Roman" w:cs="Times New Roman"/>
      <w:i/>
      <w:iCs/>
      <w:color w:val="4F81BD"/>
      <w:spacing w:val="15"/>
      <w:sz w:val="22"/>
      <w:szCs w:val="22"/>
      <w:lang w:val="en-GB"/>
    </w:rPr>
  </w:style>
  <w:style w:type="paragraph" w:styleId="ListNumber5">
    <w:name w:val="List Number 5"/>
    <w:basedOn w:val="Normal"/>
    <w:uiPriority w:val="99"/>
    <w:semiHidden/>
    <w:pPr>
      <w:tabs>
        <w:tab w:val="left" w:pos="1800"/>
      </w:tabs>
      <w:ind w:left="1800" w:hanging="360"/>
      <w:contextualSpacing/>
    </w:pPr>
  </w:style>
  <w:style w:type="paragraph" w:styleId="List">
    <w:name w:val="List"/>
    <w:basedOn w:val="Normal"/>
    <w:uiPriority w:val="99"/>
    <w:semiHidden/>
    <w:pPr>
      <w:contextualSpacing/>
    </w:pPr>
  </w:style>
  <w:style w:type="paragraph" w:styleId="FootnoteText">
    <w:name w:val="footnote text"/>
    <w:basedOn w:val="Normal"/>
    <w:link w:val="FootnoteTextChar"/>
    <w:uiPriority w:val="99"/>
    <w:pPr>
      <w:jc w:val="left"/>
    </w:pPr>
    <w:rPr>
      <w:sz w:val="18"/>
      <w:szCs w:val="20"/>
    </w:rPr>
  </w:style>
  <w:style w:type="character" w:customStyle="1" w:styleId="FootnoteTextChar">
    <w:name w:val="Footnote Text Char"/>
    <w:link w:val="FootnoteText"/>
    <w:uiPriority w:val="99"/>
    <w:locked/>
    <w:rPr>
      <w:rFonts w:ascii="Times New Roman" w:eastAsia="Times New Roman" w:hAnsi="Times New Roman" w:cs="Times New Roman"/>
      <w:sz w:val="20"/>
      <w:szCs w:val="20"/>
      <w:lang w:val="en-GB"/>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sz w:val="18"/>
      <w:szCs w:val="18"/>
    </w:rPr>
  </w:style>
  <w:style w:type="paragraph" w:styleId="List5">
    <w:name w:val="List 5"/>
    <w:basedOn w:val="Normal"/>
    <w:uiPriority w:val="99"/>
    <w:semiHidden/>
    <w:pPr>
      <w:ind w:left="1415" w:hanging="283"/>
      <w:contextualSpacing/>
    </w:p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link w:val="BodyTextIndent3"/>
    <w:uiPriority w:val="99"/>
    <w:semiHidden/>
    <w:locked/>
    <w:rPr>
      <w:rFonts w:ascii="Times New Roman" w:eastAsia="Times New Roman" w:hAnsi="Times New Roman" w:cs="Times New Roman"/>
      <w:sz w:val="16"/>
      <w:szCs w:val="16"/>
      <w:lang w:val="en-GB"/>
    </w:r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szCs w:val="20"/>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sz w:val="18"/>
      <w:szCs w:val="18"/>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ascii="Times New Roman" w:eastAsia="Times New Roman" w:hAnsi="Times New Roman" w:cs="Times New Roman"/>
      <w:sz w:val="22"/>
      <w:szCs w:val="22"/>
      <w:lang w:val="en-GB"/>
    </w:rPr>
  </w:style>
  <w:style w:type="paragraph" w:styleId="List4">
    <w:name w:val="List 4"/>
    <w:basedOn w:val="Normal"/>
    <w:uiPriority w:val="99"/>
    <w:semiHidden/>
    <w:pPr>
      <w:ind w:left="1132" w:hanging="283"/>
      <w:contextualSpacing/>
    </w:pPr>
  </w:style>
  <w:style w:type="paragraph" w:styleId="ListContinue2">
    <w:name w:val="List Continue 2"/>
    <w:basedOn w:val="Normal"/>
    <w:uiPriority w:val="99"/>
    <w:semiHidden/>
    <w:pPr>
      <w:spacing w:after="120"/>
      <w:ind w:left="566"/>
      <w:contextualSpacing/>
    </w:p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link w:val="MessageHeader"/>
    <w:uiPriority w:val="99"/>
    <w:semiHidden/>
    <w:locked/>
    <w:rPr>
      <w:rFonts w:ascii="Times New Roman" w:eastAsia="Times New Roman" w:hAnsi="Times New Roman" w:cs="Times New Roman"/>
      <w:shd w:val="pct20" w:color="auto" w:fill="auto"/>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link w:val="HTMLPreformatted"/>
    <w:uiPriority w:val="99"/>
    <w:semiHidden/>
    <w:locked/>
    <w:rPr>
      <w:rFonts w:ascii="Times New Roman" w:eastAsia="Times New Roman" w:hAnsi="Times New Roman" w:cs="Times New Roman"/>
      <w:sz w:val="20"/>
      <w:szCs w:val="20"/>
      <w:lang w:val="en-GB"/>
    </w:rPr>
  </w:style>
  <w:style w:type="paragraph" w:styleId="NormalWeb">
    <w:name w:val="Normal (Web)"/>
    <w:basedOn w:val="Normal"/>
    <w:uiPriority w:val="99"/>
    <w:semiHidden/>
    <w:rPr>
      <w:sz w:val="24"/>
      <w:szCs w:val="24"/>
    </w:rPr>
  </w:style>
  <w:style w:type="paragraph" w:styleId="ListContinue3">
    <w:name w:val="List Continue 3"/>
    <w:basedOn w:val="Normal"/>
    <w:uiPriority w:val="99"/>
    <w:semiHidden/>
    <w:pPr>
      <w:spacing w:after="120"/>
      <w:ind w:left="849"/>
      <w:contextualSpacing/>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Title">
    <w:name w:val="Title"/>
    <w:basedOn w:val="Normal"/>
    <w:next w:val="Normal"/>
    <w:link w:val="TitleChar"/>
    <w:uiPriority w:val="99"/>
    <w:qFormat/>
    <w:pPr>
      <w:pBdr>
        <w:bottom w:val="single" w:sz="8" w:space="4" w:color="4F81BD"/>
      </w:pBdr>
      <w:spacing w:after="300"/>
      <w:contextualSpacing/>
    </w:pPr>
    <w:rPr>
      <w:color w:val="17365D"/>
      <w:spacing w:val="5"/>
      <w:kern w:val="28"/>
      <w:sz w:val="52"/>
      <w:szCs w:val="52"/>
    </w:rPr>
  </w:style>
  <w:style w:type="character" w:customStyle="1" w:styleId="TitleChar">
    <w:name w:val="Title Char"/>
    <w:link w:val="Title"/>
    <w:uiPriority w:val="99"/>
    <w:locked/>
    <w:rPr>
      <w:rFonts w:ascii="Times New Roman" w:eastAsia="Times New Roman" w:hAnsi="Times New Roman" w:cs="Times New Roman"/>
      <w:color w:val="17365D"/>
      <w:spacing w:val="5"/>
      <w:kern w:val="28"/>
      <w:sz w:val="52"/>
      <w:szCs w:val="52"/>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Times New Roman" w:eastAsia="Times New Roman" w:hAnsi="Times New Roman" w:cs="Times New Roman"/>
      <w:b/>
      <w:bCs/>
      <w:sz w:val="20"/>
      <w:szCs w:val="20"/>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kern w:val="0"/>
    </w:rPr>
  </w:style>
  <w:style w:type="character" w:customStyle="1" w:styleId="BodyTextFirstIndentChar">
    <w:name w:val="Body Text First Indent Char"/>
    <w:link w:val="BodyTextFirstIndent"/>
    <w:uiPriority w:val="99"/>
    <w:semiHidden/>
    <w:locked/>
    <w:rPr>
      <w:rFonts w:ascii="Times New Roman" w:eastAsia="Times New Roma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Pr>
      <w:rFonts w:ascii="Times New Roman" w:eastAsia="Times New Roman" w:hAnsi="Times New Roman" w:cs="Times New Roman"/>
      <w:sz w:val="22"/>
      <w:szCs w:val="22"/>
      <w:lang w:val="en-GB"/>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uiPriority w:val="99"/>
    <w:semiHidden/>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Elegant">
    <w:name w:val="Table Elegant"/>
    <w:basedOn w:val="TableNormal"/>
    <w:uiPriority w:val="99"/>
    <w:semiHidden/>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Classic1">
    <w:name w:val="Table Classic 1"/>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tblPr/>
  </w:style>
  <w:style w:type="table" w:styleId="TableSimple3">
    <w:name w:val="Table Simple 3"/>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tblPr/>
  </w:style>
  <w:style w:type="table" w:styleId="TableSubtle2">
    <w:name w:val="Table Subtle 2"/>
    <w:basedOn w:val="TableNormal"/>
    <w:uiPriority w:val="99"/>
    <w:semiHidden/>
    <w:pPr>
      <w:tabs>
        <w:tab w:val="left" w:pos="567"/>
        <w:tab w:val="left" w:pos="1134"/>
        <w:tab w:val="left" w:pos="1701"/>
        <w:tab w:val="left" w:pos="2268"/>
      </w:tabs>
      <w:jc w:val="both"/>
    </w:pPr>
    <w:tblPr>
      <w:tblBorders>
        <w:left w:val="single" w:sz="6" w:space="0" w:color="000000"/>
        <w:right w:val="single" w:sz="6" w:space="0" w:color="000000"/>
      </w:tblBorders>
    </w:tblPr>
  </w:style>
  <w:style w:type="table" w:styleId="Table3Deffects1">
    <w:name w:val="Table 3D effects 1"/>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tblPr/>
  </w:style>
  <w:style w:type="table" w:styleId="TableList1">
    <w:name w:val="Table List 1"/>
    <w:basedOn w:val="TableNormal"/>
    <w:uiPriority w:val="99"/>
    <w:semiHidden/>
    <w:pPr>
      <w:tabs>
        <w:tab w:val="left" w:pos="567"/>
        <w:tab w:val="left" w:pos="1134"/>
        <w:tab w:val="left" w:pos="1701"/>
        <w:tab w:val="left" w:pos="2268"/>
      </w:tabs>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tblPr>
      <w:tblBorders>
        <w:insideH w:val="single" w:sz="18" w:space="0" w:color="FFFFFF"/>
        <w:insideV w:val="single" w:sz="18" w:space="0" w:color="FFFFFF"/>
      </w:tblBorders>
    </w:tblPr>
  </w:style>
  <w:style w:type="table" w:styleId="TableColumns1">
    <w:name w:val="Table Columns 1"/>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b/>
      <w:bCs/>
    </w:rPr>
    <w:tblPr/>
  </w:style>
  <w:style w:type="table" w:styleId="TableColumns3">
    <w:name w:val="Table Columns 3"/>
    <w:basedOn w:val="TableNormal"/>
    <w:uiPriority w:val="99"/>
    <w:semiHidden/>
    <w:pPr>
      <w:tabs>
        <w:tab w:val="left" w:pos="567"/>
        <w:tab w:val="left" w:pos="1134"/>
        <w:tab w:val="left" w:pos="1701"/>
        <w:tab w:val="left" w:pos="2268"/>
      </w:tabs>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tblPr/>
  </w:style>
  <w:style w:type="table" w:styleId="TableColumns5">
    <w:name w:val="Table Columns 5"/>
    <w:basedOn w:val="TableNormal"/>
    <w:uiPriority w:val="99"/>
    <w:semiHidden/>
    <w:pPr>
      <w:tabs>
        <w:tab w:val="left" w:pos="567"/>
        <w:tab w:val="left" w:pos="1134"/>
        <w:tab w:val="left" w:pos="1701"/>
        <w:tab w:val="left" w:pos="2268"/>
      </w:tabs>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Grid1">
    <w:name w:val="Table Grid 1"/>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Web1">
    <w:name w:val="Table Web 1"/>
    <w:basedOn w:val="TableNormal"/>
    <w:uiPriority w:val="99"/>
    <w:semiHidden/>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table" w:styleId="TableProfessional">
    <w:name w:val="Table Professional"/>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LightShading">
    <w:name w:val="Light Shading"/>
    <w:basedOn w:val="TableNormal"/>
    <w:uiPriority w:val="99"/>
    <w:semiHidden/>
    <w:rPr>
      <w:color w:val="00000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color w:val="365F91"/>
    </w:rPr>
    <w:tblPr>
      <w:tblBorders>
        <w:top w:val="single" w:sz="8" w:space="0" w:color="4F81BD"/>
        <w:bottom w:val="single" w:sz="8" w:space="0" w:color="4F81BD"/>
      </w:tblBorders>
    </w:tblPr>
  </w:style>
  <w:style w:type="table" w:styleId="LightShading-Accent2">
    <w:name w:val="Light Shading Accent 2"/>
    <w:basedOn w:val="TableNormal"/>
    <w:uiPriority w:val="99"/>
    <w:semiHidden/>
    <w:rPr>
      <w:color w:val="943634"/>
    </w:rPr>
    <w:tblPr>
      <w:tblBorders>
        <w:top w:val="single" w:sz="8" w:space="0" w:color="C0504D"/>
        <w:bottom w:val="single" w:sz="8" w:space="0" w:color="C0504D"/>
      </w:tblBorders>
    </w:tblPr>
  </w:style>
  <w:style w:type="table" w:styleId="LightShading-Accent3">
    <w:name w:val="Light Shading Accent 3"/>
    <w:basedOn w:val="TableNormal"/>
    <w:uiPriority w:val="99"/>
    <w:semiHidden/>
    <w:rPr>
      <w:color w:val="76923C"/>
    </w:rPr>
    <w:tblPr>
      <w:tblBorders>
        <w:top w:val="single" w:sz="8" w:space="0" w:color="9BBB59"/>
        <w:bottom w:val="single" w:sz="8" w:space="0" w:color="9BBB59"/>
      </w:tblBorders>
    </w:tblPr>
  </w:style>
  <w:style w:type="table" w:styleId="LightShading-Accent4">
    <w:name w:val="Light Shading Accent 4"/>
    <w:basedOn w:val="TableNormal"/>
    <w:uiPriority w:val="99"/>
    <w:semiHidden/>
    <w:rPr>
      <w:color w:val="5F497A"/>
    </w:rPr>
    <w:tblPr>
      <w:tblBorders>
        <w:top w:val="single" w:sz="8" w:space="0" w:color="8064A2"/>
        <w:bottom w:val="single" w:sz="8" w:space="0" w:color="8064A2"/>
      </w:tblBorders>
    </w:tblPr>
  </w:style>
  <w:style w:type="table" w:styleId="LightShading-Accent5">
    <w:name w:val="Light Shading Accent 5"/>
    <w:basedOn w:val="TableNormal"/>
    <w:uiPriority w:val="99"/>
    <w:semiHidden/>
    <w:rPr>
      <w:color w:val="31849B"/>
    </w:rPr>
    <w:tblPr>
      <w:tblBorders>
        <w:top w:val="single" w:sz="8" w:space="0" w:color="4BACC6"/>
        <w:bottom w:val="single" w:sz="8" w:space="0" w:color="4BACC6"/>
      </w:tblBorders>
    </w:tblPr>
  </w:style>
  <w:style w:type="table" w:styleId="LightShading-Accent6">
    <w:name w:val="Light Shading Accent 6"/>
    <w:basedOn w:val="TableNormal"/>
    <w:uiPriority w:val="99"/>
    <w:semiHidden/>
    <w:rPr>
      <w:color w:val="E36C0A"/>
    </w:rPr>
    <w:tblPr>
      <w:tblBorders>
        <w:top w:val="single" w:sz="8" w:space="0" w:color="F79646"/>
        <w:bottom w:val="single" w:sz="8" w:space="0" w:color="F79646"/>
      </w:tblBorders>
    </w:tblPr>
  </w:style>
  <w:style w:type="table" w:styleId="LightList">
    <w:name w:val="Light List"/>
    <w:basedOn w:val="TableNormal"/>
    <w:uiPriority w:val="99"/>
    <w:semiHidden/>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tblPr>
      <w:tblBorders>
        <w:top w:val="single" w:sz="8" w:space="0" w:color="4F81BD"/>
        <w:left w:val="single" w:sz="8" w:space="0" w:color="4F81BD"/>
        <w:bottom w:val="single" w:sz="8" w:space="0" w:color="4F81BD"/>
        <w:right w:val="single" w:sz="8" w:space="0" w:color="4F81BD"/>
      </w:tblBorders>
    </w:tblPr>
  </w:style>
  <w:style w:type="table" w:styleId="LightList-Accent2">
    <w:name w:val="Light List Accent 2"/>
    <w:basedOn w:val="TableNormal"/>
    <w:uiPriority w:val="99"/>
    <w:semiHidden/>
    <w:tblPr>
      <w:tblBorders>
        <w:top w:val="single" w:sz="8" w:space="0" w:color="C0504D"/>
        <w:left w:val="single" w:sz="8" w:space="0" w:color="C0504D"/>
        <w:bottom w:val="single" w:sz="8" w:space="0" w:color="C0504D"/>
        <w:right w:val="single" w:sz="8" w:space="0" w:color="C0504D"/>
      </w:tblBorders>
    </w:tblPr>
  </w:style>
  <w:style w:type="table" w:styleId="LightList-Accent3">
    <w:name w:val="Light List Accent 3"/>
    <w:basedOn w:val="TableNormal"/>
    <w:uiPriority w:val="99"/>
    <w:semiHidden/>
    <w:tblPr>
      <w:tblBorders>
        <w:top w:val="single" w:sz="8" w:space="0" w:color="9BBB59"/>
        <w:left w:val="single" w:sz="8" w:space="0" w:color="9BBB59"/>
        <w:bottom w:val="single" w:sz="8" w:space="0" w:color="9BBB59"/>
        <w:right w:val="single" w:sz="8" w:space="0" w:color="9BBB59"/>
      </w:tblBorders>
    </w:tblPr>
  </w:style>
  <w:style w:type="table" w:styleId="LightList-Accent4">
    <w:name w:val="Light List Accent 4"/>
    <w:basedOn w:val="TableNormal"/>
    <w:uiPriority w:val="99"/>
    <w:semiHidden/>
    <w:tblPr>
      <w:tblBorders>
        <w:top w:val="single" w:sz="8" w:space="0" w:color="8064A2"/>
        <w:left w:val="single" w:sz="8" w:space="0" w:color="8064A2"/>
        <w:bottom w:val="single" w:sz="8" w:space="0" w:color="8064A2"/>
        <w:right w:val="single" w:sz="8" w:space="0" w:color="8064A2"/>
      </w:tblBorders>
    </w:tblPr>
  </w:style>
  <w:style w:type="table" w:styleId="LightList-Accent5">
    <w:name w:val="Light List Accent 5"/>
    <w:basedOn w:val="TableNormal"/>
    <w:uiPriority w:val="99"/>
    <w:semiHidden/>
    <w:tblPr>
      <w:tblBorders>
        <w:top w:val="single" w:sz="8" w:space="0" w:color="4BACC6"/>
        <w:left w:val="single" w:sz="8" w:space="0" w:color="4BACC6"/>
        <w:bottom w:val="single" w:sz="8" w:space="0" w:color="4BACC6"/>
        <w:right w:val="single" w:sz="8" w:space="0" w:color="4BACC6"/>
      </w:tblBorders>
    </w:tblPr>
  </w:style>
  <w:style w:type="table" w:styleId="LightList-Accent6">
    <w:name w:val="Light List Accent 6"/>
    <w:basedOn w:val="TableNormal"/>
    <w:uiPriority w:val="99"/>
    <w:semiHidden/>
    <w:tblPr>
      <w:tblBorders>
        <w:top w:val="single" w:sz="8" w:space="0" w:color="F79646"/>
        <w:left w:val="single" w:sz="8" w:space="0" w:color="F79646"/>
        <w:bottom w:val="single" w:sz="8" w:space="0" w:color="F79646"/>
        <w:right w:val="single" w:sz="8" w:space="0" w:color="F79646"/>
      </w:tblBorders>
    </w:tblPr>
  </w:style>
  <w:style w:type="table" w:styleId="LightGrid">
    <w:name w:val="Light Grid"/>
    <w:basedOn w:val="TableNormal"/>
    <w:uiPriority w:val="99"/>
    <w:semiHidden/>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styleId="LightGrid-Accent2">
    <w:name w:val="Light Grid Accent 2"/>
    <w:basedOn w:val="TableNormal"/>
    <w:uiPriority w:val="99"/>
    <w:semiHidden/>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styleId="LightGrid-Accent3">
    <w:name w:val="Light Grid Accent 3"/>
    <w:basedOn w:val="TableNormal"/>
    <w:uiPriority w:val="99"/>
    <w:semiHidden/>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LightGrid-Accent4">
    <w:name w:val="Light Grid Accent 4"/>
    <w:basedOn w:val="TableNormal"/>
    <w:uiPriority w:val="99"/>
    <w:semiHidden/>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style>
  <w:style w:type="table" w:styleId="LightGrid-Accent5">
    <w:name w:val="Light Grid Accent 5"/>
    <w:basedOn w:val="TableNormal"/>
    <w:uiPriority w:val="99"/>
    <w:semiHidden/>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style>
  <w:style w:type="table" w:styleId="LightGrid-Accent6">
    <w:name w:val="Light Grid Accent 6"/>
    <w:basedOn w:val="TableNormal"/>
    <w:uiPriority w:val="99"/>
    <w:semiHidden/>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style>
  <w:style w:type="table" w:styleId="MediumShading1">
    <w:name w:val="Medium Shading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tblPr>
      <w:tblBorders>
        <w:top w:val="single" w:sz="8" w:space="0" w:color="7BA0CD"/>
        <w:left w:val="single" w:sz="8" w:space="0" w:color="7BA0CD"/>
        <w:bottom w:val="single" w:sz="8" w:space="0" w:color="7BA0CD"/>
        <w:right w:val="single" w:sz="8" w:space="0" w:color="7BA0CD"/>
        <w:insideH w:val="single" w:sz="8" w:space="0" w:color="7BA0CD"/>
      </w:tblBorders>
    </w:tblPr>
  </w:style>
  <w:style w:type="table" w:styleId="MediumShading1-Accent2">
    <w:name w:val="Medium Shading 1 Accent 2"/>
    <w:basedOn w:val="TableNormal"/>
    <w:uiPriority w:val="99"/>
    <w:semiHidden/>
    <w:tblPr>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MediumShading1-Accent3">
    <w:name w:val="Medium Shading 1 Accent 3"/>
    <w:basedOn w:val="TableNormal"/>
    <w:uiPriority w:val="99"/>
    <w:semiHidden/>
    <w:tblPr>
      <w:tblBorders>
        <w:top w:val="single" w:sz="8" w:space="0" w:color="B3CC82"/>
        <w:left w:val="single" w:sz="8" w:space="0" w:color="B3CC82"/>
        <w:bottom w:val="single" w:sz="8" w:space="0" w:color="B3CC82"/>
        <w:right w:val="single" w:sz="8" w:space="0" w:color="B3CC82"/>
        <w:insideH w:val="single" w:sz="8" w:space="0" w:color="B3CC82"/>
      </w:tblBorders>
    </w:tblPr>
  </w:style>
  <w:style w:type="table" w:styleId="MediumShading1-Accent4">
    <w:name w:val="Medium Shading 1 Accent 4"/>
    <w:basedOn w:val="TableNormal"/>
    <w:uiPriority w:val="99"/>
    <w:semiHidden/>
    <w:tblPr>
      <w:tblBorders>
        <w:top w:val="single" w:sz="8" w:space="0" w:color="9F8AB9"/>
        <w:left w:val="single" w:sz="8" w:space="0" w:color="9F8AB9"/>
        <w:bottom w:val="single" w:sz="8" w:space="0" w:color="9F8AB9"/>
        <w:right w:val="single" w:sz="8" w:space="0" w:color="9F8AB9"/>
        <w:insideH w:val="single" w:sz="8" w:space="0" w:color="9F8AB9"/>
      </w:tblBorders>
    </w:tblPr>
  </w:style>
  <w:style w:type="table" w:styleId="MediumShading1-Accent5">
    <w:name w:val="Medium Shading 1 Accent 5"/>
    <w:basedOn w:val="TableNormal"/>
    <w:uiPriority w:val="99"/>
    <w:semiHidden/>
    <w:tblPr>
      <w:tblBorders>
        <w:top w:val="single" w:sz="8" w:space="0" w:color="78C0D4"/>
        <w:left w:val="single" w:sz="8" w:space="0" w:color="78C0D4"/>
        <w:bottom w:val="single" w:sz="8" w:space="0" w:color="78C0D4"/>
        <w:right w:val="single" w:sz="8" w:space="0" w:color="78C0D4"/>
        <w:insideH w:val="single" w:sz="8" w:space="0" w:color="78C0D4"/>
      </w:tblBorders>
    </w:tblPr>
  </w:style>
  <w:style w:type="table" w:styleId="MediumShading1-Accent6">
    <w:name w:val="Medium Shading 1 Accent 6"/>
    <w:basedOn w:val="TableNormal"/>
    <w:uiPriority w:val="99"/>
    <w:semiHidden/>
    <w:tblPr>
      <w:tblBorders>
        <w:top w:val="single" w:sz="8" w:space="0" w:color="F9B074"/>
        <w:left w:val="single" w:sz="8" w:space="0" w:color="F9B074"/>
        <w:bottom w:val="single" w:sz="8" w:space="0" w:color="F9B074"/>
        <w:right w:val="single" w:sz="8" w:space="0" w:color="F9B074"/>
        <w:insideH w:val="single" w:sz="8" w:space="0" w:color="F9B074"/>
      </w:tblBorders>
    </w:tblPr>
  </w:style>
  <w:style w:type="table" w:styleId="MediumShading2">
    <w:name w:val="Medium Shading 2"/>
    <w:basedOn w:val="TableNormal"/>
    <w:uiPriority w:val="99"/>
    <w:semiHidden/>
    <w:tblPr>
      <w:tblBorders>
        <w:top w:val="single" w:sz="18" w:space="0" w:color="auto"/>
        <w:bottom w:val="single" w:sz="18" w:space="0" w:color="auto"/>
      </w:tblBorders>
    </w:tblPr>
  </w:style>
  <w:style w:type="table" w:styleId="MediumShading2-Accent1">
    <w:name w:val="Medium Shading 2 Accent 1"/>
    <w:basedOn w:val="TableNormal"/>
    <w:uiPriority w:val="99"/>
    <w:semiHidden/>
    <w:tblPr>
      <w:tblBorders>
        <w:top w:val="single" w:sz="18" w:space="0" w:color="auto"/>
        <w:bottom w:val="single" w:sz="18" w:space="0" w:color="auto"/>
      </w:tblBorders>
    </w:tblPr>
  </w:style>
  <w:style w:type="table" w:styleId="MediumShading2-Accent2">
    <w:name w:val="Medium Shading 2 Accent 2"/>
    <w:basedOn w:val="TableNormal"/>
    <w:uiPriority w:val="99"/>
    <w:semiHidden/>
    <w:tblPr>
      <w:tblBorders>
        <w:top w:val="single" w:sz="18" w:space="0" w:color="auto"/>
        <w:bottom w:val="single" w:sz="18" w:space="0" w:color="auto"/>
      </w:tblBorders>
    </w:tblPr>
  </w:style>
  <w:style w:type="table" w:styleId="MediumShading2-Accent3">
    <w:name w:val="Medium Shading 2 Accent 3"/>
    <w:basedOn w:val="TableNormal"/>
    <w:uiPriority w:val="99"/>
    <w:semiHidden/>
    <w:tblPr>
      <w:tblBorders>
        <w:top w:val="single" w:sz="18" w:space="0" w:color="auto"/>
        <w:bottom w:val="single" w:sz="18" w:space="0" w:color="auto"/>
      </w:tblBorders>
    </w:tblPr>
  </w:style>
  <w:style w:type="table" w:styleId="MediumShading2-Accent4">
    <w:name w:val="Medium Shading 2 Accent 4"/>
    <w:basedOn w:val="TableNormal"/>
    <w:uiPriority w:val="99"/>
    <w:semiHidden/>
    <w:tblPr>
      <w:tblBorders>
        <w:top w:val="single" w:sz="18" w:space="0" w:color="auto"/>
        <w:bottom w:val="single" w:sz="18" w:space="0" w:color="auto"/>
      </w:tblBorders>
    </w:tblPr>
  </w:style>
  <w:style w:type="table" w:styleId="MediumShading2-Accent5">
    <w:name w:val="Medium Shading 2 Accent 5"/>
    <w:basedOn w:val="TableNormal"/>
    <w:uiPriority w:val="99"/>
    <w:semiHidden/>
    <w:tblPr>
      <w:tblBorders>
        <w:top w:val="single" w:sz="18" w:space="0" w:color="auto"/>
        <w:bottom w:val="single" w:sz="18" w:space="0" w:color="auto"/>
      </w:tblBorders>
    </w:tblPr>
  </w:style>
  <w:style w:type="table" w:styleId="MediumShading2-Accent6">
    <w:name w:val="Medium Shading 2 Accent 6"/>
    <w:basedOn w:val="TableNormal"/>
    <w:uiPriority w:val="99"/>
    <w:semiHidden/>
    <w:tblPr>
      <w:tblBorders>
        <w:top w:val="single" w:sz="18" w:space="0" w:color="auto"/>
        <w:bottom w:val="single" w:sz="18" w:space="0" w:color="auto"/>
      </w:tblBorders>
    </w:tblPr>
  </w:style>
  <w:style w:type="table" w:styleId="MediumList1">
    <w:name w:val="Medium List 1"/>
    <w:basedOn w:val="TableNormal"/>
    <w:uiPriority w:val="99"/>
    <w:semiHidden/>
    <w:rPr>
      <w:color w:val="000000"/>
    </w:rPr>
    <w:tblPr>
      <w:tblBorders>
        <w:top w:val="single" w:sz="8" w:space="0" w:color="000000"/>
        <w:bottom w:val="single" w:sz="8" w:space="0" w:color="000000"/>
      </w:tblBorders>
    </w:tblPr>
  </w:style>
  <w:style w:type="table" w:styleId="MediumList1-Accent1">
    <w:name w:val="Medium List 1 Accent 1"/>
    <w:basedOn w:val="TableNormal"/>
    <w:uiPriority w:val="99"/>
    <w:semiHidden/>
    <w:rPr>
      <w:color w:val="000000"/>
    </w:rPr>
    <w:tblPr>
      <w:tblBorders>
        <w:top w:val="single" w:sz="8" w:space="0" w:color="4F81BD"/>
        <w:bottom w:val="single" w:sz="8" w:space="0" w:color="4F81BD"/>
      </w:tblBorders>
    </w:tblPr>
  </w:style>
  <w:style w:type="table" w:styleId="MediumList1-Accent2">
    <w:name w:val="Medium List 1 Accent 2"/>
    <w:basedOn w:val="TableNormal"/>
    <w:uiPriority w:val="99"/>
    <w:semiHidden/>
    <w:rPr>
      <w:color w:val="000000"/>
    </w:rPr>
    <w:tblPr>
      <w:tblBorders>
        <w:top w:val="single" w:sz="8" w:space="0" w:color="C0504D"/>
        <w:bottom w:val="single" w:sz="8" w:space="0" w:color="C0504D"/>
      </w:tblBorders>
    </w:tblPr>
  </w:style>
  <w:style w:type="table" w:styleId="MediumList1-Accent3">
    <w:name w:val="Medium List 1 Accent 3"/>
    <w:basedOn w:val="TableNormal"/>
    <w:uiPriority w:val="99"/>
    <w:semiHidden/>
    <w:rPr>
      <w:color w:val="000000"/>
    </w:rPr>
    <w:tblPr>
      <w:tblBorders>
        <w:top w:val="single" w:sz="8" w:space="0" w:color="9BBB59"/>
        <w:bottom w:val="single" w:sz="8" w:space="0" w:color="9BBB59"/>
      </w:tblBorders>
    </w:tblPr>
  </w:style>
  <w:style w:type="table" w:styleId="MediumList1-Accent4">
    <w:name w:val="Medium List 1 Accent 4"/>
    <w:basedOn w:val="TableNormal"/>
    <w:uiPriority w:val="99"/>
    <w:semiHidden/>
    <w:rPr>
      <w:color w:val="000000"/>
    </w:rPr>
    <w:tblPr>
      <w:tblBorders>
        <w:top w:val="single" w:sz="8" w:space="0" w:color="8064A2"/>
        <w:bottom w:val="single" w:sz="8" w:space="0" w:color="8064A2"/>
      </w:tblBorders>
    </w:tblPr>
  </w:style>
  <w:style w:type="table" w:styleId="MediumList1-Accent5">
    <w:name w:val="Medium List 1 Accent 5"/>
    <w:basedOn w:val="TableNormal"/>
    <w:uiPriority w:val="99"/>
    <w:semiHidden/>
    <w:rPr>
      <w:color w:val="000000"/>
    </w:rPr>
    <w:tblPr>
      <w:tblBorders>
        <w:top w:val="single" w:sz="8" w:space="0" w:color="4BACC6"/>
        <w:bottom w:val="single" w:sz="8" w:space="0" w:color="4BACC6"/>
      </w:tblBorders>
    </w:tblPr>
  </w:style>
  <w:style w:type="table" w:styleId="MediumList1-Accent6">
    <w:name w:val="Medium List 1 Accent 6"/>
    <w:basedOn w:val="TableNormal"/>
    <w:uiPriority w:val="99"/>
    <w:semiHidden/>
    <w:rPr>
      <w:color w:val="000000"/>
    </w:rPr>
    <w:tblPr>
      <w:tblBorders>
        <w:top w:val="single" w:sz="8" w:space="0" w:color="F79646"/>
        <w:bottom w:val="single" w:sz="8" w:space="0" w:color="F79646"/>
      </w:tblBorders>
    </w:tblPr>
  </w:style>
  <w:style w:type="table" w:styleId="MediumList2">
    <w:name w:val="Medium List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color w:val="000000"/>
    </w:rPr>
    <w:tblPr>
      <w:tblBorders>
        <w:top w:val="single" w:sz="8" w:space="0" w:color="4F81BD"/>
        <w:left w:val="single" w:sz="8" w:space="0" w:color="4F81BD"/>
        <w:bottom w:val="single" w:sz="8" w:space="0" w:color="4F81BD"/>
        <w:right w:val="single" w:sz="8" w:space="0" w:color="4F81BD"/>
      </w:tblBorders>
    </w:tblPr>
  </w:style>
  <w:style w:type="table" w:styleId="MediumList2-Accent2">
    <w:name w:val="Medium List 2 Accent 2"/>
    <w:basedOn w:val="TableNormal"/>
    <w:uiPriority w:val="99"/>
    <w:semiHidden/>
    <w:rPr>
      <w:color w:val="000000"/>
    </w:rPr>
    <w:tblPr>
      <w:tblBorders>
        <w:top w:val="single" w:sz="8" w:space="0" w:color="C0504D"/>
        <w:left w:val="single" w:sz="8" w:space="0" w:color="C0504D"/>
        <w:bottom w:val="single" w:sz="8" w:space="0" w:color="C0504D"/>
        <w:right w:val="single" w:sz="8" w:space="0" w:color="C0504D"/>
      </w:tblBorders>
    </w:tblPr>
  </w:style>
  <w:style w:type="table" w:styleId="MediumList2-Accent3">
    <w:name w:val="Medium List 2 Accent 3"/>
    <w:basedOn w:val="TableNormal"/>
    <w:uiPriority w:val="99"/>
    <w:semiHidden/>
    <w:rPr>
      <w:color w:val="000000"/>
    </w:rPr>
    <w:tblPr>
      <w:tblBorders>
        <w:top w:val="single" w:sz="8" w:space="0" w:color="9BBB59"/>
        <w:left w:val="single" w:sz="8" w:space="0" w:color="9BBB59"/>
        <w:bottom w:val="single" w:sz="8" w:space="0" w:color="9BBB59"/>
        <w:right w:val="single" w:sz="8" w:space="0" w:color="9BBB59"/>
      </w:tblBorders>
    </w:tblPr>
  </w:style>
  <w:style w:type="table" w:styleId="MediumList2-Accent4">
    <w:name w:val="Medium List 2 Accent 4"/>
    <w:basedOn w:val="TableNormal"/>
    <w:uiPriority w:val="99"/>
    <w:semiHidden/>
    <w:rPr>
      <w:color w:val="000000"/>
    </w:rPr>
    <w:tblPr>
      <w:tblBorders>
        <w:top w:val="single" w:sz="8" w:space="0" w:color="8064A2"/>
        <w:left w:val="single" w:sz="8" w:space="0" w:color="8064A2"/>
        <w:bottom w:val="single" w:sz="8" w:space="0" w:color="8064A2"/>
        <w:right w:val="single" w:sz="8" w:space="0" w:color="8064A2"/>
      </w:tblBorders>
    </w:tblPr>
  </w:style>
  <w:style w:type="table" w:styleId="MediumList2-Accent5">
    <w:name w:val="Medium List 2 Accent 5"/>
    <w:basedOn w:val="TableNormal"/>
    <w:uiPriority w:val="99"/>
    <w:semiHidden/>
    <w:rPr>
      <w:color w:val="000000"/>
    </w:rPr>
    <w:tblPr>
      <w:tblBorders>
        <w:top w:val="single" w:sz="8" w:space="0" w:color="4BACC6"/>
        <w:left w:val="single" w:sz="8" w:space="0" w:color="4BACC6"/>
        <w:bottom w:val="single" w:sz="8" w:space="0" w:color="4BACC6"/>
        <w:right w:val="single" w:sz="8" w:space="0" w:color="4BACC6"/>
      </w:tblBorders>
    </w:tblPr>
  </w:style>
  <w:style w:type="table" w:styleId="MediumList2-Accent6">
    <w:name w:val="Medium List 2 Accent 6"/>
    <w:basedOn w:val="TableNormal"/>
    <w:uiPriority w:val="99"/>
    <w:semiHidden/>
    <w:rPr>
      <w:color w:val="000000"/>
    </w:rPr>
    <w:tblPr>
      <w:tblBorders>
        <w:top w:val="single" w:sz="8" w:space="0" w:color="F79646"/>
        <w:left w:val="single" w:sz="8" w:space="0" w:color="F79646"/>
        <w:bottom w:val="single" w:sz="8" w:space="0" w:color="F79646"/>
        <w:right w:val="single" w:sz="8" w:space="0" w:color="F79646"/>
      </w:tblBorders>
    </w:tblPr>
  </w:style>
  <w:style w:type="table" w:styleId="MediumGrid1">
    <w:name w:val="Medium Grid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style>
  <w:style w:type="table" w:styleId="MediumGrid1-Accent2">
    <w:name w:val="Medium Grid 1 Accent 2"/>
    <w:basedOn w:val="TableNormal"/>
    <w:uiPriority w:val="99"/>
    <w:semiHidden/>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style>
  <w:style w:type="table" w:styleId="MediumGrid1-Accent3">
    <w:name w:val="Medium Grid 1 Accent 3"/>
    <w:basedOn w:val="TableNormal"/>
    <w:uiPriority w:val="99"/>
    <w:semiHidden/>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style>
  <w:style w:type="table" w:styleId="MediumGrid1-Accent4">
    <w:name w:val="Medium Grid 1 Accent 4"/>
    <w:basedOn w:val="TableNormal"/>
    <w:uiPriority w:val="99"/>
    <w:semiHidden/>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style>
  <w:style w:type="table" w:styleId="MediumGrid1-Accent5">
    <w:name w:val="Medium Grid 1 Accent 5"/>
    <w:basedOn w:val="TableNormal"/>
    <w:uiPriority w:val="99"/>
    <w:semiHidden/>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style>
  <w:style w:type="table" w:styleId="MediumGrid1-Accent6">
    <w:name w:val="Medium Grid 1 Accent 6"/>
    <w:basedOn w:val="TableNormal"/>
    <w:uiPriority w:val="99"/>
    <w:semiHidden/>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style>
  <w:style w:type="table" w:styleId="MediumGrid2">
    <w:name w:val="Medium Grid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style>
  <w:style w:type="table" w:styleId="MediumGrid2-Accent2">
    <w:name w:val="Medium Grid 2 Accent 2"/>
    <w:basedOn w:val="TableNormal"/>
    <w:uiPriority w:val="99"/>
    <w:semiHidden/>
    <w:rPr>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style>
  <w:style w:type="table" w:styleId="MediumGrid2-Accent3">
    <w:name w:val="Medium Grid 2 Accent 3"/>
    <w:basedOn w:val="TableNormal"/>
    <w:uiPriority w:val="99"/>
    <w:semiHidden/>
    <w:rPr>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style>
  <w:style w:type="table" w:styleId="MediumGrid2-Accent4">
    <w:name w:val="Medium Grid 2 Accent 4"/>
    <w:basedOn w:val="TableNormal"/>
    <w:uiPriority w:val="99"/>
    <w:semiHidden/>
    <w:rPr>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style>
  <w:style w:type="table" w:styleId="MediumGrid2-Accent5">
    <w:name w:val="Medium Grid 2 Accent 5"/>
    <w:basedOn w:val="TableNormal"/>
    <w:uiPriority w:val="99"/>
    <w:semiHidden/>
    <w:rPr>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style>
  <w:style w:type="table" w:styleId="MediumGrid2-Accent6">
    <w:name w:val="Medium Grid 2 Accent 6"/>
    <w:basedOn w:val="TableNormal"/>
    <w:uiPriority w:val="99"/>
    <w:semiHidden/>
    <w:rPr>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style>
  <w:style w:type="table" w:styleId="MediumGrid3">
    <w:name w:val="Medium Grid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style>
  <w:style w:type="table" w:styleId="MediumGrid3-Accent2">
    <w:name w:val="Medium Grid 3 Accent 2"/>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style>
  <w:style w:type="table" w:styleId="MediumGrid3-Accent3">
    <w:name w:val="Medium Grid 3 Accent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style>
  <w:style w:type="table" w:styleId="MediumGrid3-Accent4">
    <w:name w:val="Medium Grid 3 Accent 4"/>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style>
  <w:style w:type="table" w:styleId="MediumGrid3-Accent5">
    <w:name w:val="Medium Grid 3 Accent 5"/>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style>
  <w:style w:type="table" w:styleId="MediumGrid3-Accent6">
    <w:name w:val="Medium Grid 3 Accent 6"/>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style>
  <w:style w:type="table" w:styleId="DarkList">
    <w:name w:val="Dark List"/>
    <w:basedOn w:val="TableNormal"/>
    <w:uiPriority w:val="99"/>
    <w:semiHidden/>
    <w:rPr>
      <w:color w:val="FFFFFF"/>
    </w:rPr>
    <w:tblPr/>
    <w:tcPr>
      <w:shd w:val="clear" w:color="auto" w:fill="000000"/>
    </w:tcPr>
  </w:style>
  <w:style w:type="table" w:styleId="DarkList-Accent1">
    <w:name w:val="Dark List Accent 1"/>
    <w:basedOn w:val="TableNormal"/>
    <w:uiPriority w:val="99"/>
    <w:semiHidden/>
    <w:rPr>
      <w:color w:val="FFFFFF"/>
    </w:rPr>
    <w:tblPr/>
    <w:tcPr>
      <w:shd w:val="clear" w:color="auto" w:fill="4F81BD"/>
    </w:tcPr>
  </w:style>
  <w:style w:type="table" w:styleId="DarkList-Accent2">
    <w:name w:val="Dark List Accent 2"/>
    <w:basedOn w:val="TableNormal"/>
    <w:uiPriority w:val="99"/>
    <w:semiHidden/>
    <w:rPr>
      <w:color w:val="FFFFFF"/>
    </w:rPr>
    <w:tblPr/>
    <w:tcPr>
      <w:shd w:val="clear" w:color="auto" w:fill="C0504D"/>
    </w:tcPr>
  </w:style>
  <w:style w:type="table" w:styleId="DarkList-Accent3">
    <w:name w:val="Dark List Accent 3"/>
    <w:basedOn w:val="TableNormal"/>
    <w:uiPriority w:val="99"/>
    <w:semiHidden/>
    <w:rPr>
      <w:color w:val="FFFFFF"/>
    </w:rPr>
    <w:tblPr/>
    <w:tcPr>
      <w:shd w:val="clear" w:color="auto" w:fill="9BBB59"/>
    </w:tcPr>
  </w:style>
  <w:style w:type="table" w:styleId="DarkList-Accent4">
    <w:name w:val="Dark List Accent 4"/>
    <w:basedOn w:val="TableNormal"/>
    <w:uiPriority w:val="99"/>
    <w:semiHidden/>
    <w:rPr>
      <w:color w:val="FFFFFF"/>
    </w:rPr>
    <w:tblPr/>
    <w:tcPr>
      <w:shd w:val="clear" w:color="auto" w:fill="8064A2"/>
    </w:tcPr>
  </w:style>
  <w:style w:type="table" w:styleId="DarkList-Accent5">
    <w:name w:val="Dark List Accent 5"/>
    <w:basedOn w:val="TableNormal"/>
    <w:uiPriority w:val="99"/>
    <w:semiHidden/>
    <w:rPr>
      <w:color w:val="FFFFFF"/>
    </w:rPr>
    <w:tblPr/>
    <w:tcPr>
      <w:shd w:val="clear" w:color="auto" w:fill="4BACC6"/>
    </w:tcPr>
  </w:style>
  <w:style w:type="table" w:styleId="DarkList-Accent6">
    <w:name w:val="Dark List Accent 6"/>
    <w:basedOn w:val="TableNormal"/>
    <w:uiPriority w:val="99"/>
    <w:semiHidden/>
    <w:rPr>
      <w:color w:val="FFFFFF"/>
    </w:rPr>
    <w:tblPr/>
    <w:tcPr>
      <w:shd w:val="clear" w:color="auto" w:fill="F79646"/>
    </w:tcPr>
  </w:style>
  <w:style w:type="table" w:styleId="ColorfulShading">
    <w:name w:val="Colorful Shading"/>
    <w:basedOn w:val="TableNormal"/>
    <w:uiPriority w:val="99"/>
    <w:semiHidden/>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style>
  <w:style w:type="table" w:styleId="ColorfulShading-Accent2">
    <w:name w:val="Colorful Shading Accent 2"/>
    <w:basedOn w:val="TableNormal"/>
    <w:uiPriority w:val="99"/>
    <w:semiHidden/>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style>
  <w:style w:type="table" w:styleId="ColorfulShading-Accent3">
    <w:name w:val="Colorful Shading Accent 3"/>
    <w:basedOn w:val="TableNormal"/>
    <w:uiPriority w:val="99"/>
    <w:semiHidden/>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style>
  <w:style w:type="table" w:styleId="ColorfulShading-Accent4">
    <w:name w:val="Colorful Shading Accent 4"/>
    <w:basedOn w:val="TableNormal"/>
    <w:uiPriority w:val="99"/>
    <w:semiHidden/>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style>
  <w:style w:type="table" w:styleId="ColorfulShading-Accent5">
    <w:name w:val="Colorful Shading Accent 5"/>
    <w:basedOn w:val="TableNormal"/>
    <w:uiPriority w:val="99"/>
    <w:semiHidden/>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style>
  <w:style w:type="table" w:styleId="ColorfulShading-Accent6">
    <w:name w:val="Colorful Shading Accent 6"/>
    <w:basedOn w:val="TableNormal"/>
    <w:uiPriority w:val="99"/>
    <w:semiHidden/>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style>
  <w:style w:type="table" w:styleId="ColorfulList">
    <w:name w:val="Colorful List"/>
    <w:basedOn w:val="TableNormal"/>
    <w:uiPriority w:val="99"/>
    <w:semiHidden/>
    <w:rPr>
      <w:color w:val="000000"/>
    </w:rPr>
    <w:tblPr/>
    <w:tcPr>
      <w:shd w:val="clear" w:color="auto" w:fill="E6E6E6"/>
    </w:tcPr>
  </w:style>
  <w:style w:type="table" w:styleId="ColorfulList-Accent1">
    <w:name w:val="Colorful List Accent 1"/>
    <w:basedOn w:val="TableNormal"/>
    <w:uiPriority w:val="99"/>
    <w:semiHidden/>
    <w:rPr>
      <w:color w:val="000000"/>
    </w:rPr>
    <w:tblPr/>
    <w:tcPr>
      <w:shd w:val="clear" w:color="auto" w:fill="EDF2F8"/>
    </w:tcPr>
  </w:style>
  <w:style w:type="table" w:styleId="ColorfulList-Accent2">
    <w:name w:val="Colorful List Accent 2"/>
    <w:basedOn w:val="TableNormal"/>
    <w:uiPriority w:val="99"/>
    <w:semiHidden/>
    <w:rPr>
      <w:color w:val="000000"/>
    </w:rPr>
    <w:tblPr/>
    <w:tcPr>
      <w:shd w:val="clear" w:color="auto" w:fill="F8EDED"/>
    </w:tcPr>
  </w:style>
  <w:style w:type="table" w:styleId="ColorfulList-Accent3">
    <w:name w:val="Colorful List Accent 3"/>
    <w:basedOn w:val="TableNormal"/>
    <w:uiPriority w:val="99"/>
    <w:semiHidden/>
    <w:rPr>
      <w:color w:val="000000"/>
    </w:rPr>
    <w:tblPr/>
    <w:tcPr>
      <w:shd w:val="clear" w:color="auto" w:fill="F5F8EE"/>
    </w:tcPr>
  </w:style>
  <w:style w:type="table" w:styleId="ColorfulList-Accent4">
    <w:name w:val="Colorful List Accent 4"/>
    <w:basedOn w:val="TableNormal"/>
    <w:uiPriority w:val="99"/>
    <w:semiHidden/>
    <w:rPr>
      <w:color w:val="000000"/>
    </w:rPr>
    <w:tblPr/>
    <w:tcPr>
      <w:shd w:val="clear" w:color="auto" w:fill="F2EFF6"/>
    </w:tcPr>
  </w:style>
  <w:style w:type="table" w:styleId="ColorfulList-Accent5">
    <w:name w:val="Colorful List Accent 5"/>
    <w:basedOn w:val="TableNormal"/>
    <w:uiPriority w:val="99"/>
    <w:semiHidden/>
    <w:rPr>
      <w:color w:val="000000"/>
    </w:rPr>
    <w:tblPr/>
    <w:tcPr>
      <w:shd w:val="clear" w:color="auto" w:fill="EDF6F9"/>
    </w:tcPr>
  </w:style>
  <w:style w:type="table" w:styleId="ColorfulList-Accent6">
    <w:name w:val="Colorful List Accent 6"/>
    <w:basedOn w:val="TableNormal"/>
    <w:uiPriority w:val="99"/>
    <w:semiHidden/>
    <w:rPr>
      <w:color w:val="000000"/>
    </w:rPr>
    <w:tblPr/>
    <w:tcPr>
      <w:shd w:val="clear" w:color="auto" w:fill="FEF4EC"/>
    </w:tcPr>
  </w:style>
  <w:style w:type="table" w:styleId="ColorfulGrid">
    <w:name w:val="Colorful Grid"/>
    <w:basedOn w:val="TableNormal"/>
    <w:uiPriority w:val="99"/>
    <w:semiHidden/>
    <w:rPr>
      <w:color w:val="00000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color w:val="000000"/>
    </w:rPr>
    <w:tblPr>
      <w:tblBorders>
        <w:insideH w:val="single" w:sz="4" w:space="0" w:color="FFFFFF"/>
      </w:tblBorders>
    </w:tblPr>
    <w:tcPr>
      <w:shd w:val="clear" w:color="auto" w:fill="DBE5F1"/>
    </w:tcPr>
  </w:style>
  <w:style w:type="table" w:styleId="ColorfulGrid-Accent2">
    <w:name w:val="Colorful Grid Accent 2"/>
    <w:basedOn w:val="TableNormal"/>
    <w:uiPriority w:val="99"/>
    <w:semiHidden/>
    <w:rPr>
      <w:color w:val="000000"/>
    </w:rPr>
    <w:tblPr>
      <w:tblBorders>
        <w:insideH w:val="single" w:sz="4" w:space="0" w:color="FFFFFF"/>
      </w:tblBorders>
    </w:tblPr>
    <w:tcPr>
      <w:shd w:val="clear" w:color="auto" w:fill="F2DBDB"/>
    </w:tcPr>
  </w:style>
  <w:style w:type="table" w:styleId="ColorfulGrid-Accent3">
    <w:name w:val="Colorful Grid Accent 3"/>
    <w:basedOn w:val="TableNormal"/>
    <w:uiPriority w:val="99"/>
    <w:semiHidden/>
    <w:rPr>
      <w:color w:val="000000"/>
    </w:rPr>
    <w:tblPr>
      <w:tblBorders>
        <w:insideH w:val="single" w:sz="4" w:space="0" w:color="FFFFFF"/>
      </w:tblBorders>
    </w:tblPr>
    <w:tcPr>
      <w:shd w:val="clear" w:color="auto" w:fill="EAF1DD"/>
    </w:tcPr>
  </w:style>
  <w:style w:type="table" w:styleId="ColorfulGrid-Accent4">
    <w:name w:val="Colorful Grid Accent 4"/>
    <w:basedOn w:val="TableNormal"/>
    <w:uiPriority w:val="99"/>
    <w:semiHidden/>
    <w:rPr>
      <w:color w:val="000000"/>
    </w:rPr>
    <w:tblPr>
      <w:tblBorders>
        <w:insideH w:val="single" w:sz="4" w:space="0" w:color="FFFFFF"/>
      </w:tblBorders>
    </w:tblPr>
    <w:tcPr>
      <w:shd w:val="clear" w:color="auto" w:fill="E5DFEC"/>
    </w:tcPr>
  </w:style>
  <w:style w:type="table" w:styleId="ColorfulGrid-Accent5">
    <w:name w:val="Colorful Grid Accent 5"/>
    <w:basedOn w:val="TableNormal"/>
    <w:uiPriority w:val="99"/>
    <w:semiHidden/>
    <w:rPr>
      <w:color w:val="000000"/>
    </w:rPr>
    <w:tblPr>
      <w:tblBorders>
        <w:insideH w:val="single" w:sz="4" w:space="0" w:color="FFFFFF"/>
      </w:tblBorders>
    </w:tblPr>
    <w:tcPr>
      <w:shd w:val="clear" w:color="auto" w:fill="DAEEF3"/>
    </w:tcPr>
  </w:style>
  <w:style w:type="table" w:styleId="ColorfulGrid-Accent6">
    <w:name w:val="Colorful Grid Accent 6"/>
    <w:basedOn w:val="TableNormal"/>
    <w:uiPriority w:val="99"/>
    <w:semiHidden/>
    <w:rPr>
      <w:color w:val="000000"/>
    </w:rPr>
    <w:tblPr>
      <w:tblBorders>
        <w:insideH w:val="single" w:sz="4" w:space="0" w:color="FFFFFF"/>
      </w:tblBorders>
    </w:tblPr>
    <w:tcPr>
      <w:shd w:val="clear" w:color="auto" w:fill="FDE9D9"/>
    </w:tcPr>
  </w:style>
  <w:style w:type="character" w:styleId="Strong">
    <w:name w:val="Strong"/>
    <w:uiPriority w:val="99"/>
    <w:qFormat/>
    <w:rPr>
      <w:rFonts w:cs="Times New Roman"/>
      <w:b/>
      <w:bCs/>
      <w:lang w:val="en-GB"/>
    </w:rPr>
  </w:style>
  <w:style w:type="character" w:styleId="EndnoteReference">
    <w:name w:val="endnote reference"/>
    <w:uiPriority w:val="99"/>
    <w:semiHidden/>
    <w:rPr>
      <w:rFonts w:cs="Times New Roman"/>
      <w:vertAlign w:val="superscript"/>
      <w:lang w:val="en-GB"/>
    </w:rPr>
  </w:style>
  <w:style w:type="character" w:styleId="PageNumber">
    <w:name w:val="page number"/>
    <w:uiPriority w:val="99"/>
    <w:rPr>
      <w:rFonts w:ascii="Times New Roman" w:hAnsi="Times New Roman" w:cs="Times New Roman"/>
      <w:sz w:val="22"/>
      <w:lang w:val="en-GB"/>
    </w:rPr>
  </w:style>
  <w:style w:type="character" w:styleId="FollowedHyperlink">
    <w:name w:val="FollowedHyperlink"/>
    <w:uiPriority w:val="99"/>
    <w:rPr>
      <w:rFonts w:cs="Times New Roman"/>
      <w:color w:val="800080"/>
      <w:u w:val="single"/>
      <w:lang w:val="en-GB"/>
    </w:rPr>
  </w:style>
  <w:style w:type="character" w:styleId="Emphasis">
    <w:name w:val="Emphasis"/>
    <w:uiPriority w:val="99"/>
    <w:qFormat/>
    <w:rPr>
      <w:rFonts w:cs="Times New Roman"/>
      <w:i/>
      <w:iCs/>
      <w:lang w:val="en-GB"/>
    </w:rPr>
  </w:style>
  <w:style w:type="character" w:styleId="LineNumber">
    <w:name w:val="line number"/>
    <w:uiPriority w:val="99"/>
    <w:semiHidden/>
    <w:rPr>
      <w:rFonts w:cs="Times New Roman"/>
      <w:lang w:val="en-GB"/>
    </w:rPr>
  </w:style>
  <w:style w:type="character" w:styleId="HTMLDefinition">
    <w:name w:val="HTML Definition"/>
    <w:uiPriority w:val="99"/>
    <w:semiHidden/>
    <w:rPr>
      <w:rFonts w:cs="Times New Roman"/>
      <w:i/>
      <w:iCs/>
      <w:lang w:val="en-GB"/>
    </w:rPr>
  </w:style>
  <w:style w:type="character" w:styleId="HTMLTypewriter">
    <w:name w:val="HTML Typewriter"/>
    <w:uiPriority w:val="99"/>
    <w:semiHidden/>
    <w:rPr>
      <w:rFonts w:ascii="Times New Roman" w:hAnsi="Times New Roman" w:cs="Times New Roman"/>
      <w:sz w:val="20"/>
      <w:szCs w:val="20"/>
      <w:lang w:val="en-GB"/>
    </w:rPr>
  </w:style>
  <w:style w:type="character" w:styleId="HTMLAcronym">
    <w:name w:val="HTML Acronym"/>
    <w:uiPriority w:val="99"/>
    <w:semiHidden/>
    <w:rPr>
      <w:rFonts w:cs="Times New Roman"/>
      <w:lang w:val="en-GB"/>
    </w:rPr>
  </w:style>
  <w:style w:type="character" w:styleId="HTMLVariable">
    <w:name w:val="HTML Variable"/>
    <w:uiPriority w:val="99"/>
    <w:semiHidden/>
    <w:rPr>
      <w:rFonts w:cs="Times New Roman"/>
      <w:i/>
      <w:iCs/>
      <w:lang w:val="en-GB"/>
    </w:rPr>
  </w:style>
  <w:style w:type="character" w:styleId="Hyperlink">
    <w:name w:val="Hyperlink"/>
    <w:uiPriority w:val="99"/>
    <w:rPr>
      <w:rFonts w:ascii="Times New Roman" w:hAnsi="Times New Roman" w:cs="Times New Roman"/>
      <w:color w:val="0000FF"/>
      <w:u w:val="single"/>
      <w:lang w:val="en-GB"/>
    </w:rPr>
  </w:style>
  <w:style w:type="character" w:styleId="HTMLCode">
    <w:name w:val="HTML Code"/>
    <w:uiPriority w:val="99"/>
    <w:semiHidden/>
    <w:rPr>
      <w:rFonts w:ascii="Times New Roman" w:hAnsi="Times New Roman" w:cs="Times New Roman"/>
      <w:sz w:val="20"/>
      <w:szCs w:val="20"/>
      <w:lang w:val="en-GB"/>
    </w:rPr>
  </w:style>
  <w:style w:type="character" w:styleId="CommentReference">
    <w:name w:val="annotation reference"/>
    <w:uiPriority w:val="99"/>
    <w:semiHidden/>
    <w:rPr>
      <w:rFonts w:cs="Times New Roman"/>
      <w:sz w:val="16"/>
      <w:szCs w:val="16"/>
      <w:lang w:val="en-GB"/>
    </w:rPr>
  </w:style>
  <w:style w:type="character" w:styleId="HTMLCite">
    <w:name w:val="HTML Cite"/>
    <w:uiPriority w:val="99"/>
    <w:semiHidden/>
    <w:locked/>
    <w:rPr>
      <w:rFonts w:eastAsia="SimSun" w:cs="Times New Roman"/>
      <w:snapToGrid w:val="0"/>
      <w:sz w:val="22"/>
      <w:szCs w:val="22"/>
      <w:u w:val="single"/>
      <w:lang w:val="en-GB" w:bidi="ar-SA"/>
    </w:rPr>
  </w:style>
  <w:style w:type="character" w:styleId="FootnoteReference">
    <w:name w:val="footnote reference"/>
    <w:uiPriority w:val="99"/>
    <w:locked/>
    <w:rPr>
      <w:rFonts w:cs="Times New Roman"/>
      <w:vertAlign w:val="superscript"/>
      <w:lang w:val="en-GB"/>
    </w:rPr>
  </w:style>
  <w:style w:type="paragraph" w:customStyle="1" w:styleId="BVIfnrChar">
    <w:name w:val="BVI fnr Char"/>
    <w:basedOn w:val="Normal"/>
    <w:uiPriority w:val="99"/>
    <w:pPr>
      <w:spacing w:after="160" w:line="240" w:lineRule="exact"/>
      <w:jc w:val="left"/>
    </w:pPr>
    <w:rPr>
      <w:sz w:val="24"/>
      <w:szCs w:val="24"/>
      <w:vertAlign w:val="superscript"/>
    </w:rPr>
  </w:style>
  <w:style w:type="character" w:styleId="HTMLKeyboard">
    <w:name w:val="HTML Keyboard"/>
    <w:uiPriority w:val="99"/>
    <w:semiHidden/>
    <w:locked/>
    <w:rPr>
      <w:rFonts w:ascii="Times New Roman" w:hAnsi="Times New Roman" w:cs="Times New Roman"/>
      <w:sz w:val="20"/>
      <w:szCs w:val="20"/>
      <w:lang w:val="en-GB"/>
    </w:rPr>
  </w:style>
  <w:style w:type="character" w:styleId="HTMLSample">
    <w:name w:val="HTML Sample"/>
    <w:uiPriority w:val="99"/>
    <w:semiHidden/>
    <w:rPr>
      <w:rFonts w:ascii="Times New Roman" w:hAnsi="Times New Roman" w:cs="Times New Roman"/>
      <w:sz w:val="24"/>
      <w:szCs w:val="24"/>
      <w:lang w:val="en-GB"/>
    </w:rPr>
  </w:style>
  <w:style w:type="character" w:styleId="PlaceholderText">
    <w:name w:val="Placeholder Text"/>
    <w:uiPriority w:val="99"/>
    <w:semiHidden/>
    <w:rPr>
      <w:rFonts w:cs="Times New Roman"/>
      <w:color w:val="808080"/>
      <w:lang w:val="en-GB"/>
    </w:rPr>
  </w:style>
  <w:style w:type="paragraph" w:customStyle="1" w:styleId="meetingname">
    <w:name w:val="meeting name"/>
    <w:basedOn w:val="Normal"/>
    <w:uiPriority w:val="99"/>
    <w:pPr>
      <w:ind w:left="142" w:right="4218" w:hanging="142"/>
    </w:pPr>
    <w:rPr>
      <w:caps/>
    </w:rPr>
  </w:style>
  <w:style w:type="paragraph" w:customStyle="1" w:styleId="Cornernotation">
    <w:name w:val="Corner notation"/>
    <w:basedOn w:val="Normal"/>
    <w:uiPriority w:val="99"/>
    <w:pPr>
      <w:ind w:left="170" w:right="3119" w:hanging="170"/>
      <w:jc w:val="left"/>
    </w:pPr>
  </w:style>
  <w:style w:type="paragraph" w:customStyle="1" w:styleId="HEADING">
    <w:name w:val="HEADING"/>
    <w:basedOn w:val="Normal"/>
    <w:uiPriority w:val="99"/>
    <w:pPr>
      <w:keepNext/>
      <w:spacing w:before="240" w:after="120"/>
      <w:jc w:val="center"/>
    </w:pPr>
    <w:rPr>
      <w:b/>
      <w:bCs/>
      <w:caps/>
    </w:rPr>
  </w:style>
  <w:style w:type="paragraph" w:customStyle="1" w:styleId="HEADINGNOTFORTOC">
    <w:name w:val="HEADING (NOT FOR TOC)"/>
    <w:basedOn w:val="Heading1"/>
    <w:next w:val="Heading2"/>
    <w:uiPriority w:val="99"/>
  </w:style>
  <w:style w:type="paragraph" w:customStyle="1" w:styleId="Heading1longmultiline">
    <w:name w:val="Heading 1 (long multiline)"/>
    <w:basedOn w:val="Heading1"/>
    <w:uiPriority w:val="99"/>
    <w:pPr>
      <w:ind w:left="1843" w:hanging="1134"/>
    </w:pPr>
  </w:style>
  <w:style w:type="paragraph" w:customStyle="1" w:styleId="Heading1multiline">
    <w:name w:val="Heading 1 (multiline)"/>
    <w:basedOn w:val="Heading1"/>
    <w:uiPriority w:val="99"/>
    <w:pPr>
      <w:ind w:left="1843" w:right="996"/>
    </w:pPr>
  </w:style>
  <w:style w:type="paragraph" w:customStyle="1" w:styleId="Heading2multiline">
    <w:name w:val="Heading 2 (multiline)"/>
    <w:basedOn w:val="Heading1"/>
    <w:next w:val="Normal"/>
    <w:uiPriority w:val="99"/>
    <w:pPr>
      <w:spacing w:before="120"/>
      <w:ind w:left="1843" w:right="998"/>
    </w:pPr>
    <w:rPr>
      <w:i/>
      <w:iCs/>
      <w:caps/>
    </w:rPr>
  </w:style>
  <w:style w:type="paragraph" w:customStyle="1" w:styleId="Heading2longmultiline">
    <w:name w:val="Heading 2 (long multiline)"/>
    <w:basedOn w:val="Heading2multiline"/>
    <w:uiPriority w:val="99"/>
    <w:pPr>
      <w:ind w:left="2127" w:hanging="1276"/>
    </w:pPr>
  </w:style>
  <w:style w:type="paragraph" w:customStyle="1" w:styleId="heading2notforTOC">
    <w:name w:val="heading 2 not for TOC"/>
    <w:basedOn w:val="Heading3"/>
    <w:uiPriority w:val="99"/>
  </w:style>
  <w:style w:type="paragraph" w:customStyle="1" w:styleId="Heading3multiline">
    <w:name w:val="Heading 3 (multiline)"/>
    <w:basedOn w:val="Heading3"/>
    <w:next w:val="Normal"/>
    <w:uiPriority w:val="99"/>
    <w:pPr>
      <w:ind w:left="1418" w:hanging="425"/>
    </w:pPr>
  </w:style>
  <w:style w:type="paragraph" w:customStyle="1" w:styleId="Heading4indent">
    <w:name w:val="Heading 4 indent"/>
    <w:basedOn w:val="Heading4"/>
    <w:uiPriority w:val="99"/>
    <w:pPr>
      <w:ind w:left="720"/>
      <w:outlineLvl w:val="9"/>
    </w:pPr>
  </w:style>
  <w:style w:type="paragraph" w:customStyle="1" w:styleId="Para1">
    <w:name w:val="Para1"/>
    <w:basedOn w:val="Normal"/>
    <w:uiPriority w:val="99"/>
    <w:pPr>
      <w:numPr>
        <w:numId w:val="13"/>
      </w:numPr>
      <w:tabs>
        <w:tab w:val="clear" w:pos="360"/>
      </w:tabs>
      <w:spacing w:before="120" w:after="120"/>
      <w:ind w:left="567"/>
    </w:pPr>
    <w:rPr>
      <w:szCs w:val="18"/>
    </w:rPr>
  </w:style>
  <w:style w:type="paragraph" w:customStyle="1" w:styleId="Para2">
    <w:name w:val="Para2"/>
    <w:basedOn w:val="Para1"/>
    <w:uiPriority w:val="99"/>
    <w:pPr>
      <w:numPr>
        <w:numId w:val="0"/>
      </w:numPr>
      <w:tabs>
        <w:tab w:val="clear" w:pos="360"/>
      </w:tabs>
      <w:autoSpaceDE w:val="0"/>
      <w:autoSpaceDN w:val="0"/>
    </w:pPr>
  </w:style>
  <w:style w:type="paragraph" w:customStyle="1" w:styleId="Para3">
    <w:name w:val="Para3"/>
    <w:basedOn w:val="Normal"/>
    <w:uiPriority w:val="99"/>
    <w:pPr>
      <w:numPr>
        <w:ilvl w:val="3"/>
        <w:numId w:val="14"/>
      </w:numPr>
      <w:tabs>
        <w:tab w:val="left" w:pos="1980"/>
      </w:tabs>
      <w:spacing w:before="80" w:after="80"/>
    </w:pPr>
    <w:rPr>
      <w:szCs w:val="20"/>
    </w:rPr>
  </w:style>
  <w:style w:type="paragraph" w:customStyle="1" w:styleId="para4">
    <w:name w:val="para4"/>
    <w:basedOn w:val="Normal"/>
    <w:uiPriority w:val="99"/>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pPr>
      <w:spacing w:before="120" w:after="120"/>
      <w:ind w:left="720" w:right="720"/>
    </w:pPr>
    <w:rPr>
      <w:bCs/>
    </w:rPr>
  </w:style>
  <w:style w:type="paragraph" w:customStyle="1" w:styleId="recommendationheader">
    <w:name w:val="recommendation header"/>
    <w:basedOn w:val="Heading2"/>
    <w:uiPriority w:val="99"/>
  </w:style>
  <w:style w:type="paragraph" w:customStyle="1" w:styleId="recommendationheaderlong">
    <w:name w:val="recommendation header long"/>
    <w:basedOn w:val="Heading2longmultiline"/>
    <w:uiPriority w:val="99"/>
  </w:style>
  <w:style w:type="paragraph" w:customStyle="1" w:styleId="reference">
    <w:name w:val="reference"/>
    <w:basedOn w:val="Heading9"/>
    <w:uiPriority w:val="99"/>
    <w:rPr>
      <w:i/>
      <w:sz w:val="18"/>
    </w:rPr>
  </w:style>
  <w:style w:type="character" w:customStyle="1" w:styleId="StyleFootnoteReferenceNounderline">
    <w:name w:val="Style Footnote Reference + No underline"/>
    <w:uiPriority w:val="99"/>
    <w:rPr>
      <w:sz w:val="18"/>
      <w:u w:val="none"/>
      <w:vertAlign w:val="baseline"/>
      <w:lang w:val="en-GB"/>
    </w:rPr>
  </w:style>
  <w:style w:type="paragraph" w:customStyle="1" w:styleId="tabletitle">
    <w:name w:val="table title"/>
    <w:basedOn w:val="Heading2"/>
    <w:uiPriority w:val="99"/>
    <w:pPr>
      <w:outlineLvl w:val="9"/>
    </w:pPr>
    <w:rPr>
      <w:i/>
    </w:rPr>
  </w:style>
  <w:style w:type="character" w:customStyle="1" w:styleId="Para1Char">
    <w:name w:val="Para1 Char"/>
    <w:uiPriority w:val="99"/>
    <w:locked/>
    <w:rPr>
      <w:sz w:val="18"/>
      <w:lang w:val="en-GB"/>
    </w:rPr>
  </w:style>
  <w:style w:type="paragraph" w:customStyle="1" w:styleId="CBD-Doc-Type">
    <w:name w:val="CBD-Doc-Type"/>
    <w:basedOn w:val="Normal"/>
    <w:uiPriority w:val="99"/>
    <w:pPr>
      <w:keepLines/>
      <w:spacing w:before="240" w:after="120"/>
    </w:pPr>
    <w:rPr>
      <w:b/>
      <w:i/>
      <w:sz w:val="24"/>
    </w:rPr>
  </w:style>
  <w:style w:type="paragraph" w:customStyle="1" w:styleId="CBD-Doc">
    <w:name w:val="CBD-Doc"/>
    <w:basedOn w:val="Normal"/>
    <w:uiPriority w:val="99"/>
    <w:pPr>
      <w:keepLines/>
      <w:numPr>
        <w:numId w:val="15"/>
      </w:numPr>
      <w:spacing w:after="120"/>
    </w:pPr>
  </w:style>
  <w:style w:type="paragraph" w:styleId="ListParagraph">
    <w:name w:val="List Paragraph"/>
    <w:basedOn w:val="Normal"/>
    <w:uiPriority w:val="99"/>
    <w:qFormat/>
    <w:pPr>
      <w:ind w:left="720"/>
      <w:contextualSpacing/>
    </w:pPr>
  </w:style>
  <w:style w:type="paragraph" w:customStyle="1" w:styleId="Style1">
    <w:name w:val="Style1"/>
    <w:basedOn w:val="Heading2"/>
    <w:uiPriority w:val="99"/>
    <w:rPr>
      <w:i/>
    </w:rPr>
  </w:style>
  <w:style w:type="table" w:customStyle="1" w:styleId="TableGrid10">
    <w:name w:val="Table Grid1"/>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vision1">
    <w:name w:val="Revision1"/>
    <w:hidden/>
    <w:uiPriority w:val="99"/>
    <w:semiHidden/>
    <w:rPr>
      <w:sz w:val="24"/>
      <w:szCs w:val="24"/>
    </w:rPr>
  </w:style>
  <w:style w:type="paragraph" w:customStyle="1" w:styleId="DarkList-Accent31">
    <w:name w:val="Dark List - Accent 31"/>
    <w:hidden/>
    <w:uiPriority w:val="99"/>
    <w:semiHidden/>
    <w:rPr>
      <w:sz w:val="22"/>
      <w:szCs w:val="22"/>
      <w:lang w:val="en-GB"/>
    </w:rPr>
  </w:style>
  <w:style w:type="paragraph" w:customStyle="1" w:styleId="CBDNormalNoNumber">
    <w:name w:val="CBD_Normal_NoNumber"/>
    <w:basedOn w:val="CBDNormal"/>
    <w:uiPriority w:val="99"/>
    <w:pPr>
      <w:spacing w:after="120"/>
      <w:ind w:left="567"/>
    </w:pPr>
  </w:style>
  <w:style w:type="paragraph" w:customStyle="1" w:styleId="Footnote">
    <w:name w:val="Footnote"/>
    <w:basedOn w:val="FootnoteText"/>
    <w:uiPriority w:val="99"/>
    <w:semiHidden/>
    <w:rPr>
      <w:szCs w:val="18"/>
    </w:rPr>
  </w:style>
  <w:style w:type="paragraph" w:customStyle="1" w:styleId="Annex">
    <w:name w:val="Annex"/>
    <w:basedOn w:val="Normal"/>
    <w:uiPriority w:val="99"/>
    <w:semiHidden/>
    <w:pPr>
      <w:spacing w:after="240"/>
    </w:pPr>
    <w:rPr>
      <w:b/>
      <w:sz w:val="28"/>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customStyle="1" w:styleId="AISpacer">
    <w:name w:val="AI_Spacer"/>
    <w:next w:val="Normal"/>
    <w:uiPriority w:val="99"/>
    <w:rPr>
      <w:sz w:val="2"/>
      <w:szCs w:val="22"/>
      <w:lang w:val="en-GB"/>
    </w:rPr>
  </w:style>
  <w:style w:type="paragraph" w:customStyle="1" w:styleId="Item">
    <w:name w:val="Item"/>
    <w:basedOn w:val="Normal"/>
    <w:uiPriority w:val="99"/>
    <w:semiHidden/>
    <w:pPr>
      <w:suppressLineNumbers/>
      <w:suppressAutoHyphens/>
      <w:spacing w:before="240" w:after="120"/>
      <w:jc w:val="left"/>
    </w:pPr>
    <w:rPr>
      <w:b/>
      <w:iCs/>
      <w:kern w:val="22"/>
      <w:sz w:val="24"/>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pPr>
      <w:spacing w:after="120"/>
      <w:ind w:left="1134"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
    <w:uiPriority w:val="99"/>
    <w:pPr>
      <w:keepNext/>
      <w:keepLines/>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customStyle="1" w:styleId="Bibliography1">
    <w:name w:val="Bibliography1"/>
    <w:basedOn w:val="Normal"/>
    <w:next w:val="Normal"/>
    <w:uiPriority w:val="99"/>
    <w:semiHidden/>
  </w:style>
  <w:style w:type="character" w:customStyle="1" w:styleId="BookTitle1">
    <w:name w:val="Book Title1"/>
    <w:uiPriority w:val="99"/>
    <w:rPr>
      <w:rFonts w:cs="Times New Roman"/>
      <w:b/>
      <w:bCs/>
      <w:i/>
      <w:iCs/>
      <w:spacing w:val="5"/>
      <w:lang w:val="en-GB"/>
    </w:rPr>
  </w:style>
  <w:style w:type="table" w:customStyle="1" w:styleId="GridTable1Light1">
    <w:name w:val="Grid Table 1 Light1"/>
    <w:uiPriority w:val="99"/>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tblP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tblPr>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tblPr>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tblPr>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tblPr>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tblPr>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tblPr>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tblPr>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tblPr>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tblPr>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Pr>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color w:val="365F91"/>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Pr>
      <w:color w:val="943634"/>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Pr>
      <w:color w:val="76923C"/>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Pr>
      <w:color w:val="5F497A"/>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Pr>
      <w:color w:val="31849B"/>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Pr>
      <w:color w:val="E36C0A"/>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Pr>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color w:val="365F91"/>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Pr>
      <w:color w:val="943634"/>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Pr>
      <w:color w:val="76923C"/>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Pr>
      <w:color w:val="5F497A"/>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Pr>
      <w:color w:val="31849B"/>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Pr>
      <w:color w:val="E36C0A"/>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Pr>
      <w:rFonts w:cs="Times New Roman"/>
      <w:color w:val="2B579A"/>
      <w:shd w:val="clear" w:color="auto" w:fill="E1DFDD"/>
      <w:lang w:val="en-GB"/>
    </w:rPr>
  </w:style>
  <w:style w:type="character" w:customStyle="1" w:styleId="IntenseEmphasis1">
    <w:name w:val="Intense Emphasis1"/>
    <w:uiPriority w:val="99"/>
    <w:rPr>
      <w:rFonts w:cs="Times New Roman"/>
      <w:i/>
      <w:iCs/>
      <w:color w:val="4F81BD"/>
      <w:lang w:val="en-GB"/>
    </w:rPr>
  </w:style>
  <w:style w:type="paragraph" w:styleId="IntenseQuote">
    <w:name w:val="Intense Quote"/>
    <w:basedOn w:val="Normal"/>
    <w:next w:val="Normal"/>
    <w:link w:val="IntenseQuoteChar"/>
    <w:uiPriority w:val="99"/>
    <w:qFormat/>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Pr>
      <w:rFonts w:ascii="Times New Roman" w:eastAsia="Times New Roman" w:hAnsi="Times New Roman" w:cs="Times New Roman"/>
      <w:i/>
      <w:iCs/>
      <w:color w:val="4F81BD"/>
      <w:sz w:val="22"/>
      <w:szCs w:val="22"/>
      <w:lang w:val="en-GB"/>
    </w:rPr>
  </w:style>
  <w:style w:type="character" w:customStyle="1" w:styleId="IntenseReference1">
    <w:name w:val="Intense Reference1"/>
    <w:uiPriority w:val="99"/>
    <w:rPr>
      <w:rFonts w:cs="Times New Roman"/>
      <w:b/>
      <w:bCs/>
      <w:smallCaps/>
      <w:color w:val="4F81BD"/>
      <w:spacing w:val="5"/>
      <w:lang w:val="en-GB"/>
    </w:rPr>
  </w:style>
  <w:style w:type="table" w:customStyle="1" w:styleId="ListTable1Light1">
    <w:name w:val="List Table 1 Light1"/>
    <w:uiPriority w:val="99"/>
    <w:tblPr>
      <w:tblInd w:w="0" w:type="dxa"/>
      <w:tblCellMar>
        <w:top w:w="0" w:type="dxa"/>
        <w:left w:w="108" w:type="dxa"/>
        <w:bottom w:w="0" w:type="dxa"/>
        <w:right w:w="108" w:type="dxa"/>
      </w:tblCellMar>
    </w:tblPr>
  </w:style>
  <w:style w:type="table" w:customStyle="1" w:styleId="ListTable1Light-Accent11">
    <w:name w:val="List Table 1 Light - Accent 11"/>
    <w:uiPriority w:val="99"/>
    <w:tblPr>
      <w:tblInd w:w="0" w:type="dxa"/>
      <w:tblCellMar>
        <w:top w:w="0" w:type="dxa"/>
        <w:left w:w="108" w:type="dxa"/>
        <w:bottom w:w="0" w:type="dxa"/>
        <w:right w:w="108" w:type="dxa"/>
      </w:tblCellMar>
    </w:tblPr>
  </w:style>
  <w:style w:type="table" w:customStyle="1" w:styleId="ListTable1Light-Accent21">
    <w:name w:val="List Table 1 Light - Accent 21"/>
    <w:uiPriority w:val="99"/>
    <w:tblPr>
      <w:tblInd w:w="0" w:type="dxa"/>
      <w:tblCellMar>
        <w:top w:w="0" w:type="dxa"/>
        <w:left w:w="108" w:type="dxa"/>
        <w:bottom w:w="0" w:type="dxa"/>
        <w:right w:w="108" w:type="dxa"/>
      </w:tblCellMar>
    </w:tblPr>
  </w:style>
  <w:style w:type="table" w:customStyle="1" w:styleId="ListTable1Light-Accent31">
    <w:name w:val="List Table 1 Light - Accent 31"/>
    <w:uiPriority w:val="99"/>
    <w:tblPr>
      <w:tblInd w:w="0" w:type="dxa"/>
      <w:tblCellMar>
        <w:top w:w="0" w:type="dxa"/>
        <w:left w:w="108" w:type="dxa"/>
        <w:bottom w:w="0" w:type="dxa"/>
        <w:right w:w="108" w:type="dxa"/>
      </w:tblCellMar>
    </w:tblPr>
  </w:style>
  <w:style w:type="table" w:customStyle="1" w:styleId="ListTable1Light-Accent41">
    <w:name w:val="List Table 1 Light - Accent 41"/>
    <w:uiPriority w:val="99"/>
    <w:tblPr>
      <w:tblInd w:w="0" w:type="dxa"/>
      <w:tblCellMar>
        <w:top w:w="0" w:type="dxa"/>
        <w:left w:w="108" w:type="dxa"/>
        <w:bottom w:w="0" w:type="dxa"/>
        <w:right w:w="108" w:type="dxa"/>
      </w:tblCellMar>
    </w:tblPr>
  </w:style>
  <w:style w:type="table" w:customStyle="1" w:styleId="ListTable1Light-Accent51">
    <w:name w:val="List Table 1 Light - Accent 51"/>
    <w:uiPriority w:val="99"/>
    <w:tblPr>
      <w:tblInd w:w="0" w:type="dxa"/>
      <w:tblCellMar>
        <w:top w:w="0" w:type="dxa"/>
        <w:left w:w="108" w:type="dxa"/>
        <w:bottom w:w="0" w:type="dxa"/>
        <w:right w:w="108" w:type="dxa"/>
      </w:tblCellMar>
    </w:tblPr>
  </w:style>
  <w:style w:type="table" w:customStyle="1" w:styleId="ListTable1Light-Accent61">
    <w:name w:val="List Table 1 Light - Accent 61"/>
    <w:uiPriority w:val="99"/>
    <w:tblPr>
      <w:tblInd w:w="0" w:type="dxa"/>
      <w:tblCellMar>
        <w:top w:w="0" w:type="dxa"/>
        <w:left w:w="108" w:type="dxa"/>
        <w:bottom w:w="0" w:type="dxa"/>
        <w:right w:w="108" w:type="dxa"/>
      </w:tblCellMar>
    </w:tblPr>
  </w:style>
  <w:style w:type="table" w:customStyle="1" w:styleId="ListTable21">
    <w:name w:val="List Table 21"/>
    <w:uiPriority w:val="99"/>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tblPr>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tblPr>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tblPr>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tblPr>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tblPr>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tblPr>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tblPr>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tblPr>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tblPr>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tblPr>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tblPr>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tblPr>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tblPr>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tblPr>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tblPr>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tblPr>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tblPr>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Pr>
      <w:color w:val="FFFFFF"/>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color w:val="FFFFFF"/>
    </w:rPr>
    <w:tblPr>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Pr>
      <w:color w:val="FFFFFF"/>
    </w:rPr>
    <w:tblPr>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Pr>
      <w:color w:val="FFFFFF"/>
    </w:rPr>
    <w:tblPr>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Pr>
      <w:color w:val="FFFFFF"/>
    </w:rPr>
    <w:tblPr>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Pr>
      <w:color w:val="FFFFFF"/>
    </w:rPr>
    <w:tblPr>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Pr>
      <w:color w:val="FFFFFF"/>
    </w:rPr>
    <w:tblPr>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Pr>
      <w:color w:val="00000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color w:val="365F91"/>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Pr>
      <w:color w:val="943634"/>
    </w:rPr>
    <w:tblPr>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Pr>
      <w:color w:val="76923C"/>
    </w:rPr>
    <w:tblPr>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Pr>
      <w:color w:val="5F497A"/>
    </w:rPr>
    <w:tblPr>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Pr>
      <w:color w:val="31849B"/>
    </w:rPr>
    <w:tblPr>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Pr>
      <w:color w:val="E36C0A"/>
    </w:rPr>
    <w:tblPr>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Pr>
      <w:color w:val="000000"/>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color w:val="365F91"/>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color w:val="943634"/>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color w:val="76923C"/>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color w:val="5F497A"/>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color w:val="31849B"/>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color w:val="E36C0A"/>
    </w:rPr>
    <w:tblPr>
      <w:tblInd w:w="0" w:type="dxa"/>
      <w:tblCellMar>
        <w:top w:w="0" w:type="dxa"/>
        <w:left w:w="108" w:type="dxa"/>
        <w:bottom w:w="0" w:type="dxa"/>
        <w:right w:w="108" w:type="dxa"/>
      </w:tblCellMar>
    </w:tblPr>
  </w:style>
  <w:style w:type="character" w:customStyle="1" w:styleId="Mention1">
    <w:name w:val="Mention1"/>
    <w:uiPriority w:val="99"/>
    <w:semiHidden/>
    <w:rPr>
      <w:rFonts w:cs="Times New Roman"/>
      <w:color w:val="2B579A"/>
      <w:shd w:val="clear" w:color="auto" w:fill="E1DFDD"/>
      <w:lang w:val="en-GB"/>
    </w:rPr>
  </w:style>
  <w:style w:type="paragraph" w:styleId="NoSpacing">
    <w:name w:val="No Spacing"/>
    <w:uiPriority w:val="99"/>
    <w:qFormat/>
    <w:pPr>
      <w:tabs>
        <w:tab w:val="left" w:pos="567"/>
        <w:tab w:val="left" w:pos="1134"/>
        <w:tab w:val="left" w:pos="1701"/>
        <w:tab w:val="left" w:pos="2268"/>
      </w:tabs>
      <w:jc w:val="both"/>
    </w:pPr>
    <w:rPr>
      <w:sz w:val="22"/>
      <w:szCs w:val="22"/>
      <w:lang w:val="en-GB"/>
    </w:rPr>
  </w:style>
  <w:style w:type="table" w:customStyle="1" w:styleId="PlainTable11">
    <w:name w:val="Plain Table 11"/>
    <w:uiPriority w:val="99"/>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tblPr>
      <w:tblInd w:w="0" w:type="dxa"/>
      <w:tblCellMar>
        <w:top w:w="0" w:type="dxa"/>
        <w:left w:w="108" w:type="dxa"/>
        <w:bottom w:w="0" w:type="dxa"/>
        <w:right w:w="108" w:type="dxa"/>
      </w:tblCellMar>
    </w:tblPr>
  </w:style>
  <w:style w:type="table" w:customStyle="1" w:styleId="PlainTable41">
    <w:name w:val="Plain Table 41"/>
    <w:uiPriority w:val="99"/>
    <w:tblPr>
      <w:tblInd w:w="0" w:type="dxa"/>
      <w:tblCellMar>
        <w:top w:w="0" w:type="dxa"/>
        <w:left w:w="108" w:type="dxa"/>
        <w:bottom w:w="0" w:type="dxa"/>
        <w:right w:w="108" w:type="dxa"/>
      </w:tblCellMar>
    </w:tblPr>
  </w:style>
  <w:style w:type="table" w:customStyle="1" w:styleId="PlainTable51">
    <w:name w:val="Plain Table 51"/>
    <w:uiPriority w:val="99"/>
    <w:tblPr>
      <w:tblInd w:w="0" w:type="dxa"/>
      <w:tblCellMar>
        <w:top w:w="0" w:type="dxa"/>
        <w:left w:w="108" w:type="dxa"/>
        <w:bottom w:w="0" w:type="dxa"/>
        <w:right w:w="108" w:type="dxa"/>
      </w:tblCellMar>
    </w:tbl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link w:val="Quote"/>
    <w:uiPriority w:val="99"/>
    <w:locked/>
    <w:rPr>
      <w:rFonts w:ascii="Times New Roman" w:eastAsia="Times New Roman" w:hAnsi="Times New Roman" w:cs="Times New Roman"/>
      <w:i/>
      <w:iCs/>
      <w:color w:val="404040"/>
      <w:sz w:val="22"/>
      <w:szCs w:val="22"/>
      <w:lang w:val="en-GB"/>
    </w:rPr>
  </w:style>
  <w:style w:type="character" w:customStyle="1" w:styleId="SmartHyperlink1">
    <w:name w:val="Smart Hyperlink1"/>
    <w:uiPriority w:val="99"/>
    <w:semiHidden/>
    <w:rPr>
      <w:rFonts w:cs="Times New Roman"/>
      <w:u w:val="dotted"/>
      <w:lang w:val="en-GB"/>
    </w:rPr>
  </w:style>
  <w:style w:type="character" w:customStyle="1" w:styleId="SmartLink1">
    <w:name w:val="SmartLink1"/>
    <w:uiPriority w:val="99"/>
    <w:semiHidden/>
    <w:rPr>
      <w:rFonts w:cs="Times New Roman"/>
      <w:color w:val="0000FF"/>
      <w:u w:val="single"/>
      <w:shd w:val="clear" w:color="auto" w:fill="F3F2F1"/>
      <w:lang w:val="en-GB"/>
    </w:rPr>
  </w:style>
  <w:style w:type="character" w:customStyle="1" w:styleId="SubtleEmphasis1">
    <w:name w:val="Subtle Emphasis1"/>
    <w:uiPriority w:val="99"/>
    <w:rPr>
      <w:rFonts w:cs="Times New Roman"/>
      <w:i/>
      <w:iCs/>
      <w:color w:val="404040"/>
      <w:lang w:val="en-GB"/>
    </w:rPr>
  </w:style>
  <w:style w:type="character" w:customStyle="1" w:styleId="SubtleReference1">
    <w:name w:val="Subtle Reference1"/>
    <w:uiPriority w:val="99"/>
    <w:rPr>
      <w:rFonts w:cs="Times New Roman"/>
      <w:smallCaps/>
      <w:color w:val="595959"/>
      <w:lang w:val="en-GB"/>
    </w:rPr>
  </w:style>
  <w:style w:type="table" w:customStyle="1" w:styleId="TableGridLight1">
    <w:name w:val="Table Grid Light1"/>
    <w:uiPriority w:val="99"/>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TOCHeading1">
    <w:name w:val="TOC Heading1"/>
    <w:basedOn w:val="Heading1"/>
    <w:next w:val="Normal"/>
    <w:uiPriority w:val="99"/>
    <w:semiHidden/>
    <w:pPr>
      <w:numPr>
        <w:numId w:val="0"/>
      </w:numPr>
      <w:spacing w:after="0"/>
      <w:jc w:val="both"/>
      <w:outlineLvl w:val="9"/>
    </w:pPr>
    <w:rPr>
      <w:b w:val="0"/>
      <w:bCs w:val="0"/>
      <w:color w:val="365F91"/>
      <w:kern w:val="0"/>
      <w:sz w:val="32"/>
    </w:rPr>
  </w:style>
  <w:style w:type="character" w:customStyle="1" w:styleId="UnresolvedMention1">
    <w:name w:val="Unresolved Mention1"/>
    <w:uiPriority w:val="99"/>
    <w:semiHidden/>
    <w:rPr>
      <w:rFonts w:cs="Times New Roman"/>
      <w:color w:val="605E5C"/>
      <w:shd w:val="clear" w:color="auto" w:fill="E1DFDD"/>
      <w:lang w:val="en-GB"/>
    </w:rPr>
  </w:style>
  <w:style w:type="paragraph" w:customStyle="1" w:styleId="CBDAgendaItemReport">
    <w:name w:val="CBD_AgendaItem_Report"/>
    <w:basedOn w:val="Normal"/>
    <w:uiPriority w:val="99"/>
    <w:pPr>
      <w:keepNext/>
      <w:keepLines/>
      <w:spacing w:before="240" w:after="120"/>
      <w:jc w:val="left"/>
    </w:pPr>
    <w:rPr>
      <w:b/>
      <w:sz w:val="24"/>
    </w:rPr>
  </w:style>
  <w:style w:type="paragraph" w:customStyle="1" w:styleId="CBDagendaItem0">
    <w:name w:val="CBD_agenda_Item"/>
    <w:basedOn w:val="CBDNormalNumber"/>
    <w:uiPriority w:val="99"/>
  </w:style>
  <w:style w:type="paragraph" w:customStyle="1" w:styleId="CBDpara-item">
    <w:name w:val="CBD_para-item"/>
    <w:basedOn w:val="Normal"/>
    <w:uiPriority w:val="99"/>
    <w:pPr>
      <w:tabs>
        <w:tab w:val="clear" w:pos="567"/>
      </w:tabs>
      <w:spacing w:before="120" w:after="120"/>
      <w:ind w:left="1134" w:hanging="567"/>
      <w:jc w:val="left"/>
    </w:pPr>
  </w:style>
  <w:style w:type="paragraph" w:customStyle="1" w:styleId="CBDsubpara-item">
    <w:name w:val="CBD_subpara-item"/>
    <w:basedOn w:val="CBDpara-item"/>
    <w:uiPriority w:val="99"/>
    <w:pPr>
      <w:tabs>
        <w:tab w:val="clear" w:pos="1134"/>
      </w:tabs>
      <w:ind w:left="1701"/>
    </w:pPr>
  </w:style>
  <w:style w:type="paragraph" w:customStyle="1" w:styleId="CBDRecommendText">
    <w:name w:val="CBD_RecommendText"/>
    <w:basedOn w:val="Normal"/>
    <w:uiPriority w:val="99"/>
    <w:pPr>
      <w:spacing w:after="120"/>
      <w:ind w:left="567"/>
    </w:pPr>
  </w:style>
  <w:style w:type="paragraph" w:customStyle="1" w:styleId="Venuedate">
    <w:name w:val="Venue&amp;date"/>
    <w:basedOn w:val="Cornernotation"/>
    <w:uiPriority w:val="99"/>
    <w:rPr>
      <w:bCs/>
    </w:rPr>
  </w:style>
  <w:style w:type="paragraph" w:styleId="Revision">
    <w:name w:val="Revision"/>
    <w:hidden/>
    <w:uiPriority w:val="99"/>
    <w:rPr>
      <w:sz w:val="22"/>
      <w:szCs w:val="22"/>
      <w:lang w:val="en-GB"/>
    </w:rPr>
  </w:style>
  <w:style w:type="character" w:customStyle="1" w:styleId="UnresolvedMention2">
    <w:name w:val="Unresolved Mention2"/>
    <w:uiPriority w:val="99"/>
    <w:semiHidden/>
    <w:rPr>
      <w:rFonts w:cs="Times New Roman"/>
      <w:color w:val="605E5C"/>
      <w:shd w:val="clear" w:color="auto" w:fill="E1DFDD"/>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mop/?m=cp-mop-11"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bd.int/decisions/mop/?m=cp-mop-11" TargetMode="Externa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mop/?m=cp-mop-11" TargetMode="External"/><Relationship Id="rId22" Type="http://schemas.openxmlformats.org/officeDocument/2006/relationships/hyperlink" Target="https://www.cbd.int/decisions/mop/?m=cp-mop-11"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864b/c11a/720453c0f462d6dfa61384e6/cp-cc-21-05-en.pdf" TargetMode="External"/><Relationship Id="rId2" Type="http://schemas.openxmlformats.org/officeDocument/2006/relationships/hyperlink" Target="https://www.cbd.int/doc/c/6ad5/3b4a/81b758d39b6a601d8bde8f22/cp-cc-20-06-en.pdf" TargetMode="External"/><Relationship Id="rId1" Type="http://schemas.openxmlformats.org/officeDocument/2006/relationships/hyperlink" Target="https://www.cbd.int/documents/CBD/CP/MOP/12/1" TargetMode="External"/><Relationship Id="rId5" Type="http://schemas.openxmlformats.org/officeDocument/2006/relationships/hyperlink" Target="https://www.cbd.int/decisions/cop/?m=cop-15" TargetMode="External"/><Relationship Id="rId4" Type="http://schemas.openxmlformats.org/officeDocument/2006/relationships/hyperlink" Target="https://bch.cbd.int/protocol/decisions?decisionID=828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bd-template%20(7).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7E994E-F359-4A83-9D3B-E83E2D4F1EB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2.xml><?xml version="1.0" encoding="utf-8"?>
<ds:datastoreItem xmlns:ds="http://schemas.openxmlformats.org/officeDocument/2006/customXml" ds:itemID="{EE4EA644-5FE1-48D9-98FB-8F1FEF794B3B}">
  <ds:schemaRefs>
    <ds:schemaRef ds:uri="http://schemas.microsoft.com/sharepoint/v3/contenttype/forms"/>
  </ds:schemaRefs>
</ds:datastoreItem>
</file>

<file path=customXml/itemProps3.xml><?xml version="1.0" encoding="utf-8"?>
<ds:datastoreItem xmlns:ds="http://schemas.openxmlformats.org/officeDocument/2006/customXml" ds:itemID="{911CBE3C-3A47-44C6-BB6B-AE1416A8C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 (7).dotm</Template>
  <TotalTime>13</TotalTime>
  <Pages>7</Pages>
  <Words>879</Words>
  <Characters>5016</Characters>
  <Application>Microsoft Office Word</Application>
  <DocSecurity>0</DocSecurity>
  <Lines>41</Lines>
  <Paragraphs>11</Paragraphs>
  <ScaleCrop>false</ScaleCrop>
  <Company>SCBD</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Compliance Committee under the Cartagena Protocol on Biosafety on its twentieth and twenty-first meetings</dc:title>
  <dc:subject>CBD/CP/MOP/12/3</dc:subject>
  <dc:creator>scbd</dc:creator>
  <cp:keywords>Convention on Biological Diversity</cp:keywords>
  <dc:description/>
  <cp:lastModifiedBy>Mariko Nishi</cp:lastModifiedBy>
  <cp:revision>12</cp:revision>
  <cp:lastPrinted>2026-08-26T13:47:00Z</cp:lastPrinted>
  <dcterms:created xsi:type="dcterms:W3CDTF">2026-08-26T13:32:00Z</dcterms:created>
  <dcterms:modified xsi:type="dcterms:W3CDTF">2026-08-26T19:14:00Z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KSOTemplateDocerSaveRecord">
    <vt:lpwstr>eyJoZGlkIjoiODhjYTk3ZDRiOGRlZDBhNGYxOGYxZGU1ZmI0YmFkZDMiLCJ1c2VySWQiOiIzOTA5MTE5NDcifQ==</vt:lpwstr>
  </property>
  <property fmtid="{D5CDD505-2E9C-101B-9397-08002B2CF9AE}" pid="10" name="KSOProductBuildVer">
    <vt:lpwstr>2052-12.1.0.26381</vt:lpwstr>
  </property>
  <property fmtid="{D5CDD505-2E9C-101B-9397-08002B2CF9AE}" pid="11" name="ICV">
    <vt:lpwstr>9162E0EFA42041CD96FF9BB11BEDEB55_12</vt:lpwstr>
  </property>
  <property fmtid="{D5CDD505-2E9C-101B-9397-08002B2CF9AE}" pid="12" name="ContentTypeId">
    <vt:lpwstr>0x0101007A328EB00E67F346B6174BE96D327B2B</vt:lpwstr>
  </property>
  <property fmtid="{D5CDD505-2E9C-101B-9397-08002B2CF9AE}" pid="13" name="TaxCatchAll">
    <vt:lpwstr/>
  </property>
  <property fmtid="{D5CDD505-2E9C-101B-9397-08002B2CF9AE}" pid="14" name="lcf76f155ced4ddcb4097134ff3c332f">
    <vt:lpwstr/>
  </property>
</Properties>
</file>