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9E4D45" w14:paraId="07F6750D" w14:textId="77777777" w:rsidTr="00EF2266">
        <w:trPr>
          <w:trHeight w:val="261"/>
        </w:trPr>
        <w:tc>
          <w:tcPr>
            <w:tcW w:w="976" w:type="dxa"/>
            <w:tcBorders>
              <w:bottom w:val="single" w:sz="12" w:space="0" w:color="auto"/>
            </w:tcBorders>
          </w:tcPr>
          <w:p w14:paraId="1DEFF495" w14:textId="77777777" w:rsidR="00C9161D" w:rsidRPr="009E4D45" w:rsidRDefault="00C9161D" w:rsidP="00321985">
            <w:pPr>
              <w:rPr>
                <w:rFonts w:cstheme="majorBidi"/>
                <w:lang w:val="fr-FR"/>
              </w:rPr>
            </w:pPr>
            <w:r w:rsidRPr="009E4D45">
              <w:rPr>
                <w:noProof/>
                <w:lang w:val="fr-CA" w:eastAsia="fr-CA"/>
              </w:rPr>
              <w:drawing>
                <wp:inline distT="0" distB="0" distL="0" distR="0" wp14:anchorId="33099486" wp14:editId="1193B5AB">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774AD3F7" w:rsidR="00FA663B" w:rsidRPr="009E4D45" w:rsidRDefault="00BD41B6" w:rsidP="00321985">
            <w:pPr>
              <w:rPr>
                <w:rFonts w:cstheme="majorBidi"/>
                <w:lang w:val="fr-FR"/>
              </w:rPr>
            </w:pPr>
            <w:r w:rsidRPr="005E7C6F">
              <w:rPr>
                <w:noProof/>
                <w:lang w:val="fr-CA" w:eastAsia="fr-CA"/>
              </w:rPr>
              <w:drawing>
                <wp:inline distT="0" distB="0" distL="0" distR="0" wp14:anchorId="0CB29668" wp14:editId="3A40C80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600A589D" w14:textId="77777777" w:rsidR="00C9161D" w:rsidRPr="009E4D45" w:rsidRDefault="00C9161D" w:rsidP="00C9161D">
            <w:pPr>
              <w:jc w:val="right"/>
              <w:rPr>
                <w:rFonts w:ascii="Arial" w:hAnsi="Arial" w:cs="Arial"/>
                <w:b/>
                <w:sz w:val="32"/>
                <w:szCs w:val="32"/>
                <w:lang w:val="fr-FR"/>
              </w:rPr>
            </w:pPr>
            <w:r w:rsidRPr="009E4D45">
              <w:rPr>
                <w:rFonts w:ascii="Arial" w:hAnsi="Arial" w:cs="Arial"/>
                <w:b/>
                <w:sz w:val="32"/>
                <w:szCs w:val="32"/>
                <w:lang w:val="fr-FR"/>
              </w:rPr>
              <w:t>CBD</w:t>
            </w:r>
          </w:p>
        </w:tc>
      </w:tr>
      <w:tr w:rsidR="00C9161D" w:rsidRPr="009E4D45" w14:paraId="6F751905" w14:textId="77777777" w:rsidTr="6A79AA75">
        <w:tc>
          <w:tcPr>
            <w:tcW w:w="6117" w:type="dxa"/>
            <w:gridSpan w:val="2"/>
            <w:tcBorders>
              <w:top w:val="single" w:sz="12" w:space="0" w:color="auto"/>
              <w:bottom w:val="single" w:sz="36" w:space="0" w:color="auto"/>
            </w:tcBorders>
            <w:vAlign w:val="center"/>
          </w:tcPr>
          <w:p w14:paraId="14F52A6C" w14:textId="6DA430C7" w:rsidR="00C9161D" w:rsidRPr="009E4D45" w:rsidRDefault="00BD41B6" w:rsidP="00C9161D">
            <w:pPr>
              <w:rPr>
                <w:rFonts w:cstheme="majorBidi"/>
                <w:lang w:val="fr-FR"/>
              </w:rPr>
            </w:pPr>
            <w:r w:rsidRPr="009E4D45">
              <w:rPr>
                <w:bCs/>
                <w:noProof/>
                <w:szCs w:val="22"/>
                <w:lang w:val="fr-CA" w:eastAsia="fr-CA"/>
              </w:rPr>
              <w:drawing>
                <wp:inline distT="0" distB="0" distL="0" distR="0" wp14:anchorId="4EF0409F" wp14:editId="71EBF730">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C693BA4" w14:textId="77777777" w:rsidR="00C9161D" w:rsidRPr="009E4D45" w:rsidRDefault="00C9161D" w:rsidP="00176CEE">
            <w:pPr>
              <w:ind w:left="1215"/>
              <w:rPr>
                <w:rFonts w:cstheme="majorBidi"/>
                <w:szCs w:val="22"/>
                <w:lang w:val="fr-FR"/>
              </w:rPr>
            </w:pPr>
            <w:proofErr w:type="spellStart"/>
            <w:r w:rsidRPr="009E4D45">
              <w:rPr>
                <w:rFonts w:cstheme="majorBidi"/>
                <w:szCs w:val="22"/>
                <w:lang w:val="fr-FR"/>
              </w:rPr>
              <w:t>Distr</w:t>
            </w:r>
            <w:proofErr w:type="spellEnd"/>
            <w:r w:rsidRPr="009E4D45">
              <w:rPr>
                <w:rFonts w:cstheme="majorBidi"/>
                <w:szCs w:val="22"/>
                <w:lang w:val="fr-FR"/>
              </w:rPr>
              <w:t>.</w:t>
            </w:r>
          </w:p>
          <w:p w14:paraId="0C21C438" w14:textId="438A24F8" w:rsidR="00C9161D" w:rsidRPr="009E4D45" w:rsidRDefault="00134846" w:rsidP="00176CEE">
            <w:pPr>
              <w:ind w:left="1215"/>
              <w:rPr>
                <w:rFonts w:cstheme="majorBidi"/>
                <w:szCs w:val="22"/>
                <w:lang w:val="fr-FR"/>
              </w:rPr>
            </w:pPr>
            <w:r w:rsidRPr="009E4D45">
              <w:rPr>
                <w:rFonts w:cstheme="majorBidi"/>
                <w:caps/>
                <w:szCs w:val="22"/>
                <w:lang w:val="fr-FR"/>
              </w:rPr>
              <w:t>G</w:t>
            </w:r>
            <w:r w:rsidR="00BD41B6" w:rsidRPr="009E4D45">
              <w:rPr>
                <w:rFonts w:cstheme="majorBidi"/>
                <w:caps/>
                <w:szCs w:val="22"/>
                <w:lang w:val="fr-FR"/>
              </w:rPr>
              <w:t>ÉNÉRALE</w:t>
            </w:r>
          </w:p>
          <w:p w14:paraId="06715052" w14:textId="77777777" w:rsidR="00C9161D" w:rsidRPr="009E4D45" w:rsidRDefault="00C9161D" w:rsidP="00176CEE">
            <w:pPr>
              <w:ind w:left="1215"/>
              <w:rPr>
                <w:rFonts w:cstheme="majorBidi"/>
                <w:szCs w:val="22"/>
                <w:lang w:val="fr-FR"/>
              </w:rPr>
            </w:pPr>
          </w:p>
          <w:p w14:paraId="44230134" w14:textId="64C769A5" w:rsidR="00C9161D" w:rsidRPr="009E4D45" w:rsidRDefault="00AF2996" w:rsidP="00176CEE">
            <w:pPr>
              <w:ind w:left="1215"/>
              <w:rPr>
                <w:rFonts w:cstheme="majorBidi"/>
                <w:szCs w:val="22"/>
                <w:lang w:val="fr-FR"/>
              </w:rPr>
            </w:pPr>
            <w:sdt>
              <w:sdtPr>
                <w:rPr>
                  <w:kern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A05636" w:rsidRPr="009E4D45">
                  <w:rPr>
                    <w:kern w:val="22"/>
                    <w:szCs w:val="22"/>
                    <w:lang w:val="fr-FR"/>
                  </w:rPr>
                  <w:t>CBD/WG2020/3/4</w:t>
                </w:r>
              </w:sdtContent>
            </w:sdt>
          </w:p>
          <w:p w14:paraId="0DF1F033" w14:textId="0C9BB151" w:rsidR="00C9161D" w:rsidRPr="009E4D45" w:rsidRDefault="008D31B0" w:rsidP="00176CEE">
            <w:pPr>
              <w:ind w:left="1215"/>
              <w:rPr>
                <w:rFonts w:cstheme="majorBidi"/>
                <w:szCs w:val="22"/>
                <w:lang w:val="fr-FR"/>
              </w:rPr>
            </w:pPr>
            <w:r w:rsidRPr="009E4D45">
              <w:rPr>
                <w:rFonts w:cstheme="majorBidi"/>
                <w:szCs w:val="22"/>
                <w:lang w:val="fr-FR"/>
              </w:rPr>
              <w:t>5</w:t>
            </w:r>
            <w:r w:rsidRPr="009E4D45">
              <w:rPr>
                <w:lang w:val="fr-FR"/>
              </w:rPr>
              <w:t xml:space="preserve"> </w:t>
            </w:r>
            <w:r w:rsidR="00BD41B6" w:rsidRPr="009E4D45">
              <w:rPr>
                <w:lang w:val="fr-FR"/>
              </w:rPr>
              <w:t xml:space="preserve">juillet </w:t>
            </w:r>
            <w:r w:rsidR="00F6586C" w:rsidRPr="009E4D45">
              <w:rPr>
                <w:rFonts w:cstheme="majorBidi"/>
                <w:szCs w:val="22"/>
                <w:lang w:val="fr-FR"/>
              </w:rPr>
              <w:t>20</w:t>
            </w:r>
            <w:r w:rsidR="007749B3" w:rsidRPr="009E4D45">
              <w:rPr>
                <w:rFonts w:cstheme="majorBidi"/>
                <w:szCs w:val="22"/>
                <w:lang w:val="fr-FR"/>
              </w:rPr>
              <w:t>21</w:t>
            </w:r>
          </w:p>
          <w:p w14:paraId="159892DF" w14:textId="77777777" w:rsidR="00C9161D" w:rsidRPr="009E4D45" w:rsidRDefault="00C9161D" w:rsidP="00176CEE">
            <w:pPr>
              <w:ind w:left="1215"/>
              <w:rPr>
                <w:rFonts w:cstheme="majorBidi"/>
                <w:szCs w:val="22"/>
                <w:lang w:val="fr-FR"/>
              </w:rPr>
            </w:pPr>
          </w:p>
          <w:p w14:paraId="0D25C117" w14:textId="682BE56F" w:rsidR="00BD41B6" w:rsidRPr="009E4D45" w:rsidRDefault="00BD41B6" w:rsidP="00176CEE">
            <w:pPr>
              <w:ind w:left="1215"/>
              <w:rPr>
                <w:rFonts w:cstheme="majorBidi"/>
                <w:szCs w:val="22"/>
                <w:lang w:val="fr-FR"/>
              </w:rPr>
            </w:pPr>
            <w:r w:rsidRPr="009E4D45">
              <w:rPr>
                <w:rFonts w:cstheme="majorBidi"/>
                <w:szCs w:val="22"/>
                <w:lang w:val="fr-FR"/>
              </w:rPr>
              <w:t>FRANÇAIS</w:t>
            </w:r>
          </w:p>
          <w:p w14:paraId="19472D49" w14:textId="3B58D3BA" w:rsidR="00C9161D" w:rsidRPr="009E4D45" w:rsidRDefault="004D6EC2" w:rsidP="00176CEE">
            <w:pPr>
              <w:ind w:left="1215"/>
              <w:rPr>
                <w:rFonts w:cstheme="majorBidi"/>
                <w:szCs w:val="22"/>
                <w:lang w:val="fr-FR"/>
              </w:rPr>
            </w:pPr>
            <w:r w:rsidRPr="009E4D45">
              <w:rPr>
                <w:rFonts w:cstheme="majorBidi"/>
                <w:szCs w:val="22"/>
                <w:lang w:val="fr-FR"/>
              </w:rPr>
              <w:t>ORIGINAL :</w:t>
            </w:r>
            <w:r w:rsidR="006B2290" w:rsidRPr="009E4D45">
              <w:rPr>
                <w:rFonts w:cstheme="majorBidi"/>
                <w:szCs w:val="22"/>
                <w:lang w:val="fr-FR"/>
              </w:rPr>
              <w:t xml:space="preserve"> </w:t>
            </w:r>
            <w:r w:rsidR="00BD41B6" w:rsidRPr="009E4D45">
              <w:rPr>
                <w:rFonts w:cstheme="majorBidi"/>
                <w:szCs w:val="22"/>
                <w:lang w:val="fr-FR"/>
              </w:rPr>
              <w:t>ANGLAIS</w:t>
            </w:r>
          </w:p>
          <w:p w14:paraId="5AA10CCE" w14:textId="77777777" w:rsidR="00C9161D" w:rsidRPr="009E4D45" w:rsidRDefault="00C9161D">
            <w:pPr>
              <w:rPr>
                <w:rFonts w:cstheme="majorBidi"/>
                <w:lang w:val="fr-FR"/>
              </w:rPr>
            </w:pPr>
          </w:p>
        </w:tc>
      </w:tr>
    </w:tbl>
    <w:p w14:paraId="081B31CF" w14:textId="20B7EE71" w:rsidR="00296490" w:rsidRPr="009E4D45" w:rsidRDefault="00BD41B6" w:rsidP="00134846">
      <w:pPr>
        <w:ind w:left="284" w:hanging="284"/>
        <w:jc w:val="left"/>
        <w:rPr>
          <w:rFonts w:eastAsia="Malgun Gothic"/>
          <w:snapToGrid w:val="0"/>
          <w:kern w:val="22"/>
          <w:lang w:val="fr-FR"/>
        </w:rPr>
      </w:pPr>
      <w:bookmarkStart w:id="0" w:name="Meeting"/>
      <w:r w:rsidRPr="009E4D45">
        <w:rPr>
          <w:rFonts w:cstheme="majorBidi"/>
          <w:kern w:val="22"/>
          <w:lang w:val="fr-FR"/>
        </w:rPr>
        <w:t>GROUPE DE TRAVAIL À COMPOSITION NON LIMITÉE</w:t>
      </w:r>
    </w:p>
    <w:p w14:paraId="782F6063" w14:textId="17A3E6FE" w:rsidR="00296490" w:rsidRPr="009E4D45" w:rsidRDefault="00AF2996" w:rsidP="00134846">
      <w:pPr>
        <w:ind w:left="284" w:hanging="284"/>
        <w:jc w:val="left"/>
        <w:rPr>
          <w:rFonts w:cstheme="majorBidi"/>
          <w:caps/>
          <w:kern w:val="22"/>
          <w:szCs w:val="22"/>
          <w:lang w:val="fr-FR"/>
        </w:rPr>
      </w:pPr>
      <w:sdt>
        <w:sdtPr>
          <w:rPr>
            <w:rFonts w:cstheme="majorBidi"/>
            <w:caps/>
            <w:kern w:val="22"/>
            <w:szCs w:val="22"/>
            <w:lang w:val="fr-FR"/>
          </w:rPr>
          <w:alias w:val="Meeting"/>
          <w:tag w:val="Meeting"/>
          <w:id w:val="1412045910"/>
          <w:placeholder>
            <w:docPart w:val="B64E9CB66BA94041B93189F2339A7979"/>
          </w:placeholder>
          <w:text/>
        </w:sdtPr>
        <w:sdtContent>
          <w:r w:rsidR="00BD41B6" w:rsidRPr="009E4D45">
            <w:rPr>
              <w:rFonts w:cstheme="majorBidi"/>
              <w:caps/>
              <w:kern w:val="22"/>
              <w:szCs w:val="22"/>
              <w:lang w:val="fr-FR"/>
            </w:rPr>
            <w:t>SUR LE CADRE MONDIAL DE LA BIODIVERSITÉ POUR L’APRÈS-2020</w:t>
          </w:r>
        </w:sdtContent>
      </w:sdt>
      <w:bookmarkEnd w:id="0"/>
    </w:p>
    <w:p w14:paraId="130C7F5E" w14:textId="5476B54C" w:rsidR="00134846" w:rsidRPr="009E4D45" w:rsidRDefault="00BD41B6" w:rsidP="00134846">
      <w:pPr>
        <w:ind w:left="284" w:hanging="284"/>
        <w:jc w:val="left"/>
        <w:rPr>
          <w:rFonts w:cstheme="majorBidi"/>
          <w:snapToGrid w:val="0"/>
          <w:kern w:val="22"/>
          <w:szCs w:val="22"/>
          <w:lang w:val="fr-FR" w:eastAsia="nb-NO"/>
        </w:rPr>
      </w:pPr>
      <w:r w:rsidRPr="009E4D45">
        <w:rPr>
          <w:rFonts w:cstheme="majorBidi"/>
          <w:snapToGrid w:val="0"/>
          <w:kern w:val="22"/>
          <w:szCs w:val="22"/>
          <w:lang w:val="fr-FR" w:eastAsia="nb-NO"/>
        </w:rPr>
        <w:t>Troisième réunion,</w:t>
      </w:r>
    </w:p>
    <w:p w14:paraId="617EF6D0" w14:textId="50282336" w:rsidR="00134846" w:rsidRPr="009E4D45" w:rsidRDefault="00BD41B6" w:rsidP="00134846">
      <w:pPr>
        <w:ind w:left="284" w:hanging="284"/>
        <w:jc w:val="left"/>
        <w:rPr>
          <w:rFonts w:cstheme="majorBidi"/>
          <w:snapToGrid w:val="0"/>
          <w:kern w:val="22"/>
          <w:szCs w:val="22"/>
          <w:lang w:val="fr-FR" w:eastAsia="nb-NO"/>
        </w:rPr>
      </w:pPr>
      <w:r w:rsidRPr="009E4D45">
        <w:rPr>
          <w:rFonts w:cstheme="majorBidi"/>
          <w:snapToGrid w:val="0"/>
          <w:kern w:val="22"/>
          <w:szCs w:val="22"/>
          <w:lang w:val="fr-FR" w:eastAsia="nb-NO"/>
        </w:rPr>
        <w:t>En lign</w:t>
      </w:r>
      <w:r w:rsidR="008359D8" w:rsidRPr="009E4D45">
        <w:rPr>
          <w:rFonts w:cstheme="majorBidi"/>
          <w:snapToGrid w:val="0"/>
          <w:kern w:val="22"/>
          <w:szCs w:val="22"/>
          <w:lang w:val="fr-FR" w:eastAsia="nb-NO"/>
        </w:rPr>
        <w:t xml:space="preserve">e, </w:t>
      </w:r>
      <w:r w:rsidR="00145BA9" w:rsidRPr="009E4D45">
        <w:rPr>
          <w:rFonts w:cstheme="majorBidi"/>
          <w:snapToGrid w:val="0"/>
          <w:kern w:val="22"/>
          <w:szCs w:val="22"/>
          <w:lang w:val="fr-FR" w:eastAsia="nb-NO"/>
        </w:rPr>
        <w:t xml:space="preserve">23 </w:t>
      </w:r>
      <w:r w:rsidRPr="009E4D45">
        <w:rPr>
          <w:rFonts w:cstheme="majorBidi"/>
          <w:snapToGrid w:val="0"/>
          <w:kern w:val="22"/>
          <w:szCs w:val="22"/>
          <w:lang w:val="fr-FR" w:eastAsia="nb-NO"/>
        </w:rPr>
        <w:t>août</w:t>
      </w:r>
      <w:r w:rsidR="00145BA9" w:rsidRPr="009E4D45">
        <w:rPr>
          <w:rFonts w:cstheme="majorBidi"/>
          <w:snapToGrid w:val="0"/>
          <w:kern w:val="22"/>
          <w:szCs w:val="22"/>
          <w:lang w:val="fr-FR" w:eastAsia="nb-NO"/>
        </w:rPr>
        <w:t xml:space="preserve">– 3 </w:t>
      </w:r>
      <w:r w:rsidRPr="009E4D45">
        <w:rPr>
          <w:rFonts w:cstheme="majorBidi"/>
          <w:snapToGrid w:val="0"/>
          <w:kern w:val="22"/>
          <w:szCs w:val="22"/>
          <w:lang w:val="fr-FR" w:eastAsia="nb-NO"/>
        </w:rPr>
        <w:t xml:space="preserve">septembre </w:t>
      </w:r>
      <w:r w:rsidR="00145BA9" w:rsidRPr="009E4D45">
        <w:rPr>
          <w:rFonts w:cstheme="majorBidi"/>
          <w:snapToGrid w:val="0"/>
          <w:kern w:val="22"/>
          <w:szCs w:val="22"/>
          <w:lang w:val="fr-FR" w:eastAsia="nb-NO"/>
        </w:rPr>
        <w:t>2021</w:t>
      </w:r>
    </w:p>
    <w:p w14:paraId="5ECF7635" w14:textId="5B993729" w:rsidR="00C9161D" w:rsidRPr="009E4D45" w:rsidRDefault="00BD41B6" w:rsidP="00C9161D">
      <w:pPr>
        <w:rPr>
          <w:rFonts w:cstheme="majorBidi"/>
          <w:lang w:val="fr-FR"/>
        </w:rPr>
      </w:pPr>
      <w:r w:rsidRPr="009E4D45">
        <w:rPr>
          <w:rFonts w:cstheme="majorBidi"/>
          <w:snapToGrid w:val="0"/>
          <w:kern w:val="22"/>
          <w:szCs w:val="22"/>
          <w:lang w:val="fr-FR"/>
        </w:rPr>
        <w:t>Point 5 de l’ordre du jour provisoire</w:t>
      </w:r>
      <w:r w:rsidR="008359D8" w:rsidRPr="009E4D45">
        <w:rPr>
          <w:rStyle w:val="FootnoteReference"/>
          <w:rFonts w:cstheme="majorBidi"/>
          <w:snapToGrid w:val="0"/>
          <w:kern w:val="22"/>
          <w:szCs w:val="22"/>
          <w:lang w:val="fr-FR"/>
        </w:rPr>
        <w:footnoteReference w:customMarkFollows="1" w:id="2"/>
        <w:t>*</w:t>
      </w:r>
    </w:p>
    <w:p w14:paraId="57F6B7A1" w14:textId="4024E1CD" w:rsidR="00C9161D" w:rsidRPr="009E4D45" w:rsidRDefault="00AF2996" w:rsidP="08487383">
      <w:pPr>
        <w:pStyle w:val="Heading1"/>
        <w:rPr>
          <w:rFonts w:cstheme="majorBidi"/>
          <w:lang w:val="fr-FR"/>
        </w:rPr>
      </w:pPr>
      <w:sdt>
        <w:sdtPr>
          <w:rPr>
            <w:rFonts w:cstheme="majorBidi"/>
            <w:lang w:val="fr-F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9E4D45" w:rsidRPr="009E4D45">
            <w:rPr>
              <w:rFonts w:cstheme="majorBidi"/>
              <w:lang w:val="fr-FR"/>
            </w:rPr>
            <w:t>information de séquençage numérique sur les ressources génétiques</w:t>
          </w:r>
        </w:sdtContent>
      </w:sdt>
      <w:r w:rsidR="00105372" w:rsidRPr="009E4D45">
        <w:rPr>
          <w:rFonts w:cstheme="majorBidi"/>
          <w:lang w:val="fr-FR"/>
        </w:rPr>
        <w:t xml:space="preserve"> </w:t>
      </w:r>
    </w:p>
    <w:p w14:paraId="3995D9C2" w14:textId="7600349B" w:rsidR="00777B13" w:rsidRPr="009E4D45" w:rsidRDefault="009E4D45" w:rsidP="00846B21">
      <w:pPr>
        <w:pStyle w:val="Style1"/>
        <w:rPr>
          <w:rFonts w:cstheme="majorBidi"/>
          <w:b w:val="0"/>
          <w:lang w:val="fr-FR"/>
        </w:rPr>
      </w:pPr>
      <w:r w:rsidRPr="009E4D45">
        <w:rPr>
          <w:rFonts w:cstheme="majorBidi"/>
          <w:b w:val="0"/>
          <w:lang w:val="fr-FR"/>
        </w:rPr>
        <w:t xml:space="preserve">Note </w:t>
      </w:r>
      <w:r w:rsidR="0042663B">
        <w:rPr>
          <w:rFonts w:cstheme="majorBidi"/>
          <w:b w:val="0"/>
          <w:lang w:val="fr-FR"/>
        </w:rPr>
        <w:t>de</w:t>
      </w:r>
      <w:r w:rsidRPr="009E4D45">
        <w:rPr>
          <w:rFonts w:cstheme="majorBidi"/>
          <w:b w:val="0"/>
          <w:lang w:val="fr-FR"/>
        </w:rPr>
        <w:t xml:space="preserve"> la Secrétaire exécutive</w:t>
      </w:r>
    </w:p>
    <w:p w14:paraId="44CFC822" w14:textId="28172CCD" w:rsidR="00777B13" w:rsidRPr="009E4D45" w:rsidRDefault="005E7C6F" w:rsidP="00D17A30">
      <w:pPr>
        <w:pStyle w:val="Heading1"/>
        <w:numPr>
          <w:ilvl w:val="0"/>
          <w:numId w:val="29"/>
        </w:numPr>
        <w:ind w:left="0" w:firstLine="0"/>
        <w:rPr>
          <w:rFonts w:cstheme="majorBidi"/>
          <w:lang w:val="fr-FR"/>
        </w:rPr>
      </w:pPr>
      <w:r>
        <w:rPr>
          <w:rFonts w:cstheme="majorBidi"/>
          <w:lang w:val="fr-FR"/>
        </w:rPr>
        <w:t>CONTEXTE</w:t>
      </w:r>
    </w:p>
    <w:p w14:paraId="17234163" w14:textId="6E568D07" w:rsidR="009E4D45" w:rsidRDefault="009E4D45" w:rsidP="009E4D45">
      <w:pPr>
        <w:pStyle w:val="paragraph"/>
        <w:numPr>
          <w:ilvl w:val="0"/>
          <w:numId w:val="20"/>
        </w:numPr>
        <w:spacing w:before="0" w:beforeAutospacing="0" w:after="160" w:afterAutospacing="0"/>
        <w:ind w:left="0" w:firstLine="0"/>
        <w:jc w:val="both"/>
        <w:textAlignment w:val="baseline"/>
        <w:rPr>
          <w:rStyle w:val="eop"/>
          <w:rFonts w:eastAsiaTheme="majorBidi" w:cstheme="majorBidi"/>
          <w:sz w:val="22"/>
          <w:szCs w:val="22"/>
          <w:lang w:val="fr-FR"/>
        </w:rPr>
      </w:pPr>
      <w:r w:rsidRPr="009E4D45">
        <w:rPr>
          <w:rStyle w:val="eop"/>
          <w:rFonts w:eastAsiaTheme="majorBidi" w:cstheme="majorBidi"/>
          <w:sz w:val="22"/>
          <w:szCs w:val="22"/>
          <w:lang w:val="fr-FR"/>
        </w:rPr>
        <w:t xml:space="preserve">La Conférence des Parties à la Convention sur la diversité biologique, lors de sa quatorzième réunion, a examiné les incidences éventuelles de l'utilisation de l'information </w:t>
      </w:r>
      <w:r w:rsidR="005E7C6F">
        <w:rPr>
          <w:rStyle w:val="eop"/>
          <w:rFonts w:eastAsiaTheme="majorBidi" w:cstheme="majorBidi"/>
          <w:sz w:val="22"/>
          <w:szCs w:val="22"/>
          <w:lang w:val="fr-FR"/>
        </w:rPr>
        <w:t xml:space="preserve">de </w:t>
      </w:r>
      <w:r w:rsidR="005E7C6F" w:rsidRPr="0042663B">
        <w:rPr>
          <w:rStyle w:val="eop"/>
          <w:rFonts w:eastAsiaTheme="majorBidi" w:cstheme="majorBidi"/>
          <w:sz w:val="22"/>
          <w:szCs w:val="22"/>
          <w:lang w:val="fr-FR"/>
        </w:rPr>
        <w:t>séquençage</w:t>
      </w:r>
      <w:r w:rsidRPr="0042663B">
        <w:rPr>
          <w:rStyle w:val="eop"/>
          <w:rFonts w:eastAsiaTheme="majorBidi" w:cstheme="majorBidi"/>
          <w:sz w:val="22"/>
          <w:szCs w:val="22"/>
          <w:lang w:val="fr-FR"/>
        </w:rPr>
        <w:t xml:space="preserve"> numérique </w:t>
      </w:r>
      <w:r w:rsidR="005E7C6F" w:rsidRPr="0042663B">
        <w:rPr>
          <w:rStyle w:val="eop"/>
          <w:rFonts w:eastAsiaTheme="majorBidi" w:cstheme="majorBidi"/>
          <w:sz w:val="22"/>
          <w:szCs w:val="22"/>
          <w:lang w:val="fr-FR"/>
        </w:rPr>
        <w:t>sur les</w:t>
      </w:r>
      <w:r w:rsidRPr="0042663B">
        <w:rPr>
          <w:rStyle w:val="eop"/>
          <w:rFonts w:eastAsiaTheme="majorBidi" w:cstheme="majorBidi"/>
          <w:sz w:val="22"/>
          <w:szCs w:val="22"/>
          <w:lang w:val="fr-FR"/>
        </w:rPr>
        <w:t xml:space="preserve"> ressources génétiques sur les trois objectifs de la Convention et a adopté la décision </w:t>
      </w:r>
      <w:hyperlink r:id="rId15" w:history="1">
        <w:r w:rsidRPr="0042663B">
          <w:rPr>
            <w:rStyle w:val="Hyperlink"/>
            <w:rFonts w:eastAsiaTheme="majorBidi" w:cstheme="majorBidi"/>
            <w:sz w:val="22"/>
            <w:szCs w:val="22"/>
            <w:lang w:val="fr-FR"/>
          </w:rPr>
          <w:t>14/20</w:t>
        </w:r>
      </w:hyperlink>
      <w:r w:rsidRPr="0042663B">
        <w:rPr>
          <w:rStyle w:val="eop"/>
          <w:rFonts w:eastAsiaTheme="majorBidi" w:cstheme="majorBidi"/>
          <w:sz w:val="22"/>
          <w:szCs w:val="22"/>
          <w:lang w:val="fr-FR"/>
        </w:rPr>
        <w:t xml:space="preserve">. En outre, la Conférence des Parties siégeant en tant que réunion des Parties au Protocole de Nagoya, lors de sa troisième réunion, a également examiné les implications potentielles </w:t>
      </w:r>
      <w:r w:rsidR="0042663B" w:rsidRPr="0042663B">
        <w:rPr>
          <w:rStyle w:val="eop"/>
          <w:rFonts w:eastAsiaTheme="majorBidi" w:cstheme="majorBidi"/>
          <w:sz w:val="22"/>
          <w:szCs w:val="22"/>
          <w:lang w:val="fr-FR"/>
        </w:rPr>
        <w:t>sur les</w:t>
      </w:r>
      <w:r w:rsidRPr="0042663B">
        <w:rPr>
          <w:rStyle w:val="eop"/>
          <w:rFonts w:eastAsiaTheme="majorBidi" w:cstheme="majorBidi"/>
          <w:sz w:val="22"/>
          <w:szCs w:val="22"/>
          <w:lang w:val="fr-FR"/>
        </w:rPr>
        <w:t xml:space="preserve"> objectifs du Protocole de Nagoya et a adopté la décision </w:t>
      </w:r>
      <w:hyperlink r:id="rId16" w:history="1">
        <w:r w:rsidRPr="0042663B">
          <w:rPr>
            <w:rStyle w:val="Hyperlink"/>
            <w:rFonts w:eastAsiaTheme="majorBidi" w:cstheme="majorBidi"/>
            <w:sz w:val="22"/>
            <w:szCs w:val="22"/>
            <w:lang w:val="fr-FR"/>
          </w:rPr>
          <w:t>NP-3/12</w:t>
        </w:r>
      </w:hyperlink>
      <w:r w:rsidRPr="0042663B">
        <w:rPr>
          <w:rStyle w:val="eop"/>
          <w:rFonts w:eastAsiaTheme="majorBidi" w:cstheme="majorBidi"/>
          <w:sz w:val="22"/>
          <w:szCs w:val="22"/>
          <w:lang w:val="fr-FR"/>
        </w:rPr>
        <w:t xml:space="preserve"> sur l'information </w:t>
      </w:r>
      <w:r w:rsidR="00C86271" w:rsidRPr="0042663B">
        <w:rPr>
          <w:rStyle w:val="eop"/>
          <w:rFonts w:eastAsiaTheme="majorBidi" w:cstheme="majorBidi"/>
          <w:sz w:val="22"/>
          <w:szCs w:val="22"/>
          <w:lang w:val="fr-FR"/>
        </w:rPr>
        <w:t xml:space="preserve">de </w:t>
      </w:r>
      <w:r w:rsidRPr="0042663B">
        <w:rPr>
          <w:rStyle w:val="eop"/>
          <w:rFonts w:eastAsiaTheme="majorBidi" w:cstheme="majorBidi"/>
          <w:sz w:val="22"/>
          <w:szCs w:val="22"/>
          <w:lang w:val="fr-FR"/>
        </w:rPr>
        <w:t>séquen</w:t>
      </w:r>
      <w:r w:rsidR="00C86271" w:rsidRPr="0042663B">
        <w:rPr>
          <w:rStyle w:val="eop"/>
          <w:rFonts w:eastAsiaTheme="majorBidi" w:cstheme="majorBidi"/>
          <w:sz w:val="22"/>
          <w:szCs w:val="22"/>
          <w:lang w:val="fr-FR"/>
        </w:rPr>
        <w:t>çage</w:t>
      </w:r>
      <w:r w:rsidRPr="0042663B">
        <w:rPr>
          <w:rStyle w:val="eop"/>
          <w:rFonts w:eastAsiaTheme="majorBidi" w:cstheme="majorBidi"/>
          <w:sz w:val="22"/>
          <w:szCs w:val="22"/>
          <w:lang w:val="fr-FR"/>
        </w:rPr>
        <w:t xml:space="preserve"> numérique</w:t>
      </w:r>
      <w:r w:rsidR="00C86271" w:rsidRPr="0042663B">
        <w:rPr>
          <w:rStyle w:val="eop"/>
          <w:rFonts w:eastAsiaTheme="majorBidi" w:cstheme="majorBidi"/>
          <w:sz w:val="22"/>
          <w:szCs w:val="22"/>
          <w:lang w:val="fr-FR"/>
        </w:rPr>
        <w:t xml:space="preserve"> sur</w:t>
      </w:r>
      <w:r w:rsidRPr="0042663B">
        <w:rPr>
          <w:rStyle w:val="eop"/>
          <w:rFonts w:eastAsiaTheme="majorBidi" w:cstheme="majorBidi"/>
          <w:sz w:val="22"/>
          <w:szCs w:val="22"/>
          <w:lang w:val="fr-FR"/>
        </w:rPr>
        <w:t xml:space="preserve"> </w:t>
      </w:r>
      <w:r w:rsidR="00C86271" w:rsidRPr="0042663B">
        <w:rPr>
          <w:rStyle w:val="eop"/>
          <w:rFonts w:eastAsiaTheme="majorBidi" w:cstheme="majorBidi"/>
          <w:sz w:val="22"/>
          <w:szCs w:val="22"/>
          <w:lang w:val="fr-FR"/>
        </w:rPr>
        <w:t>l</w:t>
      </w:r>
      <w:r w:rsidRPr="0042663B">
        <w:rPr>
          <w:rStyle w:val="eop"/>
          <w:rFonts w:eastAsiaTheme="majorBidi" w:cstheme="majorBidi"/>
          <w:sz w:val="22"/>
          <w:szCs w:val="22"/>
          <w:lang w:val="fr-FR"/>
        </w:rPr>
        <w:t>es ressources</w:t>
      </w:r>
      <w:r w:rsidRPr="009E4D45">
        <w:rPr>
          <w:rStyle w:val="eop"/>
          <w:rFonts w:eastAsiaTheme="majorBidi" w:cstheme="majorBidi"/>
          <w:sz w:val="22"/>
          <w:szCs w:val="22"/>
          <w:lang w:val="fr-FR"/>
        </w:rPr>
        <w:t xml:space="preserve"> génétiques</w:t>
      </w:r>
      <w:r w:rsidR="009929BD">
        <w:rPr>
          <w:rStyle w:val="eop"/>
          <w:rFonts w:eastAsiaTheme="majorBidi" w:cstheme="majorBidi"/>
          <w:sz w:val="22"/>
          <w:szCs w:val="22"/>
          <w:lang w:val="fr-FR"/>
        </w:rPr>
        <w:t>.</w:t>
      </w:r>
    </w:p>
    <w:p w14:paraId="590AFDCD" w14:textId="622CF879" w:rsidR="009E4D45" w:rsidRPr="009E4D45" w:rsidRDefault="009E4D45" w:rsidP="009E4D45">
      <w:pPr>
        <w:pStyle w:val="paragraph"/>
        <w:numPr>
          <w:ilvl w:val="0"/>
          <w:numId w:val="20"/>
        </w:numPr>
        <w:spacing w:before="0" w:beforeAutospacing="0" w:after="160" w:afterAutospacing="0"/>
        <w:ind w:left="0" w:firstLine="0"/>
        <w:jc w:val="both"/>
        <w:textAlignment w:val="baseline"/>
        <w:rPr>
          <w:rFonts w:eastAsiaTheme="majorBidi" w:cstheme="majorBidi"/>
          <w:sz w:val="22"/>
          <w:szCs w:val="22"/>
          <w:lang w:val="fr-FR"/>
        </w:rPr>
      </w:pPr>
      <w:r w:rsidRPr="009E4D45">
        <w:rPr>
          <w:rFonts w:eastAsiaTheme="majorBidi" w:cstheme="majorBidi"/>
          <w:sz w:val="22"/>
          <w:szCs w:val="22"/>
          <w:lang w:val="fr-FR"/>
        </w:rPr>
        <w:t xml:space="preserve">Dans la décision 14/20, la Conférence des Parties a noté que, comme il existait une divergence de vues entre les Parties concernant le partage des avantages découlant de l'utilisation </w:t>
      </w:r>
      <w:r w:rsidR="000058DD">
        <w:rPr>
          <w:rFonts w:eastAsiaTheme="majorBidi" w:cstheme="majorBidi"/>
          <w:sz w:val="22"/>
          <w:szCs w:val="22"/>
          <w:lang w:val="fr-FR"/>
        </w:rPr>
        <w:t>de l’</w:t>
      </w:r>
      <w:r w:rsidR="00574500">
        <w:rPr>
          <w:rFonts w:eastAsiaTheme="majorBidi" w:cstheme="majorBidi"/>
          <w:sz w:val="22"/>
          <w:szCs w:val="22"/>
          <w:lang w:val="fr-FR"/>
        </w:rPr>
        <w:t>information de séquençage numérique</w:t>
      </w:r>
      <w:r w:rsidRPr="009E4D45">
        <w:rPr>
          <w:rFonts w:eastAsiaTheme="majorBidi" w:cstheme="majorBidi"/>
          <w:sz w:val="22"/>
          <w:szCs w:val="22"/>
          <w:lang w:val="fr-FR"/>
        </w:rPr>
        <w:t xml:space="preserve"> </w:t>
      </w:r>
      <w:r w:rsidR="000058DD">
        <w:rPr>
          <w:rFonts w:eastAsiaTheme="majorBidi" w:cstheme="majorBidi"/>
          <w:sz w:val="22"/>
          <w:szCs w:val="22"/>
          <w:lang w:val="fr-FR"/>
        </w:rPr>
        <w:t>sur</w:t>
      </w:r>
      <w:r w:rsidR="00D4379B">
        <w:rPr>
          <w:rFonts w:eastAsiaTheme="majorBidi" w:cstheme="majorBidi"/>
          <w:sz w:val="22"/>
          <w:szCs w:val="22"/>
          <w:lang w:val="fr-FR"/>
        </w:rPr>
        <w:t xml:space="preserve"> les</w:t>
      </w:r>
      <w:r w:rsidR="00EC7AC0">
        <w:rPr>
          <w:rFonts w:eastAsiaTheme="majorBidi" w:cstheme="majorBidi"/>
          <w:sz w:val="22"/>
          <w:szCs w:val="22"/>
          <w:lang w:val="fr-FR"/>
        </w:rPr>
        <w:t xml:space="preserve"> </w:t>
      </w:r>
      <w:r w:rsidRPr="009E4D45">
        <w:rPr>
          <w:rFonts w:eastAsiaTheme="majorBidi" w:cstheme="majorBidi"/>
          <w:sz w:val="22"/>
          <w:szCs w:val="22"/>
          <w:lang w:val="fr-FR"/>
        </w:rPr>
        <w:t xml:space="preserve">ressources génétiques, les Parties se sont engagées </w:t>
      </w:r>
      <w:r w:rsidR="00D4379B">
        <w:rPr>
          <w:rFonts w:eastAsiaTheme="majorBidi" w:cstheme="majorBidi"/>
          <w:sz w:val="22"/>
          <w:szCs w:val="22"/>
          <w:lang w:val="fr-FR"/>
        </w:rPr>
        <w:t>à résoudre</w:t>
      </w:r>
      <w:r w:rsidRPr="009E4D45">
        <w:rPr>
          <w:rFonts w:eastAsiaTheme="majorBidi" w:cstheme="majorBidi"/>
          <w:sz w:val="22"/>
          <w:szCs w:val="22"/>
          <w:lang w:val="fr-FR"/>
        </w:rPr>
        <w:t xml:space="preserve"> </w:t>
      </w:r>
      <w:r w:rsidR="00D4379B">
        <w:rPr>
          <w:rFonts w:eastAsiaTheme="majorBidi" w:cstheme="majorBidi"/>
          <w:sz w:val="22"/>
          <w:szCs w:val="22"/>
          <w:lang w:val="fr-FR"/>
        </w:rPr>
        <w:t>ces</w:t>
      </w:r>
      <w:r w:rsidRPr="009E4D45">
        <w:rPr>
          <w:rFonts w:eastAsiaTheme="majorBidi" w:cstheme="majorBidi"/>
          <w:sz w:val="22"/>
          <w:szCs w:val="22"/>
          <w:lang w:val="fr-FR"/>
        </w:rPr>
        <w:t xml:space="preserve"> divergence</w:t>
      </w:r>
      <w:r w:rsidR="00D4379B">
        <w:rPr>
          <w:rFonts w:eastAsiaTheme="majorBidi" w:cstheme="majorBidi"/>
          <w:sz w:val="22"/>
          <w:szCs w:val="22"/>
          <w:lang w:val="fr-FR"/>
        </w:rPr>
        <w:t xml:space="preserve">s par le biais d’un </w:t>
      </w:r>
      <w:r w:rsidRPr="009E4D45">
        <w:rPr>
          <w:rFonts w:eastAsiaTheme="majorBidi" w:cstheme="majorBidi"/>
          <w:sz w:val="22"/>
          <w:szCs w:val="22"/>
          <w:lang w:val="fr-FR"/>
        </w:rPr>
        <w:t>processus</w:t>
      </w:r>
      <w:r w:rsidR="00EC7AC0">
        <w:rPr>
          <w:rFonts w:eastAsiaTheme="majorBidi" w:cstheme="majorBidi"/>
          <w:sz w:val="22"/>
          <w:szCs w:val="22"/>
          <w:lang w:val="fr-FR"/>
        </w:rPr>
        <w:t>, fondé sur la</w:t>
      </w:r>
      <w:r w:rsidRPr="009E4D45">
        <w:rPr>
          <w:rFonts w:eastAsiaTheme="majorBidi" w:cstheme="majorBidi"/>
          <w:sz w:val="22"/>
          <w:szCs w:val="22"/>
          <w:lang w:val="fr-FR"/>
        </w:rPr>
        <w:t xml:space="preserve"> science et</w:t>
      </w:r>
      <w:r w:rsidR="00EC7AC0">
        <w:rPr>
          <w:rFonts w:eastAsiaTheme="majorBidi" w:cstheme="majorBidi"/>
          <w:sz w:val="22"/>
          <w:szCs w:val="22"/>
          <w:lang w:val="fr-FR"/>
        </w:rPr>
        <w:t xml:space="preserve"> l</w:t>
      </w:r>
      <w:r w:rsidR="00F52F3C">
        <w:rPr>
          <w:rFonts w:eastAsiaTheme="majorBidi" w:cstheme="majorBidi"/>
          <w:sz w:val="22"/>
          <w:szCs w:val="22"/>
          <w:lang w:val="fr-FR"/>
        </w:rPr>
        <w:t xml:space="preserve">es politiques générales </w:t>
      </w:r>
      <w:r w:rsidRPr="009E4D45">
        <w:rPr>
          <w:rFonts w:eastAsiaTheme="majorBidi" w:cstheme="majorBidi"/>
          <w:sz w:val="22"/>
          <w:szCs w:val="22"/>
          <w:lang w:val="fr-FR"/>
        </w:rPr>
        <w:t>en vue de renforcer la réalisation du troisième objectif de la Convention et du paragraphe 7 de l'</w:t>
      </w:r>
      <w:r w:rsidR="000058DD">
        <w:rPr>
          <w:rFonts w:eastAsiaTheme="majorBidi" w:cstheme="majorBidi"/>
          <w:sz w:val="22"/>
          <w:szCs w:val="22"/>
          <w:lang w:val="fr-FR"/>
        </w:rPr>
        <w:t>a</w:t>
      </w:r>
      <w:r w:rsidRPr="009E4D45">
        <w:rPr>
          <w:rFonts w:eastAsiaTheme="majorBidi" w:cstheme="majorBidi"/>
          <w:sz w:val="22"/>
          <w:szCs w:val="22"/>
          <w:lang w:val="fr-FR"/>
        </w:rPr>
        <w:t>rticle 15, sans préjudice des circonstances auxquelles s'applique</w:t>
      </w:r>
      <w:r w:rsidR="00D4379B">
        <w:rPr>
          <w:rFonts w:eastAsiaTheme="majorBidi" w:cstheme="majorBidi"/>
          <w:sz w:val="22"/>
          <w:szCs w:val="22"/>
          <w:lang w:val="fr-FR"/>
        </w:rPr>
        <w:t xml:space="preserve"> cet article</w:t>
      </w:r>
      <w:r w:rsidRPr="009E4D45">
        <w:rPr>
          <w:rFonts w:eastAsiaTheme="majorBidi" w:cstheme="majorBidi"/>
          <w:sz w:val="22"/>
          <w:szCs w:val="22"/>
          <w:lang w:val="fr-FR"/>
        </w:rPr>
        <w:t xml:space="preserve">. La décision a noté l'importance </w:t>
      </w:r>
      <w:r w:rsidR="00574500">
        <w:rPr>
          <w:rFonts w:eastAsiaTheme="majorBidi" w:cstheme="majorBidi"/>
          <w:sz w:val="22"/>
          <w:szCs w:val="22"/>
          <w:lang w:val="fr-FR"/>
        </w:rPr>
        <w:t>de l’ISN</w:t>
      </w:r>
      <w:r w:rsidR="004A08D6">
        <w:rPr>
          <w:rFonts w:eastAsiaTheme="majorBidi" w:cstheme="majorBidi"/>
          <w:sz w:val="22"/>
          <w:szCs w:val="22"/>
          <w:lang w:val="fr-FR"/>
        </w:rPr>
        <w:t xml:space="preserve"> </w:t>
      </w:r>
      <w:r w:rsidRPr="009E4D45">
        <w:rPr>
          <w:rFonts w:eastAsiaTheme="majorBidi" w:cstheme="majorBidi"/>
          <w:sz w:val="22"/>
          <w:szCs w:val="22"/>
          <w:lang w:val="fr-FR"/>
        </w:rPr>
        <w:t xml:space="preserve">pour la recherche scientifique, </w:t>
      </w:r>
      <w:r w:rsidR="00F52F3C">
        <w:rPr>
          <w:rFonts w:eastAsiaTheme="majorBidi" w:cstheme="majorBidi"/>
          <w:sz w:val="22"/>
          <w:szCs w:val="22"/>
          <w:lang w:val="fr-FR"/>
        </w:rPr>
        <w:t>commerciale et/ou non commerciale</w:t>
      </w:r>
      <w:r w:rsidRPr="009E4D45">
        <w:rPr>
          <w:rFonts w:eastAsiaTheme="majorBidi" w:cstheme="majorBidi"/>
          <w:sz w:val="22"/>
          <w:szCs w:val="22"/>
          <w:lang w:val="fr-FR"/>
        </w:rPr>
        <w:t>, mais aussi la disparité des capacités d'accès, d'utilisation et d</w:t>
      </w:r>
      <w:r w:rsidR="00C86271">
        <w:rPr>
          <w:rFonts w:eastAsiaTheme="majorBidi" w:cstheme="majorBidi"/>
          <w:sz w:val="22"/>
          <w:szCs w:val="22"/>
          <w:lang w:val="fr-FR"/>
        </w:rPr>
        <w:t xml:space="preserve">es avantages </w:t>
      </w:r>
      <w:r w:rsidRPr="009E4D45">
        <w:rPr>
          <w:rFonts w:eastAsiaTheme="majorBidi" w:cstheme="majorBidi"/>
          <w:sz w:val="22"/>
          <w:szCs w:val="22"/>
          <w:lang w:val="fr-FR"/>
        </w:rPr>
        <w:t xml:space="preserve">de l'utilisation </w:t>
      </w:r>
      <w:r w:rsidR="00574500">
        <w:rPr>
          <w:rFonts w:eastAsiaTheme="majorBidi" w:cstheme="majorBidi"/>
          <w:sz w:val="22"/>
          <w:szCs w:val="22"/>
          <w:lang w:val="fr-FR"/>
        </w:rPr>
        <w:t>de l’ISN</w:t>
      </w:r>
      <w:r w:rsidR="004A08D6">
        <w:rPr>
          <w:rFonts w:eastAsiaTheme="majorBidi" w:cstheme="majorBidi"/>
          <w:sz w:val="22"/>
          <w:szCs w:val="22"/>
          <w:lang w:val="fr-FR"/>
        </w:rPr>
        <w:t xml:space="preserve">. </w:t>
      </w:r>
      <w:r w:rsidR="00EC7AC0">
        <w:rPr>
          <w:rFonts w:eastAsiaTheme="majorBidi" w:cstheme="majorBidi"/>
          <w:sz w:val="22"/>
          <w:szCs w:val="22"/>
          <w:lang w:val="fr-FR"/>
        </w:rPr>
        <w:t xml:space="preserve"> </w:t>
      </w:r>
    </w:p>
    <w:p w14:paraId="1852B747" w14:textId="5EB17DD1" w:rsidR="00BA587C" w:rsidRPr="009E4D45" w:rsidRDefault="009E4D45" w:rsidP="000E1A27">
      <w:pPr>
        <w:pStyle w:val="paragraph"/>
        <w:numPr>
          <w:ilvl w:val="0"/>
          <w:numId w:val="20"/>
        </w:numPr>
        <w:spacing w:before="0" w:beforeAutospacing="0" w:after="160" w:afterAutospacing="0"/>
        <w:ind w:left="0" w:firstLine="0"/>
        <w:jc w:val="both"/>
        <w:textAlignment w:val="baseline"/>
        <w:rPr>
          <w:rStyle w:val="normaltextrun"/>
          <w:sz w:val="22"/>
          <w:szCs w:val="22"/>
          <w:lang w:val="fr-FR"/>
        </w:rPr>
      </w:pPr>
      <w:r w:rsidRPr="009E4D45">
        <w:rPr>
          <w:rStyle w:val="normaltextrun"/>
          <w:rFonts w:eastAsia="Malgun Gothic" w:cstheme="majorBidi"/>
          <w:sz w:val="22"/>
          <w:szCs w:val="22"/>
          <w:lang w:val="fr-FR"/>
        </w:rPr>
        <w:t xml:space="preserve">Le processus, tel que défini </w:t>
      </w:r>
      <w:r w:rsidR="004A1C20">
        <w:rPr>
          <w:rStyle w:val="normaltextrun"/>
          <w:rFonts w:eastAsia="Malgun Gothic" w:cstheme="majorBidi"/>
          <w:sz w:val="22"/>
          <w:szCs w:val="22"/>
          <w:lang w:val="fr-FR"/>
        </w:rPr>
        <w:t xml:space="preserve">dans les </w:t>
      </w:r>
      <w:r w:rsidRPr="009E4D45">
        <w:rPr>
          <w:rStyle w:val="normaltextrun"/>
          <w:rFonts w:eastAsia="Malgun Gothic" w:cstheme="majorBidi"/>
          <w:sz w:val="22"/>
          <w:szCs w:val="22"/>
          <w:lang w:val="fr-FR"/>
        </w:rPr>
        <w:t xml:space="preserve">paragraphes 9 à 12 de la décision, comprenait une invitation aux Parties et aux autres parties à soumettre </w:t>
      </w:r>
      <w:r w:rsidR="00F52F3C">
        <w:rPr>
          <w:rStyle w:val="normaltextrun"/>
          <w:rFonts w:eastAsia="Malgun Gothic" w:cstheme="majorBidi"/>
          <w:sz w:val="22"/>
          <w:szCs w:val="22"/>
          <w:lang w:val="fr-FR"/>
        </w:rPr>
        <w:t>leurs</w:t>
      </w:r>
      <w:r w:rsidRPr="009E4D45">
        <w:rPr>
          <w:rStyle w:val="normaltextrun"/>
          <w:rFonts w:eastAsia="Malgun Gothic" w:cstheme="majorBidi"/>
          <w:sz w:val="22"/>
          <w:szCs w:val="22"/>
          <w:lang w:val="fr-FR"/>
        </w:rPr>
        <w:t xml:space="preserve"> points de vue et des informations en vue d'une synthèse et d'une analyse par l</w:t>
      </w:r>
      <w:r w:rsidR="004A1C20">
        <w:rPr>
          <w:rStyle w:val="normaltextrun"/>
          <w:rFonts w:eastAsia="Malgun Gothic" w:cstheme="majorBidi"/>
          <w:sz w:val="22"/>
          <w:szCs w:val="22"/>
          <w:lang w:val="fr-FR"/>
        </w:rPr>
        <w:t xml:space="preserve">a </w:t>
      </w:r>
      <w:r w:rsidRPr="009E4D45">
        <w:rPr>
          <w:rStyle w:val="normaltextrun"/>
          <w:rFonts w:eastAsia="Malgun Gothic" w:cstheme="majorBidi"/>
          <w:sz w:val="22"/>
          <w:szCs w:val="22"/>
          <w:lang w:val="fr-FR"/>
        </w:rPr>
        <w:t>Secrétaire exécuti</w:t>
      </w:r>
      <w:r w:rsidR="004A1C20">
        <w:rPr>
          <w:rStyle w:val="normaltextrun"/>
          <w:rFonts w:eastAsia="Malgun Gothic" w:cstheme="majorBidi"/>
          <w:sz w:val="22"/>
          <w:szCs w:val="22"/>
          <w:lang w:val="fr-FR"/>
        </w:rPr>
        <w:t>ve</w:t>
      </w:r>
      <w:r w:rsidRPr="009E4D45">
        <w:rPr>
          <w:rStyle w:val="normaltextrun"/>
          <w:rFonts w:eastAsia="Malgun Gothic" w:cstheme="majorBidi"/>
          <w:sz w:val="22"/>
          <w:szCs w:val="22"/>
          <w:lang w:val="fr-FR"/>
        </w:rPr>
        <w:t xml:space="preserve">, la </w:t>
      </w:r>
      <w:r w:rsidR="004A1C20">
        <w:rPr>
          <w:rStyle w:val="normaltextrun"/>
          <w:rFonts w:eastAsia="Malgun Gothic" w:cstheme="majorBidi"/>
          <w:sz w:val="22"/>
          <w:szCs w:val="22"/>
          <w:lang w:val="fr-FR"/>
        </w:rPr>
        <w:t>prise en main d’un certain</w:t>
      </w:r>
      <w:r w:rsidRPr="009E4D45">
        <w:rPr>
          <w:rStyle w:val="normaltextrun"/>
          <w:rFonts w:eastAsia="Malgun Gothic" w:cstheme="majorBidi"/>
          <w:sz w:val="22"/>
          <w:szCs w:val="22"/>
          <w:lang w:val="fr-FR"/>
        </w:rPr>
        <w:t xml:space="preserve"> nombre d'études par l</w:t>
      </w:r>
      <w:r w:rsidR="004A1C20">
        <w:rPr>
          <w:rStyle w:val="normaltextrun"/>
          <w:rFonts w:eastAsia="Malgun Gothic" w:cstheme="majorBidi"/>
          <w:sz w:val="22"/>
          <w:szCs w:val="22"/>
          <w:lang w:val="fr-FR"/>
        </w:rPr>
        <w:t>a</w:t>
      </w:r>
      <w:r w:rsidRPr="009E4D45">
        <w:rPr>
          <w:rStyle w:val="normaltextrun"/>
          <w:rFonts w:eastAsia="Malgun Gothic" w:cstheme="majorBidi"/>
          <w:sz w:val="22"/>
          <w:szCs w:val="22"/>
          <w:lang w:val="fr-FR"/>
        </w:rPr>
        <w:t xml:space="preserve"> Secrétaire exécuti</w:t>
      </w:r>
      <w:r w:rsidR="004A1C20">
        <w:rPr>
          <w:rStyle w:val="normaltextrun"/>
          <w:rFonts w:eastAsia="Malgun Gothic" w:cstheme="majorBidi"/>
          <w:sz w:val="22"/>
          <w:szCs w:val="22"/>
          <w:lang w:val="fr-FR"/>
        </w:rPr>
        <w:t>ve</w:t>
      </w:r>
      <w:r w:rsidRPr="009E4D45">
        <w:rPr>
          <w:rStyle w:val="normaltextrun"/>
          <w:rFonts w:eastAsia="Malgun Gothic" w:cstheme="majorBidi"/>
          <w:sz w:val="22"/>
          <w:szCs w:val="22"/>
          <w:lang w:val="fr-FR"/>
        </w:rPr>
        <w:t xml:space="preserve"> et la convocation d'un </w:t>
      </w:r>
      <w:r w:rsidR="000058DD">
        <w:rPr>
          <w:rStyle w:val="normaltextrun"/>
          <w:rFonts w:eastAsia="Malgun Gothic" w:cstheme="majorBidi"/>
          <w:sz w:val="22"/>
          <w:szCs w:val="22"/>
          <w:lang w:val="fr-FR"/>
        </w:rPr>
        <w:t>G</w:t>
      </w:r>
      <w:r w:rsidRPr="009E4D45">
        <w:rPr>
          <w:rStyle w:val="normaltextrun"/>
          <w:rFonts w:eastAsia="Malgun Gothic" w:cstheme="majorBidi"/>
          <w:sz w:val="22"/>
          <w:szCs w:val="22"/>
          <w:lang w:val="fr-FR"/>
        </w:rPr>
        <w:t xml:space="preserve">roupe </w:t>
      </w:r>
      <w:r w:rsidR="009168F5">
        <w:rPr>
          <w:rStyle w:val="normaltextrun"/>
          <w:rFonts w:eastAsia="Malgun Gothic" w:cstheme="majorBidi"/>
          <w:sz w:val="22"/>
          <w:szCs w:val="22"/>
          <w:lang w:val="fr-FR"/>
        </w:rPr>
        <w:t>s</w:t>
      </w:r>
      <w:r w:rsidR="00F83AFC">
        <w:rPr>
          <w:rStyle w:val="normaltextrun"/>
          <w:rFonts w:eastAsia="Malgun Gothic" w:cstheme="majorBidi"/>
          <w:sz w:val="22"/>
          <w:szCs w:val="22"/>
          <w:lang w:val="fr-FR"/>
        </w:rPr>
        <w:t xml:space="preserve">pécial </w:t>
      </w:r>
      <w:r w:rsidRPr="009E4D45">
        <w:rPr>
          <w:rStyle w:val="normaltextrun"/>
          <w:rFonts w:eastAsia="Malgun Gothic" w:cstheme="majorBidi"/>
          <w:sz w:val="22"/>
          <w:szCs w:val="22"/>
          <w:lang w:val="fr-FR"/>
        </w:rPr>
        <w:t>d'experts techniques qui d</w:t>
      </w:r>
      <w:r w:rsidR="004A1C20">
        <w:rPr>
          <w:rStyle w:val="normaltextrun"/>
          <w:rFonts w:eastAsia="Malgun Gothic" w:cstheme="majorBidi"/>
          <w:sz w:val="22"/>
          <w:szCs w:val="22"/>
          <w:lang w:val="fr-FR"/>
        </w:rPr>
        <w:t xml:space="preserve">oit </w:t>
      </w:r>
      <w:r w:rsidRPr="009E4D45">
        <w:rPr>
          <w:rStyle w:val="normaltextrun"/>
          <w:rFonts w:eastAsia="Malgun Gothic" w:cstheme="majorBidi"/>
          <w:sz w:val="22"/>
          <w:szCs w:val="22"/>
          <w:lang w:val="fr-FR"/>
        </w:rPr>
        <w:t xml:space="preserve">faire rapport au </w:t>
      </w:r>
      <w:r w:rsidR="004A1C20">
        <w:rPr>
          <w:rStyle w:val="normaltextrun"/>
          <w:rFonts w:eastAsia="Malgun Gothic" w:cstheme="majorBidi"/>
          <w:sz w:val="22"/>
          <w:szCs w:val="22"/>
          <w:lang w:val="fr-FR"/>
        </w:rPr>
        <w:t>G</w:t>
      </w:r>
      <w:r w:rsidRPr="009E4D45">
        <w:rPr>
          <w:rStyle w:val="normaltextrun"/>
          <w:rFonts w:eastAsia="Malgun Gothic" w:cstheme="majorBidi"/>
          <w:sz w:val="22"/>
          <w:szCs w:val="22"/>
          <w:lang w:val="fr-FR"/>
        </w:rPr>
        <w:t xml:space="preserve">roupe de travail à composition non limitée sur le cadre mondial </w:t>
      </w:r>
      <w:r w:rsidR="004A1C20">
        <w:rPr>
          <w:rStyle w:val="normaltextrun"/>
          <w:rFonts w:eastAsia="Malgun Gothic" w:cstheme="majorBidi"/>
          <w:sz w:val="22"/>
          <w:szCs w:val="22"/>
          <w:lang w:val="fr-FR"/>
        </w:rPr>
        <w:t>de</w:t>
      </w:r>
      <w:r w:rsidRPr="009E4D45">
        <w:rPr>
          <w:rStyle w:val="normaltextrun"/>
          <w:rFonts w:eastAsia="Malgun Gothic" w:cstheme="majorBidi"/>
          <w:sz w:val="22"/>
          <w:szCs w:val="22"/>
          <w:lang w:val="fr-FR"/>
        </w:rPr>
        <w:t xml:space="preserve"> la biodiversité </w:t>
      </w:r>
      <w:r w:rsidR="004A1C20">
        <w:rPr>
          <w:rStyle w:val="normaltextrun"/>
          <w:rFonts w:eastAsia="Malgun Gothic" w:cstheme="majorBidi"/>
          <w:sz w:val="22"/>
          <w:szCs w:val="22"/>
          <w:lang w:val="fr-FR"/>
        </w:rPr>
        <w:t>pour l’</w:t>
      </w:r>
      <w:r w:rsidRPr="009E4D45">
        <w:rPr>
          <w:rStyle w:val="normaltextrun"/>
          <w:rFonts w:eastAsia="Malgun Gothic" w:cstheme="majorBidi"/>
          <w:sz w:val="22"/>
          <w:szCs w:val="22"/>
          <w:lang w:val="fr-FR"/>
        </w:rPr>
        <w:t>après</w:t>
      </w:r>
      <w:r w:rsidR="004A1C20">
        <w:rPr>
          <w:rStyle w:val="normaltextrun"/>
          <w:rFonts w:eastAsia="Malgun Gothic" w:cstheme="majorBidi"/>
          <w:sz w:val="22"/>
          <w:szCs w:val="22"/>
          <w:lang w:val="fr-FR"/>
        </w:rPr>
        <w:t>-</w:t>
      </w:r>
      <w:r w:rsidRPr="009E4D45">
        <w:rPr>
          <w:rStyle w:val="normaltextrun"/>
          <w:rFonts w:eastAsia="Malgun Gothic" w:cstheme="majorBidi"/>
          <w:sz w:val="22"/>
          <w:szCs w:val="22"/>
          <w:lang w:val="fr-FR"/>
        </w:rPr>
        <w:t>2020</w:t>
      </w:r>
      <w:r w:rsidR="00212032">
        <w:rPr>
          <w:rStyle w:val="normaltextrun"/>
          <w:rFonts w:eastAsia="Malgun Gothic" w:cstheme="majorBidi"/>
          <w:sz w:val="22"/>
          <w:szCs w:val="22"/>
          <w:lang w:val="fr-FR"/>
        </w:rPr>
        <w:t xml:space="preserve"> (le Groupe de travail)</w:t>
      </w:r>
      <w:r w:rsidRPr="009E4D45">
        <w:rPr>
          <w:rStyle w:val="normaltextrun"/>
          <w:rFonts w:eastAsia="Malgun Gothic" w:cstheme="majorBidi"/>
          <w:sz w:val="22"/>
          <w:szCs w:val="22"/>
          <w:lang w:val="fr-FR"/>
        </w:rPr>
        <w:t>.</w:t>
      </w:r>
    </w:p>
    <w:p w14:paraId="20755C59" w14:textId="089585E7" w:rsidR="004E10A1" w:rsidRPr="009E4D45" w:rsidRDefault="000058DD" w:rsidP="004E10A1">
      <w:pPr>
        <w:pStyle w:val="paragraph"/>
        <w:numPr>
          <w:ilvl w:val="0"/>
          <w:numId w:val="20"/>
        </w:numPr>
        <w:spacing w:before="0" w:beforeAutospacing="0" w:after="160" w:afterAutospacing="0"/>
        <w:ind w:left="0" w:firstLine="0"/>
        <w:jc w:val="both"/>
        <w:textAlignment w:val="baseline"/>
        <w:rPr>
          <w:rStyle w:val="normaltextrun"/>
          <w:sz w:val="22"/>
          <w:szCs w:val="22"/>
          <w:lang w:val="fr-FR"/>
        </w:rPr>
      </w:pPr>
      <w:r>
        <w:rPr>
          <w:rStyle w:val="normaltextrun"/>
          <w:rFonts w:eastAsia="Malgun Gothic"/>
          <w:sz w:val="22"/>
          <w:lang w:val="fr-FR"/>
        </w:rPr>
        <w:t>De plus</w:t>
      </w:r>
      <w:r w:rsidR="009E4D45" w:rsidRPr="009E4D45">
        <w:rPr>
          <w:rStyle w:val="normaltextrun"/>
          <w:rFonts w:eastAsia="Malgun Gothic"/>
          <w:sz w:val="22"/>
          <w:lang w:val="fr-FR"/>
        </w:rPr>
        <w:t>, l</w:t>
      </w:r>
      <w:r w:rsidR="004C5B74">
        <w:rPr>
          <w:rStyle w:val="normaltextrun"/>
          <w:rFonts w:eastAsia="Malgun Gothic"/>
          <w:sz w:val="22"/>
          <w:lang w:val="fr-FR"/>
        </w:rPr>
        <w:t>a</w:t>
      </w:r>
      <w:r w:rsidR="009E4D45" w:rsidRPr="009E4D45">
        <w:rPr>
          <w:rStyle w:val="normaltextrun"/>
          <w:rFonts w:eastAsia="Malgun Gothic"/>
          <w:sz w:val="22"/>
          <w:lang w:val="fr-FR"/>
        </w:rPr>
        <w:t xml:space="preserve"> Secrétaire exécuti</w:t>
      </w:r>
      <w:r w:rsidR="004C5B74">
        <w:rPr>
          <w:rStyle w:val="normaltextrun"/>
          <w:rFonts w:eastAsia="Malgun Gothic"/>
          <w:sz w:val="22"/>
          <w:lang w:val="fr-FR"/>
        </w:rPr>
        <w:t>ve</w:t>
      </w:r>
      <w:r w:rsidR="009E4D45" w:rsidRPr="009E4D45">
        <w:rPr>
          <w:rStyle w:val="normaltextrun"/>
          <w:rFonts w:eastAsia="Malgun Gothic"/>
          <w:sz w:val="22"/>
          <w:lang w:val="fr-FR"/>
        </w:rPr>
        <w:t xml:space="preserve"> a été prié</w:t>
      </w:r>
      <w:r>
        <w:rPr>
          <w:rStyle w:val="normaltextrun"/>
          <w:rFonts w:eastAsia="Malgun Gothic"/>
          <w:sz w:val="22"/>
          <w:lang w:val="fr-FR"/>
        </w:rPr>
        <w:t>e</w:t>
      </w:r>
      <w:r w:rsidR="009E4D45" w:rsidRPr="009E4D45">
        <w:rPr>
          <w:rStyle w:val="normaltextrun"/>
          <w:rFonts w:eastAsia="Malgun Gothic"/>
          <w:sz w:val="22"/>
          <w:lang w:val="fr-FR"/>
        </w:rPr>
        <w:t xml:space="preserve"> de coopérer avec d'autres organisations intergouvernementales afin de les informer du processus et de prendre en compte les travaux, les approches et les résultats que ces organisations génèrent dans le domaine en question.</w:t>
      </w:r>
    </w:p>
    <w:p w14:paraId="6F0905EA" w14:textId="4A20C84B" w:rsidR="00E4202C" w:rsidRPr="009E4D45" w:rsidRDefault="009E4D45" w:rsidP="007E6D3F">
      <w:pPr>
        <w:pStyle w:val="paragraph"/>
        <w:numPr>
          <w:ilvl w:val="0"/>
          <w:numId w:val="20"/>
        </w:numPr>
        <w:spacing w:before="0" w:beforeAutospacing="0" w:after="160" w:afterAutospacing="0"/>
        <w:ind w:left="0" w:firstLine="0"/>
        <w:jc w:val="both"/>
        <w:textAlignment w:val="baseline"/>
        <w:rPr>
          <w:rStyle w:val="normaltextrun"/>
          <w:rFonts w:eastAsiaTheme="majorBidi" w:cstheme="majorBidi"/>
          <w:sz w:val="22"/>
          <w:lang w:val="fr-FR"/>
        </w:rPr>
      </w:pPr>
      <w:r w:rsidRPr="009E4D45">
        <w:rPr>
          <w:rStyle w:val="normaltextrun"/>
          <w:rFonts w:eastAsia="Malgun Gothic" w:cstheme="majorBidi"/>
          <w:sz w:val="22"/>
          <w:szCs w:val="22"/>
          <w:lang w:val="fr-FR"/>
        </w:rPr>
        <w:t xml:space="preserve">Conformément aux décisions 14/20 et NP-3/12, le </w:t>
      </w:r>
      <w:r w:rsidR="00F83AFC">
        <w:rPr>
          <w:rStyle w:val="normaltextrun"/>
          <w:rFonts w:eastAsia="Malgun Gothic" w:cstheme="majorBidi"/>
          <w:sz w:val="22"/>
          <w:szCs w:val="22"/>
          <w:lang w:val="fr-FR"/>
        </w:rPr>
        <w:t>G</w:t>
      </w:r>
      <w:r w:rsidRPr="009E4D45">
        <w:rPr>
          <w:rStyle w:val="normaltextrun"/>
          <w:rFonts w:eastAsia="Malgun Gothic" w:cstheme="majorBidi"/>
          <w:sz w:val="22"/>
          <w:szCs w:val="22"/>
          <w:lang w:val="fr-FR"/>
        </w:rPr>
        <w:t xml:space="preserve">roupe de travail sur le cadre mondial </w:t>
      </w:r>
      <w:r w:rsidR="00F83AFC">
        <w:rPr>
          <w:rStyle w:val="normaltextrun"/>
          <w:rFonts w:eastAsia="Malgun Gothic" w:cstheme="majorBidi"/>
          <w:sz w:val="22"/>
          <w:szCs w:val="22"/>
          <w:lang w:val="fr-FR"/>
        </w:rPr>
        <w:t>de</w:t>
      </w:r>
      <w:r w:rsidRPr="009E4D45">
        <w:rPr>
          <w:rStyle w:val="normaltextrun"/>
          <w:rFonts w:eastAsia="Malgun Gothic" w:cstheme="majorBidi"/>
          <w:sz w:val="22"/>
          <w:szCs w:val="22"/>
          <w:lang w:val="fr-FR"/>
        </w:rPr>
        <w:t xml:space="preserve"> la biodiversité </w:t>
      </w:r>
      <w:r w:rsidR="00F83AFC">
        <w:rPr>
          <w:rStyle w:val="normaltextrun"/>
          <w:rFonts w:eastAsia="Malgun Gothic" w:cstheme="majorBidi"/>
          <w:sz w:val="22"/>
          <w:szCs w:val="22"/>
          <w:lang w:val="fr-FR"/>
        </w:rPr>
        <w:t>pour l’après-</w:t>
      </w:r>
      <w:r w:rsidRPr="009E4D45">
        <w:rPr>
          <w:rStyle w:val="normaltextrun"/>
          <w:rFonts w:eastAsia="Malgun Gothic" w:cstheme="majorBidi"/>
          <w:sz w:val="22"/>
          <w:szCs w:val="22"/>
          <w:lang w:val="fr-FR"/>
        </w:rPr>
        <w:t xml:space="preserve">2020 doit examiner les résultats du </w:t>
      </w:r>
      <w:r w:rsidR="00BE5049">
        <w:rPr>
          <w:rStyle w:val="normaltextrun"/>
          <w:rFonts w:eastAsia="Malgun Gothic" w:cstheme="majorBidi"/>
          <w:sz w:val="22"/>
          <w:szCs w:val="22"/>
          <w:lang w:val="fr-FR"/>
        </w:rPr>
        <w:t>g</w:t>
      </w:r>
      <w:r w:rsidRPr="009E4D45">
        <w:rPr>
          <w:rStyle w:val="normaltextrun"/>
          <w:rFonts w:eastAsia="Malgun Gothic" w:cstheme="majorBidi"/>
          <w:sz w:val="22"/>
          <w:szCs w:val="22"/>
          <w:lang w:val="fr-FR"/>
        </w:rPr>
        <w:t xml:space="preserve">roupe </w:t>
      </w:r>
      <w:r w:rsidR="00F83AFC">
        <w:rPr>
          <w:rStyle w:val="normaltextrun"/>
          <w:rFonts w:eastAsia="Malgun Gothic" w:cstheme="majorBidi"/>
          <w:sz w:val="22"/>
          <w:szCs w:val="22"/>
          <w:lang w:val="fr-FR"/>
        </w:rPr>
        <w:t>S</w:t>
      </w:r>
      <w:r w:rsidRPr="009E4D45">
        <w:rPr>
          <w:rStyle w:val="normaltextrun"/>
          <w:rFonts w:eastAsia="Malgun Gothic" w:cstheme="majorBidi"/>
          <w:sz w:val="22"/>
          <w:szCs w:val="22"/>
          <w:lang w:val="fr-FR"/>
        </w:rPr>
        <w:t xml:space="preserve">pécial d'experts techniques élargi et formuler des recommandations à l'intention de la </w:t>
      </w:r>
      <w:r w:rsidR="00F83AFC">
        <w:rPr>
          <w:rStyle w:val="normaltextrun"/>
          <w:rFonts w:eastAsia="Malgun Gothic" w:cstheme="majorBidi"/>
          <w:sz w:val="22"/>
          <w:szCs w:val="22"/>
          <w:lang w:val="fr-FR"/>
        </w:rPr>
        <w:t>C</w:t>
      </w:r>
      <w:r w:rsidR="000058DD">
        <w:rPr>
          <w:rStyle w:val="normaltextrun"/>
          <w:rFonts w:eastAsia="Malgun Gothic" w:cstheme="majorBidi"/>
          <w:sz w:val="22"/>
          <w:szCs w:val="22"/>
          <w:lang w:val="fr-FR"/>
        </w:rPr>
        <w:t>onférence des P</w:t>
      </w:r>
      <w:r w:rsidRPr="009E4D45">
        <w:rPr>
          <w:rStyle w:val="normaltextrun"/>
          <w:rFonts w:eastAsia="Malgun Gothic" w:cstheme="majorBidi"/>
          <w:sz w:val="22"/>
          <w:szCs w:val="22"/>
          <w:lang w:val="fr-FR"/>
        </w:rPr>
        <w:t xml:space="preserve">arties, lors de sa quinzième réunion, sur la manière d'aborder </w:t>
      </w:r>
      <w:r w:rsidR="00212032">
        <w:rPr>
          <w:rStyle w:val="normaltextrun"/>
          <w:rFonts w:eastAsia="Malgun Gothic" w:cstheme="majorBidi"/>
          <w:sz w:val="22"/>
          <w:szCs w:val="22"/>
          <w:lang w:val="fr-FR"/>
        </w:rPr>
        <w:t xml:space="preserve">l’ISN </w:t>
      </w:r>
      <w:r w:rsidRPr="009E4D45">
        <w:rPr>
          <w:rStyle w:val="normaltextrun"/>
          <w:rFonts w:eastAsia="Malgun Gothic" w:cstheme="majorBidi"/>
          <w:sz w:val="22"/>
          <w:szCs w:val="22"/>
          <w:lang w:val="fr-FR"/>
        </w:rPr>
        <w:t xml:space="preserve">dans le contexte du cadre mondial </w:t>
      </w:r>
      <w:r w:rsidR="00F426A3">
        <w:rPr>
          <w:rStyle w:val="normaltextrun"/>
          <w:rFonts w:eastAsia="Malgun Gothic" w:cstheme="majorBidi"/>
          <w:sz w:val="22"/>
          <w:szCs w:val="22"/>
          <w:lang w:val="fr-FR"/>
        </w:rPr>
        <w:t>de</w:t>
      </w:r>
      <w:r w:rsidRPr="009E4D45">
        <w:rPr>
          <w:rStyle w:val="normaltextrun"/>
          <w:rFonts w:eastAsia="Malgun Gothic" w:cstheme="majorBidi"/>
          <w:sz w:val="22"/>
          <w:szCs w:val="22"/>
          <w:lang w:val="fr-FR"/>
        </w:rPr>
        <w:t xml:space="preserve"> la biodiversité </w:t>
      </w:r>
      <w:r w:rsidR="00F426A3">
        <w:rPr>
          <w:rStyle w:val="normaltextrun"/>
          <w:rFonts w:eastAsia="Malgun Gothic" w:cstheme="majorBidi"/>
          <w:sz w:val="22"/>
          <w:szCs w:val="22"/>
          <w:lang w:val="fr-FR"/>
        </w:rPr>
        <w:t>pour l’</w:t>
      </w:r>
      <w:r w:rsidRPr="009E4D45">
        <w:rPr>
          <w:rStyle w:val="normaltextrun"/>
          <w:rFonts w:eastAsia="Malgun Gothic" w:cstheme="majorBidi"/>
          <w:sz w:val="22"/>
          <w:szCs w:val="22"/>
          <w:lang w:val="fr-FR"/>
        </w:rPr>
        <w:t>après</w:t>
      </w:r>
      <w:r w:rsidR="00F426A3">
        <w:rPr>
          <w:rStyle w:val="normaltextrun"/>
          <w:rFonts w:eastAsia="Malgun Gothic" w:cstheme="majorBidi"/>
          <w:sz w:val="22"/>
          <w:szCs w:val="22"/>
          <w:lang w:val="fr-FR"/>
        </w:rPr>
        <w:t>-</w:t>
      </w:r>
      <w:r w:rsidRPr="009E4D45">
        <w:rPr>
          <w:rStyle w:val="normaltextrun"/>
          <w:rFonts w:eastAsia="Malgun Gothic" w:cstheme="majorBidi"/>
          <w:sz w:val="22"/>
          <w:szCs w:val="22"/>
          <w:lang w:val="fr-FR"/>
        </w:rPr>
        <w:t xml:space="preserve">2020, et doit </w:t>
      </w:r>
      <w:r w:rsidRPr="009E4D45">
        <w:rPr>
          <w:rStyle w:val="normaltextrun"/>
          <w:rFonts w:eastAsia="Malgun Gothic" w:cstheme="majorBidi"/>
          <w:sz w:val="22"/>
          <w:szCs w:val="22"/>
          <w:lang w:val="fr-FR"/>
        </w:rPr>
        <w:lastRenderedPageBreak/>
        <w:t xml:space="preserve">soumettre ses résultats à la </w:t>
      </w:r>
      <w:r w:rsidR="00F426A3">
        <w:rPr>
          <w:rStyle w:val="normaltextrun"/>
          <w:rFonts w:eastAsia="Malgun Gothic" w:cstheme="majorBidi"/>
          <w:sz w:val="22"/>
          <w:szCs w:val="22"/>
          <w:lang w:val="fr-FR"/>
        </w:rPr>
        <w:t>C</w:t>
      </w:r>
      <w:r w:rsidR="000058DD">
        <w:rPr>
          <w:rStyle w:val="normaltextrun"/>
          <w:rFonts w:eastAsia="Malgun Gothic" w:cstheme="majorBidi"/>
          <w:sz w:val="22"/>
          <w:szCs w:val="22"/>
          <w:lang w:val="fr-FR"/>
        </w:rPr>
        <w:t>onférence des P</w:t>
      </w:r>
      <w:r w:rsidRPr="009E4D45">
        <w:rPr>
          <w:rStyle w:val="normaltextrun"/>
          <w:rFonts w:eastAsia="Malgun Gothic" w:cstheme="majorBidi"/>
          <w:sz w:val="22"/>
          <w:szCs w:val="22"/>
          <w:lang w:val="fr-FR"/>
        </w:rPr>
        <w:t xml:space="preserve">arties siégeant en tant que réunion des </w:t>
      </w:r>
      <w:r w:rsidR="00F426A3">
        <w:rPr>
          <w:rStyle w:val="normaltextrun"/>
          <w:rFonts w:eastAsia="Malgun Gothic" w:cstheme="majorBidi"/>
          <w:sz w:val="22"/>
          <w:szCs w:val="22"/>
          <w:lang w:val="fr-FR"/>
        </w:rPr>
        <w:t>P</w:t>
      </w:r>
      <w:r w:rsidRPr="009E4D45">
        <w:rPr>
          <w:rStyle w:val="normaltextrun"/>
          <w:rFonts w:eastAsia="Malgun Gothic" w:cstheme="majorBidi"/>
          <w:sz w:val="22"/>
          <w:szCs w:val="22"/>
          <w:lang w:val="fr-FR"/>
        </w:rPr>
        <w:t>arties au</w:t>
      </w:r>
      <w:r w:rsidR="00F426A3">
        <w:rPr>
          <w:rStyle w:val="normaltextrun"/>
          <w:rFonts w:eastAsia="Malgun Gothic" w:cstheme="majorBidi"/>
          <w:sz w:val="22"/>
          <w:szCs w:val="22"/>
          <w:lang w:val="fr-FR"/>
        </w:rPr>
        <w:t xml:space="preserve"> P</w:t>
      </w:r>
      <w:r w:rsidRPr="009E4D45">
        <w:rPr>
          <w:rStyle w:val="normaltextrun"/>
          <w:rFonts w:eastAsia="Malgun Gothic" w:cstheme="majorBidi"/>
          <w:sz w:val="22"/>
          <w:szCs w:val="22"/>
          <w:lang w:val="fr-FR"/>
        </w:rPr>
        <w:t>rotocole de Nagoya, lors de sa quatrième réunion.</w:t>
      </w:r>
    </w:p>
    <w:p w14:paraId="5611317A" w14:textId="780F3038" w:rsidR="00777B13" w:rsidRPr="009E4D45" w:rsidRDefault="00045C3F" w:rsidP="2B50497A">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fr-FR"/>
        </w:rPr>
      </w:pPr>
      <w:r>
        <w:rPr>
          <w:rStyle w:val="normaltextrun"/>
          <w:rFonts w:eastAsia="Malgun Gothic" w:cstheme="majorBidi"/>
          <w:sz w:val="22"/>
          <w:szCs w:val="22"/>
          <w:lang w:val="fr-FR"/>
        </w:rPr>
        <w:t>En plus des</w:t>
      </w:r>
      <w:r w:rsidR="009E4D45" w:rsidRPr="009E4D45">
        <w:rPr>
          <w:rStyle w:val="normaltextrun"/>
          <w:rFonts w:eastAsia="Malgun Gothic" w:cstheme="majorBidi"/>
          <w:sz w:val="22"/>
          <w:szCs w:val="22"/>
          <w:lang w:val="fr-FR"/>
        </w:rPr>
        <w:t xml:space="preserve"> mandats établis par la décision </w:t>
      </w:r>
      <w:hyperlink r:id="rId17" w:history="1">
        <w:r w:rsidR="005C0E8A" w:rsidRPr="005C0E8A">
          <w:rPr>
            <w:rStyle w:val="Hyperlink"/>
            <w:rFonts w:eastAsia="Malgun Gothic" w:cstheme="majorBidi"/>
            <w:sz w:val="22"/>
            <w:szCs w:val="22"/>
            <w:lang w:val="fr-CA"/>
          </w:rPr>
          <w:t>14/34</w:t>
        </w:r>
      </w:hyperlink>
      <w:r w:rsidR="009E4D45" w:rsidRPr="009E4D45">
        <w:rPr>
          <w:rStyle w:val="normaltextrun"/>
          <w:rFonts w:eastAsia="Malgun Gothic" w:cstheme="majorBidi"/>
          <w:sz w:val="22"/>
          <w:szCs w:val="22"/>
          <w:lang w:val="fr-FR"/>
        </w:rPr>
        <w:t xml:space="preserve">, les coprésidents du </w:t>
      </w:r>
      <w:r w:rsidR="00F426A3">
        <w:rPr>
          <w:rStyle w:val="normaltextrun"/>
          <w:rFonts w:eastAsia="Malgun Gothic" w:cstheme="majorBidi"/>
          <w:sz w:val="22"/>
          <w:szCs w:val="22"/>
          <w:lang w:val="fr-FR"/>
        </w:rPr>
        <w:t>G</w:t>
      </w:r>
      <w:r w:rsidR="009E4D45" w:rsidRPr="009E4D45">
        <w:rPr>
          <w:rStyle w:val="normaltextrun"/>
          <w:rFonts w:eastAsia="Malgun Gothic" w:cstheme="majorBidi"/>
          <w:sz w:val="22"/>
          <w:szCs w:val="22"/>
          <w:lang w:val="fr-FR"/>
        </w:rPr>
        <w:t xml:space="preserve">roupe de travail, M. Basile van Havre du Canada et M. Francis </w:t>
      </w:r>
      <w:proofErr w:type="spellStart"/>
      <w:r w:rsidR="009E4D45" w:rsidRPr="009E4D45">
        <w:rPr>
          <w:rStyle w:val="normaltextrun"/>
          <w:rFonts w:eastAsia="Malgun Gothic" w:cstheme="majorBidi"/>
          <w:sz w:val="22"/>
          <w:szCs w:val="22"/>
          <w:lang w:val="fr-FR"/>
        </w:rPr>
        <w:t>Ogwal</w:t>
      </w:r>
      <w:proofErr w:type="spellEnd"/>
      <w:r w:rsidR="009E4D45" w:rsidRPr="009E4D45">
        <w:rPr>
          <w:rStyle w:val="normaltextrun"/>
          <w:rFonts w:eastAsia="Malgun Gothic" w:cstheme="majorBidi"/>
          <w:sz w:val="22"/>
          <w:szCs w:val="22"/>
          <w:lang w:val="fr-FR"/>
        </w:rPr>
        <w:t xml:space="preserve"> de l'Ouganda, avec le soutien du Secrétariat, ont organisé une série d'activités informelles sur l'information </w:t>
      </w:r>
      <w:r w:rsidR="00F426A3">
        <w:rPr>
          <w:rStyle w:val="normaltextrun"/>
          <w:rFonts w:eastAsia="Malgun Gothic" w:cstheme="majorBidi"/>
          <w:sz w:val="22"/>
          <w:szCs w:val="22"/>
          <w:lang w:val="fr-FR"/>
        </w:rPr>
        <w:t>de séquençage numérique</w:t>
      </w:r>
      <w:r w:rsidR="00212032">
        <w:rPr>
          <w:rStyle w:val="normaltextrun"/>
          <w:rFonts w:eastAsia="Malgun Gothic" w:cstheme="majorBidi"/>
          <w:sz w:val="22"/>
          <w:szCs w:val="22"/>
          <w:lang w:val="fr-FR"/>
        </w:rPr>
        <w:t xml:space="preserve"> sur les ressources génétiques</w:t>
      </w:r>
      <w:r w:rsidR="00212032" w:rsidRPr="007D4BC9">
        <w:rPr>
          <w:rStyle w:val="FootnoteReference"/>
          <w:rFonts w:eastAsia="Malgun Gothic"/>
          <w:szCs w:val="22"/>
          <w:lang w:val="en-GB"/>
        </w:rPr>
        <w:footnoteReference w:id="3"/>
      </w:r>
      <w:r w:rsidR="00F426A3">
        <w:rPr>
          <w:rStyle w:val="normaltextrun"/>
          <w:rFonts w:eastAsia="Malgun Gothic" w:cstheme="majorBidi"/>
          <w:sz w:val="22"/>
          <w:szCs w:val="22"/>
          <w:lang w:val="fr-FR"/>
        </w:rPr>
        <w:t xml:space="preserve">. </w:t>
      </w:r>
      <w:r w:rsidR="009E4D45" w:rsidRPr="009E4D45">
        <w:rPr>
          <w:rStyle w:val="normaltextrun"/>
          <w:rFonts w:eastAsia="Malgun Gothic" w:cstheme="majorBidi"/>
          <w:sz w:val="22"/>
          <w:szCs w:val="22"/>
          <w:lang w:val="fr-FR"/>
        </w:rPr>
        <w:t>Ces activités ont pris la forme d'une série de webinaires de partage d'informations sur l</w:t>
      </w:r>
      <w:r w:rsidR="009929BD">
        <w:rPr>
          <w:rStyle w:val="normaltextrun"/>
          <w:rFonts w:eastAsia="Malgun Gothic" w:cstheme="majorBidi"/>
          <w:sz w:val="22"/>
          <w:szCs w:val="22"/>
          <w:lang w:val="fr-FR"/>
        </w:rPr>
        <w:t>’information de séquençage numérique</w:t>
      </w:r>
      <w:r w:rsidR="009E4D45" w:rsidRPr="009E4D45">
        <w:rPr>
          <w:rStyle w:val="normaltextrun"/>
          <w:rFonts w:eastAsia="Malgun Gothic" w:cstheme="majorBidi"/>
          <w:sz w:val="22"/>
          <w:szCs w:val="22"/>
          <w:lang w:val="fr-FR"/>
        </w:rPr>
        <w:t>, suivi</w:t>
      </w:r>
      <w:r>
        <w:rPr>
          <w:rStyle w:val="normaltextrun"/>
          <w:rFonts w:eastAsia="Malgun Gothic" w:cstheme="majorBidi"/>
          <w:sz w:val="22"/>
          <w:szCs w:val="22"/>
          <w:lang w:val="fr-FR"/>
        </w:rPr>
        <w:t>e</w:t>
      </w:r>
      <w:r w:rsidR="009E4D45" w:rsidRPr="009E4D45">
        <w:rPr>
          <w:rStyle w:val="normaltextrun"/>
          <w:rFonts w:eastAsia="Malgun Gothic" w:cstheme="majorBidi"/>
          <w:sz w:val="22"/>
          <w:szCs w:val="22"/>
          <w:lang w:val="fr-FR"/>
        </w:rPr>
        <w:t xml:space="preserve"> d'un forum de discussion informel en ligne</w:t>
      </w:r>
      <w:r w:rsidR="005A371F">
        <w:rPr>
          <w:rStyle w:val="FootnoteReference"/>
          <w:rFonts w:eastAsia="Malgun Gothic" w:cstheme="majorBidi"/>
          <w:szCs w:val="22"/>
          <w:lang w:val="fr-FR"/>
        </w:rPr>
        <w:footnoteReference w:id="4"/>
      </w:r>
      <w:r w:rsidR="009E4D45" w:rsidRPr="009E4D45">
        <w:rPr>
          <w:rStyle w:val="normaltextrun"/>
          <w:rFonts w:eastAsia="Malgun Gothic" w:cstheme="majorBidi"/>
          <w:sz w:val="22"/>
          <w:szCs w:val="22"/>
          <w:lang w:val="fr-FR"/>
        </w:rPr>
        <w:t xml:space="preserve">.  L'objectif de ces activités était de partager </w:t>
      </w:r>
      <w:r w:rsidR="00666487">
        <w:rPr>
          <w:rStyle w:val="normaltextrun"/>
          <w:rFonts w:eastAsia="Malgun Gothic" w:cstheme="majorBidi"/>
          <w:sz w:val="22"/>
          <w:szCs w:val="22"/>
          <w:lang w:val="fr-FR"/>
        </w:rPr>
        <w:t xml:space="preserve">des </w:t>
      </w:r>
      <w:r w:rsidR="009E4D45" w:rsidRPr="009E4D45">
        <w:rPr>
          <w:rStyle w:val="normaltextrun"/>
          <w:rFonts w:eastAsia="Malgun Gothic" w:cstheme="majorBidi"/>
          <w:sz w:val="22"/>
          <w:szCs w:val="22"/>
          <w:lang w:val="fr-FR"/>
        </w:rPr>
        <w:t>information</w:t>
      </w:r>
      <w:r w:rsidR="00666487">
        <w:rPr>
          <w:rStyle w:val="normaltextrun"/>
          <w:rFonts w:eastAsia="Malgun Gothic" w:cstheme="majorBidi"/>
          <w:sz w:val="22"/>
          <w:szCs w:val="22"/>
          <w:lang w:val="fr-FR"/>
        </w:rPr>
        <w:t>s</w:t>
      </w:r>
      <w:r w:rsidR="009E4D45" w:rsidRPr="009E4D45">
        <w:rPr>
          <w:rStyle w:val="normaltextrun"/>
          <w:rFonts w:eastAsia="Malgun Gothic" w:cstheme="majorBidi"/>
          <w:sz w:val="22"/>
          <w:szCs w:val="22"/>
          <w:lang w:val="fr-FR"/>
        </w:rPr>
        <w:t xml:space="preserve">, </w:t>
      </w:r>
      <w:r>
        <w:rPr>
          <w:rStyle w:val="normaltextrun"/>
          <w:rFonts w:eastAsia="Malgun Gothic" w:cstheme="majorBidi"/>
          <w:sz w:val="22"/>
          <w:szCs w:val="22"/>
          <w:lang w:val="fr-FR"/>
        </w:rPr>
        <w:t>du savoir et des perspectives</w:t>
      </w:r>
      <w:r w:rsidR="009E4D45" w:rsidRPr="009E4D45">
        <w:rPr>
          <w:rStyle w:val="normaltextrun"/>
          <w:rFonts w:eastAsia="Malgun Gothic" w:cstheme="majorBidi"/>
          <w:sz w:val="22"/>
          <w:szCs w:val="22"/>
          <w:lang w:val="fr-FR"/>
        </w:rPr>
        <w:t xml:space="preserve"> sur la question d</w:t>
      </w:r>
      <w:r w:rsidR="009929BD">
        <w:rPr>
          <w:rStyle w:val="normaltextrun"/>
          <w:rFonts w:eastAsia="Malgun Gothic" w:cstheme="majorBidi"/>
          <w:sz w:val="22"/>
          <w:szCs w:val="22"/>
          <w:lang w:val="fr-FR"/>
        </w:rPr>
        <w:t xml:space="preserve">e l’information de séquençage numérique </w:t>
      </w:r>
      <w:r w:rsidR="009E4D45" w:rsidRPr="009E4D45">
        <w:rPr>
          <w:rStyle w:val="normaltextrun"/>
          <w:rFonts w:eastAsia="Malgun Gothic" w:cstheme="majorBidi"/>
          <w:sz w:val="22"/>
          <w:szCs w:val="22"/>
          <w:lang w:val="fr-FR"/>
        </w:rPr>
        <w:t xml:space="preserve">sur le plan technique, et de commencer à explorer les options et </w:t>
      </w:r>
      <w:r>
        <w:rPr>
          <w:rStyle w:val="normaltextrun"/>
          <w:rFonts w:eastAsia="Malgun Gothic" w:cstheme="majorBidi"/>
          <w:sz w:val="22"/>
          <w:szCs w:val="22"/>
          <w:lang w:val="fr-FR"/>
        </w:rPr>
        <w:t>options stratégiques</w:t>
      </w:r>
      <w:r w:rsidR="009E4D45" w:rsidRPr="009E4D45">
        <w:rPr>
          <w:rStyle w:val="normaltextrun"/>
          <w:rFonts w:eastAsia="Malgun Gothic" w:cstheme="majorBidi"/>
          <w:sz w:val="22"/>
          <w:szCs w:val="22"/>
          <w:lang w:val="fr-FR"/>
        </w:rPr>
        <w:t xml:space="preserve"> potentiel</w:t>
      </w:r>
      <w:r>
        <w:rPr>
          <w:rStyle w:val="normaltextrun"/>
          <w:rFonts w:eastAsia="Malgun Gothic" w:cstheme="majorBidi"/>
          <w:sz w:val="22"/>
          <w:szCs w:val="22"/>
          <w:lang w:val="fr-FR"/>
        </w:rPr>
        <w:t>le</w:t>
      </w:r>
      <w:r w:rsidR="009E4D45" w:rsidRPr="009E4D45">
        <w:rPr>
          <w:rStyle w:val="normaltextrun"/>
          <w:rFonts w:eastAsia="Malgun Gothic" w:cstheme="majorBidi"/>
          <w:sz w:val="22"/>
          <w:szCs w:val="22"/>
          <w:lang w:val="fr-FR"/>
        </w:rPr>
        <w:t>s.</w:t>
      </w:r>
    </w:p>
    <w:p w14:paraId="24D81B73" w14:textId="2DEFB33A" w:rsidR="00D34CAD" w:rsidRPr="009E4D45" w:rsidRDefault="009E4D45" w:rsidP="007E6D3F">
      <w:pPr>
        <w:pStyle w:val="paragraph"/>
        <w:numPr>
          <w:ilvl w:val="0"/>
          <w:numId w:val="20"/>
        </w:numPr>
        <w:spacing w:before="0" w:beforeAutospacing="0" w:after="160" w:afterAutospacing="0" w:line="259" w:lineRule="auto"/>
        <w:ind w:left="0" w:firstLine="0"/>
        <w:jc w:val="both"/>
        <w:rPr>
          <w:rStyle w:val="eop"/>
          <w:sz w:val="22"/>
          <w:lang w:val="fr-FR" w:eastAsia="en-US"/>
        </w:rPr>
      </w:pPr>
      <w:r w:rsidRPr="009E4D45">
        <w:rPr>
          <w:rStyle w:val="eop"/>
          <w:rFonts w:eastAsia="Malgun Gothic" w:cstheme="majorBidi"/>
          <w:sz w:val="22"/>
          <w:szCs w:val="22"/>
          <w:lang w:val="fr-FR"/>
        </w:rPr>
        <w:t xml:space="preserve">Le présent document a été </w:t>
      </w:r>
      <w:r w:rsidR="004B10D5">
        <w:rPr>
          <w:rStyle w:val="eop"/>
          <w:rFonts w:eastAsia="Malgun Gothic" w:cstheme="majorBidi"/>
          <w:sz w:val="22"/>
          <w:szCs w:val="22"/>
          <w:lang w:val="fr-FR"/>
        </w:rPr>
        <w:t>émis</w:t>
      </w:r>
      <w:r w:rsidRPr="009E4D45">
        <w:rPr>
          <w:rStyle w:val="eop"/>
          <w:rFonts w:eastAsia="Malgun Gothic" w:cstheme="majorBidi"/>
          <w:sz w:val="22"/>
          <w:szCs w:val="22"/>
          <w:lang w:val="fr-FR"/>
        </w:rPr>
        <w:t xml:space="preserve"> </w:t>
      </w:r>
      <w:r w:rsidR="00045C3F">
        <w:rPr>
          <w:rStyle w:val="eop"/>
          <w:rFonts w:eastAsia="Malgun Gothic" w:cstheme="majorBidi"/>
          <w:sz w:val="22"/>
          <w:szCs w:val="22"/>
          <w:lang w:val="fr-FR"/>
        </w:rPr>
        <w:t>sans le but de</w:t>
      </w:r>
      <w:r w:rsidRPr="009E4D45">
        <w:rPr>
          <w:rStyle w:val="eop"/>
          <w:rFonts w:eastAsia="Malgun Gothic" w:cstheme="majorBidi"/>
          <w:sz w:val="22"/>
          <w:szCs w:val="22"/>
          <w:lang w:val="fr-FR"/>
        </w:rPr>
        <w:t xml:space="preserve"> faciliter les délibérations sur l</w:t>
      </w:r>
      <w:r w:rsidR="009929BD">
        <w:rPr>
          <w:rStyle w:val="eop"/>
          <w:rFonts w:eastAsia="Malgun Gothic" w:cstheme="majorBidi"/>
          <w:sz w:val="22"/>
          <w:szCs w:val="22"/>
          <w:lang w:val="fr-FR"/>
        </w:rPr>
        <w:t>’information de séquençage numérique</w:t>
      </w:r>
      <w:r w:rsidR="00F426A3">
        <w:rPr>
          <w:rStyle w:val="eop"/>
          <w:rFonts w:eastAsia="Malgun Gothic" w:cstheme="majorBidi"/>
          <w:sz w:val="22"/>
          <w:szCs w:val="22"/>
          <w:lang w:val="fr-FR"/>
        </w:rPr>
        <w:t xml:space="preserve"> </w:t>
      </w:r>
      <w:r w:rsidRPr="009E4D45">
        <w:rPr>
          <w:rStyle w:val="eop"/>
          <w:rFonts w:eastAsia="Malgun Gothic" w:cstheme="majorBidi"/>
          <w:sz w:val="22"/>
          <w:szCs w:val="22"/>
          <w:lang w:val="fr-FR"/>
        </w:rPr>
        <w:t xml:space="preserve">lors de la troisième réunion du Groupe de travail. La </w:t>
      </w:r>
      <w:r w:rsidR="004B10D5">
        <w:rPr>
          <w:rStyle w:val="eop"/>
          <w:rFonts w:eastAsia="Malgun Gothic" w:cstheme="majorBidi"/>
          <w:sz w:val="22"/>
          <w:szCs w:val="22"/>
          <w:lang w:val="fr-FR"/>
        </w:rPr>
        <w:t>partie</w:t>
      </w:r>
      <w:r w:rsidRPr="009E4D45">
        <w:rPr>
          <w:rStyle w:val="eop"/>
          <w:rFonts w:eastAsia="Malgun Gothic" w:cstheme="majorBidi"/>
          <w:sz w:val="22"/>
          <w:szCs w:val="22"/>
          <w:lang w:val="fr-FR"/>
        </w:rPr>
        <w:t xml:space="preserve"> II donne un aperçu des activités entreprises pour mettre en œuvre le processus fondé sur la science et l</w:t>
      </w:r>
      <w:r w:rsidR="009A3C61">
        <w:rPr>
          <w:rStyle w:val="eop"/>
          <w:rFonts w:eastAsia="Malgun Gothic" w:cstheme="majorBidi"/>
          <w:sz w:val="22"/>
          <w:szCs w:val="22"/>
          <w:lang w:val="fr-FR"/>
        </w:rPr>
        <w:t>es</w:t>
      </w:r>
      <w:r w:rsidRPr="009E4D45">
        <w:rPr>
          <w:rStyle w:val="eop"/>
          <w:rFonts w:eastAsia="Malgun Gothic" w:cstheme="majorBidi"/>
          <w:sz w:val="22"/>
          <w:szCs w:val="22"/>
          <w:lang w:val="fr-FR"/>
        </w:rPr>
        <w:t xml:space="preserve"> politique</w:t>
      </w:r>
      <w:r w:rsidR="009A3C61">
        <w:rPr>
          <w:rStyle w:val="eop"/>
          <w:rFonts w:eastAsia="Malgun Gothic" w:cstheme="majorBidi"/>
          <w:sz w:val="22"/>
          <w:szCs w:val="22"/>
          <w:lang w:val="fr-FR"/>
        </w:rPr>
        <w:t>s générales</w:t>
      </w:r>
      <w:r w:rsidRPr="009E4D45">
        <w:rPr>
          <w:rStyle w:val="eop"/>
          <w:rFonts w:eastAsia="Malgun Gothic" w:cstheme="majorBidi"/>
          <w:sz w:val="22"/>
          <w:szCs w:val="22"/>
          <w:lang w:val="fr-FR"/>
        </w:rPr>
        <w:t xml:space="preserve">, y compris la convocation du </w:t>
      </w:r>
      <w:r w:rsidR="00045C3F">
        <w:rPr>
          <w:rStyle w:val="eop"/>
          <w:rFonts w:eastAsia="Malgun Gothic" w:cstheme="majorBidi"/>
          <w:sz w:val="22"/>
          <w:szCs w:val="22"/>
          <w:lang w:val="fr-FR"/>
        </w:rPr>
        <w:t>G</w:t>
      </w:r>
      <w:r w:rsidRPr="009E4D45">
        <w:rPr>
          <w:rStyle w:val="eop"/>
          <w:rFonts w:eastAsia="Malgun Gothic" w:cstheme="majorBidi"/>
          <w:sz w:val="22"/>
          <w:szCs w:val="22"/>
          <w:lang w:val="fr-FR"/>
        </w:rPr>
        <w:t xml:space="preserve">roupe spécial d'experts techniques. La </w:t>
      </w:r>
      <w:r w:rsidR="004B10D5">
        <w:rPr>
          <w:rStyle w:val="eop"/>
          <w:rFonts w:eastAsia="Malgun Gothic" w:cstheme="majorBidi"/>
          <w:sz w:val="22"/>
          <w:szCs w:val="22"/>
          <w:lang w:val="fr-FR"/>
        </w:rPr>
        <w:t>partie</w:t>
      </w:r>
      <w:r w:rsidRPr="009E4D45">
        <w:rPr>
          <w:rStyle w:val="eop"/>
          <w:rFonts w:eastAsia="Malgun Gothic" w:cstheme="majorBidi"/>
          <w:sz w:val="22"/>
          <w:szCs w:val="22"/>
          <w:lang w:val="fr-FR"/>
        </w:rPr>
        <w:t xml:space="preserve"> III présente un résumé des activités informelles sur </w:t>
      </w:r>
      <w:r w:rsidR="009929BD">
        <w:rPr>
          <w:rStyle w:val="eop"/>
          <w:rFonts w:eastAsia="Malgun Gothic" w:cstheme="majorBidi"/>
          <w:sz w:val="22"/>
          <w:szCs w:val="22"/>
          <w:lang w:val="fr-FR"/>
        </w:rPr>
        <w:t>l’information de séquençage numérique</w:t>
      </w:r>
      <w:r w:rsidRPr="009E4D45">
        <w:rPr>
          <w:rStyle w:val="eop"/>
          <w:rFonts w:eastAsia="Malgun Gothic" w:cstheme="majorBidi"/>
          <w:sz w:val="22"/>
          <w:szCs w:val="22"/>
          <w:lang w:val="fr-FR"/>
        </w:rPr>
        <w:t xml:space="preserve"> men</w:t>
      </w:r>
      <w:r w:rsidR="00B55090">
        <w:rPr>
          <w:rStyle w:val="eop"/>
          <w:rFonts w:eastAsia="Malgun Gothic" w:cstheme="majorBidi"/>
          <w:sz w:val="22"/>
          <w:szCs w:val="22"/>
          <w:lang w:val="fr-FR"/>
        </w:rPr>
        <w:t>é</w:t>
      </w:r>
      <w:r w:rsidR="00304437">
        <w:rPr>
          <w:rStyle w:val="eop"/>
          <w:rFonts w:eastAsia="Malgun Gothic" w:cstheme="majorBidi"/>
          <w:sz w:val="22"/>
          <w:szCs w:val="22"/>
          <w:lang w:val="fr-FR"/>
        </w:rPr>
        <w:t>es</w:t>
      </w:r>
      <w:r w:rsidR="00B55090">
        <w:rPr>
          <w:rStyle w:val="eop"/>
          <w:rFonts w:eastAsia="Malgun Gothic" w:cstheme="majorBidi"/>
          <w:sz w:val="22"/>
          <w:szCs w:val="22"/>
          <w:lang w:val="fr-FR"/>
        </w:rPr>
        <w:t xml:space="preserve"> </w:t>
      </w:r>
      <w:r w:rsidRPr="009E4D45">
        <w:rPr>
          <w:rStyle w:val="eop"/>
          <w:rFonts w:eastAsia="Malgun Gothic" w:cstheme="majorBidi"/>
          <w:sz w:val="22"/>
          <w:szCs w:val="22"/>
          <w:lang w:val="fr-FR"/>
        </w:rPr>
        <w:t xml:space="preserve">à la demande des coprésidents du </w:t>
      </w:r>
      <w:r w:rsidR="00F426A3">
        <w:rPr>
          <w:rStyle w:val="eop"/>
          <w:rFonts w:eastAsia="Malgun Gothic" w:cstheme="majorBidi"/>
          <w:sz w:val="22"/>
          <w:szCs w:val="22"/>
          <w:lang w:val="fr-FR"/>
        </w:rPr>
        <w:t>G</w:t>
      </w:r>
      <w:r w:rsidRPr="009E4D45">
        <w:rPr>
          <w:rStyle w:val="eop"/>
          <w:rFonts w:eastAsia="Malgun Gothic" w:cstheme="majorBidi"/>
          <w:sz w:val="22"/>
          <w:szCs w:val="22"/>
          <w:lang w:val="fr-FR"/>
        </w:rPr>
        <w:t xml:space="preserve">roupe de travail. Enfin, la </w:t>
      </w:r>
      <w:r w:rsidR="004B10D5">
        <w:rPr>
          <w:rStyle w:val="eop"/>
          <w:rFonts w:eastAsia="Malgun Gothic" w:cstheme="majorBidi"/>
          <w:sz w:val="22"/>
          <w:szCs w:val="22"/>
          <w:lang w:val="fr-FR"/>
        </w:rPr>
        <w:t>partie</w:t>
      </w:r>
      <w:r w:rsidRPr="009E4D45">
        <w:rPr>
          <w:rStyle w:val="eop"/>
          <w:rFonts w:eastAsia="Malgun Gothic" w:cstheme="majorBidi"/>
          <w:sz w:val="22"/>
          <w:szCs w:val="22"/>
          <w:lang w:val="fr-FR"/>
        </w:rPr>
        <w:t xml:space="preserve"> IV propose les éléments d'un projet de recommandation.  </w:t>
      </w:r>
    </w:p>
    <w:p w14:paraId="2CFE600B" w14:textId="0DD3648B" w:rsidR="00777B13" w:rsidRPr="009E4D45" w:rsidRDefault="009E4D45" w:rsidP="00ED2BF0">
      <w:pPr>
        <w:pStyle w:val="Heading1"/>
        <w:numPr>
          <w:ilvl w:val="0"/>
          <w:numId w:val="29"/>
        </w:numPr>
        <w:tabs>
          <w:tab w:val="clear" w:pos="720"/>
          <w:tab w:val="left" w:pos="1276"/>
        </w:tabs>
        <w:ind w:left="1276"/>
        <w:jc w:val="left"/>
        <w:rPr>
          <w:rFonts w:eastAsia="Malgun Gothic" w:cstheme="majorBidi"/>
          <w:lang w:val="fr-FR"/>
        </w:rPr>
      </w:pPr>
      <w:r w:rsidRPr="009E4D45">
        <w:rPr>
          <w:rFonts w:eastAsia="Malgun Gothic" w:cstheme="majorBidi"/>
          <w:lang w:val="fr-FR"/>
        </w:rPr>
        <w:t xml:space="preserve">APERÇU DE LA RÉUNION DU GROUPE SPÉCIAL D'EXPERTS TECHNIQUES SUR L'INFORMATION </w:t>
      </w:r>
      <w:r w:rsidR="00261846">
        <w:rPr>
          <w:rFonts w:eastAsia="Malgun Gothic" w:cstheme="majorBidi"/>
          <w:lang w:val="fr-FR"/>
        </w:rPr>
        <w:t xml:space="preserve">de </w:t>
      </w:r>
      <w:r w:rsidRPr="009E4D45">
        <w:rPr>
          <w:rFonts w:eastAsia="Malgun Gothic" w:cstheme="majorBidi"/>
          <w:lang w:val="fr-FR"/>
        </w:rPr>
        <w:t>SÉQUEN</w:t>
      </w:r>
      <w:r w:rsidR="00261846">
        <w:rPr>
          <w:rFonts w:eastAsia="Malgun Gothic" w:cstheme="majorBidi"/>
          <w:lang w:val="fr-FR"/>
        </w:rPr>
        <w:t xml:space="preserve">çage </w:t>
      </w:r>
      <w:r w:rsidRPr="009E4D45">
        <w:rPr>
          <w:rFonts w:eastAsia="Malgun Gothic" w:cstheme="majorBidi"/>
          <w:lang w:val="fr-FR"/>
        </w:rPr>
        <w:t>NUMÉRIQUE</w:t>
      </w:r>
      <w:r w:rsidR="00261846">
        <w:rPr>
          <w:rFonts w:eastAsia="Malgun Gothic" w:cstheme="majorBidi"/>
          <w:lang w:val="fr-FR"/>
        </w:rPr>
        <w:t xml:space="preserve"> sur</w:t>
      </w:r>
      <w:r w:rsidRPr="009E4D45">
        <w:rPr>
          <w:rFonts w:eastAsia="Malgun Gothic" w:cstheme="majorBidi"/>
          <w:lang w:val="fr-FR"/>
        </w:rPr>
        <w:t xml:space="preserve"> </w:t>
      </w:r>
      <w:r w:rsidR="00261846">
        <w:rPr>
          <w:rFonts w:eastAsia="Malgun Gothic" w:cstheme="majorBidi"/>
          <w:lang w:val="fr-FR"/>
        </w:rPr>
        <w:t>l</w:t>
      </w:r>
      <w:r w:rsidRPr="009E4D45">
        <w:rPr>
          <w:rFonts w:eastAsia="Malgun Gothic" w:cstheme="majorBidi"/>
          <w:lang w:val="fr-FR"/>
        </w:rPr>
        <w:t>ES RESSOURCES GÉNÉTIQUES ET LES ACTIVITÉS INFORMELLES</w:t>
      </w:r>
    </w:p>
    <w:p w14:paraId="266C689B" w14:textId="3804DE66" w:rsidR="00285787" w:rsidRPr="009E4D45" w:rsidRDefault="009E4D45" w:rsidP="00D17A30">
      <w:pPr>
        <w:pStyle w:val="Heading2"/>
        <w:numPr>
          <w:ilvl w:val="0"/>
          <w:numId w:val="30"/>
        </w:numPr>
        <w:tabs>
          <w:tab w:val="clear" w:pos="720"/>
          <w:tab w:val="left" w:pos="1134"/>
        </w:tabs>
        <w:ind w:left="1134" w:hanging="567"/>
        <w:jc w:val="left"/>
        <w:rPr>
          <w:rStyle w:val="normaltextrun"/>
          <w:rFonts w:eastAsia="Malgun Gothic" w:cstheme="majorBidi"/>
          <w:lang w:val="fr-FR"/>
        </w:rPr>
      </w:pPr>
      <w:r w:rsidRPr="009E4D45">
        <w:rPr>
          <w:rStyle w:val="normaltextrun"/>
          <w:rFonts w:eastAsia="Malgun Gothic" w:cstheme="majorBidi"/>
          <w:lang w:val="fr-FR"/>
        </w:rPr>
        <w:t xml:space="preserve">Préparatifs de la réunion du </w:t>
      </w:r>
      <w:r w:rsidR="00304437">
        <w:rPr>
          <w:rStyle w:val="normaltextrun"/>
          <w:rFonts w:eastAsia="Malgun Gothic" w:cstheme="majorBidi"/>
          <w:lang w:val="fr-FR"/>
        </w:rPr>
        <w:t>G</w:t>
      </w:r>
      <w:r w:rsidRPr="009E4D45">
        <w:rPr>
          <w:rStyle w:val="normaltextrun"/>
          <w:rFonts w:eastAsia="Malgun Gothic" w:cstheme="majorBidi"/>
          <w:lang w:val="fr-FR"/>
        </w:rPr>
        <w:t xml:space="preserve">roupe </w:t>
      </w:r>
      <w:r w:rsidR="009168F5">
        <w:rPr>
          <w:rStyle w:val="normaltextrun"/>
          <w:rFonts w:eastAsia="Malgun Gothic" w:cstheme="majorBidi"/>
          <w:lang w:val="fr-FR"/>
        </w:rPr>
        <w:t xml:space="preserve">spécial </w:t>
      </w:r>
      <w:r w:rsidRPr="009E4D45">
        <w:rPr>
          <w:rStyle w:val="normaltextrun"/>
          <w:rFonts w:eastAsia="Malgun Gothic" w:cstheme="majorBidi"/>
          <w:lang w:val="fr-FR"/>
        </w:rPr>
        <w:t xml:space="preserve">d'experts techniques élargi sur l'information </w:t>
      </w:r>
      <w:r w:rsidR="00261846">
        <w:rPr>
          <w:rStyle w:val="normaltextrun"/>
          <w:rFonts w:eastAsia="Malgun Gothic" w:cstheme="majorBidi"/>
          <w:lang w:val="fr-FR"/>
        </w:rPr>
        <w:t>de</w:t>
      </w:r>
      <w:r w:rsidRPr="009E4D45">
        <w:rPr>
          <w:rStyle w:val="normaltextrun"/>
          <w:rFonts w:eastAsia="Malgun Gothic" w:cstheme="majorBidi"/>
          <w:lang w:val="fr-FR"/>
        </w:rPr>
        <w:t xml:space="preserve"> séquen</w:t>
      </w:r>
      <w:r w:rsidR="00261846">
        <w:rPr>
          <w:rStyle w:val="normaltextrun"/>
          <w:rFonts w:eastAsia="Malgun Gothic" w:cstheme="majorBidi"/>
          <w:lang w:val="fr-FR"/>
        </w:rPr>
        <w:t>çage</w:t>
      </w:r>
      <w:r w:rsidRPr="009E4D45">
        <w:rPr>
          <w:rStyle w:val="normaltextrun"/>
          <w:rFonts w:eastAsia="Malgun Gothic" w:cstheme="majorBidi"/>
          <w:lang w:val="fr-FR"/>
        </w:rPr>
        <w:t xml:space="preserve"> numériques </w:t>
      </w:r>
      <w:r w:rsidR="00261846">
        <w:rPr>
          <w:rStyle w:val="normaltextrun"/>
          <w:rFonts w:eastAsia="Malgun Gothic" w:cstheme="majorBidi"/>
          <w:lang w:val="fr-FR"/>
        </w:rPr>
        <w:t>sur les</w:t>
      </w:r>
      <w:r w:rsidRPr="009E4D45">
        <w:rPr>
          <w:rStyle w:val="normaltextrun"/>
          <w:rFonts w:eastAsia="Malgun Gothic" w:cstheme="majorBidi"/>
          <w:lang w:val="fr-FR"/>
        </w:rPr>
        <w:t xml:space="preserve"> ressources génétiques</w:t>
      </w:r>
    </w:p>
    <w:p w14:paraId="225763CA" w14:textId="11620BC7" w:rsidR="001B24EC" w:rsidRPr="009E4D45" w:rsidRDefault="009E4D45" w:rsidP="00D17A30">
      <w:pPr>
        <w:pStyle w:val="paragraph"/>
        <w:numPr>
          <w:ilvl w:val="0"/>
          <w:numId w:val="20"/>
        </w:numPr>
        <w:spacing w:before="120" w:beforeAutospacing="0" w:after="120" w:afterAutospacing="0"/>
        <w:ind w:left="0" w:firstLine="0"/>
        <w:jc w:val="both"/>
        <w:textAlignment w:val="baseline"/>
        <w:rPr>
          <w:rStyle w:val="normaltextrun"/>
          <w:rFonts w:eastAsia="Malgun Gothic" w:cstheme="majorBidi"/>
          <w:sz w:val="22"/>
          <w:szCs w:val="22"/>
          <w:lang w:val="fr-FR"/>
        </w:rPr>
      </w:pPr>
      <w:r w:rsidRPr="009E4D45">
        <w:rPr>
          <w:rStyle w:val="normaltextrun"/>
          <w:rFonts w:eastAsiaTheme="majorBidi" w:cstheme="majorBidi"/>
          <w:sz w:val="22"/>
          <w:szCs w:val="22"/>
          <w:lang w:val="fr-FR"/>
        </w:rPr>
        <w:t xml:space="preserve">Comme résumé ci-dessus, </w:t>
      </w:r>
      <w:r w:rsidR="004B10D5">
        <w:rPr>
          <w:rStyle w:val="normaltextrun"/>
          <w:rFonts w:eastAsiaTheme="majorBidi" w:cstheme="majorBidi"/>
          <w:sz w:val="22"/>
          <w:szCs w:val="22"/>
          <w:lang w:val="fr-FR"/>
        </w:rPr>
        <w:t xml:space="preserve">la Conférence des Parties, dans </w:t>
      </w:r>
      <w:r w:rsidRPr="009E4D45">
        <w:rPr>
          <w:rStyle w:val="normaltextrun"/>
          <w:rFonts w:eastAsiaTheme="majorBidi" w:cstheme="majorBidi"/>
          <w:sz w:val="22"/>
          <w:szCs w:val="22"/>
          <w:lang w:val="fr-FR"/>
        </w:rPr>
        <w:t>la décision 14/20</w:t>
      </w:r>
      <w:r w:rsidR="004B10D5">
        <w:rPr>
          <w:rStyle w:val="normaltextrun"/>
          <w:rFonts w:eastAsiaTheme="majorBidi" w:cstheme="majorBidi"/>
          <w:sz w:val="22"/>
          <w:szCs w:val="22"/>
          <w:lang w:val="fr-FR"/>
        </w:rPr>
        <w:t>,</w:t>
      </w:r>
      <w:r w:rsidRPr="009E4D45">
        <w:rPr>
          <w:rStyle w:val="normaltextrun"/>
          <w:rFonts w:eastAsiaTheme="majorBidi" w:cstheme="majorBidi"/>
          <w:sz w:val="22"/>
          <w:szCs w:val="22"/>
          <w:lang w:val="fr-FR"/>
        </w:rPr>
        <w:t xml:space="preserve"> </w:t>
      </w:r>
      <w:r w:rsidR="004B10D5">
        <w:rPr>
          <w:rStyle w:val="normaltextrun"/>
          <w:rFonts w:eastAsiaTheme="majorBidi" w:cstheme="majorBidi"/>
          <w:sz w:val="22"/>
          <w:szCs w:val="22"/>
          <w:lang w:val="fr-FR"/>
        </w:rPr>
        <w:t>a sollicité la communication de</w:t>
      </w:r>
      <w:r w:rsidRPr="009E4D45">
        <w:rPr>
          <w:rStyle w:val="normaltextrun"/>
          <w:rFonts w:eastAsiaTheme="majorBidi" w:cstheme="majorBidi"/>
          <w:sz w:val="22"/>
          <w:szCs w:val="22"/>
          <w:lang w:val="fr-FR"/>
        </w:rPr>
        <w:t xml:space="preserve"> points de vue sur un certain nombre de domaines, </w:t>
      </w:r>
      <w:r w:rsidR="004B10D5">
        <w:rPr>
          <w:rStyle w:val="normaltextrun"/>
          <w:rFonts w:eastAsiaTheme="majorBidi" w:cstheme="majorBidi"/>
          <w:sz w:val="22"/>
          <w:szCs w:val="22"/>
          <w:lang w:val="fr-FR"/>
        </w:rPr>
        <w:t>et a demandé</w:t>
      </w:r>
      <w:r w:rsidRPr="009E4D45">
        <w:rPr>
          <w:rStyle w:val="normaltextrun"/>
          <w:rFonts w:eastAsiaTheme="majorBidi" w:cstheme="majorBidi"/>
          <w:sz w:val="22"/>
          <w:szCs w:val="22"/>
          <w:lang w:val="fr-FR"/>
        </w:rPr>
        <w:t xml:space="preserve"> </w:t>
      </w:r>
      <w:r w:rsidR="00261846">
        <w:rPr>
          <w:rStyle w:val="normaltextrun"/>
          <w:rFonts w:eastAsiaTheme="majorBidi" w:cstheme="majorBidi"/>
          <w:sz w:val="22"/>
          <w:szCs w:val="22"/>
          <w:lang w:val="fr-FR"/>
        </w:rPr>
        <w:t xml:space="preserve">à la </w:t>
      </w:r>
      <w:r w:rsidRPr="009E4D45">
        <w:rPr>
          <w:rStyle w:val="normaltextrun"/>
          <w:rFonts w:eastAsiaTheme="majorBidi" w:cstheme="majorBidi"/>
          <w:sz w:val="22"/>
          <w:szCs w:val="22"/>
          <w:lang w:val="fr-FR"/>
        </w:rPr>
        <w:t>Secrétaire exécuti</w:t>
      </w:r>
      <w:r w:rsidR="00261846">
        <w:rPr>
          <w:rStyle w:val="normaltextrun"/>
          <w:rFonts w:eastAsiaTheme="majorBidi" w:cstheme="majorBidi"/>
          <w:sz w:val="22"/>
          <w:szCs w:val="22"/>
          <w:lang w:val="fr-FR"/>
        </w:rPr>
        <w:t xml:space="preserve">ve </w:t>
      </w:r>
      <w:r w:rsidRPr="009E4D45">
        <w:rPr>
          <w:rStyle w:val="normaltextrun"/>
          <w:rFonts w:eastAsiaTheme="majorBidi" w:cstheme="majorBidi"/>
          <w:sz w:val="22"/>
          <w:szCs w:val="22"/>
          <w:lang w:val="fr-FR"/>
        </w:rPr>
        <w:t xml:space="preserve">de compiler et de </w:t>
      </w:r>
      <w:r w:rsidR="00304437">
        <w:rPr>
          <w:rStyle w:val="normaltextrun"/>
          <w:rFonts w:eastAsiaTheme="majorBidi" w:cstheme="majorBidi"/>
          <w:sz w:val="22"/>
          <w:szCs w:val="22"/>
          <w:lang w:val="fr-FR"/>
        </w:rPr>
        <w:t>résumer</w:t>
      </w:r>
      <w:r w:rsidRPr="009E4D45">
        <w:rPr>
          <w:rStyle w:val="normaltextrun"/>
          <w:rFonts w:eastAsiaTheme="majorBidi" w:cstheme="majorBidi"/>
          <w:sz w:val="22"/>
          <w:szCs w:val="22"/>
          <w:lang w:val="fr-FR"/>
        </w:rPr>
        <w:t xml:space="preserve"> les points de vue soumis et de commander un certain nombre d'études.  </w:t>
      </w:r>
    </w:p>
    <w:p w14:paraId="2582A12C" w14:textId="468E0917" w:rsidR="007001EB" w:rsidRPr="009E4D45" w:rsidRDefault="009E4D45" w:rsidP="00D17A30">
      <w:pPr>
        <w:pStyle w:val="paragraph"/>
        <w:numPr>
          <w:ilvl w:val="0"/>
          <w:numId w:val="20"/>
        </w:numPr>
        <w:spacing w:before="120" w:beforeAutospacing="0" w:after="120" w:afterAutospacing="0"/>
        <w:ind w:left="0" w:firstLine="0"/>
        <w:jc w:val="both"/>
        <w:textAlignment w:val="baseline"/>
        <w:rPr>
          <w:rFonts w:eastAsia="Malgun Gothic" w:cstheme="majorBidi"/>
          <w:sz w:val="22"/>
          <w:szCs w:val="22"/>
          <w:lang w:val="fr-FR"/>
        </w:rPr>
      </w:pPr>
      <w:r w:rsidRPr="009E4D45">
        <w:rPr>
          <w:rFonts w:eastAsia="Malgun Gothic" w:cstheme="majorBidi"/>
          <w:sz w:val="22"/>
          <w:szCs w:val="22"/>
          <w:lang w:val="fr-FR"/>
        </w:rPr>
        <w:t>Conformément aux paragraphes 9, 10 et 11 de la décision 14/20, l</w:t>
      </w:r>
      <w:r w:rsidR="00261846">
        <w:rPr>
          <w:rFonts w:eastAsia="Malgun Gothic" w:cstheme="majorBidi"/>
          <w:sz w:val="22"/>
          <w:szCs w:val="22"/>
          <w:lang w:val="fr-FR"/>
        </w:rPr>
        <w:t>a</w:t>
      </w:r>
      <w:r w:rsidRPr="009E4D45">
        <w:rPr>
          <w:rFonts w:eastAsia="Malgun Gothic" w:cstheme="majorBidi"/>
          <w:sz w:val="22"/>
          <w:szCs w:val="22"/>
          <w:lang w:val="fr-FR"/>
        </w:rPr>
        <w:t xml:space="preserve"> Secrétaire exécuti</w:t>
      </w:r>
      <w:r w:rsidR="00261846">
        <w:rPr>
          <w:rFonts w:eastAsia="Malgun Gothic" w:cstheme="majorBidi"/>
          <w:sz w:val="22"/>
          <w:szCs w:val="22"/>
          <w:lang w:val="fr-FR"/>
        </w:rPr>
        <w:t>ve</w:t>
      </w:r>
      <w:r w:rsidRPr="009E4D45">
        <w:rPr>
          <w:rFonts w:eastAsia="Malgun Gothic" w:cstheme="majorBidi"/>
          <w:sz w:val="22"/>
          <w:szCs w:val="22"/>
          <w:lang w:val="fr-FR"/>
        </w:rPr>
        <w:t xml:space="preserve"> a </w:t>
      </w:r>
      <w:r w:rsidR="00BA5743">
        <w:rPr>
          <w:rFonts w:eastAsia="Malgun Gothic" w:cstheme="majorBidi"/>
          <w:sz w:val="22"/>
          <w:szCs w:val="22"/>
          <w:lang w:val="fr-FR"/>
        </w:rPr>
        <w:t>émis</w:t>
      </w:r>
      <w:r w:rsidRPr="009E4D45">
        <w:rPr>
          <w:rFonts w:eastAsia="Malgun Gothic" w:cstheme="majorBidi"/>
          <w:sz w:val="22"/>
          <w:szCs w:val="22"/>
          <w:lang w:val="fr-FR"/>
        </w:rPr>
        <w:t xml:space="preserve"> la notification 2019-012 (5 février 2019)</w:t>
      </w:r>
      <w:r w:rsidR="005A371F">
        <w:rPr>
          <w:rStyle w:val="FootnoteReference"/>
          <w:rFonts w:eastAsia="Malgun Gothic" w:cstheme="majorBidi"/>
          <w:szCs w:val="22"/>
          <w:lang w:val="fr-FR"/>
        </w:rPr>
        <w:footnoteReference w:id="5"/>
      </w:r>
      <w:r w:rsidRPr="009E4D45">
        <w:rPr>
          <w:rFonts w:eastAsia="Malgun Gothic" w:cstheme="majorBidi"/>
          <w:sz w:val="22"/>
          <w:szCs w:val="22"/>
          <w:lang w:val="fr-FR"/>
        </w:rPr>
        <w:t xml:space="preserve"> </w:t>
      </w:r>
      <w:r w:rsidR="00304437">
        <w:rPr>
          <w:rFonts w:eastAsia="Malgun Gothic" w:cstheme="majorBidi"/>
          <w:sz w:val="22"/>
          <w:szCs w:val="22"/>
          <w:lang w:val="fr-FR"/>
        </w:rPr>
        <w:t>afin de solliciter la communication de</w:t>
      </w:r>
      <w:r w:rsidRPr="009E4D45">
        <w:rPr>
          <w:rFonts w:eastAsia="Malgun Gothic" w:cstheme="majorBidi"/>
          <w:sz w:val="22"/>
          <w:szCs w:val="22"/>
          <w:lang w:val="fr-FR"/>
        </w:rPr>
        <w:t xml:space="preserve"> points de vue et d</w:t>
      </w:r>
      <w:r w:rsidR="00304437">
        <w:rPr>
          <w:rFonts w:eastAsia="Malgun Gothic" w:cstheme="majorBidi"/>
          <w:sz w:val="22"/>
          <w:szCs w:val="22"/>
          <w:lang w:val="fr-FR"/>
        </w:rPr>
        <w:t>’</w:t>
      </w:r>
      <w:r w:rsidRPr="009E4D45">
        <w:rPr>
          <w:rFonts w:eastAsia="Malgun Gothic" w:cstheme="majorBidi"/>
          <w:sz w:val="22"/>
          <w:szCs w:val="22"/>
          <w:lang w:val="fr-FR"/>
        </w:rPr>
        <w:t>informations comme suit :</w:t>
      </w:r>
    </w:p>
    <w:p w14:paraId="521D63A0" w14:textId="30C918BF" w:rsidR="007001EB" w:rsidRPr="009E4D45" w:rsidRDefault="009E4D45" w:rsidP="00BA5743">
      <w:pPr>
        <w:pStyle w:val="paragraph"/>
        <w:numPr>
          <w:ilvl w:val="1"/>
          <w:numId w:val="20"/>
        </w:numPr>
        <w:spacing w:before="120" w:beforeAutospacing="0" w:after="120" w:afterAutospacing="0"/>
        <w:ind w:left="0" w:firstLine="720"/>
        <w:jc w:val="both"/>
        <w:textAlignment w:val="baseline"/>
        <w:rPr>
          <w:rStyle w:val="normaltextrun"/>
          <w:rFonts w:eastAsiaTheme="majorBidi" w:cstheme="majorBidi"/>
          <w:sz w:val="22"/>
          <w:lang w:val="fr-FR"/>
        </w:rPr>
      </w:pPr>
      <w:r w:rsidRPr="009E4D45">
        <w:rPr>
          <w:rStyle w:val="normaltextrun"/>
          <w:rFonts w:eastAsia="Malgun Gothic" w:cstheme="majorBidi"/>
          <w:sz w:val="22"/>
          <w:lang w:val="fr-FR"/>
        </w:rPr>
        <w:t xml:space="preserve">Les Parties, les autres gouvernements, les peuples autochtones et les communautés locales, les parties prenantes et les organisations concernées ont été invités à soumettre leurs points de vue et </w:t>
      </w:r>
      <w:r w:rsidR="00261846">
        <w:rPr>
          <w:rStyle w:val="normaltextrun"/>
          <w:rFonts w:eastAsia="Malgun Gothic" w:cstheme="majorBidi"/>
          <w:sz w:val="22"/>
          <w:lang w:val="fr-FR"/>
        </w:rPr>
        <w:t xml:space="preserve">d’autres </w:t>
      </w:r>
      <w:r w:rsidR="00304437">
        <w:rPr>
          <w:rStyle w:val="normaltextrun"/>
          <w:rFonts w:eastAsia="Malgun Gothic" w:cstheme="majorBidi"/>
          <w:sz w:val="22"/>
          <w:lang w:val="fr-FR"/>
        </w:rPr>
        <w:t xml:space="preserve">informations : </w:t>
      </w:r>
      <w:r w:rsidRPr="009E4D45">
        <w:rPr>
          <w:rStyle w:val="normaltextrun"/>
          <w:rFonts w:eastAsia="Malgun Gothic" w:cstheme="majorBidi"/>
          <w:sz w:val="22"/>
          <w:lang w:val="fr-FR"/>
        </w:rPr>
        <w:t xml:space="preserve">i) pour </w:t>
      </w:r>
      <w:r w:rsidR="00F52F3C">
        <w:rPr>
          <w:rStyle w:val="normaltextrun"/>
          <w:rFonts w:eastAsia="Malgun Gothic" w:cstheme="majorBidi"/>
          <w:sz w:val="22"/>
          <w:lang w:val="fr-FR"/>
        </w:rPr>
        <w:t>préciser</w:t>
      </w:r>
      <w:r w:rsidRPr="009E4D45">
        <w:rPr>
          <w:rStyle w:val="normaltextrun"/>
          <w:rFonts w:eastAsia="Malgun Gothic" w:cstheme="majorBidi"/>
          <w:sz w:val="22"/>
          <w:lang w:val="fr-FR"/>
        </w:rPr>
        <w:t xml:space="preserve"> le </w:t>
      </w:r>
      <w:r w:rsidR="00261846">
        <w:rPr>
          <w:rStyle w:val="normaltextrun"/>
          <w:rFonts w:eastAsia="Malgun Gothic" w:cstheme="majorBidi"/>
          <w:sz w:val="22"/>
          <w:lang w:val="fr-FR"/>
        </w:rPr>
        <w:t>concept</w:t>
      </w:r>
      <w:r w:rsidRPr="009E4D45">
        <w:rPr>
          <w:rStyle w:val="normaltextrun"/>
          <w:rFonts w:eastAsia="Malgun Gothic" w:cstheme="majorBidi"/>
          <w:sz w:val="22"/>
          <w:lang w:val="fr-FR"/>
        </w:rPr>
        <w:t>, y compris la terminologie</w:t>
      </w:r>
      <w:r w:rsidR="00F52F3C">
        <w:rPr>
          <w:rStyle w:val="normaltextrun"/>
          <w:rFonts w:eastAsia="Malgun Gothic" w:cstheme="majorBidi"/>
          <w:sz w:val="22"/>
          <w:lang w:val="fr-FR"/>
        </w:rPr>
        <w:t xml:space="preserve"> pertinente</w:t>
      </w:r>
      <w:r w:rsidRPr="009E4D45">
        <w:rPr>
          <w:rStyle w:val="normaltextrun"/>
          <w:rFonts w:eastAsia="Malgun Gothic" w:cstheme="majorBidi"/>
          <w:sz w:val="22"/>
          <w:lang w:val="fr-FR"/>
        </w:rPr>
        <w:t xml:space="preserve"> et le champ d'applicatio</w:t>
      </w:r>
      <w:r w:rsidR="00F52F3C">
        <w:rPr>
          <w:rStyle w:val="normaltextrun"/>
          <w:rFonts w:eastAsia="Malgun Gothic" w:cstheme="majorBidi"/>
          <w:sz w:val="22"/>
          <w:lang w:val="fr-FR"/>
        </w:rPr>
        <w:t>n</w:t>
      </w:r>
      <w:r w:rsidRPr="009E4D45">
        <w:rPr>
          <w:rStyle w:val="normaltextrun"/>
          <w:rFonts w:eastAsia="Malgun Gothic" w:cstheme="majorBidi"/>
          <w:sz w:val="22"/>
          <w:lang w:val="fr-FR"/>
        </w:rPr>
        <w:t xml:space="preserve">, de l'information </w:t>
      </w:r>
      <w:r w:rsidR="00F34616">
        <w:rPr>
          <w:rStyle w:val="normaltextrun"/>
          <w:rFonts w:eastAsia="Malgun Gothic" w:cstheme="majorBidi"/>
          <w:sz w:val="22"/>
          <w:lang w:val="fr-FR"/>
        </w:rPr>
        <w:t>de</w:t>
      </w:r>
      <w:r w:rsidRPr="009E4D45">
        <w:rPr>
          <w:rStyle w:val="normaltextrun"/>
          <w:rFonts w:eastAsia="Malgun Gothic" w:cstheme="majorBidi"/>
          <w:sz w:val="22"/>
          <w:lang w:val="fr-FR"/>
        </w:rPr>
        <w:t xml:space="preserve"> séquen</w:t>
      </w:r>
      <w:r w:rsidR="00F34616">
        <w:rPr>
          <w:rStyle w:val="normaltextrun"/>
          <w:rFonts w:eastAsia="Malgun Gothic" w:cstheme="majorBidi"/>
          <w:sz w:val="22"/>
          <w:lang w:val="fr-FR"/>
        </w:rPr>
        <w:t>çage</w:t>
      </w:r>
      <w:r w:rsidRPr="009E4D45">
        <w:rPr>
          <w:rStyle w:val="normaltextrun"/>
          <w:rFonts w:eastAsia="Malgun Gothic" w:cstheme="majorBidi"/>
          <w:sz w:val="22"/>
          <w:lang w:val="fr-FR"/>
        </w:rPr>
        <w:t xml:space="preserve"> numérique </w:t>
      </w:r>
      <w:r w:rsidR="00F34616">
        <w:rPr>
          <w:rStyle w:val="normaltextrun"/>
          <w:rFonts w:eastAsia="Malgun Gothic" w:cstheme="majorBidi"/>
          <w:sz w:val="22"/>
          <w:lang w:val="fr-FR"/>
        </w:rPr>
        <w:t xml:space="preserve">sur les </w:t>
      </w:r>
      <w:r w:rsidRPr="009E4D45">
        <w:rPr>
          <w:rStyle w:val="normaltextrun"/>
          <w:rFonts w:eastAsia="Malgun Gothic" w:cstheme="majorBidi"/>
          <w:sz w:val="22"/>
          <w:lang w:val="fr-FR"/>
        </w:rPr>
        <w:t xml:space="preserve">ressources génétiques et </w:t>
      </w:r>
      <w:r w:rsidR="00F52F3C">
        <w:rPr>
          <w:rStyle w:val="normaltextrun"/>
          <w:rFonts w:eastAsia="Malgun Gothic" w:cstheme="majorBidi"/>
          <w:sz w:val="22"/>
          <w:lang w:val="fr-FR"/>
        </w:rPr>
        <w:t>indiquer si</w:t>
      </w:r>
      <w:r w:rsidRPr="009E4D45">
        <w:rPr>
          <w:rStyle w:val="normaltextrun"/>
          <w:rFonts w:eastAsia="Malgun Gothic" w:cstheme="majorBidi"/>
          <w:sz w:val="22"/>
          <w:lang w:val="fr-FR"/>
        </w:rPr>
        <w:t xml:space="preserve"> les mesures nationales sur l'accès et le partage des avantages tiennent compte de l'information </w:t>
      </w:r>
      <w:r w:rsidR="00261E39">
        <w:rPr>
          <w:rStyle w:val="normaltextrun"/>
          <w:rFonts w:eastAsia="Malgun Gothic" w:cstheme="majorBidi"/>
          <w:sz w:val="22"/>
          <w:lang w:val="fr-FR"/>
        </w:rPr>
        <w:t xml:space="preserve">de </w:t>
      </w:r>
      <w:r w:rsidRPr="009E4D45">
        <w:rPr>
          <w:rStyle w:val="normaltextrun"/>
          <w:rFonts w:eastAsia="Malgun Gothic" w:cstheme="majorBidi"/>
          <w:sz w:val="22"/>
          <w:lang w:val="fr-FR"/>
        </w:rPr>
        <w:t>séquen</w:t>
      </w:r>
      <w:r w:rsidR="00261E39">
        <w:rPr>
          <w:rStyle w:val="normaltextrun"/>
          <w:rFonts w:eastAsia="Malgun Gothic" w:cstheme="majorBidi"/>
          <w:sz w:val="22"/>
          <w:lang w:val="fr-FR"/>
        </w:rPr>
        <w:t xml:space="preserve">çage </w:t>
      </w:r>
      <w:r w:rsidRPr="009E4D45">
        <w:rPr>
          <w:rStyle w:val="normaltextrun"/>
          <w:rFonts w:eastAsia="Malgun Gothic" w:cstheme="majorBidi"/>
          <w:sz w:val="22"/>
          <w:lang w:val="fr-FR"/>
        </w:rPr>
        <w:t>numérique</w:t>
      </w:r>
      <w:r w:rsidR="00261E39">
        <w:rPr>
          <w:rStyle w:val="normaltextrun"/>
          <w:rFonts w:eastAsia="Malgun Gothic" w:cstheme="majorBidi"/>
          <w:sz w:val="22"/>
          <w:lang w:val="fr-FR"/>
        </w:rPr>
        <w:t xml:space="preserve"> sur les</w:t>
      </w:r>
      <w:r w:rsidRPr="009E4D45">
        <w:rPr>
          <w:rStyle w:val="normaltextrun"/>
          <w:rFonts w:eastAsia="Malgun Gothic" w:cstheme="majorBidi"/>
          <w:sz w:val="22"/>
          <w:lang w:val="fr-FR"/>
        </w:rPr>
        <w:t xml:space="preserve"> resso</w:t>
      </w:r>
      <w:r w:rsidR="00304437">
        <w:rPr>
          <w:rStyle w:val="normaltextrun"/>
          <w:rFonts w:eastAsia="Malgun Gothic" w:cstheme="majorBidi"/>
          <w:sz w:val="22"/>
          <w:lang w:val="fr-FR"/>
        </w:rPr>
        <w:t xml:space="preserve">urces génétiques ; et </w:t>
      </w:r>
      <w:r w:rsidRPr="009E4D45">
        <w:rPr>
          <w:rStyle w:val="normaltextrun"/>
          <w:rFonts w:eastAsia="Malgun Gothic" w:cstheme="majorBidi"/>
          <w:sz w:val="22"/>
          <w:lang w:val="fr-FR"/>
        </w:rPr>
        <w:t xml:space="preserve">ii) sur </w:t>
      </w:r>
      <w:r w:rsidR="00261E39">
        <w:rPr>
          <w:rStyle w:val="normaltextrun"/>
          <w:rFonts w:eastAsia="Malgun Gothic" w:cstheme="majorBidi"/>
          <w:sz w:val="22"/>
          <w:lang w:val="fr-FR"/>
        </w:rPr>
        <w:t xml:space="preserve">les arrangements </w:t>
      </w:r>
      <w:r w:rsidR="00F52F3C">
        <w:rPr>
          <w:rStyle w:val="normaltextrun"/>
          <w:rFonts w:eastAsia="Malgun Gothic" w:cstheme="majorBidi"/>
          <w:sz w:val="22"/>
          <w:lang w:val="fr-FR"/>
        </w:rPr>
        <w:t xml:space="preserve">concernant </w:t>
      </w:r>
      <w:r w:rsidR="00261E39">
        <w:rPr>
          <w:rStyle w:val="normaltextrun"/>
          <w:rFonts w:eastAsia="Malgun Gothic" w:cstheme="majorBidi"/>
          <w:sz w:val="22"/>
          <w:lang w:val="fr-FR"/>
        </w:rPr>
        <w:t xml:space="preserve">l’accès et </w:t>
      </w:r>
      <w:r w:rsidR="00F52F3C">
        <w:rPr>
          <w:rStyle w:val="normaltextrun"/>
          <w:rFonts w:eastAsia="Malgun Gothic" w:cstheme="majorBidi"/>
          <w:sz w:val="22"/>
          <w:lang w:val="fr-FR"/>
        </w:rPr>
        <w:t>le</w:t>
      </w:r>
      <w:r w:rsidR="00261E39">
        <w:rPr>
          <w:rStyle w:val="normaltextrun"/>
          <w:rFonts w:eastAsia="Malgun Gothic" w:cstheme="majorBidi"/>
          <w:sz w:val="22"/>
          <w:lang w:val="fr-FR"/>
        </w:rPr>
        <w:t xml:space="preserve"> partage des avantages</w:t>
      </w:r>
      <w:r w:rsidRPr="009E4D45">
        <w:rPr>
          <w:rStyle w:val="normaltextrun"/>
          <w:rFonts w:eastAsia="Malgun Gothic" w:cstheme="majorBidi"/>
          <w:sz w:val="22"/>
          <w:lang w:val="fr-FR"/>
        </w:rPr>
        <w:t xml:space="preserve"> découlant de</w:t>
      </w:r>
      <w:r w:rsidR="00F52F3C">
        <w:rPr>
          <w:rStyle w:val="normaltextrun"/>
          <w:rFonts w:eastAsia="Malgun Gothic" w:cstheme="majorBidi"/>
          <w:sz w:val="22"/>
          <w:lang w:val="fr-FR"/>
        </w:rPr>
        <w:t xml:space="preserve">s </w:t>
      </w:r>
      <w:r w:rsidRPr="009E4D45">
        <w:rPr>
          <w:rStyle w:val="normaltextrun"/>
          <w:rFonts w:eastAsia="Malgun Gothic" w:cstheme="majorBidi"/>
          <w:sz w:val="22"/>
          <w:lang w:val="fr-FR"/>
        </w:rPr>
        <w:t>utilisation</w:t>
      </w:r>
      <w:r w:rsidR="00F52F3C">
        <w:rPr>
          <w:rStyle w:val="normaltextrun"/>
          <w:rFonts w:eastAsia="Malgun Gothic" w:cstheme="majorBidi"/>
          <w:sz w:val="22"/>
          <w:lang w:val="fr-FR"/>
        </w:rPr>
        <w:t>s</w:t>
      </w:r>
      <w:r w:rsidRPr="009E4D45">
        <w:rPr>
          <w:rStyle w:val="normaltextrun"/>
          <w:rFonts w:eastAsia="Malgun Gothic" w:cstheme="majorBidi"/>
          <w:sz w:val="22"/>
          <w:lang w:val="fr-FR"/>
        </w:rPr>
        <w:t xml:space="preserve"> commerciale</w:t>
      </w:r>
      <w:r w:rsidR="00F52F3C">
        <w:rPr>
          <w:rStyle w:val="normaltextrun"/>
          <w:rFonts w:eastAsia="Malgun Gothic" w:cstheme="majorBidi"/>
          <w:sz w:val="22"/>
          <w:lang w:val="fr-FR"/>
        </w:rPr>
        <w:t>s</w:t>
      </w:r>
      <w:r w:rsidRPr="009E4D45">
        <w:rPr>
          <w:rStyle w:val="normaltextrun"/>
          <w:rFonts w:eastAsia="Malgun Gothic" w:cstheme="majorBidi"/>
          <w:sz w:val="22"/>
          <w:lang w:val="fr-FR"/>
        </w:rPr>
        <w:t xml:space="preserve"> et non commerciale</w:t>
      </w:r>
      <w:r w:rsidR="00F52F3C">
        <w:rPr>
          <w:rStyle w:val="normaltextrun"/>
          <w:rFonts w:eastAsia="Malgun Gothic" w:cstheme="majorBidi"/>
          <w:sz w:val="22"/>
          <w:lang w:val="fr-FR"/>
        </w:rPr>
        <w:t>s</w:t>
      </w:r>
      <w:r w:rsidRPr="009E4D45">
        <w:rPr>
          <w:rStyle w:val="normaltextrun"/>
          <w:rFonts w:eastAsia="Malgun Gothic" w:cstheme="majorBidi"/>
          <w:sz w:val="22"/>
          <w:lang w:val="fr-FR"/>
        </w:rPr>
        <w:t xml:space="preserve"> de l'information </w:t>
      </w:r>
      <w:r w:rsidR="00F7333C">
        <w:rPr>
          <w:rStyle w:val="normaltextrun"/>
          <w:rFonts w:eastAsia="Malgun Gothic" w:cstheme="majorBidi"/>
          <w:sz w:val="22"/>
          <w:lang w:val="fr-FR"/>
        </w:rPr>
        <w:t>d</w:t>
      </w:r>
      <w:r w:rsidRPr="009E4D45">
        <w:rPr>
          <w:rStyle w:val="normaltextrun"/>
          <w:rFonts w:eastAsia="Malgun Gothic" w:cstheme="majorBidi"/>
          <w:sz w:val="22"/>
          <w:lang w:val="fr-FR"/>
        </w:rPr>
        <w:t>e séquen</w:t>
      </w:r>
      <w:r w:rsidR="00F7333C">
        <w:rPr>
          <w:rStyle w:val="normaltextrun"/>
          <w:rFonts w:eastAsia="Malgun Gothic" w:cstheme="majorBidi"/>
          <w:sz w:val="22"/>
          <w:lang w:val="fr-FR"/>
        </w:rPr>
        <w:t xml:space="preserve">çage </w:t>
      </w:r>
      <w:r w:rsidRPr="009E4D45">
        <w:rPr>
          <w:rStyle w:val="normaltextrun"/>
          <w:rFonts w:eastAsia="Malgun Gothic" w:cstheme="majorBidi"/>
          <w:sz w:val="22"/>
          <w:lang w:val="fr-FR"/>
        </w:rPr>
        <w:t xml:space="preserve">numérique </w:t>
      </w:r>
      <w:r w:rsidR="00F52F3C">
        <w:rPr>
          <w:rStyle w:val="normaltextrun"/>
          <w:rFonts w:eastAsia="Malgun Gothic" w:cstheme="majorBidi"/>
          <w:sz w:val="22"/>
          <w:lang w:val="fr-FR"/>
        </w:rPr>
        <w:t>des</w:t>
      </w:r>
      <w:r w:rsidRPr="009E4D45">
        <w:rPr>
          <w:rStyle w:val="normaltextrun"/>
          <w:rFonts w:eastAsia="Malgun Gothic" w:cstheme="majorBidi"/>
          <w:sz w:val="22"/>
          <w:lang w:val="fr-FR"/>
        </w:rPr>
        <w:t xml:space="preserve"> ressources génétiques ;</w:t>
      </w:r>
    </w:p>
    <w:p w14:paraId="510BC5A5" w14:textId="35B0B9E5" w:rsidR="007001EB" w:rsidRPr="009E4D45" w:rsidRDefault="009E4D45" w:rsidP="00D17A30">
      <w:pPr>
        <w:pStyle w:val="paragraph"/>
        <w:numPr>
          <w:ilvl w:val="1"/>
          <w:numId w:val="20"/>
        </w:numPr>
        <w:spacing w:before="120" w:beforeAutospacing="0" w:after="120" w:afterAutospacing="0"/>
        <w:ind w:left="0" w:firstLine="709"/>
        <w:jc w:val="both"/>
        <w:textAlignment w:val="baseline"/>
        <w:rPr>
          <w:rFonts w:eastAsiaTheme="majorBidi" w:cstheme="majorBidi"/>
          <w:sz w:val="22"/>
          <w:lang w:val="fr-FR"/>
        </w:rPr>
      </w:pPr>
      <w:r w:rsidRPr="009E4D45">
        <w:rPr>
          <w:rStyle w:val="normaltextrun"/>
          <w:sz w:val="22"/>
          <w:lang w:val="fr-FR"/>
        </w:rPr>
        <w:t xml:space="preserve">Les Parties, les autres gouvernements et les peuples autochtones et communautés locales ont été invités à </w:t>
      </w:r>
      <w:r w:rsidR="00BA4E24">
        <w:rPr>
          <w:rStyle w:val="normaltextrun"/>
          <w:sz w:val="22"/>
          <w:lang w:val="fr-FR"/>
        </w:rPr>
        <w:t>transmettre</w:t>
      </w:r>
      <w:r w:rsidRPr="009E4D45">
        <w:rPr>
          <w:rStyle w:val="normaltextrun"/>
          <w:sz w:val="22"/>
          <w:lang w:val="fr-FR"/>
        </w:rPr>
        <w:t xml:space="preserve"> des informations sur leurs besoins de renforcement des capacités </w:t>
      </w:r>
      <w:r w:rsidR="00BA4E24">
        <w:rPr>
          <w:rStyle w:val="normaltextrun"/>
          <w:sz w:val="22"/>
          <w:lang w:val="fr-FR"/>
        </w:rPr>
        <w:t>en matière</w:t>
      </w:r>
      <w:r w:rsidRPr="009E4D45">
        <w:rPr>
          <w:rStyle w:val="normaltextrun"/>
          <w:sz w:val="22"/>
          <w:lang w:val="fr-FR"/>
        </w:rPr>
        <w:t xml:space="preserve"> </w:t>
      </w:r>
      <w:r w:rsidR="00BA4E24">
        <w:rPr>
          <w:rStyle w:val="normaltextrun"/>
          <w:sz w:val="22"/>
          <w:lang w:val="fr-FR"/>
        </w:rPr>
        <w:t>d</w:t>
      </w:r>
      <w:r w:rsidRPr="009E4D45">
        <w:rPr>
          <w:rStyle w:val="normaltextrun"/>
          <w:sz w:val="22"/>
          <w:lang w:val="fr-FR"/>
        </w:rPr>
        <w:t xml:space="preserve">'accès, </w:t>
      </w:r>
      <w:r w:rsidR="00BA4E24">
        <w:rPr>
          <w:rStyle w:val="normaltextrun"/>
          <w:sz w:val="22"/>
          <w:lang w:val="fr-FR"/>
        </w:rPr>
        <w:t>d’</w:t>
      </w:r>
      <w:r w:rsidRPr="009E4D45">
        <w:rPr>
          <w:rStyle w:val="normaltextrun"/>
          <w:sz w:val="22"/>
          <w:lang w:val="fr-FR"/>
        </w:rPr>
        <w:t xml:space="preserve">utilisation, </w:t>
      </w:r>
      <w:r w:rsidR="00BA4E24">
        <w:rPr>
          <w:rStyle w:val="normaltextrun"/>
          <w:sz w:val="22"/>
          <w:lang w:val="fr-FR"/>
        </w:rPr>
        <w:t xml:space="preserve">de </w:t>
      </w:r>
      <w:r w:rsidRPr="009E4D45">
        <w:rPr>
          <w:rStyle w:val="normaltextrun"/>
          <w:sz w:val="22"/>
          <w:lang w:val="fr-FR"/>
        </w:rPr>
        <w:t xml:space="preserve">production et </w:t>
      </w:r>
      <w:r w:rsidR="00BA4E24">
        <w:rPr>
          <w:rStyle w:val="normaltextrun"/>
          <w:sz w:val="22"/>
          <w:lang w:val="fr-FR"/>
        </w:rPr>
        <w:t>d’</w:t>
      </w:r>
      <w:r w:rsidRPr="009E4D45">
        <w:rPr>
          <w:rStyle w:val="normaltextrun"/>
          <w:sz w:val="22"/>
          <w:lang w:val="fr-FR"/>
        </w:rPr>
        <w:t xml:space="preserve">analyse de </w:t>
      </w:r>
      <w:r w:rsidR="00BA4E24">
        <w:rPr>
          <w:rStyle w:val="normaltextrun"/>
          <w:sz w:val="22"/>
          <w:lang w:val="fr-FR"/>
        </w:rPr>
        <w:t>l’</w:t>
      </w:r>
      <w:r w:rsidRPr="009E4D45">
        <w:rPr>
          <w:rStyle w:val="normaltextrun"/>
          <w:sz w:val="22"/>
          <w:lang w:val="fr-FR"/>
        </w:rPr>
        <w:t>information</w:t>
      </w:r>
      <w:r w:rsidR="00BA4E24">
        <w:rPr>
          <w:rStyle w:val="normaltextrun"/>
          <w:sz w:val="22"/>
          <w:lang w:val="fr-FR"/>
        </w:rPr>
        <w:t xml:space="preserve"> de</w:t>
      </w:r>
      <w:r w:rsidR="00982FBE">
        <w:rPr>
          <w:rStyle w:val="normaltextrun"/>
          <w:sz w:val="22"/>
          <w:lang w:val="fr-FR"/>
        </w:rPr>
        <w:t xml:space="preserve"> </w:t>
      </w:r>
      <w:r w:rsidRPr="009E4D45">
        <w:rPr>
          <w:rStyle w:val="normaltextrun"/>
          <w:sz w:val="22"/>
          <w:lang w:val="fr-FR"/>
        </w:rPr>
        <w:t>séquen</w:t>
      </w:r>
      <w:r w:rsidR="00982FBE">
        <w:rPr>
          <w:rStyle w:val="normaltextrun"/>
          <w:sz w:val="22"/>
          <w:lang w:val="fr-FR"/>
        </w:rPr>
        <w:t>çage numérique sur les ressources génétiques</w:t>
      </w:r>
      <w:r w:rsidRPr="009E4D45">
        <w:rPr>
          <w:rStyle w:val="normaltextrun"/>
          <w:sz w:val="22"/>
          <w:lang w:val="fr-FR"/>
        </w:rPr>
        <w:t>, en particulier</w:t>
      </w:r>
      <w:r w:rsidR="00BA4E24">
        <w:rPr>
          <w:rStyle w:val="normaltextrun"/>
          <w:sz w:val="22"/>
          <w:lang w:val="fr-FR"/>
        </w:rPr>
        <w:t xml:space="preserve"> en ce qui a trait aux</w:t>
      </w:r>
      <w:r w:rsidRPr="009E4D45">
        <w:rPr>
          <w:rStyle w:val="normaltextrun"/>
          <w:sz w:val="22"/>
          <w:lang w:val="fr-FR"/>
        </w:rPr>
        <w:t xml:space="preserve"> trois objectifs de la Convention ;</w:t>
      </w:r>
    </w:p>
    <w:p w14:paraId="031ADFBB" w14:textId="4D005805" w:rsidR="00DC4C2D" w:rsidRPr="009E4D45" w:rsidRDefault="009E4D45" w:rsidP="00D17A30">
      <w:pPr>
        <w:pStyle w:val="paragraph"/>
        <w:numPr>
          <w:ilvl w:val="1"/>
          <w:numId w:val="20"/>
        </w:numPr>
        <w:spacing w:before="120" w:beforeAutospacing="0" w:after="120" w:afterAutospacing="0"/>
        <w:ind w:left="0" w:firstLine="709"/>
        <w:jc w:val="both"/>
        <w:textAlignment w:val="baseline"/>
        <w:rPr>
          <w:rFonts w:eastAsiaTheme="majorBidi" w:cstheme="majorBidi"/>
          <w:sz w:val="22"/>
          <w:lang w:val="fr-FR"/>
        </w:rPr>
      </w:pPr>
      <w:r w:rsidRPr="009E4D45">
        <w:rPr>
          <w:rFonts w:eastAsia="Malgun Gothic" w:cstheme="majorBidi"/>
          <w:sz w:val="22"/>
          <w:szCs w:val="22"/>
          <w:lang w:val="fr-FR"/>
        </w:rPr>
        <w:t xml:space="preserve">La notification comprenait également un calendrier provisoire pour la mise en œuvre des activités liées </w:t>
      </w:r>
      <w:r w:rsidR="00982FBE">
        <w:rPr>
          <w:rFonts w:eastAsia="Malgun Gothic" w:cstheme="majorBidi"/>
          <w:sz w:val="22"/>
          <w:szCs w:val="22"/>
          <w:lang w:val="fr-FR"/>
        </w:rPr>
        <w:t xml:space="preserve">à </w:t>
      </w:r>
      <w:r w:rsidR="00BA5743">
        <w:rPr>
          <w:rFonts w:eastAsia="Malgun Gothic" w:cstheme="majorBidi"/>
          <w:sz w:val="22"/>
          <w:szCs w:val="22"/>
          <w:lang w:val="fr-FR"/>
        </w:rPr>
        <w:t>l’ISN</w:t>
      </w:r>
      <w:r w:rsidRPr="009E4D45">
        <w:rPr>
          <w:rFonts w:eastAsia="Malgun Gothic" w:cstheme="majorBidi"/>
          <w:sz w:val="22"/>
          <w:szCs w:val="22"/>
          <w:lang w:val="fr-FR"/>
        </w:rPr>
        <w:t xml:space="preserve">, jusqu'à la réunion du </w:t>
      </w:r>
      <w:r w:rsidR="00304437">
        <w:rPr>
          <w:rFonts w:eastAsia="Malgun Gothic" w:cstheme="majorBidi"/>
          <w:sz w:val="22"/>
          <w:szCs w:val="22"/>
          <w:lang w:val="fr-FR"/>
        </w:rPr>
        <w:t>G</w:t>
      </w:r>
      <w:r w:rsidRPr="009E4D45">
        <w:rPr>
          <w:rFonts w:eastAsia="Malgun Gothic" w:cstheme="majorBidi"/>
          <w:sz w:val="22"/>
          <w:szCs w:val="22"/>
          <w:lang w:val="fr-FR"/>
        </w:rPr>
        <w:t>roupe</w:t>
      </w:r>
      <w:r w:rsidR="009168F5">
        <w:rPr>
          <w:rFonts w:eastAsia="Malgun Gothic" w:cstheme="majorBidi"/>
          <w:sz w:val="22"/>
          <w:szCs w:val="22"/>
          <w:lang w:val="fr-FR"/>
        </w:rPr>
        <w:t xml:space="preserve"> spécial</w:t>
      </w:r>
      <w:r w:rsidRPr="009E4D45">
        <w:rPr>
          <w:rFonts w:eastAsia="Malgun Gothic" w:cstheme="majorBidi"/>
          <w:sz w:val="22"/>
          <w:szCs w:val="22"/>
          <w:lang w:val="fr-FR"/>
        </w:rPr>
        <w:t xml:space="preserve"> d'experts techniques.</w:t>
      </w:r>
    </w:p>
    <w:p w14:paraId="08F5C8C9" w14:textId="239AEDC6" w:rsidR="0073369A" w:rsidRPr="009E4D45" w:rsidRDefault="009E4D45" w:rsidP="00D17A30">
      <w:pPr>
        <w:pStyle w:val="paragraph"/>
        <w:numPr>
          <w:ilvl w:val="0"/>
          <w:numId w:val="20"/>
        </w:numPr>
        <w:spacing w:before="120" w:beforeAutospacing="0" w:after="120" w:afterAutospacing="0"/>
        <w:ind w:left="0" w:firstLine="0"/>
        <w:jc w:val="both"/>
        <w:textAlignment w:val="baseline"/>
        <w:rPr>
          <w:rFonts w:eastAsiaTheme="majorBidi" w:cstheme="majorBidi"/>
          <w:sz w:val="22"/>
          <w:lang w:val="fr-FR"/>
        </w:rPr>
      </w:pPr>
      <w:r w:rsidRPr="009E4D45">
        <w:rPr>
          <w:rFonts w:eastAsia="Malgun Gothic" w:cstheme="majorBidi"/>
          <w:sz w:val="22"/>
          <w:szCs w:val="22"/>
          <w:lang w:val="fr-FR"/>
        </w:rPr>
        <w:lastRenderedPageBreak/>
        <w:t>Le Secrétariat a reçu plus de 30 soumissions en réponse à la notification</w:t>
      </w:r>
      <w:r w:rsidR="00521BC3">
        <w:rPr>
          <w:rFonts w:eastAsia="Malgun Gothic" w:cstheme="majorBidi"/>
          <w:sz w:val="22"/>
          <w:szCs w:val="22"/>
          <w:lang w:val="fr-FR"/>
        </w:rPr>
        <w:t>,</w:t>
      </w:r>
      <w:r w:rsidRPr="009E4D45">
        <w:rPr>
          <w:rFonts w:eastAsia="Malgun Gothic" w:cstheme="majorBidi"/>
          <w:sz w:val="22"/>
          <w:szCs w:val="22"/>
          <w:lang w:val="fr-FR"/>
        </w:rPr>
        <w:t xml:space="preserve"> fournissant des points de vue et des informations de la part des Parties à la Convention, des non-Parties et des organisations. Les soumissions sont disponibles en ligne</w:t>
      </w:r>
      <w:r w:rsidR="005A371F">
        <w:rPr>
          <w:rStyle w:val="FootnoteReference"/>
          <w:rFonts w:eastAsia="Malgun Gothic" w:cstheme="majorBidi"/>
          <w:szCs w:val="22"/>
          <w:lang w:val="fr-FR"/>
        </w:rPr>
        <w:footnoteReference w:id="6"/>
      </w:r>
      <w:r w:rsidRPr="009E4D45">
        <w:rPr>
          <w:rFonts w:eastAsia="Malgun Gothic" w:cstheme="majorBidi"/>
          <w:sz w:val="22"/>
          <w:szCs w:val="22"/>
          <w:lang w:val="fr-FR"/>
        </w:rPr>
        <w:t xml:space="preserve">.  </w:t>
      </w:r>
    </w:p>
    <w:p w14:paraId="49945CFF" w14:textId="5E1C44FB" w:rsidR="007001EB" w:rsidRPr="009E4D45" w:rsidRDefault="009E4D45" w:rsidP="007001EB">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fr-FR"/>
        </w:rPr>
      </w:pPr>
      <w:r w:rsidRPr="009E4D45">
        <w:rPr>
          <w:rStyle w:val="normaltextrun"/>
          <w:rFonts w:eastAsiaTheme="majorBidi" w:cstheme="majorBidi"/>
          <w:sz w:val="22"/>
          <w:szCs w:val="22"/>
          <w:lang w:val="fr-FR"/>
        </w:rPr>
        <w:t xml:space="preserve">Conformément au paragraphe 11 de la décision 14/20, </w:t>
      </w:r>
      <w:r w:rsidR="00461ACB">
        <w:rPr>
          <w:rStyle w:val="normaltextrun"/>
          <w:rFonts w:eastAsiaTheme="majorBidi" w:cstheme="majorBidi"/>
          <w:sz w:val="22"/>
          <w:szCs w:val="22"/>
          <w:lang w:val="fr-FR"/>
        </w:rPr>
        <w:t>les études</w:t>
      </w:r>
      <w:r w:rsidRPr="009E4D45">
        <w:rPr>
          <w:rStyle w:val="normaltextrun"/>
          <w:rFonts w:eastAsiaTheme="majorBidi" w:cstheme="majorBidi"/>
          <w:sz w:val="22"/>
          <w:szCs w:val="22"/>
          <w:lang w:val="fr-FR"/>
        </w:rPr>
        <w:t xml:space="preserve"> devai</w:t>
      </w:r>
      <w:r w:rsidR="00461ACB">
        <w:rPr>
          <w:rStyle w:val="normaltextrun"/>
          <w:rFonts w:eastAsiaTheme="majorBidi" w:cstheme="majorBidi"/>
          <w:sz w:val="22"/>
          <w:szCs w:val="22"/>
          <w:lang w:val="fr-FR"/>
        </w:rPr>
        <w:t>en</w:t>
      </w:r>
      <w:r w:rsidR="00FD7755">
        <w:rPr>
          <w:rStyle w:val="normaltextrun"/>
          <w:rFonts w:eastAsiaTheme="majorBidi" w:cstheme="majorBidi"/>
          <w:sz w:val="22"/>
          <w:szCs w:val="22"/>
          <w:lang w:val="fr-FR"/>
        </w:rPr>
        <w:t>t</w:t>
      </w:r>
      <w:r w:rsidRPr="009E4D45">
        <w:rPr>
          <w:rStyle w:val="normaltextrun"/>
          <w:rFonts w:eastAsiaTheme="majorBidi" w:cstheme="majorBidi"/>
          <w:sz w:val="22"/>
          <w:szCs w:val="22"/>
          <w:lang w:val="fr-FR"/>
        </w:rPr>
        <w:t xml:space="preserve"> porter sur les sujets suivants :</w:t>
      </w:r>
    </w:p>
    <w:p w14:paraId="5BC0756E" w14:textId="0DBD613E" w:rsidR="007001EB" w:rsidRPr="009E4D45" w:rsidRDefault="009E4D45"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fr-FR"/>
        </w:rPr>
      </w:pPr>
      <w:r w:rsidRPr="009E4D45">
        <w:rPr>
          <w:rStyle w:val="normaltextrun"/>
          <w:rFonts w:eastAsia="Malgun Gothic" w:cstheme="majorBidi"/>
          <w:sz w:val="22"/>
          <w:szCs w:val="22"/>
          <w:lang w:val="fr-FR"/>
        </w:rPr>
        <w:t xml:space="preserve">Le concept et la portée de l'information </w:t>
      </w:r>
      <w:r w:rsidR="004B397C">
        <w:rPr>
          <w:rStyle w:val="normaltextrun"/>
          <w:rFonts w:eastAsia="Malgun Gothic" w:cstheme="majorBidi"/>
          <w:sz w:val="22"/>
          <w:szCs w:val="22"/>
          <w:lang w:val="fr-FR"/>
        </w:rPr>
        <w:t xml:space="preserve">de </w:t>
      </w:r>
      <w:r w:rsidRPr="009E4D45">
        <w:rPr>
          <w:rStyle w:val="normaltextrun"/>
          <w:rFonts w:eastAsia="Malgun Gothic" w:cstheme="majorBidi"/>
          <w:sz w:val="22"/>
          <w:szCs w:val="22"/>
          <w:lang w:val="fr-FR"/>
        </w:rPr>
        <w:t>séquen</w:t>
      </w:r>
      <w:r w:rsidR="004B397C">
        <w:rPr>
          <w:rStyle w:val="normaltextrun"/>
          <w:rFonts w:eastAsia="Malgun Gothic" w:cstheme="majorBidi"/>
          <w:sz w:val="22"/>
          <w:szCs w:val="22"/>
          <w:lang w:val="fr-FR"/>
        </w:rPr>
        <w:t xml:space="preserve">çage </w:t>
      </w:r>
      <w:r w:rsidRPr="009E4D45">
        <w:rPr>
          <w:rStyle w:val="normaltextrun"/>
          <w:rFonts w:eastAsia="Malgun Gothic" w:cstheme="majorBidi"/>
          <w:sz w:val="22"/>
          <w:szCs w:val="22"/>
          <w:lang w:val="fr-FR"/>
        </w:rPr>
        <w:t xml:space="preserve">numérique </w:t>
      </w:r>
      <w:r w:rsidR="00FD7755">
        <w:rPr>
          <w:rStyle w:val="normaltextrun"/>
          <w:rFonts w:eastAsia="Malgun Gothic" w:cstheme="majorBidi"/>
          <w:sz w:val="22"/>
          <w:szCs w:val="22"/>
          <w:lang w:val="fr-FR"/>
        </w:rPr>
        <w:t xml:space="preserve">sur les </w:t>
      </w:r>
      <w:r w:rsidRPr="009E4D45">
        <w:rPr>
          <w:rStyle w:val="normaltextrun"/>
          <w:rFonts w:eastAsia="Malgun Gothic" w:cstheme="majorBidi"/>
          <w:sz w:val="22"/>
          <w:szCs w:val="22"/>
          <w:lang w:val="fr-FR"/>
        </w:rPr>
        <w:t xml:space="preserve">ressources génétiques et la manière dont cette information est </w:t>
      </w:r>
      <w:r w:rsidR="005A371F">
        <w:rPr>
          <w:rStyle w:val="normaltextrun"/>
          <w:rFonts w:eastAsia="Malgun Gothic" w:cstheme="majorBidi"/>
          <w:sz w:val="22"/>
          <w:szCs w:val="22"/>
          <w:lang w:val="fr-FR"/>
        </w:rPr>
        <w:t>déjà</w:t>
      </w:r>
      <w:r w:rsidRPr="009E4D45">
        <w:rPr>
          <w:rStyle w:val="normaltextrun"/>
          <w:rFonts w:eastAsia="Malgun Gothic" w:cstheme="majorBidi"/>
          <w:sz w:val="22"/>
          <w:szCs w:val="22"/>
          <w:lang w:val="fr-FR"/>
        </w:rPr>
        <w:t xml:space="preserve"> utilisée, en</w:t>
      </w:r>
      <w:r w:rsidR="005A371F" w:rsidRPr="001A3EED">
        <w:rPr>
          <w:rFonts w:cstheme="majorBidi"/>
          <w:sz w:val="22"/>
          <w:szCs w:val="22"/>
          <w:lang w:val="fr-FR"/>
        </w:rPr>
        <w:t xml:space="preserve"> </w:t>
      </w:r>
      <w:r w:rsidR="005A371F">
        <w:rPr>
          <w:rFonts w:cstheme="majorBidi"/>
          <w:sz w:val="22"/>
          <w:szCs w:val="22"/>
          <w:lang w:val="fr-FR"/>
        </w:rPr>
        <w:t>prenant appui</w:t>
      </w:r>
      <w:r w:rsidR="005A371F" w:rsidRPr="001A3EED">
        <w:rPr>
          <w:rFonts w:cstheme="majorBidi"/>
          <w:sz w:val="22"/>
          <w:szCs w:val="22"/>
          <w:lang w:val="fr-FR"/>
        </w:rPr>
        <w:t xml:space="preserve"> sur l'étude </w:t>
      </w:r>
      <w:r w:rsidR="005A371F">
        <w:rPr>
          <w:rFonts w:cstheme="majorBidi"/>
          <w:sz w:val="22"/>
          <w:szCs w:val="22"/>
          <w:lang w:val="fr-FR"/>
        </w:rPr>
        <w:t>exploratoire existante</w:t>
      </w:r>
      <w:r w:rsidR="00C77126">
        <w:rPr>
          <w:rStyle w:val="FootnoteReference"/>
          <w:rFonts w:cstheme="majorBidi"/>
          <w:szCs w:val="22"/>
          <w:lang w:val="fr-FR"/>
        </w:rPr>
        <w:footnoteReference w:id="7"/>
      </w:r>
      <w:r w:rsidR="005A371F" w:rsidRPr="001A3EED">
        <w:rPr>
          <w:rFonts w:cstheme="majorBidi"/>
          <w:sz w:val="22"/>
          <w:szCs w:val="22"/>
          <w:lang w:val="fr-FR"/>
        </w:rPr>
        <w:t xml:space="preserve"> ;</w:t>
      </w:r>
    </w:p>
    <w:p w14:paraId="0165F227" w14:textId="2539A233" w:rsidR="007001EB" w:rsidRPr="009E4D45" w:rsidRDefault="009E4D45"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fr-FR"/>
        </w:rPr>
      </w:pPr>
      <w:r w:rsidRPr="009E4D45">
        <w:rPr>
          <w:rStyle w:val="normaltextrun"/>
          <w:rFonts w:eastAsia="Malgun Gothic" w:cstheme="majorBidi"/>
          <w:sz w:val="22"/>
          <w:szCs w:val="22"/>
          <w:lang w:val="fr-FR"/>
        </w:rPr>
        <w:t xml:space="preserve">Les développements en cours dans le domaine de la traçabilité de l'information numérique, y compris la manière dont la traçabilité est prise en compte par les bases de données, et la manière </w:t>
      </w:r>
      <w:r w:rsidR="005B101E">
        <w:rPr>
          <w:rStyle w:val="normaltextrun"/>
          <w:rFonts w:eastAsia="Malgun Gothic" w:cstheme="majorBidi"/>
          <w:sz w:val="22"/>
          <w:szCs w:val="22"/>
          <w:lang w:val="fr-FR"/>
        </w:rPr>
        <w:t>dont celles-ci</w:t>
      </w:r>
      <w:r w:rsidRPr="009E4D45">
        <w:rPr>
          <w:rStyle w:val="normaltextrun"/>
          <w:rFonts w:eastAsia="Malgun Gothic" w:cstheme="majorBidi"/>
          <w:sz w:val="22"/>
          <w:szCs w:val="22"/>
          <w:lang w:val="fr-FR"/>
        </w:rPr>
        <w:t xml:space="preserve"> pourraient alimenter les discussions </w:t>
      </w:r>
      <w:r w:rsidR="004B397C">
        <w:rPr>
          <w:rStyle w:val="normaltextrun"/>
          <w:rFonts w:eastAsia="Malgun Gothic" w:cstheme="majorBidi"/>
          <w:sz w:val="22"/>
          <w:szCs w:val="22"/>
          <w:lang w:val="fr-FR"/>
        </w:rPr>
        <w:t xml:space="preserve">liées à </w:t>
      </w:r>
      <w:r w:rsidR="00C53074">
        <w:rPr>
          <w:rStyle w:val="normaltextrun"/>
          <w:rFonts w:eastAsia="Malgun Gothic" w:cstheme="majorBidi"/>
          <w:sz w:val="22"/>
          <w:szCs w:val="22"/>
          <w:lang w:val="fr-FR"/>
        </w:rPr>
        <w:t>l’ISN</w:t>
      </w:r>
      <w:r w:rsidRPr="009E4D45">
        <w:rPr>
          <w:rStyle w:val="normaltextrun"/>
          <w:rFonts w:eastAsia="Malgun Gothic" w:cstheme="majorBidi"/>
          <w:sz w:val="22"/>
          <w:szCs w:val="22"/>
          <w:lang w:val="fr-FR"/>
        </w:rPr>
        <w:t xml:space="preserve"> ;</w:t>
      </w:r>
    </w:p>
    <w:p w14:paraId="3F0778F1" w14:textId="3D4E3E9B" w:rsidR="007001EB" w:rsidRPr="009E4D45" w:rsidRDefault="009E4D45"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fr-FR"/>
        </w:rPr>
      </w:pPr>
      <w:r w:rsidRPr="009E4D45">
        <w:rPr>
          <w:rStyle w:val="normaltextrun"/>
          <w:rFonts w:eastAsia="Malgun Gothic" w:cstheme="majorBidi"/>
          <w:sz w:val="22"/>
          <w:szCs w:val="22"/>
          <w:lang w:val="fr-FR"/>
        </w:rPr>
        <w:t xml:space="preserve">Les bases de données publiques et, dans la mesure du possible, privées d'informations </w:t>
      </w:r>
      <w:r w:rsidR="004B397C">
        <w:rPr>
          <w:rStyle w:val="normaltextrun"/>
          <w:rFonts w:eastAsia="Malgun Gothic" w:cstheme="majorBidi"/>
          <w:sz w:val="22"/>
          <w:szCs w:val="22"/>
          <w:lang w:val="fr-FR"/>
        </w:rPr>
        <w:t xml:space="preserve">de </w:t>
      </w:r>
      <w:r w:rsidRPr="009E4D45">
        <w:rPr>
          <w:rStyle w:val="normaltextrun"/>
          <w:rFonts w:eastAsia="Malgun Gothic" w:cstheme="majorBidi"/>
          <w:sz w:val="22"/>
          <w:szCs w:val="22"/>
          <w:lang w:val="fr-FR"/>
        </w:rPr>
        <w:t>séquen</w:t>
      </w:r>
      <w:r w:rsidR="004B397C">
        <w:rPr>
          <w:rStyle w:val="normaltextrun"/>
          <w:rFonts w:eastAsia="Malgun Gothic" w:cstheme="majorBidi"/>
          <w:sz w:val="22"/>
          <w:szCs w:val="22"/>
          <w:lang w:val="fr-FR"/>
        </w:rPr>
        <w:t xml:space="preserve">çage </w:t>
      </w:r>
      <w:r w:rsidRPr="009E4D45">
        <w:rPr>
          <w:rStyle w:val="normaltextrun"/>
          <w:rFonts w:eastAsia="Malgun Gothic" w:cstheme="majorBidi"/>
          <w:sz w:val="22"/>
          <w:szCs w:val="22"/>
          <w:lang w:val="fr-FR"/>
        </w:rPr>
        <w:t xml:space="preserve">numérique </w:t>
      </w:r>
      <w:r w:rsidR="004B397C">
        <w:rPr>
          <w:rStyle w:val="normaltextrun"/>
          <w:rFonts w:eastAsia="Malgun Gothic" w:cstheme="majorBidi"/>
          <w:sz w:val="22"/>
          <w:szCs w:val="22"/>
          <w:lang w:val="fr-FR"/>
        </w:rPr>
        <w:t xml:space="preserve">sur les </w:t>
      </w:r>
      <w:r w:rsidRPr="009E4D45">
        <w:rPr>
          <w:rStyle w:val="normaltextrun"/>
          <w:rFonts w:eastAsia="Malgun Gothic" w:cstheme="majorBidi"/>
          <w:sz w:val="22"/>
          <w:szCs w:val="22"/>
          <w:lang w:val="fr-FR"/>
        </w:rPr>
        <w:t xml:space="preserve">ressources génétiques, y compris les conditions auxquelles l'accès est accordé ou contrôlé, le champ d'application biologique et la taille des bases de données, le nombre d'accessions et leur origine, les politiques en vigueur, ainsi que les fournisseurs et les utilisateurs </w:t>
      </w:r>
      <w:r w:rsidR="004B397C">
        <w:rPr>
          <w:rStyle w:val="normaltextrun"/>
          <w:rFonts w:eastAsia="Malgun Gothic" w:cstheme="majorBidi"/>
          <w:sz w:val="22"/>
          <w:szCs w:val="22"/>
          <w:lang w:val="fr-FR"/>
        </w:rPr>
        <w:t xml:space="preserve">de </w:t>
      </w:r>
      <w:r w:rsidR="00C53074">
        <w:rPr>
          <w:rStyle w:val="normaltextrun"/>
          <w:rFonts w:eastAsia="Malgun Gothic" w:cstheme="majorBidi"/>
          <w:sz w:val="22"/>
          <w:szCs w:val="22"/>
          <w:lang w:val="fr-FR"/>
        </w:rPr>
        <w:t>l’ISN</w:t>
      </w:r>
      <w:r w:rsidRPr="009E4D45">
        <w:rPr>
          <w:rStyle w:val="normaltextrun"/>
          <w:rFonts w:eastAsia="Malgun Gothic" w:cstheme="majorBidi"/>
          <w:sz w:val="22"/>
          <w:szCs w:val="22"/>
          <w:lang w:val="fr-FR"/>
        </w:rPr>
        <w:t xml:space="preserve"> ;</w:t>
      </w:r>
    </w:p>
    <w:p w14:paraId="1CB786ED" w14:textId="12E32930" w:rsidR="007001EB" w:rsidRPr="009E4D45" w:rsidRDefault="009E4D45"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fr-FR"/>
        </w:rPr>
      </w:pPr>
      <w:r w:rsidRPr="009E4D45">
        <w:rPr>
          <w:rStyle w:val="normaltextrun"/>
          <w:rFonts w:eastAsia="Malgun Gothic" w:cstheme="majorBidi"/>
          <w:sz w:val="22"/>
          <w:szCs w:val="22"/>
          <w:lang w:val="fr-FR"/>
        </w:rPr>
        <w:t>Comment les mesures nationales traitent du partage des avantages découlant de l'utilisation commerciale et non commerciale d</w:t>
      </w:r>
      <w:r w:rsidR="004B397C">
        <w:rPr>
          <w:rStyle w:val="normaltextrun"/>
          <w:rFonts w:eastAsia="Malgun Gothic" w:cstheme="majorBidi"/>
          <w:sz w:val="22"/>
          <w:szCs w:val="22"/>
          <w:lang w:val="fr-FR"/>
        </w:rPr>
        <w:t xml:space="preserve">e </w:t>
      </w:r>
      <w:r w:rsidR="00C53074">
        <w:rPr>
          <w:rStyle w:val="normaltextrun"/>
          <w:rFonts w:eastAsia="Malgun Gothic" w:cstheme="majorBidi"/>
          <w:sz w:val="22"/>
          <w:szCs w:val="22"/>
          <w:lang w:val="fr-FR"/>
        </w:rPr>
        <w:t>l’ISN</w:t>
      </w:r>
      <w:r w:rsidR="004B397C">
        <w:rPr>
          <w:rStyle w:val="normaltextrun"/>
          <w:rFonts w:eastAsia="Malgun Gothic" w:cstheme="majorBidi"/>
          <w:sz w:val="22"/>
          <w:szCs w:val="22"/>
          <w:lang w:val="fr-FR"/>
        </w:rPr>
        <w:t xml:space="preserve"> </w:t>
      </w:r>
      <w:r w:rsidRPr="009E4D45">
        <w:rPr>
          <w:rStyle w:val="normaltextrun"/>
          <w:rFonts w:eastAsia="Malgun Gothic" w:cstheme="majorBidi"/>
          <w:sz w:val="22"/>
          <w:szCs w:val="22"/>
          <w:lang w:val="fr-FR"/>
        </w:rPr>
        <w:t>et traitent de l'utilisation de</w:t>
      </w:r>
      <w:r w:rsidR="004B397C">
        <w:rPr>
          <w:rStyle w:val="normaltextrun"/>
          <w:rFonts w:eastAsia="Malgun Gothic" w:cstheme="majorBidi"/>
          <w:sz w:val="22"/>
          <w:szCs w:val="22"/>
          <w:lang w:val="fr-FR"/>
        </w:rPr>
        <w:t xml:space="preserve"> </w:t>
      </w:r>
      <w:r w:rsidR="00C53074">
        <w:rPr>
          <w:rStyle w:val="normaltextrun"/>
          <w:rFonts w:eastAsia="Malgun Gothic" w:cstheme="majorBidi"/>
          <w:sz w:val="22"/>
          <w:szCs w:val="22"/>
          <w:lang w:val="fr-FR"/>
        </w:rPr>
        <w:t xml:space="preserve">l’ISN </w:t>
      </w:r>
      <w:r w:rsidRPr="009E4D45">
        <w:rPr>
          <w:rStyle w:val="normaltextrun"/>
          <w:rFonts w:eastAsia="Malgun Gothic" w:cstheme="majorBidi"/>
          <w:sz w:val="22"/>
          <w:szCs w:val="22"/>
          <w:lang w:val="fr-FR"/>
        </w:rPr>
        <w:t>pour la recherche et le développement.</w:t>
      </w:r>
    </w:p>
    <w:p w14:paraId="111171F8" w14:textId="006338F0" w:rsidR="007001EB" w:rsidRPr="009E4D45" w:rsidRDefault="00C53074" w:rsidP="00D17A30">
      <w:pPr>
        <w:pStyle w:val="paragraph"/>
        <w:numPr>
          <w:ilvl w:val="0"/>
          <w:numId w:val="20"/>
        </w:numPr>
        <w:ind w:left="0" w:firstLine="0"/>
        <w:jc w:val="both"/>
        <w:rPr>
          <w:rFonts w:eastAsia="Malgun Gothic" w:cstheme="majorBidi"/>
          <w:sz w:val="22"/>
          <w:szCs w:val="22"/>
          <w:lang w:val="fr-FR"/>
        </w:rPr>
      </w:pPr>
      <w:r>
        <w:rPr>
          <w:rFonts w:cstheme="majorBidi"/>
          <w:sz w:val="22"/>
          <w:szCs w:val="22"/>
          <w:lang w:val="fr-FR"/>
        </w:rPr>
        <w:t>Dans l</w:t>
      </w:r>
      <w:r w:rsidR="009E4D45" w:rsidRPr="009E4D45">
        <w:rPr>
          <w:rFonts w:cstheme="majorBidi"/>
          <w:sz w:val="22"/>
          <w:szCs w:val="22"/>
          <w:lang w:val="fr-FR"/>
        </w:rPr>
        <w:t>a notification 2019-012, mentionnée au paragraphe 9 ci-dessus,</w:t>
      </w:r>
      <w:r>
        <w:rPr>
          <w:rFonts w:cstheme="majorBidi"/>
          <w:sz w:val="22"/>
          <w:szCs w:val="22"/>
          <w:lang w:val="fr-FR"/>
        </w:rPr>
        <w:t xml:space="preserve"> la Secrétaire exécutive </w:t>
      </w:r>
      <w:r w:rsidR="009E4D45" w:rsidRPr="009E4D45">
        <w:rPr>
          <w:rFonts w:cstheme="majorBidi"/>
          <w:sz w:val="22"/>
          <w:szCs w:val="22"/>
          <w:lang w:val="fr-FR"/>
        </w:rPr>
        <w:t xml:space="preserve">appelait à des manifestations d'intérêt pour entreprendre les études et incluait un calendrier provisoire pour la mise en œuvre des activités liées à </w:t>
      </w:r>
      <w:r w:rsidR="00AC4552">
        <w:rPr>
          <w:rFonts w:cstheme="majorBidi"/>
          <w:sz w:val="22"/>
          <w:szCs w:val="22"/>
          <w:lang w:val="fr-FR"/>
        </w:rPr>
        <w:t>l’ISN</w:t>
      </w:r>
      <w:r w:rsidR="00467220">
        <w:rPr>
          <w:rFonts w:cstheme="majorBidi"/>
          <w:sz w:val="22"/>
          <w:szCs w:val="22"/>
          <w:lang w:val="fr-FR"/>
        </w:rPr>
        <w:t>.</w:t>
      </w:r>
      <w:r w:rsidR="009E4D45" w:rsidRPr="009E4D45">
        <w:rPr>
          <w:rFonts w:cstheme="majorBidi"/>
          <w:sz w:val="22"/>
          <w:szCs w:val="22"/>
          <w:lang w:val="fr-FR"/>
        </w:rPr>
        <w:t xml:space="preserve"> En outre, l</w:t>
      </w:r>
      <w:r w:rsidR="00467220">
        <w:rPr>
          <w:rFonts w:cstheme="majorBidi"/>
          <w:sz w:val="22"/>
          <w:szCs w:val="22"/>
          <w:lang w:val="fr-FR"/>
        </w:rPr>
        <w:t xml:space="preserve">a </w:t>
      </w:r>
      <w:r w:rsidR="009E4D45" w:rsidRPr="009E4D45">
        <w:rPr>
          <w:rFonts w:cstheme="majorBidi"/>
          <w:sz w:val="22"/>
          <w:szCs w:val="22"/>
          <w:lang w:val="fr-FR"/>
        </w:rPr>
        <w:t>Secrétaire exécuti</w:t>
      </w:r>
      <w:r w:rsidR="00467220">
        <w:rPr>
          <w:rFonts w:cstheme="majorBidi"/>
          <w:sz w:val="22"/>
          <w:szCs w:val="22"/>
          <w:lang w:val="fr-FR"/>
        </w:rPr>
        <w:t>ve</w:t>
      </w:r>
      <w:r w:rsidR="009E4D45" w:rsidRPr="009E4D45">
        <w:rPr>
          <w:rFonts w:cstheme="majorBidi"/>
          <w:sz w:val="22"/>
          <w:szCs w:val="22"/>
          <w:lang w:val="fr-FR"/>
        </w:rPr>
        <w:t xml:space="preserve"> a</w:t>
      </w:r>
      <w:r w:rsidR="00AC4552">
        <w:rPr>
          <w:rFonts w:cstheme="majorBidi"/>
          <w:sz w:val="22"/>
          <w:szCs w:val="22"/>
          <w:lang w:val="fr-FR"/>
        </w:rPr>
        <w:t xml:space="preserve"> publié la notification 2019-054</w:t>
      </w:r>
      <w:r w:rsidR="009E4D45" w:rsidRPr="009E4D45">
        <w:rPr>
          <w:rFonts w:cstheme="majorBidi"/>
          <w:sz w:val="22"/>
          <w:szCs w:val="22"/>
          <w:lang w:val="fr-FR"/>
        </w:rPr>
        <w:t xml:space="preserve"> (19 juin 2019)</w:t>
      </w:r>
      <w:r w:rsidR="00C77126">
        <w:rPr>
          <w:rStyle w:val="FootnoteReference"/>
          <w:rFonts w:cstheme="majorBidi"/>
          <w:szCs w:val="22"/>
          <w:lang w:val="fr-FR"/>
        </w:rPr>
        <w:footnoteReference w:id="8"/>
      </w:r>
      <w:r w:rsidR="009E4D45" w:rsidRPr="009E4D45">
        <w:rPr>
          <w:rFonts w:cstheme="majorBidi"/>
          <w:sz w:val="22"/>
          <w:szCs w:val="22"/>
          <w:lang w:val="fr-FR"/>
        </w:rPr>
        <w:t xml:space="preserve"> invitant les Parties et les autres gouvernements à remplir </w:t>
      </w:r>
      <w:r w:rsidR="00461ACB">
        <w:rPr>
          <w:rFonts w:cstheme="majorBidi"/>
          <w:sz w:val="22"/>
          <w:szCs w:val="22"/>
          <w:lang w:val="fr-FR"/>
        </w:rPr>
        <w:t>un questionnaire</w:t>
      </w:r>
      <w:r w:rsidR="009E4D45" w:rsidRPr="009E4D45">
        <w:rPr>
          <w:rFonts w:cstheme="majorBidi"/>
          <w:sz w:val="22"/>
          <w:szCs w:val="22"/>
          <w:lang w:val="fr-FR"/>
        </w:rPr>
        <w:t xml:space="preserve"> sur les mesures nationales portant sur le partage des avantages découlant de </w:t>
      </w:r>
      <w:r w:rsidR="00AC4552">
        <w:rPr>
          <w:rFonts w:cstheme="majorBidi"/>
          <w:sz w:val="22"/>
          <w:szCs w:val="22"/>
          <w:lang w:val="fr-FR"/>
        </w:rPr>
        <w:t>l’ISN</w:t>
      </w:r>
      <w:r w:rsidR="009E4D45" w:rsidRPr="009E4D45">
        <w:rPr>
          <w:rFonts w:cstheme="majorBidi"/>
          <w:sz w:val="22"/>
          <w:szCs w:val="22"/>
          <w:lang w:val="fr-FR"/>
        </w:rPr>
        <w:t>, à titre de contribution à l'étude commandée sur ce sujet. Les quatre études, commandées grâce au soutien financier de l'Union européenne et de la Norvège, ont été ouvertes à l'examen par les pairs par notification 2019-094 (22 octobre 2019)</w:t>
      </w:r>
      <w:r w:rsidR="00C77126">
        <w:rPr>
          <w:rStyle w:val="FootnoteReference"/>
          <w:rFonts w:cstheme="majorBidi"/>
          <w:szCs w:val="22"/>
          <w:lang w:val="fr-FR"/>
        </w:rPr>
        <w:footnoteReference w:id="9"/>
      </w:r>
      <w:r w:rsidR="009E4D45" w:rsidRPr="009E4D45">
        <w:rPr>
          <w:rFonts w:cstheme="majorBidi"/>
          <w:sz w:val="22"/>
          <w:szCs w:val="22"/>
          <w:lang w:val="fr-FR"/>
        </w:rPr>
        <w:t xml:space="preserve">.  Les études ont ensuite été finalisées par les auteurs respectifs, en tenant compte des commentaires reçus dans le délai de </w:t>
      </w:r>
      <w:proofErr w:type="gramStart"/>
      <w:r w:rsidR="009E4D45" w:rsidRPr="009E4D45">
        <w:rPr>
          <w:rFonts w:cstheme="majorBidi"/>
          <w:sz w:val="22"/>
          <w:szCs w:val="22"/>
          <w:lang w:val="fr-FR"/>
        </w:rPr>
        <w:t>quat</w:t>
      </w:r>
      <w:r w:rsidR="009B3DCB">
        <w:rPr>
          <w:rFonts w:cstheme="majorBidi"/>
          <w:sz w:val="22"/>
          <w:szCs w:val="22"/>
          <w:lang w:val="fr-FR"/>
        </w:rPr>
        <w:t>re semaines alloué</w:t>
      </w:r>
      <w:proofErr w:type="gramEnd"/>
      <w:r w:rsidR="009E4D45" w:rsidRPr="009E4D45">
        <w:rPr>
          <w:rFonts w:cstheme="majorBidi"/>
          <w:sz w:val="22"/>
          <w:szCs w:val="22"/>
          <w:lang w:val="fr-FR"/>
        </w:rPr>
        <w:t xml:space="preserve"> pour chaque étude. Les commentaires de l'examen par les pairs sont disponibles en ligne</w:t>
      </w:r>
      <w:r w:rsidR="00C77126">
        <w:rPr>
          <w:rStyle w:val="FootnoteReference"/>
          <w:rFonts w:cstheme="majorBidi"/>
          <w:szCs w:val="22"/>
          <w:lang w:val="fr-FR"/>
        </w:rPr>
        <w:footnoteReference w:id="10"/>
      </w:r>
      <w:r w:rsidR="009E4D45" w:rsidRPr="009E4D45">
        <w:rPr>
          <w:rFonts w:cstheme="majorBidi"/>
          <w:sz w:val="22"/>
          <w:szCs w:val="22"/>
          <w:lang w:val="fr-FR"/>
        </w:rPr>
        <w:t>.</w:t>
      </w:r>
    </w:p>
    <w:p w14:paraId="4A177C0B" w14:textId="08DF4180" w:rsidR="00777B13" w:rsidRPr="009E4D45" w:rsidRDefault="001A3EED" w:rsidP="00D17A30">
      <w:pPr>
        <w:pStyle w:val="Heading2"/>
        <w:numPr>
          <w:ilvl w:val="0"/>
          <w:numId w:val="30"/>
        </w:numPr>
        <w:tabs>
          <w:tab w:val="clear" w:pos="720"/>
          <w:tab w:val="left" w:pos="1134"/>
        </w:tabs>
        <w:ind w:left="1134" w:hanging="567"/>
        <w:jc w:val="left"/>
        <w:rPr>
          <w:rStyle w:val="normaltextrun"/>
          <w:rFonts w:eastAsia="Malgun Gothic" w:cstheme="majorBidi"/>
          <w:lang w:val="fr-FR"/>
        </w:rPr>
      </w:pPr>
      <w:r w:rsidRPr="001A3EED">
        <w:rPr>
          <w:rStyle w:val="normaltextrun"/>
          <w:rFonts w:eastAsia="Malgun Gothic" w:cstheme="majorBidi"/>
          <w:szCs w:val="22"/>
          <w:lang w:val="fr-FR"/>
        </w:rPr>
        <w:t>Réunion du</w:t>
      </w:r>
      <w:r w:rsidR="00467220">
        <w:rPr>
          <w:rStyle w:val="normaltextrun"/>
          <w:rFonts w:eastAsia="Malgun Gothic" w:cstheme="majorBidi"/>
          <w:szCs w:val="22"/>
          <w:lang w:val="fr-FR"/>
        </w:rPr>
        <w:t xml:space="preserve"> </w:t>
      </w:r>
      <w:r w:rsidR="009B3DCB">
        <w:rPr>
          <w:rStyle w:val="normaltextrun"/>
          <w:rFonts w:eastAsia="Malgun Gothic" w:cstheme="majorBidi"/>
          <w:szCs w:val="22"/>
          <w:lang w:val="fr-FR"/>
        </w:rPr>
        <w:t>G</w:t>
      </w:r>
      <w:r w:rsidRPr="001A3EED">
        <w:rPr>
          <w:rStyle w:val="normaltextrun"/>
          <w:rFonts w:eastAsia="Malgun Gothic" w:cstheme="majorBidi"/>
          <w:szCs w:val="22"/>
          <w:lang w:val="fr-FR"/>
        </w:rPr>
        <w:t xml:space="preserve">roupe </w:t>
      </w:r>
      <w:r w:rsidR="008F12B1">
        <w:rPr>
          <w:rStyle w:val="normaltextrun"/>
          <w:rFonts w:eastAsia="Malgun Gothic" w:cstheme="majorBidi"/>
          <w:szCs w:val="22"/>
          <w:lang w:val="fr-FR"/>
        </w:rPr>
        <w:t xml:space="preserve">spécial </w:t>
      </w:r>
      <w:r w:rsidRPr="001A3EED">
        <w:rPr>
          <w:rStyle w:val="normaltextrun"/>
          <w:rFonts w:eastAsia="Malgun Gothic" w:cstheme="majorBidi"/>
          <w:szCs w:val="22"/>
          <w:lang w:val="fr-FR"/>
        </w:rPr>
        <w:t xml:space="preserve">d'experts techniques élargi sur l'information </w:t>
      </w:r>
      <w:r w:rsidR="008F12B1">
        <w:rPr>
          <w:rStyle w:val="normaltextrun"/>
          <w:rFonts w:eastAsia="Malgun Gothic" w:cstheme="majorBidi"/>
          <w:szCs w:val="22"/>
          <w:lang w:val="fr-FR"/>
        </w:rPr>
        <w:t>de</w:t>
      </w:r>
      <w:r w:rsidRPr="001A3EED">
        <w:rPr>
          <w:rStyle w:val="normaltextrun"/>
          <w:rFonts w:eastAsia="Malgun Gothic" w:cstheme="majorBidi"/>
          <w:szCs w:val="22"/>
          <w:lang w:val="fr-FR"/>
        </w:rPr>
        <w:t xml:space="preserve"> séquen</w:t>
      </w:r>
      <w:r w:rsidR="008F12B1">
        <w:rPr>
          <w:rStyle w:val="normaltextrun"/>
          <w:rFonts w:eastAsia="Malgun Gothic" w:cstheme="majorBidi"/>
          <w:szCs w:val="22"/>
          <w:lang w:val="fr-FR"/>
        </w:rPr>
        <w:t>çage</w:t>
      </w:r>
      <w:r w:rsidRPr="001A3EED">
        <w:rPr>
          <w:rStyle w:val="normaltextrun"/>
          <w:rFonts w:eastAsia="Malgun Gothic" w:cstheme="majorBidi"/>
          <w:szCs w:val="22"/>
          <w:lang w:val="fr-FR"/>
        </w:rPr>
        <w:t xml:space="preserve"> numérique </w:t>
      </w:r>
      <w:r w:rsidR="008F12B1">
        <w:rPr>
          <w:rStyle w:val="normaltextrun"/>
          <w:rFonts w:eastAsia="Malgun Gothic" w:cstheme="majorBidi"/>
          <w:szCs w:val="22"/>
          <w:lang w:val="fr-FR"/>
        </w:rPr>
        <w:t>sur les</w:t>
      </w:r>
      <w:r w:rsidRPr="001A3EED">
        <w:rPr>
          <w:rStyle w:val="normaltextrun"/>
          <w:rFonts w:eastAsia="Malgun Gothic" w:cstheme="majorBidi"/>
          <w:szCs w:val="22"/>
          <w:lang w:val="fr-FR"/>
        </w:rPr>
        <w:t xml:space="preserve"> ressources génétiques</w:t>
      </w:r>
    </w:p>
    <w:p w14:paraId="15BC691C" w14:textId="1A72A348" w:rsidR="007001EB" w:rsidRPr="009E4D45" w:rsidRDefault="001A3EED" w:rsidP="00D17A30">
      <w:pPr>
        <w:pStyle w:val="paragraph"/>
        <w:numPr>
          <w:ilvl w:val="0"/>
          <w:numId w:val="20"/>
        </w:numPr>
        <w:spacing w:before="120" w:beforeAutospacing="0" w:after="120" w:afterAutospacing="0"/>
        <w:ind w:left="0" w:firstLine="0"/>
        <w:jc w:val="both"/>
        <w:textAlignment w:val="baseline"/>
        <w:rPr>
          <w:rFonts w:eastAsiaTheme="majorBidi" w:cstheme="majorBidi"/>
          <w:sz w:val="22"/>
          <w:szCs w:val="22"/>
          <w:lang w:val="fr-FR"/>
        </w:rPr>
      </w:pPr>
      <w:r w:rsidRPr="001A3EED">
        <w:rPr>
          <w:rFonts w:eastAsia="Malgun Gothic" w:cstheme="majorBidi"/>
          <w:sz w:val="22"/>
          <w:szCs w:val="22"/>
          <w:lang w:val="fr-FR"/>
        </w:rPr>
        <w:t>Par la notification 2019-053 (12 juin 2019</w:t>
      </w:r>
      <w:r w:rsidR="00AC4552">
        <w:rPr>
          <w:rFonts w:eastAsia="Malgun Gothic" w:cstheme="majorBidi"/>
          <w:sz w:val="22"/>
          <w:szCs w:val="22"/>
          <w:lang w:val="fr-FR"/>
        </w:rPr>
        <w:t>)</w:t>
      </w:r>
      <w:r w:rsidR="00C77126">
        <w:rPr>
          <w:rStyle w:val="FootnoteReference"/>
          <w:rFonts w:eastAsia="Malgun Gothic" w:cstheme="majorBidi"/>
          <w:szCs w:val="22"/>
          <w:lang w:val="fr-FR"/>
        </w:rPr>
        <w:footnoteReference w:id="11"/>
      </w:r>
      <w:r w:rsidRPr="001A3EED">
        <w:rPr>
          <w:rFonts w:eastAsia="Malgun Gothic" w:cstheme="majorBidi"/>
          <w:sz w:val="22"/>
          <w:szCs w:val="22"/>
          <w:lang w:val="fr-FR"/>
        </w:rPr>
        <w:t>, l</w:t>
      </w:r>
      <w:r w:rsidR="00636355">
        <w:rPr>
          <w:rFonts w:eastAsia="Malgun Gothic" w:cstheme="majorBidi"/>
          <w:sz w:val="22"/>
          <w:szCs w:val="22"/>
          <w:lang w:val="fr-FR"/>
        </w:rPr>
        <w:t xml:space="preserve">a </w:t>
      </w:r>
      <w:r w:rsidRPr="001A3EED">
        <w:rPr>
          <w:rFonts w:eastAsia="Malgun Gothic" w:cstheme="majorBidi"/>
          <w:sz w:val="22"/>
          <w:szCs w:val="22"/>
          <w:lang w:val="fr-FR"/>
        </w:rPr>
        <w:t>Secrétaire exécuti</w:t>
      </w:r>
      <w:r w:rsidR="00636355">
        <w:rPr>
          <w:rFonts w:eastAsia="Malgun Gothic" w:cstheme="majorBidi"/>
          <w:sz w:val="22"/>
          <w:szCs w:val="22"/>
          <w:lang w:val="fr-FR"/>
        </w:rPr>
        <w:t>ve</w:t>
      </w:r>
      <w:r w:rsidRPr="001A3EED">
        <w:rPr>
          <w:rFonts w:eastAsia="Malgun Gothic" w:cstheme="majorBidi"/>
          <w:sz w:val="22"/>
          <w:szCs w:val="22"/>
          <w:lang w:val="fr-FR"/>
        </w:rPr>
        <w:t xml:space="preserve"> a invité à présenter des </w:t>
      </w:r>
      <w:r w:rsidR="009929BD">
        <w:rPr>
          <w:rFonts w:eastAsia="Malgun Gothic" w:cstheme="majorBidi"/>
          <w:sz w:val="22"/>
          <w:szCs w:val="22"/>
          <w:lang w:val="fr-FR"/>
        </w:rPr>
        <w:t>c</w:t>
      </w:r>
      <w:r w:rsidRPr="001A3EED">
        <w:rPr>
          <w:rFonts w:eastAsia="Malgun Gothic" w:cstheme="majorBidi"/>
          <w:sz w:val="22"/>
          <w:szCs w:val="22"/>
          <w:lang w:val="fr-FR"/>
        </w:rPr>
        <w:t xml:space="preserve">andidatures au </w:t>
      </w:r>
      <w:r w:rsidR="009B3DCB">
        <w:rPr>
          <w:rFonts w:eastAsia="Malgun Gothic" w:cstheme="majorBidi"/>
          <w:sz w:val="22"/>
          <w:szCs w:val="22"/>
          <w:lang w:val="fr-FR"/>
        </w:rPr>
        <w:t>G</w:t>
      </w:r>
      <w:r w:rsidRPr="001A3EED">
        <w:rPr>
          <w:rFonts w:eastAsia="Malgun Gothic" w:cstheme="majorBidi"/>
          <w:sz w:val="22"/>
          <w:szCs w:val="22"/>
          <w:lang w:val="fr-FR"/>
        </w:rPr>
        <w:t>roupe spécial d'experts techniques</w:t>
      </w:r>
      <w:r w:rsidR="00467220">
        <w:rPr>
          <w:rFonts w:eastAsia="Malgun Gothic" w:cstheme="majorBidi"/>
          <w:sz w:val="22"/>
          <w:szCs w:val="22"/>
          <w:lang w:val="fr-FR"/>
        </w:rPr>
        <w:t xml:space="preserve"> </w:t>
      </w:r>
      <w:r w:rsidRPr="001A3EED">
        <w:rPr>
          <w:rFonts w:eastAsia="Malgun Gothic" w:cstheme="majorBidi"/>
          <w:sz w:val="22"/>
          <w:szCs w:val="22"/>
          <w:lang w:val="fr-FR"/>
        </w:rPr>
        <w:t xml:space="preserve">sur </w:t>
      </w:r>
      <w:r w:rsidR="00AC4552">
        <w:rPr>
          <w:rFonts w:eastAsia="Malgun Gothic" w:cstheme="majorBidi"/>
          <w:sz w:val="22"/>
          <w:szCs w:val="22"/>
          <w:lang w:val="fr-FR"/>
        </w:rPr>
        <w:t>l’ISN</w:t>
      </w:r>
      <w:r w:rsidRPr="001A3EED">
        <w:rPr>
          <w:rFonts w:eastAsia="Malgun Gothic" w:cstheme="majorBidi"/>
          <w:sz w:val="22"/>
          <w:szCs w:val="22"/>
          <w:lang w:val="fr-FR"/>
        </w:rPr>
        <w:t xml:space="preserve"> </w:t>
      </w:r>
      <w:r w:rsidR="008F12B1">
        <w:rPr>
          <w:rFonts w:eastAsia="Malgun Gothic" w:cstheme="majorBidi"/>
          <w:sz w:val="22"/>
          <w:szCs w:val="22"/>
          <w:lang w:val="fr-FR"/>
        </w:rPr>
        <w:t xml:space="preserve">sur les </w:t>
      </w:r>
      <w:r w:rsidRPr="001A3EED">
        <w:rPr>
          <w:rFonts w:eastAsia="Malgun Gothic" w:cstheme="majorBidi"/>
          <w:sz w:val="22"/>
          <w:szCs w:val="22"/>
          <w:lang w:val="fr-FR"/>
        </w:rPr>
        <w:t>ressources génétiques. La composition du</w:t>
      </w:r>
      <w:r w:rsidR="008F12B1">
        <w:rPr>
          <w:rFonts w:eastAsia="Malgun Gothic" w:cstheme="majorBidi"/>
          <w:sz w:val="22"/>
          <w:szCs w:val="22"/>
          <w:lang w:val="fr-FR"/>
        </w:rPr>
        <w:t xml:space="preserve"> </w:t>
      </w:r>
      <w:r w:rsidR="00AC4552">
        <w:rPr>
          <w:rFonts w:eastAsia="Malgun Gothic" w:cstheme="majorBidi"/>
          <w:sz w:val="22"/>
          <w:szCs w:val="22"/>
          <w:lang w:val="fr-FR"/>
        </w:rPr>
        <w:t>G</w:t>
      </w:r>
      <w:r w:rsidR="008F12B1">
        <w:rPr>
          <w:rFonts w:eastAsia="Malgun Gothic" w:cstheme="majorBidi"/>
          <w:sz w:val="22"/>
          <w:szCs w:val="22"/>
          <w:lang w:val="fr-FR"/>
        </w:rPr>
        <w:t>roupe spécial d’experts techniques</w:t>
      </w:r>
      <w:r w:rsidRPr="001A3EED">
        <w:rPr>
          <w:rFonts w:eastAsia="Malgun Gothic" w:cstheme="majorBidi"/>
          <w:sz w:val="22"/>
          <w:szCs w:val="22"/>
          <w:lang w:val="fr-FR"/>
        </w:rPr>
        <w:t xml:space="preserve"> a été annoncée dans la notification 2019-069 (28 octobre 2019)</w:t>
      </w:r>
      <w:r w:rsidR="00C77126">
        <w:rPr>
          <w:rStyle w:val="FootnoteReference"/>
          <w:rFonts w:eastAsia="Malgun Gothic" w:cstheme="majorBidi"/>
          <w:szCs w:val="22"/>
          <w:lang w:val="fr-FR"/>
        </w:rPr>
        <w:footnoteReference w:id="12"/>
      </w:r>
      <w:r w:rsidRPr="001A3EED">
        <w:rPr>
          <w:rFonts w:eastAsia="Malgun Gothic" w:cstheme="majorBidi"/>
          <w:sz w:val="22"/>
          <w:szCs w:val="22"/>
          <w:lang w:val="fr-FR"/>
        </w:rPr>
        <w:t>.</w:t>
      </w:r>
    </w:p>
    <w:p w14:paraId="200A829A" w14:textId="75465D7B" w:rsidR="00777B13" w:rsidRPr="001A3EED" w:rsidRDefault="001A3EED" w:rsidP="00D17A30">
      <w:pPr>
        <w:pStyle w:val="paragraph"/>
        <w:numPr>
          <w:ilvl w:val="0"/>
          <w:numId w:val="20"/>
        </w:numPr>
        <w:spacing w:before="120" w:beforeAutospacing="0" w:after="120" w:afterAutospacing="0"/>
        <w:ind w:left="0" w:firstLine="0"/>
        <w:jc w:val="both"/>
        <w:rPr>
          <w:rFonts w:eastAsia="Malgun Gothic" w:cstheme="majorBidi"/>
          <w:sz w:val="22"/>
          <w:szCs w:val="22"/>
          <w:lang w:val="fr-FR"/>
        </w:rPr>
      </w:pPr>
      <w:r w:rsidRPr="001A3EED">
        <w:rPr>
          <w:rFonts w:eastAsia="Malgun Gothic" w:cstheme="majorBidi"/>
          <w:sz w:val="22"/>
          <w:szCs w:val="22"/>
          <w:lang w:val="fr-FR"/>
        </w:rPr>
        <w:t xml:space="preserve">En raison des circonstances découlant de la pandémie COVID-19, le </w:t>
      </w:r>
      <w:r w:rsidR="009B3DCB">
        <w:rPr>
          <w:rFonts w:eastAsia="Malgun Gothic" w:cstheme="majorBidi"/>
          <w:sz w:val="22"/>
          <w:szCs w:val="22"/>
          <w:lang w:val="fr-FR"/>
        </w:rPr>
        <w:t>G</w:t>
      </w:r>
      <w:r w:rsidR="008F12B1">
        <w:rPr>
          <w:rFonts w:eastAsia="Malgun Gothic" w:cstheme="majorBidi"/>
          <w:sz w:val="22"/>
          <w:szCs w:val="22"/>
          <w:lang w:val="fr-FR"/>
        </w:rPr>
        <w:t>roupe spécial d’experts techniques</w:t>
      </w:r>
      <w:r w:rsidRPr="001A3EED">
        <w:rPr>
          <w:rFonts w:eastAsia="Malgun Gothic" w:cstheme="majorBidi"/>
          <w:sz w:val="22"/>
          <w:szCs w:val="22"/>
          <w:lang w:val="fr-FR"/>
        </w:rPr>
        <w:t xml:space="preserve"> s'est réuni virtuellement du 17 au 20 mars 2020, avec le soutien financier de l'Union européenne.</w:t>
      </w:r>
    </w:p>
    <w:p w14:paraId="70686B99" w14:textId="3DFCF1B3" w:rsidR="00935399" w:rsidRPr="009E4D45" w:rsidRDefault="001A3EED" w:rsidP="00D17A30">
      <w:pPr>
        <w:pStyle w:val="paragraph"/>
        <w:numPr>
          <w:ilvl w:val="0"/>
          <w:numId w:val="20"/>
        </w:numPr>
        <w:spacing w:before="120" w:beforeAutospacing="0" w:after="120" w:afterAutospacing="0"/>
        <w:ind w:left="0" w:firstLine="0"/>
        <w:jc w:val="both"/>
        <w:textAlignment w:val="baseline"/>
        <w:rPr>
          <w:rFonts w:eastAsia="Malgun Gothic" w:cstheme="majorBidi"/>
          <w:sz w:val="22"/>
          <w:szCs w:val="22"/>
          <w:lang w:val="fr-FR"/>
        </w:rPr>
      </w:pPr>
      <w:r w:rsidRPr="001A3EED">
        <w:rPr>
          <w:rFonts w:cstheme="majorBidi"/>
          <w:sz w:val="22"/>
          <w:szCs w:val="22"/>
          <w:lang w:val="fr-FR"/>
        </w:rPr>
        <w:lastRenderedPageBreak/>
        <w:t xml:space="preserve">Comme indiqué </w:t>
      </w:r>
      <w:r w:rsidR="009B3DCB">
        <w:rPr>
          <w:rFonts w:cstheme="majorBidi"/>
          <w:sz w:val="22"/>
          <w:szCs w:val="22"/>
          <w:lang w:val="fr-FR"/>
        </w:rPr>
        <w:t xml:space="preserve">au paragraphe 11 de </w:t>
      </w:r>
      <w:r w:rsidRPr="001A3EED">
        <w:rPr>
          <w:rFonts w:cstheme="majorBidi"/>
          <w:sz w:val="22"/>
          <w:szCs w:val="22"/>
          <w:lang w:val="fr-FR"/>
        </w:rPr>
        <w:t xml:space="preserve">la décision 14/20, le </w:t>
      </w:r>
      <w:r w:rsidR="009B3DCB">
        <w:rPr>
          <w:rFonts w:cstheme="majorBidi"/>
          <w:sz w:val="22"/>
          <w:szCs w:val="22"/>
          <w:lang w:val="fr-FR"/>
        </w:rPr>
        <w:t>G</w:t>
      </w:r>
      <w:r w:rsidR="008F12B1">
        <w:rPr>
          <w:rFonts w:cstheme="majorBidi"/>
          <w:sz w:val="22"/>
          <w:szCs w:val="22"/>
          <w:lang w:val="fr-FR"/>
        </w:rPr>
        <w:t>roupe spécial d’experts techniques</w:t>
      </w:r>
      <w:r w:rsidRPr="001A3EED">
        <w:rPr>
          <w:rFonts w:cstheme="majorBidi"/>
          <w:sz w:val="22"/>
          <w:szCs w:val="22"/>
          <w:lang w:val="fr-FR"/>
        </w:rPr>
        <w:t xml:space="preserve"> devait :</w:t>
      </w:r>
    </w:p>
    <w:p w14:paraId="0328FF7C" w14:textId="3C37061F" w:rsidR="00777B13" w:rsidRPr="001A3EED" w:rsidRDefault="001A3EED"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fr-FR"/>
        </w:rPr>
      </w:pPr>
      <w:r w:rsidRPr="001A3EED">
        <w:rPr>
          <w:rFonts w:cstheme="majorBidi"/>
          <w:sz w:val="22"/>
          <w:szCs w:val="22"/>
          <w:lang w:val="fr-FR"/>
        </w:rPr>
        <w:t>Examiner la compilation et la synthèse des points de vue</w:t>
      </w:r>
      <w:r w:rsidR="00CA5AA0">
        <w:rPr>
          <w:rFonts w:cstheme="majorBidi"/>
          <w:sz w:val="22"/>
          <w:szCs w:val="22"/>
          <w:lang w:val="fr-FR"/>
        </w:rPr>
        <w:t>,</w:t>
      </w:r>
      <w:r w:rsidRPr="001A3EED">
        <w:rPr>
          <w:rFonts w:cstheme="majorBidi"/>
          <w:sz w:val="22"/>
          <w:szCs w:val="22"/>
          <w:lang w:val="fr-FR"/>
        </w:rPr>
        <w:t xml:space="preserve"> des informations </w:t>
      </w:r>
      <w:r w:rsidR="00CA5AA0">
        <w:rPr>
          <w:rFonts w:cstheme="majorBidi"/>
          <w:sz w:val="22"/>
          <w:szCs w:val="22"/>
          <w:lang w:val="fr-FR"/>
        </w:rPr>
        <w:t>et</w:t>
      </w:r>
      <w:r w:rsidRPr="001A3EED">
        <w:rPr>
          <w:rFonts w:cstheme="majorBidi"/>
          <w:sz w:val="22"/>
          <w:szCs w:val="22"/>
          <w:lang w:val="fr-FR"/>
        </w:rPr>
        <w:t xml:space="preserve"> les études examinées par des pairs mentionnées aux paragraphes 9 et 10 de la décision ;</w:t>
      </w:r>
    </w:p>
    <w:p w14:paraId="56DDD98A" w14:textId="276CCAEC" w:rsidR="00777B13" w:rsidRPr="009E4D45" w:rsidRDefault="001A3EED"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fr-FR"/>
        </w:rPr>
      </w:pPr>
      <w:r w:rsidRPr="001A3EED">
        <w:rPr>
          <w:rFonts w:cstheme="majorBidi"/>
          <w:sz w:val="22"/>
          <w:szCs w:val="22"/>
          <w:lang w:val="fr-FR"/>
        </w:rPr>
        <w:t xml:space="preserve">Élaborer des options pour les </w:t>
      </w:r>
      <w:r w:rsidR="00CA5AA0">
        <w:rPr>
          <w:rFonts w:cstheme="majorBidi"/>
          <w:sz w:val="22"/>
          <w:szCs w:val="22"/>
          <w:lang w:val="fr-FR"/>
        </w:rPr>
        <w:t>conditions</w:t>
      </w:r>
      <w:r w:rsidRPr="001A3EED">
        <w:rPr>
          <w:rFonts w:cstheme="majorBidi"/>
          <w:sz w:val="22"/>
          <w:szCs w:val="22"/>
          <w:lang w:val="fr-FR"/>
        </w:rPr>
        <w:t xml:space="preserve"> opérationnel</w:t>
      </w:r>
      <w:r w:rsidR="00CA5AA0">
        <w:rPr>
          <w:rFonts w:cstheme="majorBidi"/>
          <w:sz w:val="22"/>
          <w:szCs w:val="22"/>
          <w:lang w:val="fr-FR"/>
        </w:rPr>
        <w:t>le</w:t>
      </w:r>
      <w:r w:rsidRPr="001A3EED">
        <w:rPr>
          <w:rFonts w:cstheme="majorBidi"/>
          <w:sz w:val="22"/>
          <w:szCs w:val="22"/>
          <w:lang w:val="fr-FR"/>
        </w:rPr>
        <w:t xml:space="preserve">s et leurs implications afin d'apporter une clarté conceptuelle sur </w:t>
      </w:r>
      <w:r w:rsidR="008F12B1">
        <w:rPr>
          <w:rFonts w:cstheme="majorBidi"/>
          <w:sz w:val="22"/>
          <w:szCs w:val="22"/>
          <w:lang w:val="fr-FR"/>
        </w:rPr>
        <w:t>l’</w:t>
      </w:r>
      <w:r w:rsidR="009929BD">
        <w:rPr>
          <w:rFonts w:cstheme="majorBidi"/>
          <w:sz w:val="22"/>
          <w:szCs w:val="22"/>
          <w:lang w:val="fr-FR"/>
        </w:rPr>
        <w:t>information de séquençage numérique</w:t>
      </w:r>
      <w:r w:rsidRPr="001A3EED">
        <w:rPr>
          <w:rFonts w:cstheme="majorBidi"/>
          <w:sz w:val="22"/>
          <w:szCs w:val="22"/>
          <w:lang w:val="fr-FR"/>
        </w:rPr>
        <w:t xml:space="preserve">, en tenant compte en particulier de l'étude sur le concept et </w:t>
      </w:r>
      <w:r w:rsidR="00CA5AA0">
        <w:rPr>
          <w:rFonts w:cstheme="majorBidi"/>
          <w:sz w:val="22"/>
          <w:szCs w:val="22"/>
          <w:lang w:val="fr-FR"/>
        </w:rPr>
        <w:t>l’étendue</w:t>
      </w:r>
      <w:r w:rsidRPr="001A3EED">
        <w:rPr>
          <w:rFonts w:cstheme="majorBidi"/>
          <w:sz w:val="22"/>
          <w:szCs w:val="22"/>
          <w:lang w:val="fr-FR"/>
        </w:rPr>
        <w:t xml:space="preserve"> de</w:t>
      </w:r>
      <w:r w:rsidR="008F12B1">
        <w:rPr>
          <w:rFonts w:cstheme="majorBidi"/>
          <w:sz w:val="22"/>
          <w:szCs w:val="22"/>
          <w:lang w:val="fr-FR"/>
        </w:rPr>
        <w:t xml:space="preserve"> l’</w:t>
      </w:r>
      <w:r w:rsidR="009929BD">
        <w:rPr>
          <w:rFonts w:cstheme="majorBidi"/>
          <w:sz w:val="22"/>
          <w:szCs w:val="22"/>
          <w:lang w:val="fr-FR"/>
        </w:rPr>
        <w:t xml:space="preserve">information de séquençage numérique </w:t>
      </w:r>
      <w:r w:rsidRPr="001A3EED">
        <w:rPr>
          <w:rFonts w:cstheme="majorBidi"/>
          <w:sz w:val="22"/>
          <w:szCs w:val="22"/>
          <w:lang w:val="fr-FR"/>
        </w:rPr>
        <w:t xml:space="preserve">et de la manière dont </w:t>
      </w:r>
      <w:r w:rsidR="000C7268">
        <w:rPr>
          <w:rFonts w:cstheme="majorBidi"/>
          <w:sz w:val="22"/>
          <w:szCs w:val="22"/>
          <w:lang w:val="fr-FR"/>
        </w:rPr>
        <w:t>l’</w:t>
      </w:r>
      <w:r w:rsidR="009929BD">
        <w:rPr>
          <w:rFonts w:cstheme="majorBidi"/>
          <w:sz w:val="22"/>
          <w:szCs w:val="22"/>
          <w:lang w:val="fr-FR"/>
        </w:rPr>
        <w:t>information</w:t>
      </w:r>
      <w:r w:rsidR="000C7268">
        <w:rPr>
          <w:rFonts w:cstheme="majorBidi"/>
          <w:sz w:val="22"/>
          <w:szCs w:val="22"/>
          <w:lang w:val="fr-FR"/>
        </w:rPr>
        <w:t xml:space="preserve"> est déjà utilisée</w:t>
      </w:r>
      <w:r w:rsidRPr="001A3EED">
        <w:rPr>
          <w:rFonts w:cstheme="majorBidi"/>
          <w:sz w:val="22"/>
          <w:szCs w:val="22"/>
          <w:lang w:val="fr-FR"/>
        </w:rPr>
        <w:t xml:space="preserve"> en </w:t>
      </w:r>
      <w:r w:rsidR="000C7268">
        <w:rPr>
          <w:rFonts w:cstheme="majorBidi"/>
          <w:sz w:val="22"/>
          <w:szCs w:val="22"/>
          <w:lang w:val="fr-FR"/>
        </w:rPr>
        <w:t>prenant appui</w:t>
      </w:r>
      <w:r w:rsidRPr="001A3EED">
        <w:rPr>
          <w:rFonts w:cstheme="majorBidi"/>
          <w:sz w:val="22"/>
          <w:szCs w:val="22"/>
          <w:lang w:val="fr-FR"/>
        </w:rPr>
        <w:t xml:space="preserve"> sur l'étude </w:t>
      </w:r>
      <w:r w:rsidR="000C7268">
        <w:rPr>
          <w:rFonts w:cstheme="majorBidi"/>
          <w:sz w:val="22"/>
          <w:szCs w:val="22"/>
          <w:lang w:val="fr-FR"/>
        </w:rPr>
        <w:t>exploratoire existante</w:t>
      </w:r>
      <w:r w:rsidRPr="001A3EED">
        <w:rPr>
          <w:rFonts w:cstheme="majorBidi"/>
          <w:sz w:val="22"/>
          <w:szCs w:val="22"/>
          <w:lang w:val="fr-FR"/>
        </w:rPr>
        <w:t xml:space="preserve"> ;</w:t>
      </w:r>
    </w:p>
    <w:p w14:paraId="17EF6465" w14:textId="58190407" w:rsidR="00777B13" w:rsidRPr="009E4D45" w:rsidRDefault="001A3EED"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fr-FR"/>
        </w:rPr>
      </w:pPr>
      <w:r w:rsidRPr="001A3EED">
        <w:rPr>
          <w:rFonts w:cstheme="majorBidi"/>
          <w:sz w:val="22"/>
          <w:szCs w:val="22"/>
          <w:lang w:val="fr-FR"/>
        </w:rPr>
        <w:t>Identifier les domaines clés pour le renforcement des capacités.</w:t>
      </w:r>
    </w:p>
    <w:p w14:paraId="25298437" w14:textId="3A98AFF5" w:rsidR="00F16A05" w:rsidRPr="009E4D45" w:rsidRDefault="001A3EED" w:rsidP="00D17A30">
      <w:pPr>
        <w:pStyle w:val="paragraph"/>
        <w:numPr>
          <w:ilvl w:val="0"/>
          <w:numId w:val="20"/>
        </w:numPr>
        <w:spacing w:before="120" w:beforeAutospacing="0" w:after="120" w:afterAutospacing="0"/>
        <w:ind w:left="0" w:firstLine="0"/>
        <w:jc w:val="both"/>
        <w:textAlignment w:val="baseline"/>
        <w:rPr>
          <w:rFonts w:eastAsia="Malgun Gothic"/>
          <w:sz w:val="22"/>
          <w:szCs w:val="22"/>
          <w:lang w:val="fr-FR"/>
        </w:rPr>
      </w:pPr>
      <w:r w:rsidRPr="001A3EED">
        <w:rPr>
          <w:rFonts w:eastAsia="Malgun Gothic"/>
          <w:sz w:val="22"/>
          <w:szCs w:val="22"/>
          <w:lang w:val="fr-FR"/>
        </w:rPr>
        <w:t xml:space="preserve">Le </w:t>
      </w:r>
      <w:r w:rsidR="00A65B75">
        <w:rPr>
          <w:rFonts w:eastAsia="Malgun Gothic"/>
          <w:sz w:val="22"/>
          <w:szCs w:val="22"/>
          <w:lang w:val="fr-FR"/>
        </w:rPr>
        <w:t>G</w:t>
      </w:r>
      <w:r w:rsidR="008F12B1">
        <w:rPr>
          <w:rFonts w:eastAsia="Malgun Gothic"/>
          <w:sz w:val="22"/>
          <w:szCs w:val="22"/>
          <w:lang w:val="fr-FR"/>
        </w:rPr>
        <w:t>roupe spécial d’experts techniques</w:t>
      </w:r>
      <w:r w:rsidRPr="001A3EED">
        <w:rPr>
          <w:rFonts w:eastAsia="Malgun Gothic"/>
          <w:sz w:val="22"/>
          <w:szCs w:val="22"/>
          <w:lang w:val="fr-FR"/>
        </w:rPr>
        <w:t xml:space="preserve"> a travaillé sur la base des documents suivants qui sont disponibles sur la page de réunion du </w:t>
      </w:r>
      <w:r w:rsidR="00A65B75">
        <w:rPr>
          <w:rFonts w:eastAsia="Malgun Gothic"/>
          <w:sz w:val="22"/>
          <w:szCs w:val="22"/>
          <w:lang w:val="fr-FR"/>
        </w:rPr>
        <w:t>G</w:t>
      </w:r>
      <w:r w:rsidR="008F12B1">
        <w:rPr>
          <w:rFonts w:eastAsia="Malgun Gothic"/>
          <w:sz w:val="22"/>
          <w:szCs w:val="22"/>
          <w:lang w:val="fr-FR"/>
        </w:rPr>
        <w:t>roupe spécial d’experts techniques</w:t>
      </w:r>
      <w:r w:rsidRPr="001A3EED">
        <w:rPr>
          <w:rFonts w:eastAsia="Malgun Gothic"/>
          <w:sz w:val="22"/>
          <w:szCs w:val="22"/>
          <w:lang w:val="fr-FR"/>
        </w:rPr>
        <w:t xml:space="preserve"> :</w:t>
      </w:r>
    </w:p>
    <w:p w14:paraId="0EC9491A" w14:textId="4D0039BB" w:rsidR="00F16A05" w:rsidRPr="003E7B31" w:rsidRDefault="003E7B31" w:rsidP="00D17A30">
      <w:pPr>
        <w:pStyle w:val="paragraph"/>
        <w:numPr>
          <w:ilvl w:val="1"/>
          <w:numId w:val="20"/>
        </w:numPr>
        <w:spacing w:before="120" w:beforeAutospacing="0" w:after="120" w:afterAutospacing="0"/>
        <w:ind w:left="0" w:firstLine="709"/>
        <w:jc w:val="both"/>
        <w:textAlignment w:val="baseline"/>
        <w:rPr>
          <w:rFonts w:eastAsiaTheme="majorBidi" w:cstheme="majorBidi"/>
          <w:sz w:val="22"/>
          <w:szCs w:val="22"/>
          <w:lang w:val="fr-FR"/>
        </w:rPr>
      </w:pPr>
      <w:r w:rsidRPr="003E7B31">
        <w:rPr>
          <w:rFonts w:cstheme="majorBidi"/>
          <w:sz w:val="22"/>
          <w:szCs w:val="22"/>
          <w:lang w:val="fr-FR"/>
        </w:rPr>
        <w:t xml:space="preserve">La synthèse des </w:t>
      </w:r>
      <w:r w:rsidR="008C379A">
        <w:rPr>
          <w:rFonts w:cstheme="majorBidi"/>
          <w:sz w:val="22"/>
          <w:szCs w:val="22"/>
          <w:lang w:val="fr-FR"/>
        </w:rPr>
        <w:t xml:space="preserve">points de </w:t>
      </w:r>
      <w:r w:rsidR="00AF76D3">
        <w:rPr>
          <w:rFonts w:cstheme="majorBidi"/>
          <w:sz w:val="22"/>
          <w:szCs w:val="22"/>
          <w:lang w:val="fr-FR"/>
        </w:rPr>
        <w:t>vue exprimés</w:t>
      </w:r>
      <w:r w:rsidRPr="003E7B31">
        <w:rPr>
          <w:rFonts w:cstheme="majorBidi"/>
          <w:sz w:val="22"/>
          <w:szCs w:val="22"/>
          <w:lang w:val="fr-FR"/>
        </w:rPr>
        <w:t xml:space="preserve"> et des informations</w:t>
      </w:r>
      <w:r w:rsidR="00A95E55">
        <w:rPr>
          <w:rFonts w:cstheme="majorBidi"/>
          <w:sz w:val="22"/>
          <w:szCs w:val="22"/>
          <w:lang w:val="fr-FR"/>
        </w:rPr>
        <w:t xml:space="preserve"> (CBD/DSI/AHTEG/2020/1/2)</w:t>
      </w:r>
      <w:r w:rsidR="719CC7A8" w:rsidRPr="003E7B31">
        <w:rPr>
          <w:rFonts w:cstheme="majorBidi"/>
          <w:sz w:val="22"/>
          <w:szCs w:val="22"/>
          <w:lang w:val="fr-FR"/>
        </w:rPr>
        <w:t xml:space="preserve">, </w:t>
      </w:r>
      <w:r w:rsidRPr="003E7B31">
        <w:rPr>
          <w:rFonts w:cstheme="majorBidi"/>
          <w:sz w:val="22"/>
          <w:szCs w:val="22"/>
          <w:lang w:val="fr-FR"/>
        </w:rPr>
        <w:t>ainsi qu’une compilation des opinions et des informations re</w:t>
      </w:r>
      <w:r>
        <w:rPr>
          <w:rFonts w:cstheme="majorBidi"/>
          <w:sz w:val="22"/>
          <w:szCs w:val="22"/>
          <w:lang w:val="fr-FR"/>
        </w:rPr>
        <w:t xml:space="preserve">çues par le Secrétariat </w:t>
      </w:r>
      <w:r w:rsidR="00A95E55">
        <w:rPr>
          <w:rFonts w:cstheme="majorBidi"/>
          <w:sz w:val="22"/>
          <w:szCs w:val="22"/>
          <w:lang w:val="fr-FR"/>
        </w:rPr>
        <w:t>(CBD/DSI/AHTEG/2020/1/INF/1)</w:t>
      </w:r>
      <w:r w:rsidR="00CE07AE">
        <w:rPr>
          <w:rFonts w:cstheme="majorBidi"/>
          <w:sz w:val="22"/>
          <w:szCs w:val="22"/>
          <w:lang w:val="fr-FR"/>
        </w:rPr>
        <w:t xml:space="preserve"> </w:t>
      </w:r>
      <w:r w:rsidR="003D4015" w:rsidRPr="003E7B31">
        <w:rPr>
          <w:sz w:val="22"/>
          <w:szCs w:val="22"/>
          <w:lang w:val="fr-FR"/>
        </w:rPr>
        <w:t>;</w:t>
      </w:r>
    </w:p>
    <w:p w14:paraId="5B0630BA" w14:textId="2A810AAA" w:rsidR="00F16A05" w:rsidRPr="009E4D45" w:rsidRDefault="003E7B31"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fr-FR"/>
        </w:rPr>
      </w:pPr>
      <w:r>
        <w:rPr>
          <w:rFonts w:cstheme="majorBidi"/>
          <w:sz w:val="22"/>
          <w:szCs w:val="22"/>
          <w:lang w:val="fr-FR"/>
        </w:rPr>
        <w:t xml:space="preserve">L’étude sur le concept et </w:t>
      </w:r>
      <w:r w:rsidR="00A65B75">
        <w:rPr>
          <w:rFonts w:cstheme="majorBidi"/>
          <w:sz w:val="22"/>
          <w:szCs w:val="22"/>
          <w:lang w:val="fr-FR"/>
        </w:rPr>
        <w:t>l’étendue</w:t>
      </w:r>
      <w:r w:rsidR="00CE07AE">
        <w:rPr>
          <w:rFonts w:cstheme="majorBidi"/>
          <w:sz w:val="22"/>
          <w:szCs w:val="22"/>
          <w:lang w:val="fr-FR"/>
        </w:rPr>
        <w:t xml:space="preserve"> (CBD/AHTEG/DSI/2020/1/3)</w:t>
      </w:r>
      <w:r w:rsidR="003D4015">
        <w:rPr>
          <w:rFonts w:cstheme="majorBidi"/>
          <w:sz w:val="22"/>
          <w:szCs w:val="22"/>
          <w:lang w:val="fr-FR"/>
        </w:rPr>
        <w:t xml:space="preserve"> </w:t>
      </w:r>
      <w:r w:rsidR="00F16A05" w:rsidRPr="009E4D45">
        <w:rPr>
          <w:rFonts w:cstheme="majorBidi"/>
          <w:sz w:val="22"/>
          <w:szCs w:val="22"/>
          <w:lang w:val="fr-FR"/>
        </w:rPr>
        <w:t xml:space="preserve">; </w:t>
      </w:r>
    </w:p>
    <w:p w14:paraId="178837F3" w14:textId="289FEB26" w:rsidR="00F16A05" w:rsidRPr="009E4D45" w:rsidRDefault="003E7B31"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fr-FR"/>
        </w:rPr>
      </w:pPr>
      <w:r>
        <w:rPr>
          <w:rFonts w:cstheme="majorBidi"/>
          <w:sz w:val="22"/>
          <w:szCs w:val="22"/>
          <w:lang w:val="fr-FR"/>
        </w:rPr>
        <w:t xml:space="preserve">Les études combinées sur </w:t>
      </w:r>
      <w:r w:rsidR="003D4015">
        <w:rPr>
          <w:rFonts w:cstheme="majorBidi"/>
          <w:sz w:val="22"/>
          <w:szCs w:val="22"/>
          <w:lang w:val="fr-FR"/>
        </w:rPr>
        <w:t>la traçabilité</w:t>
      </w:r>
      <w:r>
        <w:rPr>
          <w:rFonts w:cstheme="majorBidi"/>
          <w:sz w:val="22"/>
          <w:szCs w:val="22"/>
          <w:lang w:val="fr-FR"/>
        </w:rPr>
        <w:t xml:space="preserve"> et les bases de données</w:t>
      </w:r>
      <w:r w:rsidR="00F16A05" w:rsidRPr="009E4D45">
        <w:rPr>
          <w:rFonts w:cstheme="majorBidi"/>
          <w:sz w:val="22"/>
          <w:szCs w:val="22"/>
          <w:lang w:val="fr-FR"/>
        </w:rPr>
        <w:t xml:space="preserve"> </w:t>
      </w:r>
      <w:r w:rsidR="00CE07AE">
        <w:rPr>
          <w:rFonts w:cstheme="majorBidi"/>
          <w:sz w:val="22"/>
          <w:szCs w:val="22"/>
          <w:lang w:val="fr-FR"/>
        </w:rPr>
        <w:t>(CBD/AHTEG/DSI/2020/1/4) ;</w:t>
      </w:r>
    </w:p>
    <w:p w14:paraId="23DDDC75" w14:textId="61D80BD5" w:rsidR="00F16A05" w:rsidRPr="009E4D45" w:rsidRDefault="003E7B31"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fr-FR"/>
        </w:rPr>
      </w:pPr>
      <w:r>
        <w:rPr>
          <w:rFonts w:cstheme="majorBidi"/>
          <w:sz w:val="22"/>
          <w:szCs w:val="22"/>
          <w:lang w:val="fr-FR"/>
        </w:rPr>
        <w:t xml:space="preserve">L’étude sur les mesures </w:t>
      </w:r>
      <w:r w:rsidR="003D4015">
        <w:rPr>
          <w:rFonts w:cstheme="majorBidi"/>
          <w:sz w:val="22"/>
          <w:szCs w:val="22"/>
          <w:lang w:val="fr-FR"/>
        </w:rPr>
        <w:t>nationales</w:t>
      </w:r>
      <w:r w:rsidR="00CE07AE">
        <w:rPr>
          <w:rFonts w:cstheme="majorBidi"/>
          <w:sz w:val="22"/>
          <w:szCs w:val="22"/>
          <w:lang w:val="fr-FR"/>
        </w:rPr>
        <w:t xml:space="preserve"> (CBD/AHTEG/DSI/2020/1/5)</w:t>
      </w:r>
      <w:r w:rsidR="7B3BA512" w:rsidRPr="009E4D45">
        <w:rPr>
          <w:rFonts w:cstheme="majorBidi"/>
          <w:sz w:val="22"/>
          <w:szCs w:val="22"/>
          <w:lang w:val="fr-FR"/>
        </w:rPr>
        <w:t>.</w:t>
      </w:r>
    </w:p>
    <w:p w14:paraId="4E8E924D" w14:textId="4F1E9263" w:rsidR="007E6D3F" w:rsidRPr="009E4D45" w:rsidRDefault="001A3EED" w:rsidP="00D17A30">
      <w:pPr>
        <w:pStyle w:val="paragraph"/>
        <w:numPr>
          <w:ilvl w:val="0"/>
          <w:numId w:val="20"/>
        </w:numPr>
        <w:spacing w:before="120" w:beforeAutospacing="0" w:after="120" w:afterAutospacing="0"/>
        <w:ind w:left="0" w:firstLine="0"/>
        <w:jc w:val="both"/>
        <w:textAlignment w:val="baseline"/>
        <w:rPr>
          <w:rStyle w:val="normaltextrun"/>
          <w:rFonts w:eastAsia="Malgun Gothic" w:cstheme="majorBidi"/>
          <w:sz w:val="22"/>
          <w:szCs w:val="22"/>
          <w:lang w:val="fr-FR"/>
        </w:rPr>
      </w:pPr>
      <w:r w:rsidRPr="001A3EED">
        <w:rPr>
          <w:sz w:val="22"/>
          <w:szCs w:val="22"/>
          <w:lang w:val="fr-FR"/>
        </w:rPr>
        <w:t>Le rapport complet du</w:t>
      </w:r>
      <w:r w:rsidR="0031262A">
        <w:rPr>
          <w:sz w:val="22"/>
          <w:szCs w:val="22"/>
          <w:lang w:val="fr-FR"/>
        </w:rPr>
        <w:t xml:space="preserve"> </w:t>
      </w:r>
      <w:r w:rsidR="00CE07AE">
        <w:rPr>
          <w:sz w:val="22"/>
          <w:szCs w:val="22"/>
          <w:lang w:val="fr-FR"/>
        </w:rPr>
        <w:t>G</w:t>
      </w:r>
      <w:r w:rsidR="0031262A">
        <w:rPr>
          <w:sz w:val="22"/>
          <w:szCs w:val="22"/>
          <w:lang w:val="fr-FR"/>
        </w:rPr>
        <w:t xml:space="preserve">roupe spécial d’experts techniques </w:t>
      </w:r>
      <w:r w:rsidRPr="001A3EED">
        <w:rPr>
          <w:sz w:val="22"/>
          <w:szCs w:val="22"/>
          <w:lang w:val="fr-FR"/>
        </w:rPr>
        <w:t xml:space="preserve">est disponible dans le document CBD/DSI/AHTEG/2020/1/7. Les </w:t>
      </w:r>
      <w:r w:rsidR="00A65B75">
        <w:rPr>
          <w:sz w:val="22"/>
          <w:szCs w:val="22"/>
          <w:lang w:val="fr-FR"/>
        </w:rPr>
        <w:t>conclusions</w:t>
      </w:r>
      <w:r w:rsidRPr="001A3EED">
        <w:rPr>
          <w:sz w:val="22"/>
          <w:szCs w:val="22"/>
          <w:lang w:val="fr-FR"/>
        </w:rPr>
        <w:t xml:space="preserve"> de la réunion du </w:t>
      </w:r>
      <w:r w:rsidR="00A65B75">
        <w:rPr>
          <w:sz w:val="22"/>
          <w:szCs w:val="22"/>
          <w:lang w:val="fr-FR"/>
        </w:rPr>
        <w:t>G</w:t>
      </w:r>
      <w:r w:rsidR="0031262A">
        <w:rPr>
          <w:sz w:val="22"/>
          <w:szCs w:val="22"/>
          <w:lang w:val="fr-FR"/>
        </w:rPr>
        <w:t>roupe spécial d’experts techniques</w:t>
      </w:r>
      <w:r w:rsidR="00A65B75">
        <w:rPr>
          <w:sz w:val="22"/>
          <w:szCs w:val="22"/>
          <w:lang w:val="fr-FR"/>
        </w:rPr>
        <w:t xml:space="preserve"> figurent à l'annexe I a</w:t>
      </w:r>
      <w:r w:rsidRPr="001A3EED">
        <w:rPr>
          <w:sz w:val="22"/>
          <w:szCs w:val="22"/>
          <w:lang w:val="fr-FR"/>
        </w:rPr>
        <w:t>u rapport et ont été reproduits à l'annexe I</w:t>
      </w:r>
      <w:r w:rsidR="00CE07AE">
        <w:rPr>
          <w:sz w:val="22"/>
          <w:szCs w:val="22"/>
          <w:lang w:val="fr-FR"/>
        </w:rPr>
        <w:t>, ci-dessous</w:t>
      </w:r>
      <w:r w:rsidRPr="001A3EED">
        <w:rPr>
          <w:sz w:val="22"/>
          <w:szCs w:val="22"/>
          <w:lang w:val="fr-FR"/>
        </w:rPr>
        <w:t xml:space="preserve">.  </w:t>
      </w:r>
    </w:p>
    <w:p w14:paraId="22C2F822" w14:textId="59D4E001" w:rsidR="00777B13" w:rsidRPr="009E4D45" w:rsidRDefault="00AA3DC4" w:rsidP="00D17A30">
      <w:pPr>
        <w:pStyle w:val="Heading1"/>
        <w:numPr>
          <w:ilvl w:val="0"/>
          <w:numId w:val="29"/>
        </w:numPr>
        <w:tabs>
          <w:tab w:val="clear" w:pos="720"/>
          <w:tab w:val="left" w:pos="1276"/>
        </w:tabs>
        <w:ind w:left="1276"/>
        <w:jc w:val="left"/>
        <w:rPr>
          <w:rFonts w:eastAsia="Malgun Gothic" w:cstheme="majorBidi"/>
          <w:lang w:val="fr-FR"/>
        </w:rPr>
      </w:pPr>
      <w:r w:rsidRPr="00AA3DC4">
        <w:rPr>
          <w:rFonts w:cstheme="majorBidi"/>
          <w:lang w:val="fr-FR"/>
        </w:rPr>
        <w:t xml:space="preserve">ACTIVITÉS INFORMELLES AUTOUR DE L'INFORMATION </w:t>
      </w:r>
      <w:r w:rsidR="00CE07AE">
        <w:rPr>
          <w:rFonts w:cstheme="majorBidi"/>
          <w:lang w:val="fr-FR"/>
        </w:rPr>
        <w:t>de séquençage numérique sur les</w:t>
      </w:r>
      <w:r w:rsidRPr="00AA3DC4">
        <w:rPr>
          <w:rFonts w:cstheme="majorBidi"/>
          <w:lang w:val="fr-FR"/>
        </w:rPr>
        <w:t xml:space="preserve"> RESSOURCES GÉNÉTIQUES</w:t>
      </w:r>
    </w:p>
    <w:p w14:paraId="507383A6" w14:textId="2EA2DEAA" w:rsidR="00480A13" w:rsidRPr="009E4D45" w:rsidRDefault="00AA3DC4" w:rsidP="2B50497A">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fr-FR"/>
        </w:rPr>
      </w:pPr>
      <w:r w:rsidRPr="00AA3DC4">
        <w:rPr>
          <w:rStyle w:val="normaltextrun"/>
          <w:rFonts w:cstheme="majorBidi"/>
          <w:color w:val="000000"/>
          <w:sz w:val="22"/>
          <w:szCs w:val="22"/>
          <w:shd w:val="clear" w:color="auto" w:fill="FFFFFF"/>
          <w:lang w:val="fr-FR"/>
        </w:rPr>
        <w:t xml:space="preserve">À la demande des coprésidents du Groupe de travail, le Secrétariat a organisé une série de webinaires sur </w:t>
      </w:r>
      <w:r w:rsidR="00692C78">
        <w:rPr>
          <w:rStyle w:val="normaltextrun"/>
          <w:rFonts w:cstheme="majorBidi"/>
          <w:color w:val="000000"/>
          <w:sz w:val="22"/>
          <w:szCs w:val="22"/>
          <w:shd w:val="clear" w:color="auto" w:fill="FFFFFF"/>
          <w:lang w:val="fr-FR"/>
        </w:rPr>
        <w:t>l’ISN</w:t>
      </w:r>
      <w:r w:rsidRPr="00AA3DC4">
        <w:rPr>
          <w:rStyle w:val="normaltextrun"/>
          <w:rFonts w:cstheme="majorBidi"/>
          <w:color w:val="000000"/>
          <w:sz w:val="22"/>
          <w:szCs w:val="22"/>
          <w:shd w:val="clear" w:color="auto" w:fill="FFFFFF"/>
          <w:lang w:val="fr-FR"/>
        </w:rPr>
        <w:t xml:space="preserve"> afin de faciliter l'échange informel d'informations et de maintenir la dynamique sur la question compte tenu de la prolongation de la période </w:t>
      </w:r>
      <w:r w:rsidR="00400A9B" w:rsidRPr="00AA3DC4">
        <w:rPr>
          <w:rStyle w:val="normaltextrun"/>
          <w:rFonts w:cstheme="majorBidi"/>
          <w:color w:val="000000"/>
          <w:sz w:val="22"/>
          <w:szCs w:val="22"/>
          <w:shd w:val="clear" w:color="auto" w:fill="FFFFFF"/>
          <w:lang w:val="fr-FR"/>
        </w:rPr>
        <w:t>intersession</w:t>
      </w:r>
      <w:r w:rsidR="00400A9B">
        <w:rPr>
          <w:rStyle w:val="normaltextrun"/>
          <w:rFonts w:cstheme="majorBidi"/>
          <w:color w:val="000000"/>
          <w:sz w:val="22"/>
          <w:szCs w:val="22"/>
          <w:shd w:val="clear" w:color="auto" w:fill="FFFFFF"/>
          <w:lang w:val="fr-FR"/>
        </w:rPr>
        <w:t xml:space="preserve"> </w:t>
      </w:r>
      <w:r w:rsidRPr="00AA3DC4">
        <w:rPr>
          <w:rStyle w:val="normaltextrun"/>
          <w:rFonts w:cstheme="majorBidi"/>
          <w:color w:val="000000"/>
          <w:sz w:val="22"/>
          <w:szCs w:val="22"/>
          <w:shd w:val="clear" w:color="auto" w:fill="FFFFFF"/>
          <w:lang w:val="fr-FR"/>
        </w:rPr>
        <w:t xml:space="preserve">en raison de la pandémie mondiale </w:t>
      </w:r>
      <w:r w:rsidR="00A65B75">
        <w:rPr>
          <w:rStyle w:val="normaltextrun"/>
          <w:rFonts w:cstheme="majorBidi"/>
          <w:color w:val="000000"/>
          <w:sz w:val="22"/>
          <w:szCs w:val="22"/>
          <w:shd w:val="clear" w:color="auto" w:fill="FFFFFF"/>
          <w:lang w:val="fr-FR"/>
        </w:rPr>
        <w:t>de la</w:t>
      </w:r>
      <w:r w:rsidRPr="00AA3DC4">
        <w:rPr>
          <w:rStyle w:val="normaltextrun"/>
          <w:rFonts w:cstheme="majorBidi"/>
          <w:color w:val="000000"/>
          <w:sz w:val="22"/>
          <w:szCs w:val="22"/>
          <w:shd w:val="clear" w:color="auto" w:fill="FFFFFF"/>
          <w:lang w:val="fr-FR"/>
        </w:rPr>
        <w:t xml:space="preserve"> </w:t>
      </w:r>
      <w:r w:rsidR="00692C78">
        <w:rPr>
          <w:rStyle w:val="normaltextrun"/>
          <w:rFonts w:cstheme="majorBidi"/>
          <w:color w:val="000000"/>
          <w:sz w:val="22"/>
          <w:szCs w:val="22"/>
          <w:shd w:val="clear" w:color="auto" w:fill="FFFFFF"/>
          <w:lang w:val="fr-FR"/>
        </w:rPr>
        <w:t>COVID</w:t>
      </w:r>
      <w:r w:rsidRPr="00AA3DC4">
        <w:rPr>
          <w:rStyle w:val="normaltextrun"/>
          <w:rFonts w:cstheme="majorBidi"/>
          <w:color w:val="000000"/>
          <w:sz w:val="22"/>
          <w:szCs w:val="22"/>
          <w:shd w:val="clear" w:color="auto" w:fill="FFFFFF"/>
          <w:lang w:val="fr-FR"/>
        </w:rPr>
        <w:t>-19. Ces webinair</w:t>
      </w:r>
      <w:r w:rsidR="00A65B75">
        <w:rPr>
          <w:rStyle w:val="normaltextrun"/>
          <w:rFonts w:cstheme="majorBidi"/>
          <w:color w:val="000000"/>
          <w:sz w:val="22"/>
          <w:szCs w:val="22"/>
          <w:shd w:val="clear" w:color="auto" w:fill="FFFFFF"/>
          <w:lang w:val="fr-FR"/>
        </w:rPr>
        <w:t xml:space="preserve">es ont été organisés en vue de : </w:t>
      </w:r>
      <w:r w:rsidRPr="00AA3DC4">
        <w:rPr>
          <w:rStyle w:val="normaltextrun"/>
          <w:rFonts w:cstheme="majorBidi"/>
          <w:color w:val="000000"/>
          <w:sz w:val="22"/>
          <w:szCs w:val="22"/>
          <w:shd w:val="clear" w:color="auto" w:fill="FFFFFF"/>
          <w:lang w:val="fr-FR"/>
        </w:rPr>
        <w:t xml:space="preserve">a) contribuer à faire en sorte que les informations pertinentes sur </w:t>
      </w:r>
      <w:r w:rsidR="00692C78">
        <w:rPr>
          <w:rStyle w:val="normaltextrun"/>
          <w:rFonts w:cstheme="majorBidi"/>
          <w:color w:val="000000"/>
          <w:sz w:val="22"/>
          <w:szCs w:val="22"/>
          <w:shd w:val="clear" w:color="auto" w:fill="FFFFFF"/>
          <w:lang w:val="fr-FR"/>
        </w:rPr>
        <w:t>l’ISN</w:t>
      </w:r>
      <w:r w:rsidRPr="00AA3DC4">
        <w:rPr>
          <w:rStyle w:val="normaltextrun"/>
          <w:rFonts w:cstheme="majorBidi"/>
          <w:color w:val="000000"/>
          <w:sz w:val="22"/>
          <w:szCs w:val="22"/>
          <w:shd w:val="clear" w:color="auto" w:fill="FFFFFF"/>
          <w:lang w:val="fr-FR"/>
        </w:rPr>
        <w:t xml:space="preserve">, y compris celles issues des études et des dialogues, soient disponibles pour toutes les Parties ainsi que pour les populations autochtones et les communautés locales, et les organisations et </w:t>
      </w:r>
      <w:r w:rsidR="00A65B75">
        <w:rPr>
          <w:rStyle w:val="normaltextrun"/>
          <w:rFonts w:cstheme="majorBidi"/>
          <w:color w:val="000000"/>
          <w:sz w:val="22"/>
          <w:szCs w:val="22"/>
          <w:shd w:val="clear" w:color="auto" w:fill="FFFFFF"/>
          <w:lang w:val="fr-FR"/>
        </w:rPr>
        <w:t xml:space="preserve">parties prenantes concernées ; </w:t>
      </w:r>
      <w:r w:rsidRPr="00AA3DC4">
        <w:rPr>
          <w:rStyle w:val="normaltextrun"/>
          <w:rFonts w:cstheme="majorBidi"/>
          <w:color w:val="000000"/>
          <w:sz w:val="22"/>
          <w:szCs w:val="22"/>
          <w:shd w:val="clear" w:color="auto" w:fill="FFFFFF"/>
          <w:lang w:val="fr-FR"/>
        </w:rPr>
        <w:t xml:space="preserve">b) compiler ces informations et les </w:t>
      </w:r>
      <w:r w:rsidR="00B00551">
        <w:rPr>
          <w:rStyle w:val="normaltextrun"/>
          <w:rFonts w:cstheme="majorBidi"/>
          <w:color w:val="000000"/>
          <w:sz w:val="22"/>
          <w:szCs w:val="22"/>
          <w:shd w:val="clear" w:color="auto" w:fill="FFFFFF"/>
          <w:lang w:val="fr-FR"/>
        </w:rPr>
        <w:t>résumer</w:t>
      </w:r>
      <w:r w:rsidR="00A65B75">
        <w:rPr>
          <w:rStyle w:val="normaltextrun"/>
          <w:rFonts w:cstheme="majorBidi"/>
          <w:color w:val="000000"/>
          <w:sz w:val="22"/>
          <w:szCs w:val="22"/>
          <w:shd w:val="clear" w:color="auto" w:fill="FFFFFF"/>
          <w:lang w:val="fr-FR"/>
        </w:rPr>
        <w:t xml:space="preserve"> ; et </w:t>
      </w:r>
      <w:r w:rsidRPr="00AA3DC4">
        <w:rPr>
          <w:rStyle w:val="normaltextrun"/>
          <w:rFonts w:cstheme="majorBidi"/>
          <w:color w:val="000000"/>
          <w:sz w:val="22"/>
          <w:szCs w:val="22"/>
          <w:shd w:val="clear" w:color="auto" w:fill="FFFFFF"/>
          <w:lang w:val="fr-FR"/>
        </w:rPr>
        <w:t xml:space="preserve">c) favoriser une compréhension commune de </w:t>
      </w:r>
      <w:r w:rsidR="00692C78">
        <w:rPr>
          <w:rStyle w:val="normaltextrun"/>
          <w:rFonts w:cstheme="majorBidi"/>
          <w:color w:val="000000"/>
          <w:sz w:val="22"/>
          <w:szCs w:val="22"/>
          <w:shd w:val="clear" w:color="auto" w:fill="FFFFFF"/>
          <w:lang w:val="fr-FR"/>
        </w:rPr>
        <w:t>l’ISN</w:t>
      </w:r>
      <w:r w:rsidRPr="00AA3DC4">
        <w:rPr>
          <w:rStyle w:val="normaltextrun"/>
          <w:rFonts w:cstheme="majorBidi"/>
          <w:color w:val="000000"/>
          <w:sz w:val="22"/>
          <w:szCs w:val="22"/>
          <w:shd w:val="clear" w:color="auto" w:fill="FFFFFF"/>
          <w:lang w:val="fr-FR"/>
        </w:rPr>
        <w:t xml:space="preserve">, de son importance et de ses liens avec la Convention en termes d'accès et de partage des avantages, </w:t>
      </w:r>
      <w:r w:rsidR="00B00551">
        <w:rPr>
          <w:rStyle w:val="normaltextrun"/>
          <w:rFonts w:cstheme="majorBidi"/>
          <w:color w:val="000000"/>
          <w:sz w:val="22"/>
          <w:szCs w:val="22"/>
          <w:shd w:val="clear" w:color="auto" w:fill="FFFFFF"/>
          <w:lang w:val="fr-FR"/>
        </w:rPr>
        <w:t xml:space="preserve">ainsi qu’avec </w:t>
      </w:r>
      <w:r w:rsidRPr="00AA3DC4">
        <w:rPr>
          <w:rStyle w:val="normaltextrun"/>
          <w:rFonts w:cstheme="majorBidi"/>
          <w:color w:val="000000"/>
          <w:sz w:val="22"/>
          <w:szCs w:val="22"/>
          <w:shd w:val="clear" w:color="auto" w:fill="FFFFFF"/>
          <w:lang w:val="fr-FR"/>
        </w:rPr>
        <w:t xml:space="preserve">le Protocole de Nagoya et les </w:t>
      </w:r>
      <w:r w:rsidR="0084318D">
        <w:rPr>
          <w:rStyle w:val="normaltextrun"/>
          <w:rFonts w:cstheme="majorBidi"/>
          <w:color w:val="000000"/>
          <w:sz w:val="22"/>
          <w:szCs w:val="22"/>
          <w:shd w:val="clear" w:color="auto" w:fill="FFFFFF"/>
          <w:lang w:val="fr-FR"/>
        </w:rPr>
        <w:t>O</w:t>
      </w:r>
      <w:r w:rsidRPr="00AA3DC4">
        <w:rPr>
          <w:rStyle w:val="normaltextrun"/>
          <w:rFonts w:cstheme="majorBidi"/>
          <w:color w:val="000000"/>
          <w:sz w:val="22"/>
          <w:szCs w:val="22"/>
          <w:shd w:val="clear" w:color="auto" w:fill="FFFFFF"/>
          <w:lang w:val="fr-FR"/>
        </w:rPr>
        <w:t>bjectifs de développement durable.</w:t>
      </w:r>
    </w:p>
    <w:p w14:paraId="6918E081" w14:textId="765EFE0E" w:rsidR="00787D9F" w:rsidRPr="009E4D45" w:rsidRDefault="00AA3DC4" w:rsidP="600202A1">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fr-FR"/>
        </w:rPr>
      </w:pPr>
      <w:r w:rsidRPr="00AA3DC4">
        <w:rPr>
          <w:rStyle w:val="normaltextrun"/>
          <w:rFonts w:eastAsia="Malgun Gothic" w:cstheme="majorBidi"/>
          <w:sz w:val="22"/>
          <w:szCs w:val="22"/>
          <w:lang w:val="fr-FR"/>
        </w:rPr>
        <w:t>Les webinaires</w:t>
      </w:r>
      <w:r w:rsidR="004C2BF2">
        <w:rPr>
          <w:rStyle w:val="normaltextrun"/>
          <w:rFonts w:eastAsia="Malgun Gothic" w:cstheme="majorBidi"/>
          <w:sz w:val="22"/>
          <w:szCs w:val="22"/>
          <w:lang w:val="fr-FR"/>
        </w:rPr>
        <w:t xml:space="preserve"> portaient sur les thèmes suivants </w:t>
      </w:r>
      <w:r w:rsidRPr="00AA3DC4">
        <w:rPr>
          <w:rStyle w:val="normaltextrun"/>
          <w:rFonts w:eastAsia="Malgun Gothic" w:cstheme="majorBidi"/>
          <w:sz w:val="22"/>
          <w:szCs w:val="22"/>
          <w:lang w:val="fr-FR"/>
        </w:rPr>
        <w:t>:</w:t>
      </w:r>
    </w:p>
    <w:p w14:paraId="5B509266" w14:textId="16D28270" w:rsidR="00777B13" w:rsidRPr="007C50E1" w:rsidRDefault="00F21FF2" w:rsidP="00692C78">
      <w:pPr>
        <w:pStyle w:val="paragraph"/>
        <w:numPr>
          <w:ilvl w:val="1"/>
          <w:numId w:val="45"/>
        </w:numPr>
        <w:spacing w:before="120" w:beforeAutospacing="0" w:after="120" w:afterAutospacing="0"/>
        <w:ind w:left="0" w:firstLine="720"/>
        <w:jc w:val="both"/>
        <w:textAlignment w:val="baseline"/>
        <w:rPr>
          <w:rStyle w:val="normaltextrun"/>
          <w:rFonts w:eastAsia="Malgun Gothic" w:cstheme="majorBidi"/>
          <w:sz w:val="22"/>
          <w:szCs w:val="22"/>
          <w:lang w:val="fr-FR" w:eastAsia="en-US"/>
        </w:rPr>
      </w:pPr>
      <w:r w:rsidRPr="007C50E1">
        <w:rPr>
          <w:rStyle w:val="normaltextrun"/>
          <w:rFonts w:cstheme="majorBidi"/>
          <w:color w:val="000000"/>
          <w:sz w:val="22"/>
          <w:szCs w:val="22"/>
          <w:shd w:val="clear" w:color="auto" w:fill="FFFFFF"/>
          <w:lang w:val="fr-FR"/>
        </w:rPr>
        <w:t>Webina</w:t>
      </w:r>
      <w:r w:rsidR="007C50E1" w:rsidRPr="007C50E1">
        <w:rPr>
          <w:rStyle w:val="normaltextrun"/>
          <w:rFonts w:cstheme="majorBidi"/>
          <w:color w:val="000000"/>
          <w:sz w:val="22"/>
          <w:szCs w:val="22"/>
          <w:shd w:val="clear" w:color="auto" w:fill="FFFFFF"/>
          <w:lang w:val="fr-FR"/>
        </w:rPr>
        <w:t>i</w:t>
      </w:r>
      <w:r w:rsidRPr="007C50E1">
        <w:rPr>
          <w:rStyle w:val="normaltextrun"/>
          <w:rFonts w:cstheme="majorBidi"/>
          <w:color w:val="000000"/>
          <w:sz w:val="22"/>
          <w:szCs w:val="22"/>
          <w:shd w:val="clear" w:color="auto" w:fill="FFFFFF"/>
          <w:lang w:val="fr-FR"/>
        </w:rPr>
        <w:t>r</w:t>
      </w:r>
      <w:r w:rsidR="007C50E1" w:rsidRPr="007C50E1">
        <w:rPr>
          <w:rStyle w:val="normaltextrun"/>
          <w:rFonts w:cstheme="majorBidi"/>
          <w:color w:val="000000"/>
          <w:sz w:val="22"/>
          <w:szCs w:val="22"/>
          <w:shd w:val="clear" w:color="auto" w:fill="FFFFFF"/>
          <w:lang w:val="fr-FR"/>
        </w:rPr>
        <w:t>e</w:t>
      </w:r>
      <w:r w:rsidRPr="007C50E1">
        <w:rPr>
          <w:rStyle w:val="normaltextrun"/>
          <w:rFonts w:cstheme="majorBidi"/>
          <w:color w:val="000000"/>
          <w:sz w:val="22"/>
          <w:szCs w:val="22"/>
          <w:shd w:val="clear" w:color="auto" w:fill="FFFFFF"/>
          <w:lang w:val="fr-FR"/>
        </w:rPr>
        <w:t xml:space="preserve"> 1</w:t>
      </w:r>
      <w:r w:rsidR="007C50E1">
        <w:rPr>
          <w:rStyle w:val="normaltextrun"/>
          <w:rFonts w:cstheme="majorBidi"/>
          <w:color w:val="000000"/>
          <w:sz w:val="22"/>
          <w:szCs w:val="22"/>
          <w:shd w:val="clear" w:color="auto" w:fill="FFFFFF"/>
          <w:lang w:val="fr-FR"/>
        </w:rPr>
        <w:t xml:space="preserve"> </w:t>
      </w:r>
      <w:r w:rsidRPr="007C50E1">
        <w:rPr>
          <w:rStyle w:val="normaltextrun"/>
          <w:rFonts w:cstheme="majorBidi"/>
          <w:color w:val="000000"/>
          <w:sz w:val="22"/>
          <w:szCs w:val="22"/>
          <w:shd w:val="clear" w:color="auto" w:fill="FFFFFF"/>
          <w:lang w:val="fr-FR"/>
        </w:rPr>
        <w:t xml:space="preserve">: </w:t>
      </w:r>
      <w:r w:rsidR="007C50E1" w:rsidRPr="007C50E1">
        <w:rPr>
          <w:rStyle w:val="normaltextrun"/>
          <w:rFonts w:cstheme="majorBidi"/>
          <w:color w:val="000000"/>
          <w:sz w:val="22"/>
          <w:szCs w:val="22"/>
          <w:shd w:val="clear" w:color="auto" w:fill="FFFFFF"/>
          <w:lang w:val="fr-FR"/>
        </w:rPr>
        <w:t xml:space="preserve">Comprendre </w:t>
      </w:r>
      <w:r w:rsidR="00692C78">
        <w:rPr>
          <w:rStyle w:val="normaltextrun"/>
          <w:rFonts w:cstheme="majorBidi"/>
          <w:color w:val="000000"/>
          <w:sz w:val="22"/>
          <w:szCs w:val="22"/>
          <w:shd w:val="clear" w:color="auto" w:fill="FFFFFF"/>
          <w:lang w:val="fr-FR"/>
        </w:rPr>
        <w:t>l’ISN</w:t>
      </w:r>
      <w:r w:rsidR="007C50E1" w:rsidRPr="007C50E1">
        <w:rPr>
          <w:rStyle w:val="normaltextrun"/>
          <w:rFonts w:cstheme="majorBidi"/>
          <w:color w:val="000000"/>
          <w:sz w:val="22"/>
          <w:szCs w:val="22"/>
          <w:shd w:val="clear" w:color="auto" w:fill="FFFFFF"/>
          <w:lang w:val="fr-FR"/>
        </w:rPr>
        <w:t xml:space="preserve"> </w:t>
      </w:r>
      <w:r w:rsidR="007C50E1">
        <w:rPr>
          <w:rStyle w:val="normaltextrun"/>
          <w:rFonts w:cstheme="majorBidi"/>
          <w:color w:val="000000"/>
          <w:sz w:val="22"/>
          <w:szCs w:val="22"/>
          <w:shd w:val="clear" w:color="auto" w:fill="FFFFFF"/>
          <w:lang w:val="fr-FR"/>
        </w:rPr>
        <w:t xml:space="preserve">sur les ressources génétiques </w:t>
      </w:r>
      <w:r w:rsidR="007C50E1" w:rsidRPr="007C50E1">
        <w:rPr>
          <w:rStyle w:val="normaltextrun"/>
          <w:rFonts w:cstheme="majorBidi"/>
          <w:color w:val="000000"/>
          <w:sz w:val="22"/>
          <w:szCs w:val="22"/>
          <w:shd w:val="clear" w:color="auto" w:fill="FFFFFF"/>
          <w:lang w:val="fr-FR"/>
        </w:rPr>
        <w:t xml:space="preserve">: un aperçu technique </w:t>
      </w:r>
      <w:r w:rsidR="007C50E1">
        <w:rPr>
          <w:rStyle w:val="normaltextrun"/>
          <w:rFonts w:cstheme="majorBidi"/>
          <w:color w:val="000000"/>
          <w:sz w:val="22"/>
          <w:szCs w:val="22"/>
          <w:shd w:val="clear" w:color="auto" w:fill="FFFFFF"/>
          <w:lang w:val="fr-FR"/>
        </w:rPr>
        <w:t>de sa production,</w:t>
      </w:r>
      <w:r w:rsidR="0027444D">
        <w:rPr>
          <w:rStyle w:val="normaltextrun"/>
          <w:rFonts w:cstheme="majorBidi"/>
          <w:color w:val="000000"/>
          <w:sz w:val="22"/>
          <w:szCs w:val="22"/>
          <w:shd w:val="clear" w:color="auto" w:fill="FFFFFF"/>
          <w:lang w:val="fr-FR"/>
        </w:rPr>
        <w:t xml:space="preserve"> de sa</w:t>
      </w:r>
      <w:r w:rsidR="007C50E1">
        <w:rPr>
          <w:rStyle w:val="normaltextrun"/>
          <w:rFonts w:cstheme="majorBidi"/>
          <w:color w:val="000000"/>
          <w:sz w:val="22"/>
          <w:szCs w:val="22"/>
          <w:shd w:val="clear" w:color="auto" w:fill="FFFFFF"/>
          <w:lang w:val="fr-FR"/>
        </w:rPr>
        <w:t xml:space="preserve"> distribution et</w:t>
      </w:r>
      <w:r w:rsidR="0027444D">
        <w:rPr>
          <w:rStyle w:val="normaltextrun"/>
          <w:rFonts w:cstheme="majorBidi"/>
          <w:color w:val="000000"/>
          <w:sz w:val="22"/>
          <w:szCs w:val="22"/>
          <w:shd w:val="clear" w:color="auto" w:fill="FFFFFF"/>
          <w:lang w:val="fr-FR"/>
        </w:rPr>
        <w:t xml:space="preserve"> de son</w:t>
      </w:r>
      <w:r w:rsidR="007C50E1">
        <w:rPr>
          <w:rStyle w:val="normaltextrun"/>
          <w:rFonts w:cstheme="majorBidi"/>
          <w:color w:val="000000"/>
          <w:sz w:val="22"/>
          <w:szCs w:val="22"/>
          <w:shd w:val="clear" w:color="auto" w:fill="FFFFFF"/>
          <w:lang w:val="fr-FR"/>
        </w:rPr>
        <w:t xml:space="preserve"> utilisation (décembre 2020) </w:t>
      </w:r>
    </w:p>
    <w:p w14:paraId="3D0D3942" w14:textId="266A5148" w:rsidR="00777B13" w:rsidRPr="007C50E1" w:rsidRDefault="00BA30EC" w:rsidP="00D17A30">
      <w:pPr>
        <w:pStyle w:val="paragraph"/>
        <w:numPr>
          <w:ilvl w:val="1"/>
          <w:numId w:val="45"/>
        </w:numPr>
        <w:spacing w:before="120" w:beforeAutospacing="0" w:after="120" w:afterAutospacing="0"/>
        <w:ind w:left="0" w:firstLine="709"/>
        <w:jc w:val="both"/>
        <w:textAlignment w:val="baseline"/>
        <w:rPr>
          <w:rStyle w:val="normaltextrun"/>
          <w:rFonts w:eastAsia="Malgun Gothic" w:cstheme="majorBidi"/>
          <w:sz w:val="22"/>
          <w:szCs w:val="22"/>
          <w:lang w:val="fr-FR"/>
        </w:rPr>
      </w:pPr>
      <w:r w:rsidRPr="007C50E1">
        <w:rPr>
          <w:rStyle w:val="normaltextrun"/>
          <w:rFonts w:eastAsia="Malgun Gothic" w:cstheme="majorBidi"/>
          <w:sz w:val="22"/>
          <w:szCs w:val="22"/>
          <w:lang w:val="fr-FR"/>
        </w:rPr>
        <w:t>Webina</w:t>
      </w:r>
      <w:r w:rsidR="007C50E1" w:rsidRPr="007C50E1">
        <w:rPr>
          <w:rStyle w:val="normaltextrun"/>
          <w:rFonts w:eastAsia="Malgun Gothic" w:cstheme="majorBidi"/>
          <w:sz w:val="22"/>
          <w:szCs w:val="22"/>
          <w:lang w:val="fr-FR"/>
        </w:rPr>
        <w:t>i</w:t>
      </w:r>
      <w:r w:rsidRPr="007C50E1">
        <w:rPr>
          <w:rStyle w:val="normaltextrun"/>
          <w:rFonts w:eastAsia="Malgun Gothic" w:cstheme="majorBidi"/>
          <w:sz w:val="22"/>
          <w:szCs w:val="22"/>
          <w:lang w:val="fr-FR"/>
        </w:rPr>
        <w:t>r</w:t>
      </w:r>
      <w:r w:rsidR="007C50E1" w:rsidRPr="007C50E1">
        <w:rPr>
          <w:rStyle w:val="normaltextrun"/>
          <w:rFonts w:eastAsia="Malgun Gothic" w:cstheme="majorBidi"/>
          <w:sz w:val="22"/>
          <w:szCs w:val="22"/>
          <w:lang w:val="fr-FR"/>
        </w:rPr>
        <w:t>e</w:t>
      </w:r>
      <w:r w:rsidRPr="007C50E1">
        <w:rPr>
          <w:rStyle w:val="normaltextrun"/>
          <w:rFonts w:eastAsia="Malgun Gothic" w:cstheme="majorBidi"/>
          <w:sz w:val="22"/>
          <w:szCs w:val="22"/>
          <w:lang w:val="fr-FR"/>
        </w:rPr>
        <w:t xml:space="preserve"> 2</w:t>
      </w:r>
      <w:r w:rsidR="007C50E1" w:rsidRPr="007C50E1">
        <w:rPr>
          <w:rStyle w:val="normaltextrun"/>
          <w:rFonts w:eastAsia="Malgun Gothic" w:cstheme="majorBidi"/>
          <w:sz w:val="22"/>
          <w:szCs w:val="22"/>
          <w:lang w:val="fr-FR"/>
        </w:rPr>
        <w:t xml:space="preserve"> </w:t>
      </w:r>
      <w:r w:rsidRPr="007C50E1">
        <w:rPr>
          <w:rStyle w:val="normaltextrun"/>
          <w:rFonts w:eastAsia="Malgun Gothic" w:cstheme="majorBidi"/>
          <w:sz w:val="22"/>
          <w:szCs w:val="22"/>
          <w:lang w:val="fr-FR"/>
        </w:rPr>
        <w:t xml:space="preserve">: </w:t>
      </w:r>
      <w:r w:rsidR="007C50E1" w:rsidRPr="007C50E1">
        <w:rPr>
          <w:rStyle w:val="normaltextrun"/>
          <w:rFonts w:eastAsia="Malgun Gothic" w:cstheme="majorBidi"/>
          <w:sz w:val="22"/>
          <w:szCs w:val="22"/>
          <w:lang w:val="fr-FR"/>
        </w:rPr>
        <w:t xml:space="preserve">Un aperçu du processus et des résultats récents liés à l’information </w:t>
      </w:r>
      <w:r w:rsidR="007C50E1">
        <w:rPr>
          <w:rStyle w:val="normaltextrun"/>
          <w:rFonts w:eastAsia="Malgun Gothic" w:cstheme="majorBidi"/>
          <w:sz w:val="22"/>
          <w:szCs w:val="22"/>
          <w:lang w:val="fr-FR"/>
        </w:rPr>
        <w:t xml:space="preserve">de séquençage </w:t>
      </w:r>
      <w:r w:rsidR="007C50E1" w:rsidRPr="007C50E1">
        <w:rPr>
          <w:rStyle w:val="normaltextrun"/>
          <w:rFonts w:eastAsia="Malgun Gothic" w:cstheme="majorBidi"/>
          <w:sz w:val="22"/>
          <w:szCs w:val="22"/>
          <w:lang w:val="fr-FR"/>
        </w:rPr>
        <w:t xml:space="preserve">numérique </w:t>
      </w:r>
      <w:r w:rsidR="007C50E1">
        <w:rPr>
          <w:rStyle w:val="normaltextrun"/>
          <w:rFonts w:eastAsia="Malgun Gothic" w:cstheme="majorBidi"/>
          <w:sz w:val="22"/>
          <w:szCs w:val="22"/>
          <w:lang w:val="fr-FR"/>
        </w:rPr>
        <w:t>sur les</w:t>
      </w:r>
      <w:r w:rsidR="007C50E1" w:rsidRPr="007C50E1">
        <w:rPr>
          <w:rStyle w:val="normaltextrun"/>
          <w:rFonts w:eastAsia="Malgun Gothic" w:cstheme="majorBidi"/>
          <w:sz w:val="22"/>
          <w:szCs w:val="22"/>
          <w:lang w:val="fr-FR"/>
        </w:rPr>
        <w:t xml:space="preserve"> ressources génétiques dans le cadre de la Convention </w:t>
      </w:r>
      <w:r w:rsidR="007C50E1">
        <w:rPr>
          <w:rStyle w:val="normaltextrun"/>
          <w:rFonts w:eastAsia="Malgun Gothic" w:cstheme="majorBidi"/>
          <w:sz w:val="22"/>
          <w:szCs w:val="22"/>
          <w:lang w:val="fr-FR"/>
        </w:rPr>
        <w:t xml:space="preserve">sur </w:t>
      </w:r>
      <w:r w:rsidR="007C50E1" w:rsidRPr="007C50E1">
        <w:rPr>
          <w:rStyle w:val="normaltextrun"/>
          <w:rFonts w:eastAsia="Malgun Gothic" w:cstheme="majorBidi"/>
          <w:sz w:val="22"/>
          <w:szCs w:val="22"/>
          <w:lang w:val="fr-FR"/>
        </w:rPr>
        <w:t>la</w:t>
      </w:r>
      <w:r w:rsidR="007C50E1">
        <w:rPr>
          <w:rStyle w:val="normaltextrun"/>
          <w:rFonts w:eastAsia="Malgun Gothic" w:cstheme="majorBidi"/>
          <w:sz w:val="22"/>
          <w:szCs w:val="22"/>
          <w:lang w:val="fr-FR"/>
        </w:rPr>
        <w:t xml:space="preserve"> diversité biologique, en mettant l’accent sur les résultats du </w:t>
      </w:r>
      <w:r w:rsidR="00A65B75">
        <w:rPr>
          <w:rStyle w:val="normaltextrun"/>
          <w:rFonts w:eastAsia="Malgun Gothic" w:cstheme="majorBidi"/>
          <w:sz w:val="22"/>
          <w:szCs w:val="22"/>
          <w:lang w:val="fr-FR"/>
        </w:rPr>
        <w:t>G</w:t>
      </w:r>
      <w:r w:rsidR="007C50E1">
        <w:rPr>
          <w:rStyle w:val="normaltextrun"/>
          <w:rFonts w:eastAsia="Malgun Gothic" w:cstheme="majorBidi"/>
          <w:sz w:val="22"/>
          <w:szCs w:val="22"/>
          <w:lang w:val="fr-FR"/>
        </w:rPr>
        <w:t>roupe spécial d’experts techniques (</w:t>
      </w:r>
      <w:r w:rsidR="007C50E1" w:rsidRPr="00692C78">
        <w:rPr>
          <w:rStyle w:val="normaltextrun"/>
          <w:rFonts w:eastAsia="Malgun Gothic" w:cstheme="majorBidi"/>
          <w:sz w:val="22"/>
          <w:szCs w:val="22"/>
          <w:lang w:val="fr-FR"/>
        </w:rPr>
        <w:t>décembre</w:t>
      </w:r>
      <w:r w:rsidR="007C50E1">
        <w:rPr>
          <w:rStyle w:val="normaltextrun"/>
          <w:rFonts w:eastAsia="Malgun Gothic" w:cstheme="majorBidi"/>
          <w:sz w:val="22"/>
          <w:szCs w:val="22"/>
          <w:lang w:val="fr-FR"/>
        </w:rPr>
        <w:t xml:space="preserve"> 2020) ; </w:t>
      </w:r>
      <w:r w:rsidR="007C50E1" w:rsidRPr="007C50E1">
        <w:rPr>
          <w:rStyle w:val="normaltextrun"/>
          <w:rFonts w:eastAsia="Malgun Gothic" w:cstheme="majorBidi"/>
          <w:sz w:val="22"/>
          <w:szCs w:val="22"/>
          <w:lang w:val="fr-FR"/>
        </w:rPr>
        <w:t xml:space="preserve"> </w:t>
      </w:r>
    </w:p>
    <w:p w14:paraId="67F66841" w14:textId="1223FD19" w:rsidR="007C50E1" w:rsidRPr="007C50E1" w:rsidRDefault="00BA30EC" w:rsidP="00B97C31">
      <w:pPr>
        <w:pStyle w:val="paragraph"/>
        <w:numPr>
          <w:ilvl w:val="1"/>
          <w:numId w:val="45"/>
        </w:numPr>
        <w:spacing w:before="120" w:beforeAutospacing="0" w:after="120" w:afterAutospacing="0"/>
        <w:ind w:left="0" w:firstLine="709"/>
        <w:jc w:val="both"/>
        <w:textAlignment w:val="baseline"/>
        <w:rPr>
          <w:rStyle w:val="normaltextrun"/>
          <w:rFonts w:eastAsia="Malgun Gothic" w:cstheme="majorBidi"/>
          <w:sz w:val="22"/>
          <w:szCs w:val="22"/>
          <w:lang w:val="fr-FR"/>
        </w:rPr>
      </w:pPr>
      <w:r w:rsidRPr="007C50E1">
        <w:rPr>
          <w:rStyle w:val="normaltextrun"/>
          <w:rFonts w:eastAsia="Malgun Gothic" w:cstheme="majorBidi"/>
          <w:sz w:val="22"/>
          <w:szCs w:val="22"/>
          <w:lang w:val="fr-FR"/>
        </w:rPr>
        <w:t>Webina</w:t>
      </w:r>
      <w:r w:rsidR="007C50E1" w:rsidRPr="007C50E1">
        <w:rPr>
          <w:rStyle w:val="normaltextrun"/>
          <w:rFonts w:eastAsia="Malgun Gothic" w:cstheme="majorBidi"/>
          <w:sz w:val="22"/>
          <w:szCs w:val="22"/>
          <w:lang w:val="fr-FR"/>
        </w:rPr>
        <w:t>i</w:t>
      </w:r>
      <w:r w:rsidRPr="007C50E1">
        <w:rPr>
          <w:rStyle w:val="normaltextrun"/>
          <w:rFonts w:eastAsia="Malgun Gothic" w:cstheme="majorBidi"/>
          <w:sz w:val="22"/>
          <w:szCs w:val="22"/>
          <w:lang w:val="fr-FR"/>
        </w:rPr>
        <w:t>r</w:t>
      </w:r>
      <w:r w:rsidR="007C50E1" w:rsidRPr="007C50E1">
        <w:rPr>
          <w:rStyle w:val="normaltextrun"/>
          <w:rFonts w:eastAsia="Malgun Gothic" w:cstheme="majorBidi"/>
          <w:sz w:val="22"/>
          <w:szCs w:val="22"/>
          <w:lang w:val="fr-FR"/>
        </w:rPr>
        <w:t>e</w:t>
      </w:r>
      <w:r w:rsidRPr="007C50E1">
        <w:rPr>
          <w:rStyle w:val="normaltextrun"/>
          <w:rFonts w:eastAsia="Malgun Gothic" w:cstheme="majorBidi"/>
          <w:sz w:val="22"/>
          <w:szCs w:val="22"/>
          <w:lang w:val="fr-FR"/>
        </w:rPr>
        <w:t xml:space="preserve"> 3</w:t>
      </w:r>
      <w:r w:rsidR="007C50E1">
        <w:rPr>
          <w:rStyle w:val="normaltextrun"/>
          <w:rFonts w:eastAsia="Malgun Gothic" w:cstheme="majorBidi"/>
          <w:sz w:val="22"/>
          <w:szCs w:val="22"/>
          <w:lang w:val="fr-FR"/>
        </w:rPr>
        <w:t xml:space="preserve"> </w:t>
      </w:r>
      <w:r w:rsidRPr="007C50E1">
        <w:rPr>
          <w:rStyle w:val="normaltextrun"/>
          <w:rFonts w:eastAsia="Malgun Gothic" w:cstheme="majorBidi"/>
          <w:sz w:val="22"/>
          <w:szCs w:val="22"/>
          <w:lang w:val="fr-FR"/>
        </w:rPr>
        <w:t xml:space="preserve">: </w:t>
      </w:r>
      <w:r w:rsidR="007C50E1" w:rsidRPr="007C50E1">
        <w:rPr>
          <w:rStyle w:val="normaltextrun"/>
          <w:rFonts w:eastAsia="Malgun Gothic" w:cstheme="majorBidi"/>
          <w:sz w:val="22"/>
          <w:szCs w:val="22"/>
          <w:lang w:val="fr-FR"/>
        </w:rPr>
        <w:t xml:space="preserve">Options </w:t>
      </w:r>
      <w:r w:rsidR="00A65B75">
        <w:rPr>
          <w:rStyle w:val="normaltextrun"/>
          <w:rFonts w:eastAsia="Malgun Gothic" w:cstheme="majorBidi"/>
          <w:sz w:val="22"/>
          <w:szCs w:val="22"/>
          <w:lang w:val="fr-FR"/>
        </w:rPr>
        <w:t>stratégiques</w:t>
      </w:r>
      <w:r w:rsidR="007C50E1" w:rsidRPr="007C50E1">
        <w:rPr>
          <w:rStyle w:val="normaltextrun"/>
          <w:rFonts w:eastAsia="Malgun Gothic" w:cstheme="majorBidi"/>
          <w:sz w:val="22"/>
          <w:szCs w:val="22"/>
          <w:lang w:val="fr-FR"/>
        </w:rPr>
        <w:t xml:space="preserve"> </w:t>
      </w:r>
      <w:r w:rsidR="00014D38">
        <w:rPr>
          <w:rStyle w:val="normaltextrun"/>
          <w:rFonts w:eastAsia="Malgun Gothic" w:cstheme="majorBidi"/>
          <w:sz w:val="22"/>
          <w:szCs w:val="22"/>
          <w:lang w:val="fr-FR"/>
        </w:rPr>
        <w:t>concernant</w:t>
      </w:r>
      <w:r w:rsidR="007C50E1" w:rsidRPr="007C50E1">
        <w:rPr>
          <w:rStyle w:val="normaltextrun"/>
          <w:rFonts w:eastAsia="Malgun Gothic" w:cstheme="majorBidi"/>
          <w:sz w:val="22"/>
          <w:szCs w:val="22"/>
          <w:lang w:val="fr-FR"/>
        </w:rPr>
        <w:t xml:space="preserve"> l'accès et le partage des avantages, et </w:t>
      </w:r>
      <w:r w:rsidR="00014D38">
        <w:rPr>
          <w:rStyle w:val="normaltextrun"/>
          <w:rFonts w:eastAsia="Malgun Gothic" w:cstheme="majorBidi"/>
          <w:sz w:val="22"/>
          <w:szCs w:val="22"/>
          <w:lang w:val="fr-FR"/>
        </w:rPr>
        <w:t xml:space="preserve">de </w:t>
      </w:r>
      <w:r w:rsidR="007C50E1" w:rsidRPr="007C50E1">
        <w:rPr>
          <w:rStyle w:val="normaltextrun"/>
          <w:rFonts w:eastAsia="Malgun Gothic" w:cstheme="majorBidi"/>
          <w:sz w:val="22"/>
          <w:szCs w:val="22"/>
          <w:lang w:val="fr-FR"/>
        </w:rPr>
        <w:t xml:space="preserve">l'information </w:t>
      </w:r>
      <w:r w:rsidR="007C50E1">
        <w:rPr>
          <w:rStyle w:val="normaltextrun"/>
          <w:rFonts w:eastAsia="Malgun Gothic" w:cstheme="majorBidi"/>
          <w:sz w:val="22"/>
          <w:szCs w:val="22"/>
          <w:lang w:val="fr-FR"/>
        </w:rPr>
        <w:t>de séquençage numérique sur</w:t>
      </w:r>
      <w:r w:rsidR="007C50E1" w:rsidRPr="007C50E1">
        <w:rPr>
          <w:rStyle w:val="normaltextrun"/>
          <w:rFonts w:eastAsia="Malgun Gothic" w:cstheme="majorBidi"/>
          <w:sz w:val="22"/>
          <w:szCs w:val="22"/>
          <w:lang w:val="fr-FR"/>
        </w:rPr>
        <w:t xml:space="preserve"> </w:t>
      </w:r>
      <w:r w:rsidR="007C50E1">
        <w:rPr>
          <w:rStyle w:val="normaltextrun"/>
          <w:rFonts w:eastAsia="Malgun Gothic" w:cstheme="majorBidi"/>
          <w:sz w:val="22"/>
          <w:szCs w:val="22"/>
          <w:lang w:val="fr-FR"/>
        </w:rPr>
        <w:t>l</w:t>
      </w:r>
      <w:r w:rsidR="007C50E1" w:rsidRPr="007C50E1">
        <w:rPr>
          <w:rStyle w:val="normaltextrun"/>
          <w:rFonts w:eastAsia="Malgun Gothic" w:cstheme="majorBidi"/>
          <w:sz w:val="22"/>
          <w:szCs w:val="22"/>
          <w:lang w:val="fr-FR"/>
        </w:rPr>
        <w:t xml:space="preserve">es ressources génétiques (février 2021) ; </w:t>
      </w:r>
    </w:p>
    <w:p w14:paraId="31DA05F7" w14:textId="2048A283" w:rsidR="007C50E1" w:rsidRPr="007C50E1" w:rsidRDefault="00BA30EC" w:rsidP="00B97C31">
      <w:pPr>
        <w:pStyle w:val="paragraph"/>
        <w:numPr>
          <w:ilvl w:val="1"/>
          <w:numId w:val="45"/>
        </w:numPr>
        <w:spacing w:before="0" w:beforeAutospacing="0" w:after="160" w:afterAutospacing="0"/>
        <w:ind w:left="0" w:firstLine="709"/>
        <w:jc w:val="both"/>
        <w:textAlignment w:val="baseline"/>
        <w:rPr>
          <w:rStyle w:val="normaltextrun"/>
          <w:rFonts w:eastAsia="Malgun Gothic" w:cstheme="majorBidi"/>
          <w:sz w:val="22"/>
          <w:szCs w:val="22"/>
          <w:lang w:val="fr-FR"/>
        </w:rPr>
      </w:pPr>
      <w:r w:rsidRPr="007C50E1">
        <w:rPr>
          <w:rStyle w:val="normaltextrun"/>
          <w:rFonts w:eastAsia="Malgun Gothic" w:cstheme="majorBidi"/>
          <w:sz w:val="22"/>
          <w:szCs w:val="22"/>
          <w:lang w:val="fr-FR"/>
        </w:rPr>
        <w:t>Webina</w:t>
      </w:r>
      <w:r w:rsidR="007C50E1" w:rsidRPr="007C50E1">
        <w:rPr>
          <w:rStyle w:val="normaltextrun"/>
          <w:rFonts w:eastAsia="Malgun Gothic" w:cstheme="majorBidi"/>
          <w:sz w:val="22"/>
          <w:szCs w:val="22"/>
          <w:lang w:val="fr-FR"/>
        </w:rPr>
        <w:t xml:space="preserve">ire </w:t>
      </w:r>
      <w:r w:rsidRPr="007C50E1">
        <w:rPr>
          <w:rStyle w:val="normaltextrun"/>
          <w:rFonts w:eastAsia="Malgun Gothic" w:cstheme="majorBidi"/>
          <w:sz w:val="22"/>
          <w:szCs w:val="22"/>
          <w:lang w:val="fr-FR"/>
        </w:rPr>
        <w:t>4</w:t>
      </w:r>
      <w:r w:rsidR="007C50E1" w:rsidRPr="007C50E1">
        <w:rPr>
          <w:rStyle w:val="normaltextrun"/>
          <w:rFonts w:eastAsia="Malgun Gothic" w:cstheme="majorBidi"/>
          <w:sz w:val="22"/>
          <w:szCs w:val="22"/>
          <w:lang w:val="fr-FR"/>
        </w:rPr>
        <w:t xml:space="preserve"> </w:t>
      </w:r>
      <w:r w:rsidRPr="007C50E1">
        <w:rPr>
          <w:rStyle w:val="normaltextrun"/>
          <w:rFonts w:eastAsia="Malgun Gothic" w:cstheme="majorBidi"/>
          <w:sz w:val="22"/>
          <w:szCs w:val="22"/>
          <w:lang w:val="fr-FR"/>
        </w:rPr>
        <w:t xml:space="preserve">: </w:t>
      </w:r>
      <w:r w:rsidR="007C50E1" w:rsidRPr="007C50E1">
        <w:rPr>
          <w:rStyle w:val="normaltextrun"/>
          <w:rFonts w:eastAsia="Malgun Gothic" w:cstheme="majorBidi"/>
          <w:sz w:val="22"/>
          <w:szCs w:val="22"/>
          <w:lang w:val="fr-FR"/>
        </w:rPr>
        <w:t xml:space="preserve">Critères pour considérer les options </w:t>
      </w:r>
      <w:r w:rsidR="000D5579">
        <w:rPr>
          <w:rStyle w:val="normaltextrun"/>
          <w:rFonts w:eastAsia="Malgun Gothic" w:cstheme="majorBidi"/>
          <w:sz w:val="22"/>
          <w:szCs w:val="22"/>
          <w:lang w:val="fr-FR"/>
        </w:rPr>
        <w:t>stratégiques</w:t>
      </w:r>
      <w:r w:rsidR="007C50E1" w:rsidRPr="007C50E1">
        <w:rPr>
          <w:rStyle w:val="normaltextrun"/>
          <w:rFonts w:eastAsia="Malgun Gothic" w:cstheme="majorBidi"/>
          <w:sz w:val="22"/>
          <w:szCs w:val="22"/>
          <w:lang w:val="fr-FR"/>
        </w:rPr>
        <w:t xml:space="preserve"> sur l'information de séquen</w:t>
      </w:r>
      <w:r w:rsidR="007C50E1">
        <w:rPr>
          <w:rStyle w:val="normaltextrun"/>
          <w:rFonts w:eastAsia="Malgun Gothic" w:cstheme="majorBidi"/>
          <w:sz w:val="22"/>
          <w:szCs w:val="22"/>
          <w:lang w:val="fr-FR"/>
        </w:rPr>
        <w:t>çage</w:t>
      </w:r>
      <w:r w:rsidR="007C50E1" w:rsidRPr="007C50E1">
        <w:rPr>
          <w:rStyle w:val="normaltextrun"/>
          <w:rFonts w:eastAsia="Malgun Gothic" w:cstheme="majorBidi"/>
          <w:sz w:val="22"/>
          <w:szCs w:val="22"/>
          <w:lang w:val="fr-FR"/>
        </w:rPr>
        <w:t xml:space="preserve"> numérique sur les ressources génétiques (avril 2021).</w:t>
      </w:r>
    </w:p>
    <w:p w14:paraId="65750293" w14:textId="03AC947D" w:rsidR="00A20E5B" w:rsidRPr="007C50E1" w:rsidRDefault="001E7E6C" w:rsidP="00692C78">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fr-FR"/>
        </w:rPr>
      </w:pPr>
      <w:r>
        <w:rPr>
          <w:rStyle w:val="Hyperlink"/>
          <w:rFonts w:cstheme="majorBidi"/>
          <w:color w:val="000000" w:themeColor="text1"/>
          <w:sz w:val="22"/>
          <w:szCs w:val="22"/>
          <w:u w:val="none"/>
          <w:lang w:val="fr-FR"/>
        </w:rPr>
        <w:lastRenderedPageBreak/>
        <w:t xml:space="preserve">Le taux de participation des webinaires a été élevé, avec </w:t>
      </w:r>
      <w:r w:rsidR="00201836" w:rsidRPr="00815248">
        <w:rPr>
          <w:rStyle w:val="Hyperlink"/>
          <w:rFonts w:cstheme="majorBidi"/>
          <w:color w:val="000000" w:themeColor="text1"/>
          <w:sz w:val="22"/>
          <w:szCs w:val="22"/>
          <w:u w:val="none"/>
          <w:lang w:val="fr-FR"/>
        </w:rPr>
        <w:t>un bon équilibre régional comprenant des participants issus du monde universitaire, des entreprises et de la société civile, ainsi que des pays</w:t>
      </w:r>
      <w:r>
        <w:rPr>
          <w:rStyle w:val="Hyperlink"/>
          <w:rFonts w:cstheme="majorBidi"/>
          <w:color w:val="000000" w:themeColor="text1"/>
          <w:sz w:val="22"/>
          <w:szCs w:val="22"/>
          <w:u w:val="none"/>
          <w:lang w:val="fr-FR"/>
        </w:rPr>
        <w:t xml:space="preserve"> étrangers</w:t>
      </w:r>
      <w:r w:rsidR="00201836" w:rsidRPr="00815248">
        <w:rPr>
          <w:rStyle w:val="Hyperlink"/>
          <w:rFonts w:cstheme="majorBidi"/>
          <w:color w:val="000000" w:themeColor="text1"/>
          <w:sz w:val="22"/>
          <w:szCs w:val="22"/>
          <w:u w:val="none"/>
          <w:lang w:val="fr-FR"/>
        </w:rPr>
        <w:t xml:space="preserve">. Les enregistrements de tous les webinaires ainsi que les diapositives PowerPoint, les documents de référence et les documents de synthèse sont </w:t>
      </w:r>
      <w:r w:rsidR="00692C78">
        <w:rPr>
          <w:rStyle w:val="Hyperlink"/>
          <w:rFonts w:cstheme="majorBidi"/>
          <w:color w:val="000000" w:themeColor="text1"/>
          <w:sz w:val="22"/>
          <w:szCs w:val="22"/>
          <w:u w:val="none"/>
          <w:lang w:val="fr-FR"/>
        </w:rPr>
        <w:t>disponibles en ligne</w:t>
      </w:r>
      <w:r w:rsidR="00B455AB">
        <w:rPr>
          <w:rStyle w:val="FootnoteReference"/>
          <w:rFonts w:cstheme="majorBidi"/>
          <w:color w:val="000000" w:themeColor="text1"/>
          <w:szCs w:val="22"/>
          <w:lang w:val="fr-FR"/>
        </w:rPr>
        <w:footnoteReference w:id="13"/>
      </w:r>
      <w:r w:rsidR="00692C78">
        <w:rPr>
          <w:rStyle w:val="Hyperlink"/>
          <w:rFonts w:cstheme="majorBidi"/>
          <w:color w:val="000000" w:themeColor="text1"/>
          <w:sz w:val="22"/>
          <w:szCs w:val="22"/>
          <w:u w:val="none"/>
          <w:lang w:val="fr-FR"/>
        </w:rPr>
        <w:t xml:space="preserve">. Le financement des webinaires a été </w:t>
      </w:r>
      <w:r w:rsidR="0074317F">
        <w:rPr>
          <w:rStyle w:val="Hyperlink"/>
          <w:rFonts w:cstheme="majorBidi"/>
          <w:color w:val="000000" w:themeColor="text1"/>
          <w:sz w:val="22"/>
          <w:szCs w:val="22"/>
          <w:u w:val="none"/>
          <w:lang w:val="fr-FR"/>
        </w:rPr>
        <w:t>rendu possible grâce à</w:t>
      </w:r>
      <w:r w:rsidR="00692C78">
        <w:rPr>
          <w:rStyle w:val="Hyperlink"/>
          <w:rFonts w:cstheme="majorBidi"/>
          <w:color w:val="000000" w:themeColor="text1"/>
          <w:sz w:val="22"/>
          <w:szCs w:val="22"/>
          <w:u w:val="none"/>
          <w:lang w:val="fr-FR"/>
        </w:rPr>
        <w:t xml:space="preserve"> l’Union européenne</w:t>
      </w:r>
      <w:r w:rsidR="0074317F">
        <w:rPr>
          <w:rStyle w:val="Hyperlink"/>
          <w:rFonts w:cstheme="majorBidi"/>
          <w:color w:val="000000" w:themeColor="text1"/>
          <w:sz w:val="22"/>
          <w:szCs w:val="22"/>
          <w:u w:val="none"/>
          <w:lang w:val="fr-FR"/>
        </w:rPr>
        <w:t xml:space="preserve">, et la traduction des diapositives du webinaire 3 a été rendue possible grâce au soutien financier obtenu par l’entremise de l’Initiative de développement des capacités d’accès et de partage des avantages. </w:t>
      </w:r>
    </w:p>
    <w:p w14:paraId="6FA7DCCE" w14:textId="6C3E8C6C" w:rsidR="003E480F" w:rsidRPr="009E4D45" w:rsidRDefault="002A3999" w:rsidP="600202A1">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fr-FR"/>
        </w:rPr>
      </w:pPr>
      <w:r>
        <w:rPr>
          <w:rStyle w:val="normaltextrun"/>
          <w:rFonts w:cstheme="majorBidi"/>
          <w:color w:val="000000"/>
          <w:sz w:val="22"/>
          <w:szCs w:val="22"/>
          <w:shd w:val="clear" w:color="auto" w:fill="FFFFFF"/>
          <w:lang w:val="fr-FR"/>
        </w:rPr>
        <w:t xml:space="preserve">Un </w:t>
      </w:r>
      <w:r w:rsidRPr="002A3999">
        <w:rPr>
          <w:rStyle w:val="normaltextrun"/>
          <w:rFonts w:cstheme="majorBidi"/>
          <w:color w:val="000000"/>
          <w:sz w:val="22"/>
          <w:szCs w:val="22"/>
          <w:shd w:val="clear" w:color="auto" w:fill="FFFFFF"/>
          <w:lang w:val="fr-FR"/>
        </w:rPr>
        <w:t xml:space="preserve">résumé des webinaires 3 et 4 </w:t>
      </w:r>
      <w:r w:rsidR="0074317F">
        <w:rPr>
          <w:rStyle w:val="normaltextrun"/>
          <w:rFonts w:cstheme="majorBidi"/>
          <w:color w:val="000000"/>
          <w:sz w:val="22"/>
          <w:szCs w:val="22"/>
          <w:shd w:val="clear" w:color="auto" w:fill="FFFFFF"/>
          <w:lang w:val="fr-FR"/>
        </w:rPr>
        <w:t>est proposé</w:t>
      </w:r>
      <w:r w:rsidRPr="002A3999">
        <w:rPr>
          <w:rStyle w:val="normaltextrun"/>
          <w:rFonts w:cstheme="majorBidi"/>
          <w:color w:val="000000"/>
          <w:sz w:val="22"/>
          <w:szCs w:val="22"/>
          <w:shd w:val="clear" w:color="auto" w:fill="FFFFFF"/>
          <w:lang w:val="fr-FR"/>
        </w:rPr>
        <w:t xml:space="preserve"> à l'annexe II.</w:t>
      </w:r>
    </w:p>
    <w:p w14:paraId="2F70B588" w14:textId="4EF5D797" w:rsidR="00777B13" w:rsidRPr="009E4D45" w:rsidRDefault="00F750FE" w:rsidP="2B50497A">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fr-FR"/>
        </w:rPr>
      </w:pPr>
      <w:r w:rsidRPr="00F750FE">
        <w:rPr>
          <w:rStyle w:val="normaltextrun"/>
          <w:rFonts w:cstheme="majorBidi"/>
          <w:color w:val="000000"/>
          <w:sz w:val="22"/>
          <w:szCs w:val="22"/>
          <w:shd w:val="clear" w:color="auto" w:fill="FFFFFF"/>
          <w:lang w:val="fr-FR"/>
        </w:rPr>
        <w:t xml:space="preserve">Toujours à la demande des coprésidents du </w:t>
      </w:r>
      <w:r w:rsidR="00953AF9">
        <w:rPr>
          <w:rStyle w:val="normaltextrun"/>
          <w:rFonts w:cstheme="majorBidi"/>
          <w:color w:val="000000"/>
          <w:sz w:val="22"/>
          <w:szCs w:val="22"/>
          <w:shd w:val="clear" w:color="auto" w:fill="FFFFFF"/>
          <w:lang w:val="fr-FR"/>
        </w:rPr>
        <w:t>G</w:t>
      </w:r>
      <w:r w:rsidRPr="00F750FE">
        <w:rPr>
          <w:rStyle w:val="normaltextrun"/>
          <w:rFonts w:cstheme="majorBidi"/>
          <w:color w:val="000000"/>
          <w:sz w:val="22"/>
          <w:szCs w:val="22"/>
          <w:shd w:val="clear" w:color="auto" w:fill="FFFFFF"/>
          <w:lang w:val="fr-FR"/>
        </w:rPr>
        <w:t>roupe de travail, le Secrétariat a organisé un forum de discussion informel en ligne</w:t>
      </w:r>
      <w:r w:rsidR="0074317F">
        <w:rPr>
          <w:rStyle w:val="normaltextrun"/>
          <w:rFonts w:cstheme="majorBidi"/>
          <w:color w:val="000000"/>
          <w:sz w:val="22"/>
          <w:szCs w:val="22"/>
          <w:shd w:val="clear" w:color="auto" w:fill="FFFFFF"/>
          <w:lang w:val="fr-FR"/>
        </w:rPr>
        <w:t>,</w:t>
      </w:r>
      <w:r w:rsidRPr="00F750FE">
        <w:rPr>
          <w:rStyle w:val="normaltextrun"/>
          <w:rFonts w:cstheme="majorBidi"/>
          <w:color w:val="000000"/>
          <w:sz w:val="22"/>
          <w:szCs w:val="22"/>
          <w:shd w:val="clear" w:color="auto" w:fill="FFFFFF"/>
          <w:lang w:val="fr-FR"/>
        </w:rPr>
        <w:t xml:space="preserve"> afin d'échanger des informations et des points de vue sur les options stratégiques et les critères de </w:t>
      </w:r>
      <w:r w:rsidR="0074317F">
        <w:rPr>
          <w:rStyle w:val="normaltextrun"/>
          <w:rFonts w:cstheme="majorBidi"/>
          <w:color w:val="000000"/>
          <w:sz w:val="22"/>
          <w:szCs w:val="22"/>
          <w:shd w:val="clear" w:color="auto" w:fill="FFFFFF"/>
          <w:lang w:val="fr-FR"/>
        </w:rPr>
        <w:t>l’INS</w:t>
      </w:r>
      <w:r w:rsidRPr="00F750FE">
        <w:rPr>
          <w:rStyle w:val="normaltextrun"/>
          <w:rFonts w:cstheme="majorBidi"/>
          <w:color w:val="000000"/>
          <w:sz w:val="22"/>
          <w:szCs w:val="22"/>
          <w:shd w:val="clear" w:color="auto" w:fill="FFFFFF"/>
          <w:lang w:val="fr-FR"/>
        </w:rPr>
        <w:t>. Le</w:t>
      </w:r>
      <w:r w:rsidR="00331DF1">
        <w:rPr>
          <w:rStyle w:val="normaltextrun"/>
          <w:rFonts w:cstheme="majorBidi"/>
          <w:color w:val="000000"/>
          <w:sz w:val="22"/>
          <w:szCs w:val="22"/>
          <w:shd w:val="clear" w:color="auto" w:fill="FFFFFF"/>
          <w:lang w:val="fr-FR"/>
        </w:rPr>
        <w:t xml:space="preserve"> forum a été présenté </w:t>
      </w:r>
      <w:r w:rsidR="00331DF1" w:rsidRPr="00F750FE">
        <w:rPr>
          <w:rStyle w:val="normaltextrun"/>
          <w:rFonts w:cstheme="majorBidi"/>
          <w:color w:val="000000"/>
          <w:sz w:val="22"/>
          <w:szCs w:val="22"/>
          <w:shd w:val="clear" w:color="auto" w:fill="FFFFFF"/>
          <w:lang w:val="fr-FR"/>
        </w:rPr>
        <w:t xml:space="preserve">du 21 avril au 3 mai 2021 </w:t>
      </w:r>
      <w:r w:rsidR="00331DF1">
        <w:rPr>
          <w:rStyle w:val="normaltextrun"/>
          <w:rFonts w:cstheme="majorBidi"/>
          <w:color w:val="000000"/>
          <w:sz w:val="22"/>
          <w:szCs w:val="22"/>
          <w:shd w:val="clear" w:color="auto" w:fill="FFFFFF"/>
          <w:lang w:val="fr-FR"/>
        </w:rPr>
        <w:t>et les publications et commentaires de discussion sont offerts en ligne</w:t>
      </w:r>
      <w:r w:rsidR="00331DF1" w:rsidRPr="00475A76">
        <w:rPr>
          <w:rStyle w:val="FootnoteReference"/>
          <w:color w:val="000000"/>
          <w:szCs w:val="22"/>
          <w:shd w:val="clear" w:color="auto" w:fill="FFFFFF"/>
          <w:lang w:val="en-GB"/>
        </w:rPr>
        <w:footnoteReference w:id="14"/>
      </w:r>
      <w:r w:rsidR="000D5579">
        <w:rPr>
          <w:rStyle w:val="normaltextrun"/>
          <w:rFonts w:cstheme="majorBidi"/>
          <w:color w:val="000000"/>
          <w:sz w:val="22"/>
          <w:szCs w:val="22"/>
          <w:shd w:val="clear" w:color="auto" w:fill="FFFFFF"/>
          <w:lang w:val="fr-FR"/>
        </w:rPr>
        <w:t>. U</w:t>
      </w:r>
      <w:r w:rsidRPr="00F750FE">
        <w:rPr>
          <w:rStyle w:val="normaltextrun"/>
          <w:rFonts w:cstheme="majorBidi"/>
          <w:color w:val="000000"/>
          <w:sz w:val="22"/>
          <w:szCs w:val="22"/>
          <w:shd w:val="clear" w:color="auto" w:fill="FFFFFF"/>
          <w:lang w:val="fr-FR"/>
        </w:rPr>
        <w:t xml:space="preserve">n résumé des points soulevés </w:t>
      </w:r>
      <w:r w:rsidR="000D5579">
        <w:rPr>
          <w:rStyle w:val="normaltextrun"/>
          <w:rFonts w:cstheme="majorBidi"/>
          <w:color w:val="000000"/>
          <w:sz w:val="22"/>
          <w:szCs w:val="22"/>
          <w:shd w:val="clear" w:color="auto" w:fill="FFFFFF"/>
          <w:lang w:val="fr-FR"/>
        </w:rPr>
        <w:t xml:space="preserve">est </w:t>
      </w:r>
      <w:r w:rsidR="00331DF1">
        <w:rPr>
          <w:rStyle w:val="normaltextrun"/>
          <w:rFonts w:cstheme="majorBidi"/>
          <w:color w:val="000000"/>
          <w:sz w:val="22"/>
          <w:szCs w:val="22"/>
          <w:shd w:val="clear" w:color="auto" w:fill="FFFFFF"/>
          <w:lang w:val="fr-FR"/>
        </w:rPr>
        <w:t>présenté à l'annexe </w:t>
      </w:r>
      <w:r w:rsidRPr="00F750FE">
        <w:rPr>
          <w:rStyle w:val="normaltextrun"/>
          <w:rFonts w:cstheme="majorBidi"/>
          <w:color w:val="000000"/>
          <w:sz w:val="22"/>
          <w:szCs w:val="22"/>
          <w:shd w:val="clear" w:color="auto" w:fill="FFFFFF"/>
          <w:lang w:val="fr-FR"/>
        </w:rPr>
        <w:t>III</w:t>
      </w:r>
      <w:r w:rsidR="00331DF1">
        <w:rPr>
          <w:rStyle w:val="normaltextrun"/>
          <w:rFonts w:cstheme="majorBidi"/>
          <w:color w:val="000000"/>
          <w:sz w:val="22"/>
          <w:szCs w:val="22"/>
          <w:shd w:val="clear" w:color="auto" w:fill="FFFFFF"/>
          <w:lang w:val="fr-FR"/>
        </w:rPr>
        <w:t>, ci-dessous</w:t>
      </w:r>
      <w:r w:rsidRPr="00F750FE">
        <w:rPr>
          <w:rStyle w:val="normaltextrun"/>
          <w:rFonts w:cstheme="majorBidi"/>
          <w:color w:val="000000"/>
          <w:sz w:val="22"/>
          <w:szCs w:val="22"/>
          <w:shd w:val="clear" w:color="auto" w:fill="FFFFFF"/>
          <w:lang w:val="fr-FR"/>
        </w:rPr>
        <w:t>. Les trois thèmes de discussion étaient les suivants</w:t>
      </w:r>
      <w:r w:rsidR="00D813D5">
        <w:rPr>
          <w:rStyle w:val="normaltextrun"/>
          <w:rFonts w:cstheme="majorBidi"/>
          <w:color w:val="000000"/>
          <w:sz w:val="22"/>
          <w:szCs w:val="22"/>
          <w:shd w:val="clear" w:color="auto" w:fill="FFFFFF"/>
          <w:lang w:val="fr-FR"/>
        </w:rPr>
        <w:t> :</w:t>
      </w:r>
    </w:p>
    <w:p w14:paraId="11F0E88B" w14:textId="0B7155C2" w:rsidR="00777B13" w:rsidRPr="009E4D45" w:rsidRDefault="00F750FE" w:rsidP="002A2C93">
      <w:pPr>
        <w:pStyle w:val="paragraph"/>
        <w:numPr>
          <w:ilvl w:val="1"/>
          <w:numId w:val="28"/>
        </w:numPr>
        <w:spacing w:before="120" w:beforeAutospacing="0" w:after="120" w:afterAutospacing="0"/>
        <w:ind w:hanging="720"/>
        <w:jc w:val="both"/>
        <w:textAlignment w:val="baseline"/>
        <w:rPr>
          <w:rStyle w:val="normaltextrun"/>
          <w:rFonts w:eastAsia="Malgun Gothic" w:cstheme="majorBidi"/>
          <w:sz w:val="22"/>
          <w:szCs w:val="22"/>
          <w:lang w:val="fr-FR"/>
        </w:rPr>
      </w:pPr>
      <w:r w:rsidRPr="00F750FE">
        <w:rPr>
          <w:rStyle w:val="normaltextrun"/>
          <w:rFonts w:cstheme="majorBidi"/>
          <w:color w:val="000000"/>
          <w:sz w:val="22"/>
          <w:szCs w:val="22"/>
          <w:shd w:val="clear" w:color="auto" w:fill="FFFFFF"/>
          <w:lang w:val="fr-FR"/>
        </w:rPr>
        <w:t xml:space="preserve">Catégories d'options </w:t>
      </w:r>
      <w:r w:rsidR="000D5579">
        <w:rPr>
          <w:rStyle w:val="normaltextrun"/>
          <w:rFonts w:cstheme="majorBidi"/>
          <w:color w:val="000000"/>
          <w:sz w:val="22"/>
          <w:szCs w:val="22"/>
          <w:shd w:val="clear" w:color="auto" w:fill="FFFFFF"/>
          <w:lang w:val="fr-FR"/>
        </w:rPr>
        <w:t>stratégiques</w:t>
      </w:r>
      <w:r w:rsidRPr="00F750FE">
        <w:rPr>
          <w:rStyle w:val="normaltextrun"/>
          <w:rFonts w:cstheme="majorBidi"/>
          <w:color w:val="000000"/>
          <w:sz w:val="22"/>
          <w:szCs w:val="22"/>
          <w:shd w:val="clear" w:color="auto" w:fill="FFFFFF"/>
          <w:lang w:val="fr-FR"/>
        </w:rPr>
        <w:t xml:space="preserve"> et autres options ;</w:t>
      </w:r>
    </w:p>
    <w:p w14:paraId="6215D092" w14:textId="739EA008" w:rsidR="00777B13" w:rsidRPr="009E4D45" w:rsidRDefault="00F750FE" w:rsidP="00D17A30">
      <w:pPr>
        <w:pStyle w:val="paragraph"/>
        <w:numPr>
          <w:ilvl w:val="1"/>
          <w:numId w:val="28"/>
        </w:numPr>
        <w:spacing w:before="120" w:beforeAutospacing="0" w:after="120" w:afterAutospacing="0"/>
        <w:ind w:left="0" w:firstLine="709"/>
        <w:jc w:val="both"/>
        <w:textAlignment w:val="baseline"/>
        <w:rPr>
          <w:rStyle w:val="normaltextrun"/>
          <w:rFonts w:eastAsia="Malgun Gothic" w:cstheme="majorBidi"/>
          <w:sz w:val="22"/>
          <w:szCs w:val="22"/>
          <w:lang w:val="fr-FR"/>
        </w:rPr>
      </w:pPr>
      <w:r w:rsidRPr="00F750FE">
        <w:rPr>
          <w:rStyle w:val="normaltextrun"/>
          <w:rFonts w:cstheme="majorBidi"/>
          <w:color w:val="000000"/>
          <w:sz w:val="22"/>
          <w:szCs w:val="22"/>
          <w:shd w:val="clear" w:color="auto" w:fill="FFFFFF"/>
          <w:lang w:val="fr-FR"/>
        </w:rPr>
        <w:t xml:space="preserve">Cadre de critères pour l'évaluation des options </w:t>
      </w:r>
      <w:r w:rsidR="000D5579">
        <w:rPr>
          <w:rStyle w:val="normaltextrun"/>
          <w:rFonts w:cstheme="majorBidi"/>
          <w:color w:val="000000"/>
          <w:sz w:val="22"/>
          <w:szCs w:val="22"/>
          <w:shd w:val="clear" w:color="auto" w:fill="FFFFFF"/>
          <w:lang w:val="fr-FR"/>
        </w:rPr>
        <w:t>stratégiques</w:t>
      </w:r>
      <w:r w:rsidRPr="00F750FE">
        <w:rPr>
          <w:rStyle w:val="normaltextrun"/>
          <w:rFonts w:cstheme="majorBidi"/>
          <w:color w:val="000000"/>
          <w:sz w:val="22"/>
          <w:szCs w:val="22"/>
          <w:shd w:val="clear" w:color="auto" w:fill="FFFFFF"/>
          <w:lang w:val="fr-FR"/>
        </w:rPr>
        <w:t xml:space="preserve"> ;</w:t>
      </w:r>
    </w:p>
    <w:p w14:paraId="292B0FAA" w14:textId="5325B490" w:rsidR="00777B13" w:rsidRPr="00F750FE" w:rsidRDefault="00F750FE" w:rsidP="00D17A30">
      <w:pPr>
        <w:pStyle w:val="paragraph"/>
        <w:numPr>
          <w:ilvl w:val="1"/>
          <w:numId w:val="28"/>
        </w:numPr>
        <w:spacing w:before="120" w:beforeAutospacing="0" w:after="120" w:afterAutospacing="0"/>
        <w:ind w:left="0" w:firstLine="709"/>
        <w:jc w:val="both"/>
        <w:textAlignment w:val="baseline"/>
        <w:rPr>
          <w:rStyle w:val="normaltextrun"/>
          <w:rFonts w:eastAsia="Malgun Gothic" w:cstheme="majorBidi"/>
          <w:sz w:val="22"/>
          <w:szCs w:val="22"/>
          <w:lang w:val="fr-FR"/>
        </w:rPr>
      </w:pPr>
      <w:r w:rsidRPr="00F750FE">
        <w:rPr>
          <w:rStyle w:val="normaltextrun"/>
          <w:rFonts w:cstheme="majorBidi"/>
          <w:color w:val="000000"/>
          <w:sz w:val="22"/>
          <w:szCs w:val="22"/>
          <w:shd w:val="clear" w:color="auto" w:fill="FFFFFF"/>
          <w:lang w:val="fr-FR"/>
        </w:rPr>
        <w:t xml:space="preserve">Faisabilité et pertinence des options </w:t>
      </w:r>
      <w:r w:rsidR="000D5579">
        <w:rPr>
          <w:rStyle w:val="normaltextrun"/>
          <w:rFonts w:cstheme="majorBidi"/>
          <w:color w:val="000000"/>
          <w:sz w:val="22"/>
          <w:szCs w:val="22"/>
          <w:shd w:val="clear" w:color="auto" w:fill="FFFFFF"/>
          <w:lang w:val="fr-FR"/>
        </w:rPr>
        <w:t>stratégiques</w:t>
      </w:r>
      <w:r w:rsidRPr="00F750FE">
        <w:rPr>
          <w:rStyle w:val="normaltextrun"/>
          <w:rFonts w:cstheme="majorBidi"/>
          <w:color w:val="000000"/>
          <w:sz w:val="22"/>
          <w:szCs w:val="22"/>
          <w:shd w:val="clear" w:color="auto" w:fill="FFFFFF"/>
          <w:lang w:val="fr-FR"/>
        </w:rPr>
        <w:t>.</w:t>
      </w:r>
    </w:p>
    <w:p w14:paraId="3AB53617" w14:textId="215834E0" w:rsidR="00C835B9" w:rsidRPr="009E4D45" w:rsidRDefault="002A3999" w:rsidP="00D17A30">
      <w:pPr>
        <w:pStyle w:val="paragraph"/>
        <w:numPr>
          <w:ilvl w:val="0"/>
          <w:numId w:val="20"/>
        </w:numPr>
        <w:spacing w:before="120" w:beforeAutospacing="0" w:after="120" w:afterAutospacing="0"/>
        <w:ind w:left="0" w:firstLine="0"/>
        <w:jc w:val="both"/>
        <w:textAlignment w:val="baseline"/>
        <w:rPr>
          <w:rFonts w:eastAsiaTheme="majorBidi" w:cstheme="majorBidi"/>
          <w:color w:val="000000"/>
          <w:sz w:val="22"/>
          <w:szCs w:val="22"/>
          <w:shd w:val="clear" w:color="auto" w:fill="FFFFFF"/>
          <w:lang w:val="fr-FR"/>
        </w:rPr>
      </w:pPr>
      <w:r w:rsidRPr="002A3999">
        <w:rPr>
          <w:rStyle w:val="normaltextrun"/>
          <w:rFonts w:cstheme="majorBidi"/>
          <w:color w:val="000000"/>
          <w:sz w:val="22"/>
          <w:szCs w:val="22"/>
          <w:shd w:val="clear" w:color="auto" w:fill="FFFFFF"/>
          <w:lang w:val="fr-FR"/>
        </w:rPr>
        <w:t xml:space="preserve">Les conversations ont porté sur </w:t>
      </w:r>
      <w:r w:rsidR="002A2C93">
        <w:rPr>
          <w:rStyle w:val="normaltextrun"/>
          <w:rFonts w:cstheme="majorBidi"/>
          <w:color w:val="000000"/>
          <w:sz w:val="22"/>
          <w:szCs w:val="22"/>
          <w:shd w:val="clear" w:color="auto" w:fill="FFFFFF"/>
          <w:lang w:val="fr-FR"/>
        </w:rPr>
        <w:t xml:space="preserve">des idées générales entourant </w:t>
      </w:r>
      <w:r w:rsidRPr="002A3999">
        <w:rPr>
          <w:rStyle w:val="normaltextrun"/>
          <w:rFonts w:cstheme="majorBidi"/>
          <w:color w:val="000000"/>
          <w:sz w:val="22"/>
          <w:szCs w:val="22"/>
          <w:shd w:val="clear" w:color="auto" w:fill="FFFFFF"/>
          <w:lang w:val="fr-FR"/>
        </w:rPr>
        <w:t xml:space="preserve">l'accès aux données, </w:t>
      </w:r>
      <w:r w:rsidR="009C4BD3">
        <w:rPr>
          <w:rStyle w:val="normaltextrun"/>
          <w:rFonts w:cstheme="majorBidi"/>
          <w:color w:val="000000"/>
          <w:sz w:val="22"/>
          <w:szCs w:val="22"/>
          <w:shd w:val="clear" w:color="auto" w:fill="FFFFFF"/>
          <w:lang w:val="fr-FR"/>
        </w:rPr>
        <w:t>sur les</w:t>
      </w:r>
      <w:r w:rsidRPr="002A3999">
        <w:rPr>
          <w:rStyle w:val="normaltextrun"/>
          <w:rFonts w:cstheme="majorBidi"/>
          <w:color w:val="000000"/>
          <w:sz w:val="22"/>
          <w:szCs w:val="22"/>
          <w:shd w:val="clear" w:color="auto" w:fill="FFFFFF"/>
          <w:lang w:val="fr-FR"/>
        </w:rPr>
        <w:t xml:space="preserve"> besoins de conservation, </w:t>
      </w:r>
      <w:r w:rsidR="009C4BD3">
        <w:rPr>
          <w:rStyle w:val="normaltextrun"/>
          <w:rFonts w:cstheme="majorBidi"/>
          <w:color w:val="000000"/>
          <w:sz w:val="22"/>
          <w:szCs w:val="22"/>
          <w:shd w:val="clear" w:color="auto" w:fill="FFFFFF"/>
          <w:lang w:val="fr-FR"/>
        </w:rPr>
        <w:t xml:space="preserve">sur </w:t>
      </w:r>
      <w:r w:rsidRPr="002A3999">
        <w:rPr>
          <w:rStyle w:val="normaltextrun"/>
          <w:rFonts w:cstheme="majorBidi"/>
          <w:color w:val="000000"/>
          <w:sz w:val="22"/>
          <w:szCs w:val="22"/>
          <w:shd w:val="clear" w:color="auto" w:fill="FFFFFF"/>
          <w:lang w:val="fr-FR"/>
        </w:rPr>
        <w:t xml:space="preserve">les processus pour aller de l'avant et les considérations relatives aux avantages non monétaires. Les discussions sur les options </w:t>
      </w:r>
      <w:r w:rsidR="000D5579">
        <w:rPr>
          <w:rStyle w:val="normaltextrun"/>
          <w:rFonts w:cstheme="majorBidi"/>
          <w:color w:val="000000"/>
          <w:sz w:val="22"/>
          <w:szCs w:val="22"/>
          <w:shd w:val="clear" w:color="auto" w:fill="FFFFFF"/>
          <w:lang w:val="fr-FR"/>
        </w:rPr>
        <w:t>stratégiques</w:t>
      </w:r>
      <w:r w:rsidRPr="002A3999">
        <w:rPr>
          <w:rStyle w:val="normaltextrun"/>
          <w:rFonts w:cstheme="majorBidi"/>
          <w:color w:val="000000"/>
          <w:sz w:val="22"/>
          <w:szCs w:val="22"/>
          <w:shd w:val="clear" w:color="auto" w:fill="FFFFFF"/>
          <w:lang w:val="fr-FR"/>
        </w:rPr>
        <w:t xml:space="preserve"> ont porté sur les modalités potentielles des diverses options </w:t>
      </w:r>
      <w:r w:rsidR="000D5579">
        <w:rPr>
          <w:rStyle w:val="normaltextrun"/>
          <w:rFonts w:cstheme="majorBidi"/>
          <w:color w:val="000000"/>
          <w:sz w:val="22"/>
          <w:szCs w:val="22"/>
          <w:shd w:val="clear" w:color="auto" w:fill="FFFFFF"/>
          <w:lang w:val="fr-FR"/>
        </w:rPr>
        <w:t>stratégiques</w:t>
      </w:r>
      <w:r w:rsidRPr="002A3999">
        <w:rPr>
          <w:rStyle w:val="normaltextrun"/>
          <w:rFonts w:cstheme="majorBidi"/>
          <w:color w:val="000000"/>
          <w:sz w:val="22"/>
          <w:szCs w:val="22"/>
          <w:shd w:val="clear" w:color="auto" w:fill="FFFFFF"/>
          <w:lang w:val="fr-FR"/>
        </w:rPr>
        <w:t xml:space="preserve">, en particulier un éventuel fonds multilatéral, les arguments pour ou contre chaque option, et </w:t>
      </w:r>
      <w:r w:rsidR="00D30F4D">
        <w:rPr>
          <w:rStyle w:val="normaltextrun"/>
          <w:rFonts w:cstheme="majorBidi"/>
          <w:color w:val="000000"/>
          <w:sz w:val="22"/>
          <w:szCs w:val="22"/>
          <w:shd w:val="clear" w:color="auto" w:fill="FFFFFF"/>
          <w:lang w:val="fr-FR"/>
        </w:rPr>
        <w:t>l’étendue des options stratégiques</w:t>
      </w:r>
      <w:r w:rsidRPr="002A3999">
        <w:rPr>
          <w:rStyle w:val="normaltextrun"/>
          <w:rFonts w:cstheme="majorBidi"/>
          <w:color w:val="000000"/>
          <w:sz w:val="22"/>
          <w:szCs w:val="22"/>
          <w:shd w:val="clear" w:color="auto" w:fill="FFFFFF"/>
          <w:lang w:val="fr-FR"/>
        </w:rPr>
        <w:t xml:space="preserve">. La discussion sur les critères </w:t>
      </w:r>
      <w:r w:rsidR="00D30F4D">
        <w:rPr>
          <w:rStyle w:val="normaltextrun"/>
          <w:rFonts w:cstheme="majorBidi"/>
          <w:color w:val="000000"/>
          <w:sz w:val="22"/>
          <w:szCs w:val="22"/>
          <w:shd w:val="clear" w:color="auto" w:fill="FFFFFF"/>
          <w:lang w:val="fr-FR"/>
        </w:rPr>
        <w:t>ont</w:t>
      </w:r>
      <w:r w:rsidRPr="002A3999">
        <w:rPr>
          <w:rStyle w:val="normaltextrun"/>
          <w:rFonts w:cstheme="majorBidi"/>
          <w:color w:val="000000"/>
          <w:sz w:val="22"/>
          <w:szCs w:val="22"/>
          <w:shd w:val="clear" w:color="auto" w:fill="FFFFFF"/>
          <w:lang w:val="fr-FR"/>
        </w:rPr>
        <w:t xml:space="preserve"> mis </w:t>
      </w:r>
      <w:r w:rsidR="002A2C93">
        <w:rPr>
          <w:rStyle w:val="normaltextrun"/>
          <w:rFonts w:cstheme="majorBidi"/>
          <w:color w:val="000000"/>
          <w:sz w:val="22"/>
          <w:szCs w:val="22"/>
          <w:shd w:val="clear" w:color="auto" w:fill="FFFFFF"/>
          <w:lang w:val="fr-FR"/>
        </w:rPr>
        <w:t xml:space="preserve">fortement </w:t>
      </w:r>
      <w:r w:rsidRPr="002A3999">
        <w:rPr>
          <w:rStyle w:val="normaltextrun"/>
          <w:rFonts w:cstheme="majorBidi"/>
          <w:color w:val="000000"/>
          <w:sz w:val="22"/>
          <w:szCs w:val="22"/>
          <w:shd w:val="clear" w:color="auto" w:fill="FFFFFF"/>
          <w:lang w:val="fr-FR"/>
        </w:rPr>
        <w:t xml:space="preserve">l'accent sur la distribution des fonds </w:t>
      </w:r>
      <w:r w:rsidR="00D30F4D">
        <w:rPr>
          <w:rStyle w:val="normaltextrun"/>
          <w:rFonts w:cstheme="majorBidi"/>
          <w:color w:val="000000"/>
          <w:sz w:val="22"/>
          <w:szCs w:val="22"/>
          <w:shd w:val="clear" w:color="auto" w:fill="FFFFFF"/>
          <w:lang w:val="fr-FR"/>
        </w:rPr>
        <w:t>recueillis</w:t>
      </w:r>
      <w:r w:rsidR="002A2C93">
        <w:rPr>
          <w:rStyle w:val="normaltextrun"/>
          <w:rFonts w:cstheme="majorBidi"/>
          <w:color w:val="000000"/>
          <w:sz w:val="22"/>
          <w:szCs w:val="22"/>
          <w:shd w:val="clear" w:color="auto" w:fill="FFFFFF"/>
          <w:lang w:val="fr-FR"/>
        </w:rPr>
        <w:t xml:space="preserve">. Enfin, les discussions sur les critères </w:t>
      </w:r>
      <w:r w:rsidR="00BC07C6">
        <w:rPr>
          <w:rStyle w:val="normaltextrun"/>
          <w:rFonts w:cstheme="majorBidi"/>
          <w:color w:val="000000"/>
          <w:sz w:val="22"/>
          <w:szCs w:val="22"/>
          <w:shd w:val="clear" w:color="auto" w:fill="FFFFFF"/>
          <w:lang w:val="fr-FR"/>
        </w:rPr>
        <w:t xml:space="preserve">appliquées aux options stratégiques </w:t>
      </w:r>
      <w:r w:rsidRPr="002A3999">
        <w:rPr>
          <w:rStyle w:val="normaltextrun"/>
          <w:rFonts w:cstheme="majorBidi"/>
          <w:color w:val="000000"/>
          <w:sz w:val="22"/>
          <w:szCs w:val="22"/>
          <w:shd w:val="clear" w:color="auto" w:fill="FFFFFF"/>
          <w:lang w:val="fr-FR"/>
        </w:rPr>
        <w:t>ont mis en évidence la nécessité de mieux comprendre le flux global des avantages monétaires, la compréhension commune des aspects économiques des options</w:t>
      </w:r>
      <w:r w:rsidR="00377538">
        <w:rPr>
          <w:rStyle w:val="normaltextrun"/>
          <w:rFonts w:cstheme="majorBidi"/>
          <w:color w:val="000000"/>
          <w:sz w:val="22"/>
          <w:szCs w:val="22"/>
          <w:shd w:val="clear" w:color="auto" w:fill="FFFFFF"/>
          <w:lang w:val="fr-FR"/>
        </w:rPr>
        <w:t xml:space="preserve"> proposées</w:t>
      </w:r>
      <w:r w:rsidRPr="002A3999">
        <w:rPr>
          <w:rStyle w:val="normaltextrun"/>
          <w:rFonts w:cstheme="majorBidi"/>
          <w:color w:val="000000"/>
          <w:sz w:val="22"/>
          <w:szCs w:val="22"/>
          <w:shd w:val="clear" w:color="auto" w:fill="FFFFFF"/>
          <w:lang w:val="fr-FR"/>
        </w:rPr>
        <w:t xml:space="preserve">, la portée juridique, une meilleure compréhension et le développement de solutions pour le renforcement des capacités, et la manière d'appliquer les </w:t>
      </w:r>
      <w:r w:rsidR="009C4BD3">
        <w:rPr>
          <w:rStyle w:val="normaltextrun"/>
          <w:rFonts w:cstheme="majorBidi"/>
          <w:color w:val="000000"/>
          <w:sz w:val="22"/>
          <w:szCs w:val="22"/>
          <w:shd w:val="clear" w:color="auto" w:fill="FFFFFF"/>
          <w:lang w:val="fr-FR"/>
        </w:rPr>
        <w:t>enseignements</w:t>
      </w:r>
      <w:r w:rsidRPr="002A3999">
        <w:rPr>
          <w:rStyle w:val="normaltextrun"/>
          <w:rFonts w:cstheme="majorBidi"/>
          <w:color w:val="000000"/>
          <w:sz w:val="22"/>
          <w:szCs w:val="22"/>
          <w:shd w:val="clear" w:color="auto" w:fill="FFFFFF"/>
          <w:lang w:val="fr-FR"/>
        </w:rPr>
        <w:t xml:space="preserve"> tiré</w:t>
      </w:r>
      <w:r w:rsidR="009C4BD3">
        <w:rPr>
          <w:rStyle w:val="normaltextrun"/>
          <w:rFonts w:cstheme="majorBidi"/>
          <w:color w:val="000000"/>
          <w:sz w:val="22"/>
          <w:szCs w:val="22"/>
          <w:shd w:val="clear" w:color="auto" w:fill="FFFFFF"/>
          <w:lang w:val="fr-FR"/>
        </w:rPr>
        <w:t>s</w:t>
      </w:r>
      <w:r w:rsidRPr="002A3999">
        <w:rPr>
          <w:rStyle w:val="normaltextrun"/>
          <w:rFonts w:cstheme="majorBidi"/>
          <w:color w:val="000000"/>
          <w:sz w:val="22"/>
          <w:szCs w:val="22"/>
          <w:shd w:val="clear" w:color="auto" w:fill="FFFFFF"/>
          <w:lang w:val="fr-FR"/>
        </w:rPr>
        <w:t xml:space="preserve"> du passé et d</w:t>
      </w:r>
      <w:r w:rsidR="00377538">
        <w:rPr>
          <w:rStyle w:val="normaltextrun"/>
          <w:rFonts w:cstheme="majorBidi"/>
          <w:color w:val="000000"/>
          <w:sz w:val="22"/>
          <w:szCs w:val="22"/>
          <w:shd w:val="clear" w:color="auto" w:fill="FFFFFF"/>
          <w:lang w:val="fr-FR"/>
        </w:rPr>
        <w:t>es a</w:t>
      </w:r>
      <w:r w:rsidRPr="002A3999">
        <w:rPr>
          <w:rStyle w:val="normaltextrun"/>
          <w:rFonts w:cstheme="majorBidi"/>
          <w:color w:val="000000"/>
          <w:sz w:val="22"/>
          <w:szCs w:val="22"/>
          <w:shd w:val="clear" w:color="auto" w:fill="FFFFFF"/>
          <w:lang w:val="fr-FR"/>
        </w:rPr>
        <w:t xml:space="preserve">utres forums internationaux. </w:t>
      </w:r>
      <w:r w:rsidR="00BC07C6">
        <w:rPr>
          <w:rStyle w:val="normaltextrun"/>
          <w:rFonts w:cstheme="majorBidi"/>
          <w:color w:val="000000"/>
          <w:sz w:val="22"/>
          <w:szCs w:val="22"/>
          <w:shd w:val="clear" w:color="auto" w:fill="FFFFFF"/>
          <w:lang w:val="fr-FR"/>
        </w:rPr>
        <w:t>Il est à préciser que ce</w:t>
      </w:r>
      <w:r w:rsidRPr="002A3999">
        <w:rPr>
          <w:rStyle w:val="normaltextrun"/>
          <w:rFonts w:cstheme="majorBidi"/>
          <w:color w:val="000000"/>
          <w:sz w:val="22"/>
          <w:szCs w:val="22"/>
          <w:shd w:val="clear" w:color="auto" w:fill="FFFFFF"/>
          <w:lang w:val="fr-FR"/>
        </w:rPr>
        <w:t xml:space="preserve"> forum de discussion informel est un recueil d'opinions et d'observations personnelles.</w:t>
      </w:r>
    </w:p>
    <w:p w14:paraId="15EE326B" w14:textId="3FF3D575" w:rsidR="002D5309" w:rsidRPr="009E4D45" w:rsidRDefault="002A3999" w:rsidP="00D17A30">
      <w:pPr>
        <w:pStyle w:val="paragraph"/>
        <w:numPr>
          <w:ilvl w:val="0"/>
          <w:numId w:val="20"/>
        </w:numPr>
        <w:spacing w:before="120" w:beforeAutospacing="0" w:after="120" w:afterAutospacing="0"/>
        <w:ind w:left="0" w:firstLine="0"/>
        <w:jc w:val="both"/>
        <w:textAlignment w:val="baseline"/>
        <w:rPr>
          <w:rFonts w:eastAsiaTheme="majorBidi" w:cstheme="majorBidi"/>
          <w:color w:val="000000" w:themeColor="text1"/>
          <w:sz w:val="22"/>
          <w:szCs w:val="22"/>
          <w:lang w:val="fr-FR"/>
        </w:rPr>
      </w:pPr>
      <w:r w:rsidRPr="002A3999">
        <w:rPr>
          <w:rStyle w:val="normaltextrun"/>
          <w:rFonts w:cstheme="majorBidi"/>
          <w:color w:val="000000" w:themeColor="text1"/>
          <w:sz w:val="22"/>
          <w:szCs w:val="22"/>
          <w:lang w:val="fr-FR"/>
        </w:rPr>
        <w:t xml:space="preserve">D'autres dialogues ont été organisés par des Parties et des organisations. Notamment, l'Initiative de développement des capacités en matière d'APA, avec le parrainage de la Norvège et de l'Afrique du Sud, a organisé le premier dialogue mondial sur l'information </w:t>
      </w:r>
      <w:r w:rsidR="009C4BD3">
        <w:rPr>
          <w:rStyle w:val="normaltextrun"/>
          <w:rFonts w:cstheme="majorBidi"/>
          <w:color w:val="000000" w:themeColor="text1"/>
          <w:sz w:val="22"/>
          <w:szCs w:val="22"/>
          <w:lang w:val="fr-FR"/>
        </w:rPr>
        <w:t>de</w:t>
      </w:r>
      <w:r w:rsidRPr="002A3999">
        <w:rPr>
          <w:rStyle w:val="normaltextrun"/>
          <w:rFonts w:cstheme="majorBidi"/>
          <w:color w:val="000000" w:themeColor="text1"/>
          <w:sz w:val="22"/>
          <w:szCs w:val="22"/>
          <w:lang w:val="fr-FR"/>
        </w:rPr>
        <w:t xml:space="preserve"> séquen</w:t>
      </w:r>
      <w:r w:rsidR="00B1094A">
        <w:rPr>
          <w:rStyle w:val="normaltextrun"/>
          <w:rFonts w:cstheme="majorBidi"/>
          <w:color w:val="000000" w:themeColor="text1"/>
          <w:sz w:val="22"/>
          <w:szCs w:val="22"/>
          <w:lang w:val="fr-FR"/>
        </w:rPr>
        <w:t>çage</w:t>
      </w:r>
      <w:r w:rsidRPr="002A3999">
        <w:rPr>
          <w:rStyle w:val="normaltextrun"/>
          <w:rFonts w:cstheme="majorBidi"/>
          <w:color w:val="000000" w:themeColor="text1"/>
          <w:sz w:val="22"/>
          <w:szCs w:val="22"/>
          <w:lang w:val="fr-FR"/>
        </w:rPr>
        <w:t xml:space="preserve"> numérique </w:t>
      </w:r>
      <w:r w:rsidR="00B1094A">
        <w:rPr>
          <w:rStyle w:val="normaltextrun"/>
          <w:rFonts w:cstheme="majorBidi"/>
          <w:color w:val="000000" w:themeColor="text1"/>
          <w:sz w:val="22"/>
          <w:szCs w:val="22"/>
          <w:lang w:val="fr-FR"/>
        </w:rPr>
        <w:t>sur les</w:t>
      </w:r>
      <w:r w:rsidRPr="002A3999">
        <w:rPr>
          <w:rStyle w:val="normaltextrun"/>
          <w:rFonts w:cstheme="majorBidi"/>
          <w:color w:val="000000" w:themeColor="text1"/>
          <w:sz w:val="22"/>
          <w:szCs w:val="22"/>
          <w:lang w:val="fr-FR"/>
        </w:rPr>
        <w:t xml:space="preserve"> ressources génétiques</w:t>
      </w:r>
      <w:r w:rsidR="00BC07C6">
        <w:rPr>
          <w:rStyle w:val="normaltextrun"/>
          <w:rFonts w:cstheme="majorBidi"/>
          <w:color w:val="000000" w:themeColor="text1"/>
          <w:sz w:val="22"/>
          <w:szCs w:val="22"/>
          <w:lang w:val="fr-FR"/>
        </w:rPr>
        <w:t>, présenté</w:t>
      </w:r>
      <w:r w:rsidRPr="002A3999">
        <w:rPr>
          <w:rStyle w:val="normaltextrun"/>
          <w:rFonts w:cstheme="majorBidi"/>
          <w:color w:val="000000" w:themeColor="text1"/>
          <w:sz w:val="22"/>
          <w:szCs w:val="22"/>
          <w:lang w:val="fr-FR"/>
        </w:rPr>
        <w:t xml:space="preserve"> en 2019, ainsi que plusieurs événements en ligne menant au deuxième dialogue mondial sur l'information </w:t>
      </w:r>
      <w:r w:rsidR="00B1094A">
        <w:rPr>
          <w:rStyle w:val="normaltextrun"/>
          <w:rFonts w:cstheme="majorBidi"/>
          <w:color w:val="000000" w:themeColor="text1"/>
          <w:sz w:val="22"/>
          <w:szCs w:val="22"/>
          <w:lang w:val="fr-FR"/>
        </w:rPr>
        <w:t>de</w:t>
      </w:r>
      <w:r w:rsidRPr="002A3999">
        <w:rPr>
          <w:rStyle w:val="normaltextrun"/>
          <w:rFonts w:cstheme="majorBidi"/>
          <w:color w:val="000000" w:themeColor="text1"/>
          <w:sz w:val="22"/>
          <w:szCs w:val="22"/>
          <w:lang w:val="fr-FR"/>
        </w:rPr>
        <w:t xml:space="preserve"> séquen</w:t>
      </w:r>
      <w:r w:rsidR="00B1094A">
        <w:rPr>
          <w:rStyle w:val="normaltextrun"/>
          <w:rFonts w:cstheme="majorBidi"/>
          <w:color w:val="000000" w:themeColor="text1"/>
          <w:sz w:val="22"/>
          <w:szCs w:val="22"/>
          <w:lang w:val="fr-FR"/>
        </w:rPr>
        <w:t>çage</w:t>
      </w:r>
      <w:r w:rsidRPr="002A3999">
        <w:rPr>
          <w:rStyle w:val="normaltextrun"/>
          <w:rFonts w:cstheme="majorBidi"/>
          <w:color w:val="000000" w:themeColor="text1"/>
          <w:sz w:val="22"/>
          <w:szCs w:val="22"/>
          <w:lang w:val="fr-FR"/>
        </w:rPr>
        <w:t xml:space="preserve"> numérique</w:t>
      </w:r>
      <w:r w:rsidR="009C4BD3">
        <w:rPr>
          <w:rStyle w:val="normaltextrun"/>
          <w:rFonts w:cstheme="majorBidi"/>
          <w:color w:val="000000" w:themeColor="text1"/>
          <w:sz w:val="22"/>
          <w:szCs w:val="22"/>
          <w:lang w:val="fr-FR"/>
        </w:rPr>
        <w:t xml:space="preserve">. </w:t>
      </w:r>
      <w:r w:rsidRPr="002A3999">
        <w:rPr>
          <w:rStyle w:val="normaltextrun"/>
          <w:rFonts w:cstheme="majorBidi"/>
          <w:color w:val="000000" w:themeColor="text1"/>
          <w:sz w:val="22"/>
          <w:szCs w:val="22"/>
          <w:lang w:val="fr-FR"/>
        </w:rPr>
        <w:t xml:space="preserve">Plusieurs études ont été commandées par les Parties et les parties prenantes sur le thème de </w:t>
      </w:r>
      <w:r w:rsidR="00BC07C6">
        <w:rPr>
          <w:rStyle w:val="normaltextrun"/>
          <w:rFonts w:cstheme="majorBidi"/>
          <w:color w:val="000000" w:themeColor="text1"/>
          <w:sz w:val="22"/>
          <w:szCs w:val="22"/>
          <w:lang w:val="fr-FR"/>
        </w:rPr>
        <w:t>l’ISN</w:t>
      </w:r>
      <w:r w:rsidR="009929BD">
        <w:rPr>
          <w:rStyle w:val="normaltextrun"/>
          <w:rFonts w:cstheme="majorBidi"/>
          <w:color w:val="000000" w:themeColor="text1"/>
          <w:sz w:val="22"/>
          <w:szCs w:val="22"/>
          <w:lang w:val="fr-FR"/>
        </w:rPr>
        <w:t xml:space="preserve"> </w:t>
      </w:r>
      <w:r w:rsidRPr="002A3999">
        <w:rPr>
          <w:rStyle w:val="normaltextrun"/>
          <w:rFonts w:cstheme="majorBidi"/>
          <w:color w:val="000000" w:themeColor="text1"/>
          <w:sz w:val="22"/>
          <w:szCs w:val="22"/>
          <w:lang w:val="fr-FR"/>
        </w:rPr>
        <w:t xml:space="preserve">et divers aspects des solutions </w:t>
      </w:r>
      <w:r w:rsidR="00D30F4D">
        <w:rPr>
          <w:rStyle w:val="normaltextrun"/>
          <w:rFonts w:cstheme="majorBidi"/>
          <w:color w:val="000000" w:themeColor="text1"/>
          <w:sz w:val="22"/>
          <w:szCs w:val="22"/>
          <w:lang w:val="fr-FR"/>
        </w:rPr>
        <w:t>stratégiques</w:t>
      </w:r>
      <w:r w:rsidRPr="002A3999">
        <w:rPr>
          <w:rStyle w:val="normaltextrun"/>
          <w:rFonts w:cstheme="majorBidi"/>
          <w:color w:val="000000" w:themeColor="text1"/>
          <w:sz w:val="22"/>
          <w:szCs w:val="22"/>
          <w:lang w:val="fr-FR"/>
        </w:rPr>
        <w:t>.</w:t>
      </w:r>
    </w:p>
    <w:p w14:paraId="328763E0" w14:textId="7C17046F" w:rsidR="007B20D7" w:rsidRPr="009E4D45" w:rsidRDefault="002A3999" w:rsidP="00D17A30">
      <w:pPr>
        <w:pStyle w:val="paragraph"/>
        <w:numPr>
          <w:ilvl w:val="0"/>
          <w:numId w:val="20"/>
        </w:numPr>
        <w:spacing w:before="120" w:beforeAutospacing="0" w:after="120" w:afterAutospacing="0"/>
        <w:ind w:left="0" w:firstLine="0"/>
        <w:jc w:val="both"/>
        <w:textAlignment w:val="baseline"/>
        <w:rPr>
          <w:sz w:val="22"/>
          <w:lang w:val="fr-FR"/>
        </w:rPr>
      </w:pPr>
      <w:r w:rsidRPr="002A3999">
        <w:rPr>
          <w:rStyle w:val="normaltextrun"/>
          <w:rFonts w:cstheme="majorBidi"/>
          <w:color w:val="000000" w:themeColor="text1"/>
          <w:sz w:val="22"/>
          <w:szCs w:val="22"/>
          <w:lang w:val="fr-FR"/>
        </w:rPr>
        <w:t>Une mise à jour et un résumé d</w:t>
      </w:r>
      <w:r w:rsidR="006B7795">
        <w:rPr>
          <w:rStyle w:val="normaltextrun"/>
          <w:rFonts w:cstheme="majorBidi"/>
          <w:color w:val="000000" w:themeColor="text1"/>
          <w:sz w:val="22"/>
          <w:szCs w:val="22"/>
          <w:lang w:val="fr-FR"/>
        </w:rPr>
        <w:t xml:space="preserve">e </w:t>
      </w:r>
      <w:r w:rsidR="00BC07C6">
        <w:rPr>
          <w:rStyle w:val="normaltextrun"/>
          <w:rFonts w:cstheme="majorBidi"/>
          <w:color w:val="000000" w:themeColor="text1"/>
          <w:sz w:val="22"/>
          <w:szCs w:val="22"/>
          <w:lang w:val="fr-FR"/>
        </w:rPr>
        <w:t>l’ISN</w:t>
      </w:r>
      <w:r w:rsidR="006B7795">
        <w:rPr>
          <w:rStyle w:val="normaltextrun"/>
          <w:rFonts w:cstheme="majorBidi"/>
          <w:color w:val="000000" w:themeColor="text1"/>
          <w:sz w:val="22"/>
          <w:szCs w:val="22"/>
          <w:lang w:val="fr-FR"/>
        </w:rPr>
        <w:t xml:space="preserve"> </w:t>
      </w:r>
      <w:r w:rsidRPr="002A3999">
        <w:rPr>
          <w:rStyle w:val="normaltextrun"/>
          <w:rFonts w:cstheme="majorBidi"/>
          <w:color w:val="000000" w:themeColor="text1"/>
          <w:sz w:val="22"/>
          <w:szCs w:val="22"/>
          <w:lang w:val="fr-FR"/>
        </w:rPr>
        <w:t>dans d'autres processus internationaux pertinents seront disponibles comme document d'information CBD/WG2020/3/INF/1.</w:t>
      </w:r>
    </w:p>
    <w:p w14:paraId="54A30434" w14:textId="388FA33F" w:rsidR="00A14875" w:rsidRPr="009E4D45" w:rsidRDefault="002A3999" w:rsidP="00D17A30">
      <w:pPr>
        <w:pStyle w:val="Heading1"/>
        <w:numPr>
          <w:ilvl w:val="0"/>
          <w:numId w:val="29"/>
        </w:numPr>
        <w:tabs>
          <w:tab w:val="clear" w:pos="720"/>
        </w:tabs>
        <w:ind w:left="0" w:firstLine="0"/>
        <w:rPr>
          <w:lang w:val="fr-FR"/>
        </w:rPr>
      </w:pPr>
      <w:r w:rsidRPr="002A3999">
        <w:rPr>
          <w:rFonts w:eastAsia="Malgun Gothic" w:cstheme="majorBidi"/>
          <w:bCs/>
          <w:szCs w:val="22"/>
          <w:lang w:val="fr-FR"/>
        </w:rPr>
        <w:t xml:space="preserve">ÉLÉMENTS </w:t>
      </w:r>
      <w:r w:rsidR="00BC07C6">
        <w:rPr>
          <w:rFonts w:eastAsia="Malgun Gothic" w:cstheme="majorBidi"/>
          <w:bCs/>
          <w:szCs w:val="22"/>
          <w:lang w:val="fr-FR"/>
        </w:rPr>
        <w:t>d’UNE</w:t>
      </w:r>
      <w:r w:rsidRPr="002A3999">
        <w:rPr>
          <w:rFonts w:eastAsia="Malgun Gothic" w:cstheme="majorBidi"/>
          <w:bCs/>
          <w:szCs w:val="22"/>
          <w:lang w:val="fr-FR"/>
        </w:rPr>
        <w:t xml:space="preserve"> RECOMMANDATION</w:t>
      </w:r>
    </w:p>
    <w:p w14:paraId="14A56F5D" w14:textId="22A0D6B6" w:rsidR="004F28C3" w:rsidRPr="00BC07C6" w:rsidRDefault="00BC07C6" w:rsidP="00BC07C6">
      <w:pPr>
        <w:pStyle w:val="ListParagraph"/>
        <w:numPr>
          <w:ilvl w:val="0"/>
          <w:numId w:val="20"/>
        </w:numPr>
        <w:ind w:left="0" w:firstLine="0"/>
        <w:rPr>
          <w:lang w:val="fr-FR"/>
        </w:rPr>
      </w:pPr>
      <w:r>
        <w:rPr>
          <w:szCs w:val="22"/>
          <w:lang w:val="fr-FR"/>
        </w:rPr>
        <w:t xml:space="preserve">Au paragraphe 12 de la décision 14/20, la Conférence des Parties </w:t>
      </w:r>
      <w:r w:rsidR="0007146F">
        <w:rPr>
          <w:szCs w:val="22"/>
          <w:lang w:val="fr-FR"/>
        </w:rPr>
        <w:t xml:space="preserve">invite le Groupe de travail à </w:t>
      </w:r>
      <w:r w:rsidR="002A3999" w:rsidRPr="00BC07C6">
        <w:rPr>
          <w:szCs w:val="22"/>
          <w:lang w:val="fr-FR"/>
        </w:rPr>
        <w:t xml:space="preserve">examiner les </w:t>
      </w:r>
      <w:r w:rsidR="0007146F">
        <w:rPr>
          <w:szCs w:val="22"/>
          <w:lang w:val="fr-FR"/>
        </w:rPr>
        <w:t>conclusions</w:t>
      </w:r>
      <w:r w:rsidR="002A3999" w:rsidRPr="00BC07C6">
        <w:rPr>
          <w:szCs w:val="22"/>
          <w:lang w:val="fr-FR"/>
        </w:rPr>
        <w:t xml:space="preserve"> </w:t>
      </w:r>
      <w:r w:rsidR="0007146F">
        <w:rPr>
          <w:szCs w:val="22"/>
          <w:lang w:val="fr-FR"/>
        </w:rPr>
        <w:t xml:space="preserve">de la réunion </w:t>
      </w:r>
      <w:r w:rsidR="002A3999" w:rsidRPr="00BC07C6">
        <w:rPr>
          <w:szCs w:val="22"/>
          <w:lang w:val="fr-FR"/>
        </w:rPr>
        <w:t>du</w:t>
      </w:r>
      <w:r w:rsidR="009168F5" w:rsidRPr="00BC07C6">
        <w:rPr>
          <w:szCs w:val="22"/>
          <w:lang w:val="fr-FR"/>
        </w:rPr>
        <w:t xml:space="preserve"> </w:t>
      </w:r>
      <w:r w:rsidR="0007146F">
        <w:rPr>
          <w:szCs w:val="22"/>
          <w:lang w:val="fr-FR"/>
        </w:rPr>
        <w:t>G</w:t>
      </w:r>
      <w:r w:rsidR="002A3999" w:rsidRPr="00BC07C6">
        <w:rPr>
          <w:szCs w:val="22"/>
          <w:lang w:val="fr-FR"/>
        </w:rPr>
        <w:t>roupe spécial d'experts techniques</w:t>
      </w:r>
      <w:r w:rsidR="00502919" w:rsidRPr="00BC07C6">
        <w:rPr>
          <w:szCs w:val="22"/>
          <w:lang w:val="fr-FR"/>
        </w:rPr>
        <w:t xml:space="preserve"> </w:t>
      </w:r>
      <w:r w:rsidR="002A3999" w:rsidRPr="00BC07C6">
        <w:rPr>
          <w:szCs w:val="22"/>
          <w:lang w:val="fr-FR"/>
        </w:rPr>
        <w:t xml:space="preserve">sur l'information </w:t>
      </w:r>
      <w:r w:rsidR="00502919" w:rsidRPr="00BC07C6">
        <w:rPr>
          <w:szCs w:val="22"/>
          <w:lang w:val="fr-FR"/>
        </w:rPr>
        <w:t>de</w:t>
      </w:r>
      <w:r w:rsidR="002A3999" w:rsidRPr="00BC07C6">
        <w:rPr>
          <w:szCs w:val="22"/>
          <w:lang w:val="fr-FR"/>
        </w:rPr>
        <w:t xml:space="preserve"> séquen</w:t>
      </w:r>
      <w:r w:rsidR="00502919" w:rsidRPr="00BC07C6">
        <w:rPr>
          <w:szCs w:val="22"/>
          <w:lang w:val="fr-FR"/>
        </w:rPr>
        <w:t>çage</w:t>
      </w:r>
      <w:r w:rsidR="002A3999" w:rsidRPr="00BC07C6">
        <w:rPr>
          <w:szCs w:val="22"/>
          <w:lang w:val="fr-FR"/>
        </w:rPr>
        <w:t xml:space="preserve"> numérique</w:t>
      </w:r>
      <w:r w:rsidR="00502919" w:rsidRPr="00BC07C6">
        <w:rPr>
          <w:szCs w:val="22"/>
          <w:lang w:val="fr-FR"/>
        </w:rPr>
        <w:t xml:space="preserve"> sur l</w:t>
      </w:r>
      <w:r w:rsidR="002A3999" w:rsidRPr="00BC07C6">
        <w:rPr>
          <w:szCs w:val="22"/>
          <w:lang w:val="fr-FR"/>
        </w:rPr>
        <w:t xml:space="preserve">es ressources génétiques et </w:t>
      </w:r>
      <w:r w:rsidR="0007146F">
        <w:rPr>
          <w:szCs w:val="22"/>
          <w:lang w:val="fr-FR"/>
        </w:rPr>
        <w:t>à</w:t>
      </w:r>
      <w:r w:rsidR="002A3999" w:rsidRPr="00BC07C6">
        <w:rPr>
          <w:szCs w:val="22"/>
          <w:lang w:val="fr-FR"/>
        </w:rPr>
        <w:t xml:space="preserve"> faire des recommandations à la Conférence des Parties lors de sa quinzième réunion sur la manière de traiter </w:t>
      </w:r>
      <w:r w:rsidR="0007146F">
        <w:rPr>
          <w:szCs w:val="22"/>
          <w:lang w:val="fr-FR"/>
        </w:rPr>
        <w:t>l’ISN</w:t>
      </w:r>
      <w:r w:rsidR="002A3999" w:rsidRPr="00BC07C6">
        <w:rPr>
          <w:szCs w:val="22"/>
          <w:lang w:val="fr-FR"/>
        </w:rPr>
        <w:t xml:space="preserve"> dans le contexte du cadre mondial </w:t>
      </w:r>
      <w:r w:rsidR="00502919" w:rsidRPr="00BC07C6">
        <w:rPr>
          <w:szCs w:val="22"/>
          <w:lang w:val="fr-FR"/>
        </w:rPr>
        <w:t xml:space="preserve">de </w:t>
      </w:r>
      <w:r w:rsidR="002A3999" w:rsidRPr="00BC07C6">
        <w:rPr>
          <w:szCs w:val="22"/>
          <w:lang w:val="fr-FR"/>
        </w:rPr>
        <w:t xml:space="preserve">la biodiversité </w:t>
      </w:r>
      <w:r w:rsidR="00502919" w:rsidRPr="00BC07C6">
        <w:rPr>
          <w:szCs w:val="22"/>
          <w:lang w:val="fr-FR"/>
        </w:rPr>
        <w:t>pour l’</w:t>
      </w:r>
      <w:r w:rsidR="002A3999" w:rsidRPr="00BC07C6">
        <w:rPr>
          <w:szCs w:val="22"/>
          <w:lang w:val="fr-FR"/>
        </w:rPr>
        <w:t>après</w:t>
      </w:r>
      <w:r w:rsidR="00502919" w:rsidRPr="00BC07C6">
        <w:rPr>
          <w:szCs w:val="22"/>
          <w:lang w:val="fr-FR"/>
        </w:rPr>
        <w:t>-</w:t>
      </w:r>
      <w:r w:rsidR="002A3999" w:rsidRPr="00BC07C6">
        <w:rPr>
          <w:szCs w:val="22"/>
          <w:lang w:val="fr-FR"/>
        </w:rPr>
        <w:t>2020</w:t>
      </w:r>
      <w:r w:rsidR="0007146F">
        <w:rPr>
          <w:szCs w:val="22"/>
          <w:lang w:val="fr-FR"/>
        </w:rPr>
        <w:t xml:space="preserve">. Au paragraphe 3 de la décision </w:t>
      </w:r>
      <w:r w:rsidR="002A3999" w:rsidRPr="00BC07C6">
        <w:rPr>
          <w:szCs w:val="22"/>
          <w:lang w:val="fr-FR"/>
        </w:rPr>
        <w:t>NP-3/12</w:t>
      </w:r>
      <w:r w:rsidR="0007146F">
        <w:rPr>
          <w:szCs w:val="22"/>
          <w:lang w:val="fr-FR"/>
        </w:rPr>
        <w:t>, le Groupe de travail est invité à</w:t>
      </w:r>
      <w:r w:rsidR="002A3999" w:rsidRPr="00BC07C6">
        <w:rPr>
          <w:szCs w:val="22"/>
          <w:lang w:val="fr-FR"/>
        </w:rPr>
        <w:t xml:space="preserve"> soumettre également le résultat de ses délibérations à l'examen de la Conférence des Parties siégeant en tant </w:t>
      </w:r>
      <w:r w:rsidR="002A3999" w:rsidRPr="00BC07C6">
        <w:rPr>
          <w:szCs w:val="22"/>
          <w:lang w:val="fr-FR"/>
        </w:rPr>
        <w:lastRenderedPageBreak/>
        <w:t>que réunion des Parties au Protocole de Nagoya</w:t>
      </w:r>
      <w:r w:rsidR="00D966DF">
        <w:rPr>
          <w:szCs w:val="22"/>
          <w:lang w:val="fr-FR"/>
        </w:rPr>
        <w:t>, à sa quatrième réunion</w:t>
      </w:r>
      <w:r w:rsidR="0007146F">
        <w:rPr>
          <w:szCs w:val="22"/>
          <w:lang w:val="fr-FR"/>
        </w:rPr>
        <w:t xml:space="preserve">. Compte tenu de ces mandats, </w:t>
      </w:r>
      <w:r w:rsidR="002A3999" w:rsidRPr="00BC07C6">
        <w:rPr>
          <w:szCs w:val="22"/>
          <w:lang w:val="fr-FR"/>
        </w:rPr>
        <w:t xml:space="preserve">le </w:t>
      </w:r>
      <w:r w:rsidR="00502919" w:rsidRPr="00BC07C6">
        <w:rPr>
          <w:szCs w:val="22"/>
          <w:lang w:val="fr-FR"/>
        </w:rPr>
        <w:t>G</w:t>
      </w:r>
      <w:r w:rsidR="002A3999" w:rsidRPr="00BC07C6">
        <w:rPr>
          <w:szCs w:val="22"/>
          <w:lang w:val="fr-FR"/>
        </w:rPr>
        <w:t>roupe de travail pourrait souhaiter :</w:t>
      </w:r>
    </w:p>
    <w:p w14:paraId="50AF5DCE" w14:textId="367A9BFE" w:rsidR="004F28C3" w:rsidRPr="009E4D45" w:rsidRDefault="002A3999" w:rsidP="00035143">
      <w:pPr>
        <w:pStyle w:val="ListParagraph"/>
        <w:numPr>
          <w:ilvl w:val="0"/>
          <w:numId w:val="50"/>
        </w:numPr>
        <w:spacing w:before="120" w:after="120"/>
        <w:ind w:firstLine="0"/>
        <w:contextualSpacing w:val="0"/>
        <w:rPr>
          <w:szCs w:val="22"/>
          <w:lang w:val="fr-FR"/>
        </w:rPr>
      </w:pPr>
      <w:r w:rsidRPr="002A3999">
        <w:rPr>
          <w:szCs w:val="22"/>
          <w:lang w:val="fr-FR"/>
        </w:rPr>
        <w:t>R</w:t>
      </w:r>
      <w:r w:rsidR="00035143">
        <w:rPr>
          <w:szCs w:val="22"/>
          <w:lang w:val="fr-FR"/>
        </w:rPr>
        <w:t>appeler</w:t>
      </w:r>
      <w:r w:rsidRPr="002A3999">
        <w:rPr>
          <w:szCs w:val="22"/>
          <w:lang w:val="fr-FR"/>
        </w:rPr>
        <w:t xml:space="preserve"> les éléments</w:t>
      </w:r>
      <w:r w:rsidR="00035143">
        <w:rPr>
          <w:szCs w:val="22"/>
          <w:lang w:val="fr-FR"/>
        </w:rPr>
        <w:t xml:space="preserve"> pertinents des décisions </w:t>
      </w:r>
      <w:hyperlink r:id="rId18" w:history="1">
        <w:r w:rsidR="00035143" w:rsidRPr="00035143">
          <w:rPr>
            <w:rStyle w:val="Hyperlink"/>
            <w:sz w:val="22"/>
            <w:szCs w:val="22"/>
            <w:lang w:val="fr-FR"/>
          </w:rPr>
          <w:t>XIII/16</w:t>
        </w:r>
      </w:hyperlink>
      <w:r w:rsidR="00035143">
        <w:rPr>
          <w:szCs w:val="22"/>
          <w:lang w:val="fr-FR"/>
        </w:rPr>
        <w:t xml:space="preserve"> et 14/20</w:t>
      </w:r>
      <w:r w:rsidRPr="002A3999">
        <w:rPr>
          <w:szCs w:val="22"/>
          <w:lang w:val="fr-FR"/>
        </w:rPr>
        <w:t xml:space="preserve"> ;</w:t>
      </w:r>
    </w:p>
    <w:p w14:paraId="41AFB330" w14:textId="6FF64D34" w:rsidR="004F28C3" w:rsidRPr="002A3999" w:rsidRDefault="00035143" w:rsidP="00035143">
      <w:pPr>
        <w:pStyle w:val="ListParagraph"/>
        <w:numPr>
          <w:ilvl w:val="0"/>
          <w:numId w:val="50"/>
        </w:numPr>
        <w:spacing w:before="120" w:after="120"/>
        <w:ind w:left="0" w:firstLine="720"/>
        <w:contextualSpacing w:val="0"/>
        <w:rPr>
          <w:szCs w:val="22"/>
          <w:lang w:val="fr-FR"/>
        </w:rPr>
      </w:pPr>
      <w:r>
        <w:rPr>
          <w:szCs w:val="22"/>
          <w:lang w:val="fr-FR"/>
        </w:rPr>
        <w:t>Accueillir</w:t>
      </w:r>
      <w:r w:rsidR="002A3999" w:rsidRPr="002A3999">
        <w:rPr>
          <w:szCs w:val="22"/>
          <w:lang w:val="fr-FR"/>
        </w:rPr>
        <w:t xml:space="preserve"> favorablement les résultats </w:t>
      </w:r>
      <w:r>
        <w:rPr>
          <w:szCs w:val="22"/>
          <w:lang w:val="fr-FR"/>
        </w:rPr>
        <w:t>de la réunion du G</w:t>
      </w:r>
      <w:r w:rsidR="002A3999" w:rsidRPr="002A3999">
        <w:rPr>
          <w:szCs w:val="22"/>
          <w:lang w:val="fr-FR"/>
        </w:rPr>
        <w:t>roupe spécial d'experts techniques</w:t>
      </w:r>
      <w:r w:rsidR="00502919">
        <w:rPr>
          <w:szCs w:val="22"/>
          <w:lang w:val="fr-FR"/>
        </w:rPr>
        <w:t xml:space="preserve"> </w:t>
      </w:r>
      <w:r w:rsidR="002A3999" w:rsidRPr="002A3999">
        <w:rPr>
          <w:szCs w:val="22"/>
          <w:lang w:val="fr-FR"/>
        </w:rPr>
        <w:t xml:space="preserve">sur l'information </w:t>
      </w:r>
      <w:r w:rsidR="00502919">
        <w:rPr>
          <w:szCs w:val="22"/>
          <w:lang w:val="fr-FR"/>
        </w:rPr>
        <w:t xml:space="preserve">de </w:t>
      </w:r>
      <w:r w:rsidR="002A3999" w:rsidRPr="002A3999">
        <w:rPr>
          <w:szCs w:val="22"/>
          <w:lang w:val="fr-FR"/>
        </w:rPr>
        <w:t>séquen</w:t>
      </w:r>
      <w:r w:rsidR="00502919">
        <w:rPr>
          <w:szCs w:val="22"/>
          <w:lang w:val="fr-FR"/>
        </w:rPr>
        <w:t>çage</w:t>
      </w:r>
      <w:r w:rsidR="002A3999" w:rsidRPr="002A3999">
        <w:rPr>
          <w:szCs w:val="22"/>
          <w:lang w:val="fr-FR"/>
        </w:rPr>
        <w:t xml:space="preserve"> numérique tels qu'ils figurent à l'annexe I du présent document,</w:t>
      </w:r>
    </w:p>
    <w:p w14:paraId="7613D8F3" w14:textId="5D141E18" w:rsidR="00425D46" w:rsidRPr="009E4D45" w:rsidRDefault="00035143" w:rsidP="00D17A30">
      <w:pPr>
        <w:pStyle w:val="ListParagraph"/>
        <w:numPr>
          <w:ilvl w:val="0"/>
          <w:numId w:val="50"/>
        </w:numPr>
        <w:spacing w:before="120" w:after="120"/>
        <w:ind w:left="0" w:firstLine="697"/>
        <w:contextualSpacing w:val="0"/>
        <w:rPr>
          <w:szCs w:val="22"/>
          <w:lang w:val="fr-FR"/>
        </w:rPr>
      </w:pPr>
      <w:r>
        <w:rPr>
          <w:szCs w:val="22"/>
          <w:lang w:val="fr-FR"/>
        </w:rPr>
        <w:t>P</w:t>
      </w:r>
      <w:r w:rsidR="002A3999" w:rsidRPr="002A3999">
        <w:rPr>
          <w:szCs w:val="22"/>
          <w:lang w:val="fr-FR"/>
        </w:rPr>
        <w:t xml:space="preserve">rendre note des informations résumées dans les annexes II et III du présent document, découlant des activités informelles sur </w:t>
      </w:r>
      <w:r w:rsidR="009E4687">
        <w:rPr>
          <w:szCs w:val="22"/>
          <w:lang w:val="fr-FR"/>
        </w:rPr>
        <w:t>l’ISN</w:t>
      </w:r>
      <w:r w:rsidR="002A3999" w:rsidRPr="002A3999">
        <w:rPr>
          <w:szCs w:val="22"/>
          <w:lang w:val="fr-FR"/>
        </w:rPr>
        <w:t xml:space="preserve"> menée</w:t>
      </w:r>
      <w:r w:rsidR="009E4687">
        <w:rPr>
          <w:szCs w:val="22"/>
          <w:lang w:val="fr-FR"/>
        </w:rPr>
        <w:t>s</w:t>
      </w:r>
      <w:r w:rsidR="002A3999" w:rsidRPr="002A3999">
        <w:rPr>
          <w:szCs w:val="22"/>
          <w:lang w:val="fr-FR"/>
        </w:rPr>
        <w:t xml:space="preserve"> à la demande des coprésidents du Groupe de travail :</w:t>
      </w:r>
    </w:p>
    <w:p w14:paraId="0C8A9229" w14:textId="78483351" w:rsidR="00425D46" w:rsidRPr="009E4D45" w:rsidRDefault="002A3999" w:rsidP="00035143">
      <w:pPr>
        <w:pStyle w:val="ListParagraph"/>
        <w:numPr>
          <w:ilvl w:val="0"/>
          <w:numId w:val="52"/>
        </w:numPr>
        <w:spacing w:before="120" w:after="120"/>
        <w:ind w:left="1440" w:hanging="720"/>
        <w:contextualSpacing w:val="0"/>
        <w:rPr>
          <w:szCs w:val="22"/>
          <w:lang w:val="fr-FR"/>
        </w:rPr>
      </w:pPr>
      <w:r w:rsidRPr="002A3999">
        <w:rPr>
          <w:szCs w:val="22"/>
          <w:lang w:val="fr-FR"/>
        </w:rPr>
        <w:t xml:space="preserve">La liste des options </w:t>
      </w:r>
      <w:r w:rsidR="00D966DF">
        <w:rPr>
          <w:szCs w:val="22"/>
          <w:lang w:val="fr-FR"/>
        </w:rPr>
        <w:t>stratégiques</w:t>
      </w:r>
      <w:r w:rsidRPr="002A3999">
        <w:rPr>
          <w:szCs w:val="22"/>
          <w:lang w:val="fr-FR"/>
        </w:rPr>
        <w:t xml:space="preserve"> potentielles ;</w:t>
      </w:r>
    </w:p>
    <w:p w14:paraId="53EB7F96" w14:textId="53B775DD" w:rsidR="00425D46" w:rsidRPr="009E4D45" w:rsidRDefault="002A3999" w:rsidP="00D17A30">
      <w:pPr>
        <w:pStyle w:val="ListParagraph"/>
        <w:numPr>
          <w:ilvl w:val="0"/>
          <w:numId w:val="52"/>
        </w:numPr>
        <w:spacing w:before="120" w:after="120"/>
        <w:ind w:left="1418" w:hanging="709"/>
        <w:contextualSpacing w:val="0"/>
        <w:rPr>
          <w:szCs w:val="22"/>
          <w:lang w:val="fr-FR"/>
        </w:rPr>
      </w:pPr>
      <w:r w:rsidRPr="002A3999">
        <w:rPr>
          <w:szCs w:val="22"/>
          <w:lang w:val="fr-FR"/>
        </w:rPr>
        <w:t>La liste des critères potentiels pour l'évaluation des options</w:t>
      </w:r>
      <w:r w:rsidR="000F7CFA">
        <w:rPr>
          <w:szCs w:val="22"/>
          <w:lang w:val="fr-FR"/>
        </w:rPr>
        <w:t xml:space="preserve"> </w:t>
      </w:r>
      <w:r w:rsidR="00D966DF">
        <w:rPr>
          <w:szCs w:val="22"/>
          <w:lang w:val="fr-FR"/>
        </w:rPr>
        <w:t>stratégiques</w:t>
      </w:r>
      <w:r w:rsidRPr="002A3999">
        <w:rPr>
          <w:szCs w:val="22"/>
          <w:lang w:val="fr-FR"/>
        </w:rPr>
        <w:t xml:space="preserve"> ;</w:t>
      </w:r>
    </w:p>
    <w:p w14:paraId="481D8CB5" w14:textId="25C7EB04" w:rsidR="00346280" w:rsidRPr="009E4D45" w:rsidRDefault="002A3999" w:rsidP="00D17A30">
      <w:pPr>
        <w:pStyle w:val="ListParagraph"/>
        <w:numPr>
          <w:ilvl w:val="0"/>
          <w:numId w:val="52"/>
        </w:numPr>
        <w:spacing w:before="120" w:after="120"/>
        <w:ind w:left="1418" w:hanging="709"/>
        <w:contextualSpacing w:val="0"/>
        <w:rPr>
          <w:szCs w:val="22"/>
          <w:lang w:val="fr-FR"/>
        </w:rPr>
      </w:pPr>
      <w:r w:rsidRPr="002A3999">
        <w:rPr>
          <w:szCs w:val="22"/>
          <w:lang w:val="fr-FR"/>
        </w:rPr>
        <w:t>L'éventail des opinions exprimées lors de la consultation informelle en ligne.</w:t>
      </w:r>
    </w:p>
    <w:p w14:paraId="34809D48" w14:textId="2936AAB0" w:rsidR="00346280" w:rsidRPr="009E4D45" w:rsidRDefault="002A3999" w:rsidP="004837A0">
      <w:pPr>
        <w:pStyle w:val="paragraph"/>
        <w:numPr>
          <w:ilvl w:val="0"/>
          <w:numId w:val="20"/>
        </w:numPr>
        <w:spacing w:before="120" w:beforeAutospacing="0" w:after="120" w:afterAutospacing="0"/>
        <w:ind w:left="0" w:firstLine="0"/>
        <w:jc w:val="both"/>
        <w:textAlignment w:val="baseline"/>
        <w:rPr>
          <w:sz w:val="22"/>
          <w:szCs w:val="22"/>
          <w:lang w:val="fr-FR"/>
        </w:rPr>
      </w:pPr>
      <w:r w:rsidRPr="002A3999">
        <w:rPr>
          <w:sz w:val="22"/>
          <w:szCs w:val="22"/>
          <w:lang w:val="fr-FR"/>
        </w:rPr>
        <w:t>Parmi les éléments possibles d'une recommandation, on peut citer :</w:t>
      </w:r>
    </w:p>
    <w:p w14:paraId="451EA4C1" w14:textId="21AC9EEA" w:rsidR="00346280" w:rsidRPr="009E4D45" w:rsidRDefault="002A3999" w:rsidP="009E4687">
      <w:pPr>
        <w:pStyle w:val="ListParagraph"/>
        <w:numPr>
          <w:ilvl w:val="0"/>
          <w:numId w:val="51"/>
        </w:numPr>
        <w:spacing w:before="120" w:after="120"/>
        <w:ind w:left="0" w:firstLine="720"/>
        <w:contextualSpacing w:val="0"/>
        <w:rPr>
          <w:szCs w:val="22"/>
          <w:lang w:val="fr-FR"/>
        </w:rPr>
      </w:pPr>
      <w:r w:rsidRPr="002A3999">
        <w:rPr>
          <w:szCs w:val="22"/>
          <w:lang w:val="fr-FR"/>
        </w:rPr>
        <w:t xml:space="preserve">Reconnaissance du fait que toute approche visant à traiter </w:t>
      </w:r>
      <w:r w:rsidR="009E4687">
        <w:rPr>
          <w:szCs w:val="22"/>
          <w:lang w:val="fr-FR"/>
        </w:rPr>
        <w:t>l’ISN</w:t>
      </w:r>
      <w:r w:rsidR="00502919">
        <w:rPr>
          <w:szCs w:val="22"/>
          <w:lang w:val="fr-FR"/>
        </w:rPr>
        <w:t xml:space="preserve"> </w:t>
      </w:r>
      <w:r w:rsidRPr="002A3999">
        <w:rPr>
          <w:szCs w:val="22"/>
          <w:lang w:val="fr-FR"/>
        </w:rPr>
        <w:t xml:space="preserve">ne doit pas empêcher l'accès </w:t>
      </w:r>
      <w:r w:rsidR="00D966DF">
        <w:rPr>
          <w:szCs w:val="22"/>
          <w:lang w:val="fr-FR"/>
        </w:rPr>
        <w:t>à l’information de séquençage numérique</w:t>
      </w:r>
      <w:r w:rsidRPr="002A3999">
        <w:rPr>
          <w:szCs w:val="22"/>
          <w:lang w:val="fr-FR"/>
        </w:rPr>
        <w:t xml:space="preserve"> ni entraver de manière significative la recherche scientifique et l'innovation ;</w:t>
      </w:r>
    </w:p>
    <w:p w14:paraId="43A35289" w14:textId="27853E1F" w:rsidR="00346280" w:rsidRPr="009E4D45" w:rsidRDefault="002A3999" w:rsidP="004837A0">
      <w:pPr>
        <w:pStyle w:val="ListParagraph"/>
        <w:numPr>
          <w:ilvl w:val="0"/>
          <w:numId w:val="51"/>
        </w:numPr>
        <w:spacing w:before="120" w:after="120"/>
        <w:ind w:left="0" w:firstLine="709"/>
        <w:contextualSpacing w:val="0"/>
        <w:rPr>
          <w:szCs w:val="22"/>
          <w:lang w:val="fr-FR"/>
        </w:rPr>
      </w:pPr>
      <w:r w:rsidRPr="002A3999">
        <w:rPr>
          <w:szCs w:val="22"/>
          <w:lang w:val="fr-FR"/>
        </w:rPr>
        <w:t xml:space="preserve">Reconnaissance du fait que les avantages découlant de l'utilisation </w:t>
      </w:r>
      <w:r w:rsidR="00761046">
        <w:rPr>
          <w:szCs w:val="22"/>
          <w:lang w:val="fr-FR"/>
        </w:rPr>
        <w:t>de l’</w:t>
      </w:r>
      <w:r w:rsidR="00574500">
        <w:rPr>
          <w:szCs w:val="22"/>
          <w:lang w:val="fr-FR"/>
        </w:rPr>
        <w:t>information de séquençage numérique</w:t>
      </w:r>
      <w:r w:rsidRPr="002A3999">
        <w:rPr>
          <w:szCs w:val="22"/>
          <w:lang w:val="fr-FR"/>
        </w:rPr>
        <w:t xml:space="preserve"> </w:t>
      </w:r>
      <w:r w:rsidR="00761046">
        <w:rPr>
          <w:szCs w:val="22"/>
          <w:lang w:val="fr-FR"/>
        </w:rPr>
        <w:t>sur les</w:t>
      </w:r>
      <w:r w:rsidRPr="002A3999">
        <w:rPr>
          <w:szCs w:val="22"/>
          <w:lang w:val="fr-FR"/>
        </w:rPr>
        <w:t xml:space="preserve"> ressources génétiques devraient être partagés de manière juste et équitable ;</w:t>
      </w:r>
    </w:p>
    <w:p w14:paraId="6BA2241D" w14:textId="12DD73AD" w:rsidR="00346280" w:rsidRPr="009E4D45" w:rsidRDefault="002A3999" w:rsidP="004837A0">
      <w:pPr>
        <w:pStyle w:val="ListParagraph"/>
        <w:numPr>
          <w:ilvl w:val="0"/>
          <w:numId w:val="51"/>
        </w:numPr>
        <w:spacing w:before="120" w:after="120"/>
        <w:ind w:left="0" w:firstLine="709"/>
        <w:contextualSpacing w:val="0"/>
        <w:rPr>
          <w:szCs w:val="22"/>
          <w:lang w:val="fr-FR"/>
        </w:rPr>
      </w:pPr>
      <w:r w:rsidRPr="002A3999">
        <w:rPr>
          <w:szCs w:val="22"/>
          <w:lang w:val="fr-FR"/>
        </w:rPr>
        <w:t>Examen des modalités possibles d</w:t>
      </w:r>
      <w:r w:rsidR="003369F6">
        <w:rPr>
          <w:szCs w:val="22"/>
          <w:lang w:val="fr-FR"/>
        </w:rPr>
        <w:t>u</w:t>
      </w:r>
      <w:r w:rsidRPr="002A3999">
        <w:rPr>
          <w:szCs w:val="22"/>
          <w:lang w:val="fr-FR"/>
        </w:rPr>
        <w:t xml:space="preserve"> partage des avantages ;</w:t>
      </w:r>
    </w:p>
    <w:p w14:paraId="46505E47" w14:textId="720FCF51" w:rsidR="00346280" w:rsidRPr="009E4D45" w:rsidRDefault="002A3999" w:rsidP="004837A0">
      <w:pPr>
        <w:pStyle w:val="ListParagraph"/>
        <w:numPr>
          <w:ilvl w:val="0"/>
          <w:numId w:val="51"/>
        </w:numPr>
        <w:spacing w:before="120" w:after="120"/>
        <w:ind w:left="0" w:firstLine="709"/>
        <w:contextualSpacing w:val="0"/>
        <w:rPr>
          <w:szCs w:val="22"/>
          <w:lang w:val="fr-FR"/>
        </w:rPr>
      </w:pPr>
      <w:r w:rsidRPr="002A3999">
        <w:rPr>
          <w:szCs w:val="22"/>
          <w:lang w:val="fr-FR"/>
        </w:rPr>
        <w:t xml:space="preserve">Reconnaissance du fait que le renforcement des capacités est pertinent et nécessaire pour traiter </w:t>
      </w:r>
      <w:r w:rsidR="00761046">
        <w:rPr>
          <w:szCs w:val="22"/>
          <w:lang w:val="fr-FR"/>
        </w:rPr>
        <w:t>l’ISN</w:t>
      </w:r>
      <w:r w:rsidR="00EF5608">
        <w:rPr>
          <w:szCs w:val="22"/>
          <w:lang w:val="fr-FR"/>
        </w:rPr>
        <w:t> ;</w:t>
      </w:r>
    </w:p>
    <w:p w14:paraId="24D71875" w14:textId="2EF93AF7" w:rsidR="003E2420" w:rsidRPr="005C0E8A" w:rsidRDefault="002A3999" w:rsidP="00B97C31">
      <w:pPr>
        <w:pStyle w:val="paragraph"/>
        <w:numPr>
          <w:ilvl w:val="0"/>
          <w:numId w:val="20"/>
        </w:numPr>
        <w:spacing w:before="120" w:beforeAutospacing="0" w:after="120" w:afterAutospacing="0"/>
        <w:ind w:left="0" w:firstLine="0"/>
        <w:jc w:val="both"/>
        <w:textAlignment w:val="baseline"/>
        <w:rPr>
          <w:rFonts w:eastAsia="Malgun Gothic" w:cstheme="majorBidi"/>
          <w:szCs w:val="22"/>
          <w:lang w:val="fr-FR"/>
        </w:rPr>
      </w:pPr>
      <w:r w:rsidRPr="005C0E8A">
        <w:rPr>
          <w:rFonts w:eastAsia="Malgun Gothic" w:cstheme="majorBidi"/>
          <w:sz w:val="22"/>
          <w:szCs w:val="22"/>
          <w:lang w:val="fr-FR"/>
        </w:rPr>
        <w:t xml:space="preserve">Compte tenu </w:t>
      </w:r>
      <w:r w:rsidR="009E4687">
        <w:rPr>
          <w:rFonts w:eastAsia="Malgun Gothic" w:cstheme="majorBidi"/>
          <w:sz w:val="22"/>
          <w:szCs w:val="22"/>
          <w:lang w:val="fr-FR"/>
        </w:rPr>
        <w:t>du temps disponible avant la reprise des sessions du Groupe de travail et/ou la quinzième réunion de la Conférence des Parties,</w:t>
      </w:r>
      <w:r w:rsidRPr="005C0E8A">
        <w:rPr>
          <w:rFonts w:eastAsia="Malgun Gothic" w:cstheme="majorBidi"/>
          <w:sz w:val="22"/>
          <w:szCs w:val="22"/>
          <w:lang w:val="fr-FR"/>
        </w:rPr>
        <w:t xml:space="preserve"> le Groupe de travail </w:t>
      </w:r>
      <w:r w:rsidR="009E4687">
        <w:rPr>
          <w:rFonts w:eastAsia="Malgun Gothic" w:cstheme="majorBidi"/>
          <w:sz w:val="22"/>
          <w:szCs w:val="22"/>
          <w:lang w:val="fr-FR"/>
        </w:rPr>
        <w:t xml:space="preserve">pourrait aussi souhaiter examiner des consultations et analyses supplémentaires afin d’approfondir les échanges sur l’ISN. </w:t>
      </w:r>
      <w:r w:rsidRPr="005C0E8A">
        <w:rPr>
          <w:rFonts w:eastAsia="Malgun Gothic" w:cstheme="majorBidi"/>
          <w:sz w:val="22"/>
          <w:szCs w:val="22"/>
          <w:lang w:val="fr-FR"/>
        </w:rPr>
        <w:t xml:space="preserve"> </w:t>
      </w:r>
    </w:p>
    <w:p w14:paraId="4D7F8A27" w14:textId="77777777" w:rsidR="00B97C31" w:rsidRDefault="00B97C31" w:rsidP="004837A0">
      <w:pPr>
        <w:rPr>
          <w:rFonts w:eastAsia="Malgun Gothic" w:cstheme="majorBidi"/>
          <w:szCs w:val="22"/>
          <w:lang w:val="fr-FR" w:eastAsia="zh-CN"/>
        </w:rPr>
        <w:sectPr w:rsidR="00B97C31" w:rsidSect="00EF2266">
          <w:headerReference w:type="even" r:id="rId19"/>
          <w:headerReference w:type="default" r:id="rId20"/>
          <w:footnotePr>
            <w:numRestart w:val="eachSect"/>
          </w:footnotePr>
          <w:pgSz w:w="12240" w:h="15840" w:code="1"/>
          <w:pgMar w:top="810" w:right="1440" w:bottom="1134" w:left="1440" w:header="680" w:footer="720" w:gutter="0"/>
          <w:cols w:space="720"/>
          <w:titlePg/>
          <w:docGrid w:linePitch="299"/>
        </w:sectPr>
      </w:pPr>
    </w:p>
    <w:p w14:paraId="00A8173C" w14:textId="77777777" w:rsidR="00B97C31" w:rsidRDefault="00B97C31" w:rsidP="00A66393">
      <w:pPr>
        <w:pStyle w:val="Heading-plain"/>
        <w:suppressLineNumbers/>
        <w:suppressAutoHyphens/>
        <w:spacing w:before="0" w:after="160"/>
        <w:jc w:val="both"/>
        <w:rPr>
          <w:snapToGrid w:val="0"/>
          <w:kern w:val="22"/>
          <w:szCs w:val="22"/>
          <w:lang w:val="fr-CA"/>
        </w:rPr>
      </w:pPr>
    </w:p>
    <w:p w14:paraId="49DE6905" w14:textId="77777777" w:rsidR="00B97C31" w:rsidRPr="007734D5" w:rsidRDefault="00B97C31" w:rsidP="00B97C31">
      <w:pPr>
        <w:pStyle w:val="Heading-plain"/>
        <w:suppressLineNumbers/>
        <w:suppressAutoHyphens/>
        <w:spacing w:before="0" w:after="160"/>
        <w:rPr>
          <w:snapToGrid w:val="0"/>
          <w:kern w:val="22"/>
          <w:szCs w:val="22"/>
          <w:lang w:val="fr-CA"/>
        </w:rPr>
      </w:pPr>
      <w:r w:rsidRPr="007734D5">
        <w:rPr>
          <w:snapToGrid w:val="0"/>
          <w:kern w:val="22"/>
          <w:szCs w:val="22"/>
          <w:lang w:val="fr-CA"/>
        </w:rPr>
        <w:t>Annexe I</w:t>
      </w:r>
    </w:p>
    <w:p w14:paraId="746FBFA0" w14:textId="77777777" w:rsidR="00B97C31" w:rsidRPr="007734D5" w:rsidRDefault="00B97C31" w:rsidP="00B97C31">
      <w:pPr>
        <w:pStyle w:val="Heading1"/>
        <w:rPr>
          <w:lang w:val="fr-CA"/>
        </w:rPr>
      </w:pPr>
      <w:r w:rsidRPr="007734D5">
        <w:rPr>
          <w:lang w:val="fr-CA"/>
        </w:rPr>
        <w:t xml:space="preserve">CONClusions de la réunion du groupe </w:t>
      </w:r>
      <w:r>
        <w:rPr>
          <w:lang w:val="fr-CA"/>
        </w:rPr>
        <w:t xml:space="preserve">SPÉCIAL </w:t>
      </w:r>
      <w:r w:rsidRPr="007734D5">
        <w:rPr>
          <w:lang w:val="fr-CA"/>
        </w:rPr>
        <w:t>d’experts techniques sur L’information de séquençage numérique SUR LES ressources génétiques</w:t>
      </w:r>
    </w:p>
    <w:p w14:paraId="7E176305" w14:textId="77777777" w:rsidR="00B97C31" w:rsidRPr="007734D5" w:rsidRDefault="00B97C31" w:rsidP="00B97C31">
      <w:pPr>
        <w:pStyle w:val="Para1"/>
        <w:numPr>
          <w:ilvl w:val="0"/>
          <w:numId w:val="24"/>
        </w:numPr>
        <w:suppressLineNumbers/>
        <w:tabs>
          <w:tab w:val="clear" w:pos="360"/>
        </w:tabs>
        <w:suppressAutoHyphens/>
        <w:spacing w:before="0" w:after="160"/>
        <w:rPr>
          <w:kern w:val="22"/>
          <w:szCs w:val="22"/>
          <w:lang w:val="fr-CA"/>
        </w:rPr>
      </w:pPr>
      <w:r w:rsidRPr="007734D5">
        <w:rPr>
          <w:kern w:val="22"/>
          <w:szCs w:val="22"/>
          <w:lang w:val="fr-CA"/>
        </w:rPr>
        <w:t>Le texte ci-dessous est une synthèse des conclusions du Groupe spécial d’experts techniques sur l’information de séquençage numérique sur les ressources génériques (ci-après appelé information de séquençage numérique ou « ISN »).</w:t>
      </w:r>
    </w:p>
    <w:p w14:paraId="623EA76F" w14:textId="77777777" w:rsidR="00B97C31" w:rsidRPr="007734D5" w:rsidRDefault="00B97C31" w:rsidP="00B97C31">
      <w:pPr>
        <w:pStyle w:val="Para1"/>
        <w:numPr>
          <w:ilvl w:val="0"/>
          <w:numId w:val="24"/>
        </w:numPr>
        <w:suppressLineNumbers/>
        <w:tabs>
          <w:tab w:val="clear" w:pos="360"/>
        </w:tabs>
        <w:suppressAutoHyphens/>
        <w:spacing w:before="0" w:after="160"/>
        <w:rPr>
          <w:kern w:val="22"/>
          <w:szCs w:val="22"/>
          <w:lang w:val="fr-CA"/>
        </w:rPr>
      </w:pPr>
      <w:r w:rsidRPr="007734D5">
        <w:rPr>
          <w:kern w:val="22"/>
          <w:szCs w:val="22"/>
          <w:lang w:val="fr-CA"/>
        </w:rPr>
        <w:t xml:space="preserve">Les experts ont rappelé la décision </w:t>
      </w:r>
      <w:hyperlink r:id="rId21" w:history="1">
        <w:r w:rsidRPr="007734D5">
          <w:rPr>
            <w:rStyle w:val="Hyperlink"/>
            <w:kern w:val="22"/>
            <w:sz w:val="22"/>
            <w:szCs w:val="22"/>
            <w:lang w:val="fr-CA"/>
          </w:rPr>
          <w:t>14/20</w:t>
        </w:r>
      </w:hyperlink>
      <w:r w:rsidRPr="007734D5">
        <w:rPr>
          <w:kern w:val="22"/>
          <w:szCs w:val="22"/>
          <w:lang w:val="fr-CA"/>
        </w:rPr>
        <w:t>, dans laquelle il est précisé que l’expression « information de séquençage numérique » n’est peut-être pas l’expression la plus appropriée mais qu’elle sert de substitut provisoire jusqu’à l’adoption d’une nouvelle expression.</w:t>
      </w:r>
    </w:p>
    <w:p w14:paraId="18AA2777" w14:textId="77777777" w:rsidR="00B97C31" w:rsidRPr="007734D5" w:rsidRDefault="00B97C31" w:rsidP="00B97C31">
      <w:pPr>
        <w:pStyle w:val="Para1"/>
        <w:keepNext/>
        <w:numPr>
          <w:ilvl w:val="0"/>
          <w:numId w:val="0"/>
        </w:numPr>
        <w:suppressLineNumbers/>
        <w:suppressAutoHyphens/>
        <w:spacing w:before="0" w:after="160"/>
        <w:ind w:left="1560" w:right="429" w:hanging="567"/>
        <w:jc w:val="left"/>
        <w:rPr>
          <w:b/>
          <w:kern w:val="22"/>
          <w:szCs w:val="22"/>
          <w:lang w:val="fr-CA"/>
        </w:rPr>
      </w:pPr>
      <w:r w:rsidRPr="007734D5">
        <w:rPr>
          <w:b/>
          <w:kern w:val="22"/>
          <w:szCs w:val="22"/>
          <w:lang w:val="fr-CA"/>
        </w:rPr>
        <w:t>I.</w:t>
      </w:r>
      <w:r w:rsidRPr="007734D5">
        <w:rPr>
          <w:b/>
          <w:kern w:val="22"/>
          <w:szCs w:val="22"/>
          <w:lang w:val="fr-CA"/>
        </w:rPr>
        <w:tab/>
      </w:r>
      <w:r>
        <w:rPr>
          <w:b/>
          <w:kern w:val="22"/>
          <w:szCs w:val="22"/>
          <w:lang w:val="fr-CA"/>
        </w:rPr>
        <w:t>ÉTENDUE</w:t>
      </w:r>
      <w:r w:rsidRPr="007734D5">
        <w:rPr>
          <w:b/>
          <w:kern w:val="22"/>
          <w:szCs w:val="22"/>
          <w:lang w:val="fr-CA"/>
        </w:rPr>
        <w:t xml:space="preserve"> DE L’INFORMATION DE SÉQUENÇAGE NUMÉRIQUE SUR LES RESSOURCES GÉNÉTIQUES ET TERMINOLOGIE</w:t>
      </w:r>
    </w:p>
    <w:p w14:paraId="52B8C769"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 Groupe spécial d’experts techniques a examiné les quatre groupes proposés dans l’Étude 1 sur le concept et </w:t>
      </w:r>
      <w:r>
        <w:rPr>
          <w:kern w:val="22"/>
          <w:lang w:val="fr-CA"/>
        </w:rPr>
        <w:t xml:space="preserve">l’étendue </w:t>
      </w:r>
      <w:r w:rsidRPr="007734D5">
        <w:rPr>
          <w:kern w:val="22"/>
          <w:lang w:val="fr-CA"/>
        </w:rPr>
        <w:t xml:space="preserve">(figure 7 et tableau 4 de l’Étude) </w:t>
      </w:r>
      <w:r>
        <w:rPr>
          <w:kern w:val="22"/>
          <w:lang w:val="fr-CA"/>
        </w:rPr>
        <w:t>en précisant</w:t>
      </w:r>
      <w:r w:rsidRPr="007734D5">
        <w:rPr>
          <w:kern w:val="22"/>
          <w:lang w:val="fr-CA"/>
        </w:rPr>
        <w:t xml:space="preserve"> </w:t>
      </w:r>
      <w:r>
        <w:rPr>
          <w:kern w:val="22"/>
          <w:lang w:val="fr-CA"/>
        </w:rPr>
        <w:t>l’étendue</w:t>
      </w:r>
      <w:r w:rsidRPr="007734D5">
        <w:rPr>
          <w:kern w:val="22"/>
          <w:lang w:val="fr-CA"/>
        </w:rPr>
        <w:t xml:space="preserve"> de l’information de séquençage numérique et a conclu que les quatre groupes proposés étaient rationnels et utile</w:t>
      </w:r>
      <w:r>
        <w:rPr>
          <w:kern w:val="22"/>
          <w:lang w:val="fr-CA"/>
        </w:rPr>
        <w:t>s</w:t>
      </w:r>
      <w:r w:rsidRPr="007734D5">
        <w:rPr>
          <w:kern w:val="22"/>
          <w:lang w:val="fr-CA"/>
        </w:rPr>
        <w:t xml:space="preserve"> comme point de départ des échanges. Il a précisé que des groupes définis aideraient les négociateurs du processus de la Convention et des autres forums lors des échanges sur des sujets liés au séquençage numérique.</w:t>
      </w:r>
    </w:p>
    <w:p w14:paraId="15C6F66A"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Pr>
          <w:kern w:val="22"/>
          <w:lang w:val="fr-CA"/>
        </w:rPr>
        <w:t>Dans leurs échanges sur</w:t>
      </w:r>
      <w:r w:rsidRPr="007734D5">
        <w:rPr>
          <w:kern w:val="22"/>
          <w:lang w:val="fr-CA"/>
        </w:rPr>
        <w:t xml:space="preserve"> la différence entre les « données » et « l’information », </w:t>
      </w:r>
      <w:r>
        <w:rPr>
          <w:kern w:val="22"/>
          <w:lang w:val="fr-CA"/>
        </w:rPr>
        <w:t>les experts ont précisé que</w:t>
      </w:r>
      <w:r w:rsidRPr="007734D5">
        <w:rPr>
          <w:kern w:val="22"/>
          <w:lang w:val="fr-CA"/>
        </w:rPr>
        <w:t xml:space="preserve"> l’information concerne davantage le processus que les données, et qu’il n’y a pas de </w:t>
      </w:r>
      <w:r>
        <w:rPr>
          <w:kern w:val="22"/>
          <w:lang w:val="fr-CA"/>
        </w:rPr>
        <w:t>ligne de démarcation</w:t>
      </w:r>
      <w:r w:rsidRPr="007734D5">
        <w:rPr>
          <w:kern w:val="22"/>
          <w:lang w:val="fr-CA"/>
        </w:rPr>
        <w:t xml:space="preserve"> claire entre les deux.</w:t>
      </w:r>
    </w:p>
    <w:p w14:paraId="0CE8103C" w14:textId="77777777" w:rsidR="00B97C31" w:rsidRPr="007734D5" w:rsidRDefault="00B97C31" w:rsidP="00B97C31">
      <w:pPr>
        <w:pStyle w:val="Para1"/>
        <w:numPr>
          <w:ilvl w:val="0"/>
          <w:numId w:val="24"/>
        </w:numPr>
        <w:suppressLineNumbers/>
        <w:tabs>
          <w:tab w:val="clear" w:pos="360"/>
          <w:tab w:val="num" w:pos="90"/>
        </w:tabs>
        <w:suppressAutoHyphens/>
        <w:spacing w:before="0" w:after="160"/>
        <w:rPr>
          <w:kern w:val="22"/>
          <w:lang w:val="fr-CA"/>
        </w:rPr>
      </w:pPr>
      <w:r w:rsidRPr="007734D5">
        <w:rPr>
          <w:kern w:val="22"/>
          <w:lang w:val="fr-CA"/>
        </w:rPr>
        <w:t xml:space="preserve">En ce qui concerne l’acheminement biochimique d’information au sein de la cellule, les experts ont </w:t>
      </w:r>
      <w:r>
        <w:rPr>
          <w:kern w:val="22"/>
          <w:lang w:val="fr-CA"/>
        </w:rPr>
        <w:t xml:space="preserve">attiré l’attention sur </w:t>
      </w:r>
      <w:r w:rsidRPr="007734D5">
        <w:rPr>
          <w:kern w:val="22"/>
          <w:lang w:val="fr-CA"/>
        </w:rPr>
        <w:t xml:space="preserve">la capacité de déduire les séquences d’acide nucléique </w:t>
      </w:r>
      <w:r>
        <w:rPr>
          <w:kern w:val="22"/>
          <w:lang w:val="fr-CA"/>
        </w:rPr>
        <w:t xml:space="preserve">à partir </w:t>
      </w:r>
      <w:r w:rsidRPr="007734D5">
        <w:rPr>
          <w:kern w:val="22"/>
          <w:lang w:val="fr-CA"/>
        </w:rPr>
        <w:t>des séquences de protéines (bien qu’imparfaitement car la même protéine peut créer des codes de séquences d’ADN) et l’incapacité actuelle de déduire rapidement les séquences d’acide nucléique et de protéines à partir des métabolites et des macromolécules.</w:t>
      </w:r>
    </w:p>
    <w:p w14:paraId="3DC38B77" w14:textId="77777777" w:rsidR="00B97C31" w:rsidRPr="007734D5" w:rsidRDefault="00B97C31" w:rsidP="00B97C31">
      <w:pPr>
        <w:pStyle w:val="Para1"/>
        <w:numPr>
          <w:ilvl w:val="0"/>
          <w:numId w:val="24"/>
        </w:numPr>
        <w:suppressLineNumbers/>
        <w:tabs>
          <w:tab w:val="clear" w:pos="360"/>
          <w:tab w:val="num" w:pos="90"/>
        </w:tabs>
        <w:suppressAutoHyphens/>
        <w:spacing w:before="0" w:after="160"/>
        <w:rPr>
          <w:kern w:val="22"/>
          <w:lang w:val="fr-CA"/>
        </w:rPr>
      </w:pPr>
      <w:r w:rsidRPr="007734D5">
        <w:rPr>
          <w:kern w:val="22"/>
          <w:lang w:val="fr-CA"/>
        </w:rPr>
        <w:t xml:space="preserve">Se fondant sur la justification proposée dans l’Étude 1, le Groupe spécial d’experts techniques a conclu que le niveau de traitement biologique et la proximité de la ressource génétique sous-jacente </w:t>
      </w:r>
      <w:r>
        <w:rPr>
          <w:kern w:val="22"/>
          <w:lang w:val="fr-CA"/>
        </w:rPr>
        <w:t xml:space="preserve">offrent une raison suffisante de </w:t>
      </w:r>
      <w:r w:rsidRPr="007734D5">
        <w:rPr>
          <w:kern w:val="22"/>
          <w:lang w:val="fr-CA"/>
        </w:rPr>
        <w:t>regrouper les informations qui peuvent constituer de l’information de séquençage numérique. Les groupes proposés sont cumulatifs (le groupe 2 comprend tous les éléments du groupe 1, et le groupe 3 comprend tous les éléments des groupes 1 et 2).</w:t>
      </w:r>
    </w:p>
    <w:p w14:paraId="11CA1A84" w14:textId="77777777" w:rsidR="00B97C31" w:rsidRPr="007734D5" w:rsidRDefault="00B97C31" w:rsidP="00B97C31">
      <w:pPr>
        <w:pStyle w:val="Para1"/>
        <w:numPr>
          <w:ilvl w:val="0"/>
          <w:numId w:val="24"/>
        </w:numPr>
        <w:suppressLineNumbers/>
        <w:tabs>
          <w:tab w:val="clear" w:pos="360"/>
          <w:tab w:val="num" w:pos="90"/>
        </w:tabs>
        <w:suppressAutoHyphens/>
        <w:spacing w:before="0" w:after="160"/>
        <w:rPr>
          <w:kern w:val="22"/>
          <w:lang w:val="fr-CA"/>
        </w:rPr>
      </w:pPr>
      <w:r w:rsidRPr="007734D5">
        <w:rPr>
          <w:kern w:val="22"/>
          <w:lang w:val="fr-CA"/>
        </w:rPr>
        <w:t>Une distinction a été établie entre l’information génétique et biochimique comprise dans les groupes 1 à 3</w:t>
      </w:r>
      <w:r>
        <w:rPr>
          <w:kern w:val="22"/>
          <w:lang w:val="fr-CA"/>
        </w:rPr>
        <w:t>,</w:t>
      </w:r>
      <w:r w:rsidRPr="007734D5">
        <w:rPr>
          <w:kern w:val="22"/>
          <w:lang w:val="fr-CA"/>
        </w:rPr>
        <w:t xml:space="preserve"> précisée dans le paragraphe 6 ci-dessus</w:t>
      </w:r>
      <w:r>
        <w:rPr>
          <w:kern w:val="22"/>
          <w:lang w:val="fr-CA"/>
        </w:rPr>
        <w:t>,</w:t>
      </w:r>
      <w:r w:rsidRPr="007734D5">
        <w:rPr>
          <w:kern w:val="22"/>
          <w:lang w:val="fr-CA"/>
        </w:rPr>
        <w:t xml:space="preserve"> et l’information connexe concernant une ressource génétique, telle que les connaissances traditionnelles associées aux ressources génétiques et les autres informations, décrites de diverses façons, notamment contextuelle, associée ou subsidiaire (v</w:t>
      </w:r>
      <w:r>
        <w:rPr>
          <w:kern w:val="22"/>
          <w:lang w:val="fr-CA"/>
        </w:rPr>
        <w:t>oir le tableau 1, ci-dessous)</w:t>
      </w:r>
      <w:r w:rsidRPr="007734D5">
        <w:rPr>
          <w:kern w:val="22"/>
          <w:lang w:val="fr-CA"/>
        </w:rPr>
        <w:t>.</w:t>
      </w:r>
    </w:p>
    <w:p w14:paraId="1167FBF8" w14:textId="77777777" w:rsidR="00B97C31" w:rsidRPr="007734D5" w:rsidRDefault="00B97C31" w:rsidP="00B97C31">
      <w:pPr>
        <w:pStyle w:val="Para1"/>
        <w:numPr>
          <w:ilvl w:val="0"/>
          <w:numId w:val="24"/>
        </w:numPr>
        <w:suppressLineNumbers/>
        <w:tabs>
          <w:tab w:val="clear" w:pos="360"/>
          <w:tab w:val="num" w:pos="90"/>
        </w:tabs>
        <w:suppressAutoHyphens/>
        <w:spacing w:before="0" w:after="160"/>
        <w:rPr>
          <w:kern w:val="22"/>
          <w:lang w:val="fr-CA"/>
        </w:rPr>
      </w:pPr>
      <w:r w:rsidRPr="007734D5">
        <w:rPr>
          <w:kern w:val="22"/>
          <w:lang w:val="fr-CA"/>
        </w:rPr>
        <w:t xml:space="preserve">Le Groupe spécial d’experts techniques a débattu de l’importance et de la pertinence des connaissances traditionnelles </w:t>
      </w:r>
      <w:r>
        <w:rPr>
          <w:kern w:val="22"/>
          <w:lang w:val="fr-CA"/>
        </w:rPr>
        <w:t>apparentées</w:t>
      </w:r>
      <w:r w:rsidRPr="007734D5">
        <w:rPr>
          <w:kern w:val="22"/>
          <w:lang w:val="fr-CA"/>
        </w:rPr>
        <w:t xml:space="preserve"> dans le contexte de l’utilisation de l’information de séquençage numérique sur les ressources génétiques et a rappelé l’obligation de partager les avantages de l’utilisation des connaissances traditionnelles associées aux ressources génétiques au titre du Protocole de Nagoya et de la Convention.</w:t>
      </w:r>
    </w:p>
    <w:p w14:paraId="5D3A0D8B" w14:textId="77777777" w:rsidR="00B97C31" w:rsidRPr="007734D5" w:rsidRDefault="00B97C31" w:rsidP="00B97C31">
      <w:pPr>
        <w:pStyle w:val="Para1"/>
        <w:numPr>
          <w:ilvl w:val="0"/>
          <w:numId w:val="24"/>
        </w:numPr>
        <w:suppressLineNumbers/>
        <w:tabs>
          <w:tab w:val="clear" w:pos="360"/>
          <w:tab w:val="num" w:pos="90"/>
        </w:tabs>
        <w:suppressAutoHyphens/>
        <w:spacing w:before="0" w:after="160"/>
        <w:rPr>
          <w:kern w:val="22"/>
          <w:lang w:val="fr-CA"/>
        </w:rPr>
      </w:pPr>
      <w:r w:rsidRPr="007734D5">
        <w:rPr>
          <w:kern w:val="22"/>
          <w:lang w:val="fr-CA"/>
        </w:rPr>
        <w:t xml:space="preserve">En précisant </w:t>
      </w:r>
      <w:r>
        <w:rPr>
          <w:kern w:val="22"/>
          <w:lang w:val="fr-CA"/>
        </w:rPr>
        <w:t>l’étendue</w:t>
      </w:r>
      <w:r w:rsidRPr="007734D5">
        <w:rPr>
          <w:kern w:val="22"/>
          <w:lang w:val="fr-CA"/>
        </w:rPr>
        <w:t xml:space="preserve"> de l’information de séquençage numérique, le Groupe </w:t>
      </w:r>
      <w:r>
        <w:rPr>
          <w:kern w:val="22"/>
          <w:lang w:val="fr-CA"/>
        </w:rPr>
        <w:t xml:space="preserve">spécial </w:t>
      </w:r>
      <w:r w:rsidRPr="007734D5">
        <w:rPr>
          <w:kern w:val="22"/>
          <w:lang w:val="fr-CA"/>
        </w:rPr>
        <w:t>d’experts techniques a convenu que les trois premiers groupes proposés dans l’Étude 1 pourraient être considérés comme de l’information de séquençage numérique, alors que l’information connexe déjà assignée (dans l’étude) au groupe 4, y compris les connaissances traditionnelles associées aux ressources génétiques, n’est pas une information de séquençage numérique.</w:t>
      </w:r>
    </w:p>
    <w:p w14:paraId="61579D16" w14:textId="77777777" w:rsidR="00B97C31" w:rsidRPr="007734D5" w:rsidRDefault="00B97C31" w:rsidP="00B97C31">
      <w:pPr>
        <w:pStyle w:val="Para1"/>
        <w:numPr>
          <w:ilvl w:val="0"/>
          <w:numId w:val="0"/>
        </w:numPr>
        <w:suppressLineNumbers/>
        <w:suppressAutoHyphens/>
        <w:spacing w:before="0" w:after="160"/>
        <w:jc w:val="left"/>
        <w:rPr>
          <w:b/>
          <w:kern w:val="22"/>
          <w:szCs w:val="22"/>
          <w:lang w:val="fr-CA"/>
        </w:rPr>
      </w:pPr>
      <w:r w:rsidRPr="007734D5">
        <w:rPr>
          <w:b/>
          <w:kern w:val="22"/>
          <w:szCs w:val="22"/>
          <w:lang w:val="fr-CA"/>
        </w:rPr>
        <w:lastRenderedPageBreak/>
        <w:t xml:space="preserve">Tableau 1. Précisions sur </w:t>
      </w:r>
      <w:r>
        <w:rPr>
          <w:b/>
          <w:kern w:val="22"/>
          <w:szCs w:val="22"/>
          <w:lang w:val="fr-CA"/>
        </w:rPr>
        <w:t>l’étendue</w:t>
      </w:r>
      <w:r w:rsidRPr="007734D5">
        <w:rPr>
          <w:b/>
          <w:kern w:val="22"/>
          <w:szCs w:val="22"/>
          <w:lang w:val="fr-CA"/>
        </w:rPr>
        <w:t xml:space="preserve"> de l’information de séquençage numérique sur les ressources génétiques</w:t>
      </w:r>
    </w:p>
    <w:tbl>
      <w:tblPr>
        <w:tblStyle w:val="TableGrid"/>
        <w:tblW w:w="0" w:type="auto"/>
        <w:jc w:val="center"/>
        <w:tblLayout w:type="fixed"/>
        <w:tblLook w:val="04A0" w:firstRow="1" w:lastRow="0" w:firstColumn="1" w:lastColumn="0" w:noHBand="0" w:noVBand="1"/>
      </w:tblPr>
      <w:tblGrid>
        <w:gridCol w:w="1345"/>
        <w:gridCol w:w="1800"/>
        <w:gridCol w:w="2070"/>
        <w:gridCol w:w="1890"/>
        <w:gridCol w:w="2245"/>
      </w:tblGrid>
      <w:tr w:rsidR="00B97C31" w:rsidRPr="00AF2996" w14:paraId="109CA497" w14:textId="77777777" w:rsidTr="00B97C31">
        <w:trPr>
          <w:cantSplit/>
          <w:jc w:val="center"/>
        </w:trPr>
        <w:tc>
          <w:tcPr>
            <w:tcW w:w="1345" w:type="dxa"/>
            <w:vMerge w:val="restart"/>
            <w:shd w:val="clear" w:color="auto" w:fill="auto"/>
          </w:tcPr>
          <w:p w14:paraId="79323FB0" w14:textId="77777777" w:rsidR="00B97C31" w:rsidRPr="00111D81" w:rsidRDefault="00B97C31" w:rsidP="00B97C31">
            <w:pPr>
              <w:suppressLineNumbers/>
              <w:suppressAutoHyphens/>
              <w:rPr>
                <w:kern w:val="22"/>
                <w:sz w:val="21"/>
                <w:szCs w:val="22"/>
                <w:lang w:val="fr-CA"/>
              </w:rPr>
            </w:pPr>
          </w:p>
        </w:tc>
        <w:tc>
          <w:tcPr>
            <w:tcW w:w="8005" w:type="dxa"/>
            <w:gridSpan w:val="4"/>
            <w:shd w:val="clear" w:color="auto" w:fill="BFBFBF" w:themeFill="background1" w:themeFillShade="BF"/>
          </w:tcPr>
          <w:p w14:paraId="17C235F5" w14:textId="77777777" w:rsidR="00B97C31" w:rsidRPr="00111D81" w:rsidRDefault="00B97C31" w:rsidP="00B97C31">
            <w:pPr>
              <w:suppressLineNumbers/>
              <w:suppressAutoHyphens/>
              <w:jc w:val="center"/>
              <w:rPr>
                <w:b/>
                <w:bCs/>
                <w:kern w:val="22"/>
                <w:sz w:val="21"/>
                <w:szCs w:val="22"/>
                <w:lang w:val="fr-CA"/>
              </w:rPr>
            </w:pPr>
            <w:r w:rsidRPr="00111D81">
              <w:rPr>
                <w:b/>
                <w:bCs/>
                <w:kern w:val="22"/>
                <w:sz w:val="21"/>
                <w:szCs w:val="22"/>
                <w:lang w:val="fr-CA"/>
              </w:rPr>
              <w:t>Information relative à une ressources génétique</w:t>
            </w:r>
          </w:p>
        </w:tc>
      </w:tr>
      <w:tr w:rsidR="00B97C31" w:rsidRPr="00111D81" w14:paraId="0C4D652C" w14:textId="77777777" w:rsidTr="00B97C31">
        <w:trPr>
          <w:cantSplit/>
          <w:jc w:val="center"/>
        </w:trPr>
        <w:tc>
          <w:tcPr>
            <w:tcW w:w="1345" w:type="dxa"/>
            <w:vMerge/>
            <w:shd w:val="clear" w:color="auto" w:fill="auto"/>
          </w:tcPr>
          <w:p w14:paraId="6462EB40" w14:textId="77777777" w:rsidR="00B97C31" w:rsidRPr="00111D81" w:rsidRDefault="00B97C31" w:rsidP="00B97C31">
            <w:pPr>
              <w:suppressLineNumbers/>
              <w:suppressAutoHyphens/>
              <w:rPr>
                <w:kern w:val="22"/>
                <w:sz w:val="21"/>
                <w:szCs w:val="22"/>
                <w:lang w:val="fr-CA"/>
              </w:rPr>
            </w:pPr>
          </w:p>
        </w:tc>
        <w:tc>
          <w:tcPr>
            <w:tcW w:w="5760" w:type="dxa"/>
            <w:gridSpan w:val="3"/>
            <w:shd w:val="clear" w:color="auto" w:fill="D9D9D9" w:themeFill="background1" w:themeFillShade="D9"/>
          </w:tcPr>
          <w:p w14:paraId="41E7F182" w14:textId="77777777" w:rsidR="00B97C31" w:rsidRPr="00111D81" w:rsidRDefault="00B97C31" w:rsidP="00B97C31">
            <w:pPr>
              <w:suppressLineNumbers/>
              <w:suppressAutoHyphens/>
              <w:jc w:val="center"/>
              <w:rPr>
                <w:b/>
                <w:bCs/>
                <w:kern w:val="22"/>
                <w:sz w:val="21"/>
                <w:szCs w:val="22"/>
                <w:lang w:val="fr-CA"/>
              </w:rPr>
            </w:pPr>
            <w:r w:rsidRPr="00111D81">
              <w:rPr>
                <w:b/>
                <w:bCs/>
                <w:kern w:val="22"/>
                <w:sz w:val="21"/>
                <w:szCs w:val="22"/>
                <w:lang w:val="fr-CA"/>
              </w:rPr>
              <w:t>Information génétique et biochimique</w:t>
            </w:r>
          </w:p>
        </w:tc>
        <w:tc>
          <w:tcPr>
            <w:tcW w:w="2245" w:type="dxa"/>
            <w:vMerge w:val="restart"/>
            <w:shd w:val="clear" w:color="auto" w:fill="D9D9D9" w:themeFill="background1" w:themeFillShade="D9"/>
            <w:vAlign w:val="center"/>
          </w:tcPr>
          <w:p w14:paraId="7A28DA58" w14:textId="77777777" w:rsidR="00B97C31" w:rsidRPr="00111D81" w:rsidRDefault="00B97C31" w:rsidP="00B97C31">
            <w:pPr>
              <w:suppressLineNumbers/>
              <w:suppressAutoHyphens/>
              <w:jc w:val="center"/>
              <w:rPr>
                <w:b/>
                <w:bCs/>
                <w:kern w:val="22"/>
                <w:sz w:val="21"/>
                <w:szCs w:val="22"/>
                <w:lang w:val="fr-CA"/>
              </w:rPr>
            </w:pPr>
            <w:r w:rsidRPr="00111D81">
              <w:rPr>
                <w:b/>
                <w:bCs/>
                <w:kern w:val="22"/>
                <w:sz w:val="21"/>
                <w:szCs w:val="22"/>
                <w:lang w:val="fr-CA"/>
              </w:rPr>
              <w:t>Information connexe</w:t>
            </w:r>
          </w:p>
        </w:tc>
      </w:tr>
      <w:tr w:rsidR="00B97C31" w:rsidRPr="00111D81" w14:paraId="41EEF164" w14:textId="77777777" w:rsidTr="00B97C31">
        <w:trPr>
          <w:cantSplit/>
          <w:jc w:val="center"/>
        </w:trPr>
        <w:tc>
          <w:tcPr>
            <w:tcW w:w="1345" w:type="dxa"/>
          </w:tcPr>
          <w:p w14:paraId="102EFE90" w14:textId="77777777" w:rsidR="00B97C31" w:rsidRPr="00111D81" w:rsidRDefault="00B97C31" w:rsidP="00B97C31">
            <w:pPr>
              <w:suppressLineNumbers/>
              <w:suppressAutoHyphens/>
              <w:jc w:val="left"/>
              <w:rPr>
                <w:b/>
                <w:bCs/>
                <w:kern w:val="22"/>
                <w:sz w:val="21"/>
                <w:szCs w:val="22"/>
                <w:lang w:val="fr-CA"/>
              </w:rPr>
            </w:pPr>
            <w:r w:rsidRPr="00111D81">
              <w:rPr>
                <w:b/>
                <w:bCs/>
                <w:kern w:val="22"/>
                <w:sz w:val="21"/>
                <w:szCs w:val="22"/>
                <w:lang w:val="fr-CA"/>
              </w:rPr>
              <w:t>Groupe</w:t>
            </w:r>
          </w:p>
        </w:tc>
        <w:tc>
          <w:tcPr>
            <w:tcW w:w="1800" w:type="dxa"/>
            <w:shd w:val="clear" w:color="auto" w:fill="F2F2F2" w:themeFill="background1" w:themeFillShade="F2"/>
          </w:tcPr>
          <w:p w14:paraId="75E888EA" w14:textId="77777777" w:rsidR="00B97C31" w:rsidRPr="00111D81" w:rsidRDefault="00B97C31" w:rsidP="00B97C31">
            <w:pPr>
              <w:suppressLineNumbers/>
              <w:suppressAutoHyphens/>
              <w:jc w:val="center"/>
              <w:rPr>
                <w:i/>
                <w:iCs/>
                <w:kern w:val="22"/>
                <w:sz w:val="21"/>
                <w:szCs w:val="22"/>
                <w:lang w:val="fr-CA"/>
              </w:rPr>
            </w:pPr>
            <w:r w:rsidRPr="00111D81">
              <w:rPr>
                <w:i/>
                <w:iCs/>
                <w:kern w:val="22"/>
                <w:sz w:val="21"/>
                <w:szCs w:val="22"/>
                <w:lang w:val="fr-CA"/>
              </w:rPr>
              <w:t>Groupe 1</w:t>
            </w:r>
          </w:p>
        </w:tc>
        <w:tc>
          <w:tcPr>
            <w:tcW w:w="2070" w:type="dxa"/>
            <w:shd w:val="clear" w:color="auto" w:fill="F2F2F2" w:themeFill="background1" w:themeFillShade="F2"/>
          </w:tcPr>
          <w:p w14:paraId="74D97875" w14:textId="77777777" w:rsidR="00B97C31" w:rsidRPr="00111D81" w:rsidRDefault="00B97C31" w:rsidP="00B97C31">
            <w:pPr>
              <w:suppressLineNumbers/>
              <w:suppressAutoHyphens/>
              <w:jc w:val="center"/>
              <w:rPr>
                <w:i/>
                <w:iCs/>
                <w:kern w:val="22"/>
                <w:sz w:val="21"/>
                <w:szCs w:val="22"/>
                <w:lang w:val="fr-CA"/>
              </w:rPr>
            </w:pPr>
            <w:r w:rsidRPr="00111D81">
              <w:rPr>
                <w:i/>
                <w:iCs/>
                <w:kern w:val="22"/>
                <w:sz w:val="21"/>
                <w:szCs w:val="22"/>
                <w:lang w:val="fr-CA"/>
              </w:rPr>
              <w:t>Groupe 2</w:t>
            </w:r>
          </w:p>
        </w:tc>
        <w:tc>
          <w:tcPr>
            <w:tcW w:w="1890" w:type="dxa"/>
            <w:shd w:val="clear" w:color="auto" w:fill="F2F2F2" w:themeFill="background1" w:themeFillShade="F2"/>
          </w:tcPr>
          <w:p w14:paraId="55EF1FA8" w14:textId="77777777" w:rsidR="00B97C31" w:rsidRPr="00111D81" w:rsidRDefault="00B97C31" w:rsidP="00B97C31">
            <w:pPr>
              <w:suppressLineNumbers/>
              <w:suppressAutoHyphens/>
              <w:jc w:val="center"/>
              <w:rPr>
                <w:i/>
                <w:iCs/>
                <w:kern w:val="22"/>
                <w:sz w:val="21"/>
                <w:szCs w:val="22"/>
                <w:lang w:val="fr-CA"/>
              </w:rPr>
            </w:pPr>
            <w:r w:rsidRPr="00111D81">
              <w:rPr>
                <w:i/>
                <w:iCs/>
                <w:kern w:val="22"/>
                <w:sz w:val="21"/>
                <w:szCs w:val="22"/>
                <w:lang w:val="fr-CA"/>
              </w:rPr>
              <w:t>Groupe 3</w:t>
            </w:r>
          </w:p>
        </w:tc>
        <w:tc>
          <w:tcPr>
            <w:tcW w:w="2245" w:type="dxa"/>
            <w:vMerge/>
          </w:tcPr>
          <w:p w14:paraId="519E534F" w14:textId="77777777" w:rsidR="00B97C31" w:rsidRPr="00111D81" w:rsidRDefault="00B97C31" w:rsidP="00B97C31">
            <w:pPr>
              <w:suppressLineNumbers/>
              <w:suppressAutoHyphens/>
              <w:jc w:val="center"/>
              <w:rPr>
                <w:kern w:val="22"/>
                <w:sz w:val="21"/>
                <w:szCs w:val="22"/>
                <w:lang w:val="fr-CA"/>
              </w:rPr>
            </w:pPr>
          </w:p>
        </w:tc>
      </w:tr>
      <w:tr w:rsidR="00B97C31" w:rsidRPr="00AF2996" w14:paraId="7CEF2A02" w14:textId="77777777" w:rsidTr="00B97C31">
        <w:trPr>
          <w:trHeight w:val="744"/>
          <w:jc w:val="center"/>
        </w:trPr>
        <w:tc>
          <w:tcPr>
            <w:tcW w:w="1345" w:type="dxa"/>
          </w:tcPr>
          <w:p w14:paraId="06AF4E31" w14:textId="77777777" w:rsidR="00B97C31" w:rsidRPr="00111D81" w:rsidRDefault="00B97C31" w:rsidP="00B97C31">
            <w:pPr>
              <w:suppressLineNumbers/>
              <w:suppressAutoHyphens/>
              <w:jc w:val="left"/>
              <w:rPr>
                <w:b/>
                <w:bCs/>
                <w:kern w:val="22"/>
                <w:sz w:val="21"/>
                <w:szCs w:val="22"/>
                <w:lang w:val="fr-CA"/>
              </w:rPr>
            </w:pPr>
            <w:r w:rsidRPr="00111D81">
              <w:rPr>
                <w:b/>
                <w:bCs/>
                <w:kern w:val="22"/>
                <w:sz w:val="21"/>
                <w:szCs w:val="22"/>
                <w:lang w:val="fr-CA"/>
              </w:rPr>
              <w:t>Description de haut niveau de chaque groupe</w:t>
            </w:r>
          </w:p>
        </w:tc>
        <w:tc>
          <w:tcPr>
            <w:tcW w:w="1800" w:type="dxa"/>
          </w:tcPr>
          <w:p w14:paraId="0E575E82" w14:textId="77777777" w:rsidR="00B97C31" w:rsidRPr="00111D81" w:rsidRDefault="00B97C31" w:rsidP="00B97C31">
            <w:pPr>
              <w:suppressLineNumbers/>
              <w:suppressAutoHyphens/>
              <w:jc w:val="left"/>
              <w:rPr>
                <w:kern w:val="22"/>
                <w:sz w:val="21"/>
                <w:szCs w:val="22"/>
                <w:lang w:val="fr-CA"/>
              </w:rPr>
            </w:pPr>
            <w:r w:rsidRPr="00111D81">
              <w:rPr>
                <w:kern w:val="22"/>
                <w:sz w:val="21"/>
                <w:szCs w:val="22"/>
                <w:lang w:val="fr-CA"/>
              </w:rPr>
              <w:t xml:space="preserve"> ADN et ARN</w:t>
            </w:r>
          </w:p>
        </w:tc>
        <w:tc>
          <w:tcPr>
            <w:tcW w:w="2070" w:type="dxa"/>
          </w:tcPr>
          <w:p w14:paraId="48D15740" w14:textId="77777777" w:rsidR="00B97C31" w:rsidRPr="00111D81" w:rsidRDefault="00B97C31" w:rsidP="00B97C31">
            <w:pPr>
              <w:suppressLineNumbers/>
              <w:suppressAutoHyphens/>
              <w:jc w:val="left"/>
              <w:rPr>
                <w:kern w:val="22"/>
                <w:sz w:val="21"/>
                <w:szCs w:val="22"/>
                <w:lang w:val="fr-CA"/>
              </w:rPr>
            </w:pPr>
            <w:r w:rsidRPr="00111D81">
              <w:rPr>
                <w:kern w:val="22"/>
                <w:sz w:val="21"/>
                <w:szCs w:val="22"/>
                <w:lang w:val="fr-CA"/>
              </w:rPr>
              <w:t>Groupe 1 + protéines + modifications épigénétiques</w:t>
            </w:r>
          </w:p>
        </w:tc>
        <w:tc>
          <w:tcPr>
            <w:tcW w:w="1890" w:type="dxa"/>
          </w:tcPr>
          <w:p w14:paraId="220D0AAB" w14:textId="77777777" w:rsidR="00B97C31" w:rsidRPr="00111D81" w:rsidRDefault="00B97C31" w:rsidP="00B97C31">
            <w:pPr>
              <w:suppressLineNumbers/>
              <w:suppressAutoHyphens/>
              <w:jc w:val="left"/>
              <w:rPr>
                <w:kern w:val="22"/>
                <w:sz w:val="21"/>
                <w:szCs w:val="22"/>
                <w:lang w:val="fr-CA"/>
              </w:rPr>
            </w:pPr>
            <w:r w:rsidRPr="00111D81">
              <w:rPr>
                <w:kern w:val="22"/>
                <w:sz w:val="21"/>
                <w:szCs w:val="22"/>
                <w:lang w:val="fr-CA"/>
              </w:rPr>
              <w:t>Groupe 2 + métabolites et autres macromolécules</w:t>
            </w:r>
          </w:p>
        </w:tc>
        <w:tc>
          <w:tcPr>
            <w:tcW w:w="2245" w:type="dxa"/>
            <w:vMerge/>
          </w:tcPr>
          <w:p w14:paraId="695F027B" w14:textId="77777777" w:rsidR="00B97C31" w:rsidRPr="00111D81" w:rsidRDefault="00B97C31" w:rsidP="00B97C31">
            <w:pPr>
              <w:suppressLineNumbers/>
              <w:suppressAutoHyphens/>
              <w:jc w:val="left"/>
              <w:rPr>
                <w:kern w:val="22"/>
                <w:sz w:val="21"/>
                <w:szCs w:val="22"/>
                <w:lang w:val="fr-CA"/>
              </w:rPr>
            </w:pPr>
          </w:p>
        </w:tc>
      </w:tr>
      <w:tr w:rsidR="00B97C31" w:rsidRPr="00AF2996" w14:paraId="689EDC9C" w14:textId="77777777" w:rsidTr="00B97C31">
        <w:trPr>
          <w:trHeight w:val="3152"/>
          <w:jc w:val="center"/>
        </w:trPr>
        <w:tc>
          <w:tcPr>
            <w:tcW w:w="1345" w:type="dxa"/>
          </w:tcPr>
          <w:p w14:paraId="7E2B7C31" w14:textId="77777777" w:rsidR="00B97C31" w:rsidRPr="00111D81" w:rsidRDefault="00B97C31" w:rsidP="00B97C31">
            <w:pPr>
              <w:suppressLineNumbers/>
              <w:suppressAutoHyphens/>
              <w:jc w:val="left"/>
              <w:rPr>
                <w:b/>
                <w:bCs/>
                <w:kern w:val="22"/>
                <w:sz w:val="21"/>
                <w:szCs w:val="22"/>
                <w:lang w:val="fr-CA"/>
              </w:rPr>
            </w:pPr>
            <w:r w:rsidRPr="00111D81">
              <w:rPr>
                <w:b/>
                <w:bCs/>
                <w:kern w:val="22"/>
                <w:sz w:val="21"/>
                <w:szCs w:val="22"/>
                <w:lang w:val="fr-CA"/>
              </w:rPr>
              <w:t>Exemples de sujets granulaires</w:t>
            </w:r>
          </w:p>
        </w:tc>
        <w:tc>
          <w:tcPr>
            <w:tcW w:w="1800" w:type="dxa"/>
          </w:tcPr>
          <w:p w14:paraId="6548728A" w14:textId="77777777" w:rsidR="00B97C31" w:rsidRPr="00111D81" w:rsidRDefault="00B97C31" w:rsidP="00B97C31">
            <w:pPr>
              <w:pStyle w:val="ListParagraph"/>
              <w:numPr>
                <w:ilvl w:val="0"/>
                <w:numId w:val="22"/>
              </w:numPr>
              <w:suppressLineNumbers/>
              <w:suppressAutoHyphens/>
              <w:ind w:left="0" w:hanging="147"/>
              <w:contextualSpacing w:val="0"/>
              <w:jc w:val="left"/>
              <w:rPr>
                <w:kern w:val="22"/>
                <w:sz w:val="21"/>
                <w:szCs w:val="22"/>
                <w:lang w:val="fr-CA"/>
              </w:rPr>
            </w:pPr>
            <w:r w:rsidRPr="00111D81">
              <w:rPr>
                <w:kern w:val="22"/>
                <w:sz w:val="21"/>
                <w:szCs w:val="22"/>
                <w:lang w:val="fr-CA"/>
              </w:rPr>
              <w:t>Lectures de séquences d’acide nucléique; données apparentées aux lectures de séquences d’acide nucléique; cartographie génétique (p. ex., génotypage, analyse microsatellite, SNP, etc.); annotations structurales</w:t>
            </w:r>
          </w:p>
        </w:tc>
        <w:tc>
          <w:tcPr>
            <w:tcW w:w="2070" w:type="dxa"/>
          </w:tcPr>
          <w:p w14:paraId="275EF306" w14:textId="77777777" w:rsidR="00B97C31" w:rsidRPr="00111D81" w:rsidRDefault="00B97C31" w:rsidP="00B97C31">
            <w:pPr>
              <w:pStyle w:val="ListParagraph"/>
              <w:numPr>
                <w:ilvl w:val="0"/>
                <w:numId w:val="22"/>
              </w:numPr>
              <w:suppressLineNumbers/>
              <w:suppressAutoHyphens/>
              <w:ind w:left="0" w:hanging="147"/>
              <w:contextualSpacing w:val="0"/>
              <w:jc w:val="left"/>
              <w:rPr>
                <w:kern w:val="22"/>
                <w:sz w:val="21"/>
                <w:szCs w:val="22"/>
                <w:lang w:val="fr-CA"/>
              </w:rPr>
            </w:pPr>
            <w:r w:rsidRPr="00111D81">
              <w:rPr>
                <w:kern w:val="22"/>
                <w:sz w:val="21"/>
                <w:szCs w:val="22"/>
                <w:lang w:val="fr-CA"/>
              </w:rPr>
              <w:t>Séquences d’acides aminés; information sur l’expression génétique; annotations fonctionnelles; modifications épigénétiques (p. ex., modèles de méthylation et acétylation); structures moléculaires des protéines; réseaux d’interaction moléculaire.</w:t>
            </w:r>
          </w:p>
        </w:tc>
        <w:tc>
          <w:tcPr>
            <w:tcW w:w="1890" w:type="dxa"/>
          </w:tcPr>
          <w:p w14:paraId="009DED53" w14:textId="77777777" w:rsidR="00B97C31" w:rsidRPr="00111D81" w:rsidRDefault="00B97C31" w:rsidP="00B97C31">
            <w:pPr>
              <w:pStyle w:val="ListParagraph"/>
              <w:numPr>
                <w:ilvl w:val="0"/>
                <w:numId w:val="22"/>
              </w:numPr>
              <w:suppressLineNumbers/>
              <w:suppressAutoHyphens/>
              <w:ind w:left="0" w:hanging="147"/>
              <w:contextualSpacing w:val="0"/>
              <w:jc w:val="left"/>
              <w:rPr>
                <w:kern w:val="22"/>
                <w:sz w:val="21"/>
                <w:szCs w:val="22"/>
                <w:lang w:val="fr-CA"/>
              </w:rPr>
            </w:pPr>
            <w:r w:rsidRPr="00111D81">
              <w:rPr>
                <w:kern w:val="22"/>
                <w:sz w:val="21"/>
                <w:szCs w:val="22"/>
                <w:lang w:val="fr-CA"/>
              </w:rPr>
              <w:t>Information sur la composition biochimique d’une ressource génétique; macromolécules (autres que l’ADN, l’ARN et les protéines); métabolites cellulaires (structures moléculaires).</w:t>
            </w:r>
          </w:p>
        </w:tc>
        <w:tc>
          <w:tcPr>
            <w:tcW w:w="2245" w:type="dxa"/>
          </w:tcPr>
          <w:p w14:paraId="45A628D9" w14:textId="77777777" w:rsidR="00B97C31" w:rsidRPr="00111D81" w:rsidRDefault="00B97C31" w:rsidP="00B97C31">
            <w:pPr>
              <w:pStyle w:val="ListParagraph"/>
              <w:numPr>
                <w:ilvl w:val="0"/>
                <w:numId w:val="22"/>
              </w:numPr>
              <w:suppressLineNumbers/>
              <w:suppressAutoHyphens/>
              <w:ind w:left="0" w:hanging="147"/>
              <w:contextualSpacing w:val="0"/>
              <w:jc w:val="left"/>
              <w:rPr>
                <w:kern w:val="22"/>
                <w:sz w:val="21"/>
                <w:szCs w:val="22"/>
                <w:lang w:val="fr-CA"/>
              </w:rPr>
            </w:pPr>
            <w:r w:rsidRPr="00111D81">
              <w:rPr>
                <w:kern w:val="22"/>
                <w:sz w:val="21"/>
                <w:szCs w:val="22"/>
                <w:lang w:val="fr-CA"/>
              </w:rPr>
              <w:t>Connaissances traditionnelles associées aux ressources génétiques;</w:t>
            </w:r>
          </w:p>
          <w:p w14:paraId="1279E04E" w14:textId="77777777" w:rsidR="00B97C31" w:rsidRPr="00111D81" w:rsidRDefault="00B97C31" w:rsidP="00B97C31">
            <w:pPr>
              <w:pStyle w:val="ListParagraph"/>
              <w:numPr>
                <w:ilvl w:val="0"/>
                <w:numId w:val="22"/>
              </w:numPr>
              <w:suppressLineNumbers/>
              <w:suppressAutoHyphens/>
              <w:ind w:left="0" w:hanging="147"/>
              <w:contextualSpacing w:val="0"/>
              <w:jc w:val="left"/>
              <w:rPr>
                <w:kern w:val="22"/>
                <w:sz w:val="21"/>
                <w:szCs w:val="22"/>
                <w:lang w:val="fr-CA"/>
              </w:rPr>
            </w:pPr>
            <w:r w:rsidRPr="00111D81">
              <w:rPr>
                <w:kern w:val="22"/>
                <w:sz w:val="21"/>
                <w:szCs w:val="22"/>
                <w:lang w:val="fr-CA"/>
              </w:rPr>
              <w:t>information associée aux groupes 1, 2 et 3 d’information de séquençage numérique (p. ex., facteurs biotiques et abiotiques dans l’environnement ou associés à l’organisme); autres types d’information associée à la ressource génétique ou son utilisation.</w:t>
            </w:r>
          </w:p>
        </w:tc>
      </w:tr>
    </w:tbl>
    <w:p w14:paraId="3182496E"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Les experts ont également pris note de ce qui suit lors des échanges sur </w:t>
      </w:r>
      <w:r>
        <w:rPr>
          <w:kern w:val="22"/>
          <w:lang w:val="fr-CA"/>
        </w:rPr>
        <w:t>l’étendue</w:t>
      </w:r>
      <w:r w:rsidRPr="007734D5">
        <w:rPr>
          <w:kern w:val="22"/>
          <w:lang w:val="fr-CA"/>
        </w:rPr>
        <w:t xml:space="preserve"> de l’information de séquençage numérique :</w:t>
      </w:r>
    </w:p>
    <w:p w14:paraId="6E47C4FE" w14:textId="7EF5E855" w:rsidR="00B97C31" w:rsidRPr="007734D5" w:rsidRDefault="00B97C31" w:rsidP="00623B0A">
      <w:pPr>
        <w:pStyle w:val="Para1"/>
        <w:numPr>
          <w:ilvl w:val="1"/>
          <w:numId w:val="24"/>
        </w:numPr>
        <w:suppressLineNumbers/>
        <w:suppressAutoHyphens/>
        <w:spacing w:before="0" w:after="160"/>
        <w:rPr>
          <w:kern w:val="22"/>
          <w:szCs w:val="22"/>
          <w:lang w:val="fr-CA"/>
        </w:rPr>
      </w:pPr>
      <w:r w:rsidRPr="007734D5">
        <w:rPr>
          <w:kern w:val="22"/>
          <w:szCs w:val="22"/>
          <w:lang w:val="fr-CA"/>
        </w:rPr>
        <w:t>L’utilisation des group</w:t>
      </w:r>
      <w:r>
        <w:rPr>
          <w:kern w:val="22"/>
          <w:szCs w:val="22"/>
          <w:lang w:val="fr-CA"/>
        </w:rPr>
        <w:t>e</w:t>
      </w:r>
      <w:r w:rsidRPr="007734D5">
        <w:rPr>
          <w:kern w:val="22"/>
          <w:szCs w:val="22"/>
          <w:lang w:val="fr-CA"/>
        </w:rPr>
        <w:t>s propos</w:t>
      </w:r>
      <w:r>
        <w:rPr>
          <w:kern w:val="22"/>
          <w:szCs w:val="22"/>
          <w:lang w:val="fr-CA"/>
        </w:rPr>
        <w:t>é</w:t>
      </w:r>
      <w:r w:rsidRPr="007734D5">
        <w:rPr>
          <w:kern w:val="22"/>
          <w:szCs w:val="22"/>
          <w:lang w:val="fr-CA"/>
        </w:rPr>
        <w:t>s pour décrire l’information de séquençage numérique et l’information connexe peu</w:t>
      </w:r>
      <w:r>
        <w:rPr>
          <w:kern w:val="22"/>
          <w:szCs w:val="22"/>
          <w:lang w:val="fr-CA"/>
        </w:rPr>
        <w:t>ven</w:t>
      </w:r>
      <w:r w:rsidRPr="007734D5">
        <w:rPr>
          <w:kern w:val="22"/>
          <w:szCs w:val="22"/>
          <w:lang w:val="fr-CA"/>
        </w:rPr>
        <w:t>t offrir une clarté conceptuelle;</w:t>
      </w:r>
    </w:p>
    <w:p w14:paraId="525D41C7" w14:textId="77777777" w:rsidR="00B97C31" w:rsidRPr="007734D5" w:rsidRDefault="00B97C31" w:rsidP="00B97C31">
      <w:pPr>
        <w:pStyle w:val="ListParagraph"/>
        <w:numPr>
          <w:ilvl w:val="1"/>
          <w:numId w:val="24"/>
        </w:numPr>
        <w:suppressLineNumbers/>
        <w:suppressAutoHyphens/>
        <w:spacing w:after="160"/>
        <w:contextualSpacing w:val="0"/>
        <w:rPr>
          <w:snapToGrid w:val="0"/>
          <w:kern w:val="22"/>
          <w:lang w:val="fr-CA"/>
        </w:rPr>
      </w:pPr>
      <w:r w:rsidRPr="007734D5">
        <w:rPr>
          <w:snapToGrid w:val="0"/>
          <w:kern w:val="22"/>
          <w:lang w:val="fr-CA"/>
        </w:rPr>
        <w:t>Il est important d’obtenir une clarté conceptuelle concernant l’information de séquençage numérique afin d’établir la clarté légale en toutes circonstances; certains experts ont précisé que la différence entre les différents groupes peut être plus importante dans certaines approches (p. ex., approches bilatérales) que dans d’autres (p. ex., approches multilatérales);</w:t>
      </w:r>
    </w:p>
    <w:p w14:paraId="5EB152B9" w14:textId="77777777" w:rsidR="00B97C31" w:rsidRPr="007734D5" w:rsidRDefault="00B97C31" w:rsidP="00B97C31">
      <w:pPr>
        <w:pStyle w:val="Para1"/>
        <w:numPr>
          <w:ilvl w:val="1"/>
          <w:numId w:val="24"/>
        </w:numPr>
        <w:suppressLineNumbers/>
        <w:suppressAutoHyphens/>
        <w:spacing w:before="0" w:after="160"/>
        <w:rPr>
          <w:kern w:val="22"/>
          <w:lang w:val="fr-CA"/>
        </w:rPr>
      </w:pPr>
      <w:r w:rsidRPr="007734D5">
        <w:rPr>
          <w:kern w:val="22"/>
          <w:lang w:val="fr-CA"/>
        </w:rPr>
        <w:t xml:space="preserve">L’importance et la valeur des données de passeport </w:t>
      </w:r>
      <w:r>
        <w:rPr>
          <w:kern w:val="22"/>
          <w:lang w:val="fr-CA"/>
        </w:rPr>
        <w:t xml:space="preserve">aux fins de </w:t>
      </w:r>
      <w:r w:rsidRPr="007734D5">
        <w:rPr>
          <w:kern w:val="22"/>
          <w:lang w:val="fr-CA"/>
        </w:rPr>
        <w:t>traçabilité (telle que le pays fournisseur</w:t>
      </w:r>
      <w:r w:rsidRPr="007734D5">
        <w:rPr>
          <w:rStyle w:val="FootnoteReference"/>
          <w:kern w:val="22"/>
          <w:lang w:val="fr-CA"/>
        </w:rPr>
        <w:footnoteReference w:id="15"/>
      </w:r>
      <w:r w:rsidRPr="007734D5">
        <w:rPr>
          <w:kern w:val="22"/>
          <w:lang w:val="fr-CA"/>
        </w:rPr>
        <w:t xml:space="preserve"> </w:t>
      </w:r>
      <w:r>
        <w:rPr>
          <w:kern w:val="22"/>
          <w:lang w:val="fr-CA"/>
        </w:rPr>
        <w:t>dans lequel</w:t>
      </w:r>
      <w:r w:rsidRPr="007734D5">
        <w:rPr>
          <w:kern w:val="22"/>
          <w:lang w:val="fr-CA"/>
        </w:rPr>
        <w:t xml:space="preserve"> l’échantillon biologique a été prélevé, les coordonnées du prélèvement de l’échantillon, la date de prélèvement de l’échantillon, le numéro d’acc</w:t>
      </w:r>
      <w:r>
        <w:rPr>
          <w:kern w:val="22"/>
          <w:lang w:val="fr-CA"/>
        </w:rPr>
        <w:t>ès ou autres identifiant unique</w:t>
      </w:r>
      <w:r w:rsidRPr="007734D5">
        <w:rPr>
          <w:kern w:val="22"/>
          <w:lang w:val="fr-CA"/>
        </w:rPr>
        <w:t xml:space="preserve">, préleveur, etc.) comme en </w:t>
      </w:r>
      <w:r>
        <w:rPr>
          <w:kern w:val="22"/>
          <w:lang w:val="fr-CA"/>
        </w:rPr>
        <w:t>fait</w:t>
      </w:r>
      <w:r w:rsidRPr="007734D5">
        <w:rPr>
          <w:kern w:val="22"/>
          <w:lang w:val="fr-CA"/>
        </w:rPr>
        <w:t xml:space="preserve"> foi </w:t>
      </w:r>
      <w:r>
        <w:rPr>
          <w:kern w:val="22"/>
          <w:lang w:val="fr-CA"/>
        </w:rPr>
        <w:t xml:space="preserve">la description des renseignements minimums sur </w:t>
      </w:r>
      <w:r w:rsidRPr="007734D5">
        <w:rPr>
          <w:kern w:val="22"/>
          <w:lang w:val="fr-CA"/>
        </w:rPr>
        <w:t xml:space="preserve">la séquence de génome </w:t>
      </w:r>
      <w:r>
        <w:rPr>
          <w:kern w:val="22"/>
          <w:lang w:val="fr-CA"/>
        </w:rPr>
        <w:t xml:space="preserve">du </w:t>
      </w:r>
      <w:proofErr w:type="spellStart"/>
      <w:r w:rsidRPr="007734D5">
        <w:rPr>
          <w:kern w:val="22"/>
          <w:lang w:val="fr-CA"/>
        </w:rPr>
        <w:t>Genomics</w:t>
      </w:r>
      <w:proofErr w:type="spellEnd"/>
      <w:r w:rsidRPr="007734D5">
        <w:rPr>
          <w:kern w:val="22"/>
          <w:lang w:val="fr-CA"/>
        </w:rPr>
        <w:t xml:space="preserve"> Standards Consortium;</w:t>
      </w:r>
    </w:p>
    <w:p w14:paraId="53BF5E78" w14:textId="77777777" w:rsidR="00B97C31"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Les innovations technologiques peuvent ajouter aux sujets granulaires, ce qui pourrait entrer en ligne de compte afin d’accommoder les futurs développements technologiques.</w:t>
      </w:r>
    </w:p>
    <w:p w14:paraId="6F980492" w14:textId="77777777" w:rsidR="00B97C31" w:rsidRPr="0013556E" w:rsidRDefault="00B97C31" w:rsidP="00B97C31">
      <w:pPr>
        <w:pStyle w:val="Para1"/>
        <w:numPr>
          <w:ilvl w:val="0"/>
          <w:numId w:val="24"/>
        </w:numPr>
        <w:suppressLineNumbers/>
        <w:tabs>
          <w:tab w:val="clear" w:pos="360"/>
        </w:tabs>
        <w:suppressAutoHyphens/>
        <w:spacing w:before="0" w:after="160"/>
        <w:rPr>
          <w:kern w:val="22"/>
          <w:szCs w:val="22"/>
          <w:lang w:val="fr-CA"/>
        </w:rPr>
      </w:pPr>
      <w:r w:rsidRPr="007734D5">
        <w:rPr>
          <w:kern w:val="22"/>
          <w:lang w:val="fr-CA"/>
        </w:rPr>
        <w:t xml:space="preserve">En ce qui concerne la terminologie, les experts ont discuté de </w:t>
      </w:r>
      <w:r>
        <w:rPr>
          <w:kern w:val="22"/>
          <w:lang w:val="fr-CA"/>
        </w:rPr>
        <w:t>nombreux termes</w:t>
      </w:r>
      <w:r w:rsidRPr="007734D5">
        <w:rPr>
          <w:kern w:val="22"/>
          <w:lang w:val="fr-CA"/>
        </w:rPr>
        <w:t xml:space="preserve"> pouvant possiblement être appropriés</w:t>
      </w:r>
      <w:r>
        <w:rPr>
          <w:kern w:val="22"/>
          <w:lang w:val="fr-CA"/>
        </w:rPr>
        <w:t xml:space="preserve"> pour chaque groupe. Le tableau </w:t>
      </w:r>
      <w:r w:rsidRPr="007734D5">
        <w:rPr>
          <w:kern w:val="22"/>
          <w:lang w:val="fr-CA"/>
        </w:rPr>
        <w:t>2 résume la terminologie possible pour les groupes proposés.</w:t>
      </w:r>
    </w:p>
    <w:p w14:paraId="35F45338" w14:textId="77777777" w:rsidR="00B97C31" w:rsidRPr="007734D5" w:rsidRDefault="00B97C31" w:rsidP="00B97C31">
      <w:pPr>
        <w:pStyle w:val="Para1"/>
        <w:numPr>
          <w:ilvl w:val="0"/>
          <w:numId w:val="0"/>
        </w:numPr>
        <w:suppressLineNumbers/>
        <w:suppressAutoHyphens/>
        <w:spacing w:before="0" w:after="160"/>
        <w:rPr>
          <w:kern w:val="22"/>
          <w:lang w:val="fr-CA"/>
        </w:rPr>
        <w:sectPr w:rsidR="00B97C31" w:rsidRPr="007734D5" w:rsidSect="001862C0">
          <w:footerReference w:type="default" r:id="rId22"/>
          <w:headerReference w:type="first" r:id="rId23"/>
          <w:footnotePr>
            <w:numRestart w:val="eachSect"/>
          </w:footnotePr>
          <w:pgSz w:w="12240" w:h="15840" w:code="1"/>
          <w:pgMar w:top="1077" w:right="1440" w:bottom="1134" w:left="1440" w:header="459" w:footer="720" w:gutter="0"/>
          <w:cols w:space="720"/>
          <w:docGrid w:linePitch="326"/>
        </w:sectPr>
      </w:pPr>
    </w:p>
    <w:p w14:paraId="792960AF" w14:textId="77777777" w:rsidR="00B97C31" w:rsidRPr="007734D5" w:rsidRDefault="00B97C31" w:rsidP="00B97C31">
      <w:pPr>
        <w:pStyle w:val="Para1"/>
        <w:numPr>
          <w:ilvl w:val="0"/>
          <w:numId w:val="0"/>
        </w:numPr>
        <w:suppressLineNumbers/>
        <w:suppressAutoHyphens/>
        <w:spacing w:before="0" w:after="160"/>
        <w:jc w:val="left"/>
        <w:rPr>
          <w:b/>
          <w:kern w:val="22"/>
          <w:szCs w:val="22"/>
          <w:lang w:val="fr-CA"/>
        </w:rPr>
      </w:pPr>
      <w:r w:rsidRPr="007734D5">
        <w:rPr>
          <w:b/>
          <w:kern w:val="22"/>
          <w:szCs w:val="22"/>
          <w:lang w:val="fr-CA"/>
        </w:rPr>
        <w:lastRenderedPageBreak/>
        <w:t>Tableau 2. Choix terminologiques pour décrire l’information de séquençage génétique sur les ressources génétiques</w:t>
      </w:r>
    </w:p>
    <w:tbl>
      <w:tblPr>
        <w:tblStyle w:val="TableGrid"/>
        <w:tblW w:w="0" w:type="auto"/>
        <w:jc w:val="center"/>
        <w:tblLook w:val="04A0" w:firstRow="1" w:lastRow="0" w:firstColumn="1" w:lastColumn="0" w:noHBand="0" w:noVBand="1"/>
      </w:tblPr>
      <w:tblGrid>
        <w:gridCol w:w="2180"/>
        <w:gridCol w:w="2857"/>
        <w:gridCol w:w="3927"/>
        <w:gridCol w:w="3138"/>
        <w:gridCol w:w="2028"/>
      </w:tblGrid>
      <w:tr w:rsidR="00B97C31" w:rsidRPr="007734D5" w14:paraId="5CE3BF4E" w14:textId="77777777" w:rsidTr="00B97C31">
        <w:trPr>
          <w:cantSplit/>
          <w:jc w:val="center"/>
        </w:trPr>
        <w:tc>
          <w:tcPr>
            <w:tcW w:w="1696" w:type="dxa"/>
            <w:shd w:val="clear" w:color="auto" w:fill="D9D9D9" w:themeFill="background1" w:themeFillShade="D9"/>
          </w:tcPr>
          <w:p w14:paraId="436F1581" w14:textId="77777777" w:rsidR="00B97C31" w:rsidRPr="007734D5" w:rsidRDefault="00B97C31" w:rsidP="00B97C31">
            <w:pPr>
              <w:pStyle w:val="Para1"/>
              <w:numPr>
                <w:ilvl w:val="0"/>
                <w:numId w:val="0"/>
              </w:numPr>
              <w:suppressLineNumbers/>
              <w:suppressAutoHyphens/>
              <w:spacing w:before="0" w:after="160"/>
              <w:jc w:val="center"/>
              <w:rPr>
                <w:b/>
                <w:bCs/>
                <w:kern w:val="22"/>
                <w:szCs w:val="22"/>
                <w:lang w:val="fr-CA"/>
              </w:rPr>
            </w:pPr>
            <w:r w:rsidRPr="007734D5">
              <w:rPr>
                <w:b/>
                <w:bCs/>
                <w:kern w:val="22"/>
                <w:szCs w:val="22"/>
                <w:lang w:val="fr-CA"/>
              </w:rPr>
              <w:t xml:space="preserve">Groupe </w:t>
            </w:r>
          </w:p>
        </w:tc>
        <w:tc>
          <w:tcPr>
            <w:tcW w:w="2977" w:type="dxa"/>
            <w:shd w:val="clear" w:color="auto" w:fill="D9D9D9" w:themeFill="background1" w:themeFillShade="D9"/>
          </w:tcPr>
          <w:p w14:paraId="1798E07D" w14:textId="77777777" w:rsidR="00B97C31" w:rsidRPr="007734D5" w:rsidRDefault="00B97C31" w:rsidP="00B97C31">
            <w:pPr>
              <w:pStyle w:val="Para1"/>
              <w:numPr>
                <w:ilvl w:val="0"/>
                <w:numId w:val="0"/>
              </w:numPr>
              <w:suppressLineNumbers/>
              <w:suppressAutoHyphens/>
              <w:spacing w:before="0" w:after="160"/>
              <w:jc w:val="center"/>
              <w:rPr>
                <w:b/>
                <w:bCs/>
                <w:kern w:val="22"/>
                <w:szCs w:val="22"/>
                <w:lang w:val="fr-CA"/>
              </w:rPr>
            </w:pPr>
            <w:r w:rsidRPr="007734D5">
              <w:rPr>
                <w:b/>
                <w:bCs/>
                <w:kern w:val="22"/>
                <w:szCs w:val="22"/>
                <w:lang w:val="fr-CA"/>
              </w:rPr>
              <w:t>Groupe 1</w:t>
            </w:r>
          </w:p>
        </w:tc>
        <w:tc>
          <w:tcPr>
            <w:tcW w:w="4111" w:type="dxa"/>
            <w:shd w:val="clear" w:color="auto" w:fill="D9D9D9" w:themeFill="background1" w:themeFillShade="D9"/>
          </w:tcPr>
          <w:p w14:paraId="5EE8E118" w14:textId="77777777" w:rsidR="00B97C31" w:rsidRPr="007734D5" w:rsidRDefault="00B97C31" w:rsidP="00B97C31">
            <w:pPr>
              <w:pStyle w:val="Para1"/>
              <w:numPr>
                <w:ilvl w:val="0"/>
                <w:numId w:val="0"/>
              </w:numPr>
              <w:suppressLineNumbers/>
              <w:suppressAutoHyphens/>
              <w:spacing w:before="0" w:after="160"/>
              <w:jc w:val="center"/>
              <w:rPr>
                <w:b/>
                <w:bCs/>
                <w:kern w:val="22"/>
                <w:szCs w:val="22"/>
                <w:lang w:val="fr-CA"/>
              </w:rPr>
            </w:pPr>
            <w:r w:rsidRPr="007734D5">
              <w:rPr>
                <w:b/>
                <w:bCs/>
                <w:kern w:val="22"/>
                <w:szCs w:val="22"/>
                <w:lang w:val="fr-CA"/>
              </w:rPr>
              <w:t>Groupe 2</w:t>
            </w:r>
          </w:p>
        </w:tc>
        <w:tc>
          <w:tcPr>
            <w:tcW w:w="3260" w:type="dxa"/>
            <w:shd w:val="clear" w:color="auto" w:fill="D9D9D9" w:themeFill="background1" w:themeFillShade="D9"/>
          </w:tcPr>
          <w:p w14:paraId="27102CB6" w14:textId="77777777" w:rsidR="00B97C31" w:rsidRPr="007734D5" w:rsidRDefault="00B97C31" w:rsidP="00B97C31">
            <w:pPr>
              <w:pStyle w:val="Para1"/>
              <w:numPr>
                <w:ilvl w:val="0"/>
                <w:numId w:val="0"/>
              </w:numPr>
              <w:suppressLineNumbers/>
              <w:suppressAutoHyphens/>
              <w:spacing w:before="0" w:after="160"/>
              <w:jc w:val="center"/>
              <w:rPr>
                <w:b/>
                <w:bCs/>
                <w:kern w:val="22"/>
                <w:szCs w:val="22"/>
                <w:lang w:val="fr-CA"/>
              </w:rPr>
            </w:pPr>
            <w:r w:rsidRPr="007734D5">
              <w:rPr>
                <w:b/>
                <w:bCs/>
                <w:kern w:val="22"/>
                <w:szCs w:val="22"/>
                <w:lang w:val="fr-CA"/>
              </w:rPr>
              <w:t>Groupe 3</w:t>
            </w:r>
          </w:p>
        </w:tc>
        <w:tc>
          <w:tcPr>
            <w:tcW w:w="2086" w:type="dxa"/>
            <w:shd w:val="clear" w:color="auto" w:fill="D9D9D9" w:themeFill="background1" w:themeFillShade="D9"/>
          </w:tcPr>
          <w:p w14:paraId="32901789" w14:textId="77777777" w:rsidR="00B97C31" w:rsidRPr="007734D5" w:rsidRDefault="00B97C31" w:rsidP="00B97C31">
            <w:pPr>
              <w:pStyle w:val="Para1"/>
              <w:numPr>
                <w:ilvl w:val="0"/>
                <w:numId w:val="0"/>
              </w:numPr>
              <w:suppressLineNumbers/>
              <w:suppressAutoHyphens/>
              <w:spacing w:before="0" w:after="160"/>
              <w:jc w:val="center"/>
              <w:rPr>
                <w:b/>
                <w:bCs/>
                <w:kern w:val="22"/>
                <w:szCs w:val="22"/>
                <w:lang w:val="fr-CA"/>
              </w:rPr>
            </w:pPr>
            <w:r w:rsidRPr="007734D5">
              <w:rPr>
                <w:b/>
                <w:bCs/>
                <w:kern w:val="22"/>
                <w:szCs w:val="22"/>
                <w:lang w:val="fr-CA"/>
              </w:rPr>
              <w:t>Information connexe</w:t>
            </w:r>
          </w:p>
        </w:tc>
      </w:tr>
      <w:tr w:rsidR="00B97C31" w:rsidRPr="007734D5" w14:paraId="429B4D67" w14:textId="77777777" w:rsidTr="00B97C31">
        <w:trPr>
          <w:cantSplit/>
          <w:jc w:val="center"/>
        </w:trPr>
        <w:tc>
          <w:tcPr>
            <w:tcW w:w="1696" w:type="dxa"/>
          </w:tcPr>
          <w:p w14:paraId="282EF9B1" w14:textId="77777777" w:rsidR="00B97C31" w:rsidRPr="007734D5" w:rsidRDefault="00B97C31" w:rsidP="00B97C31">
            <w:pPr>
              <w:pStyle w:val="Para1"/>
              <w:numPr>
                <w:ilvl w:val="0"/>
                <w:numId w:val="0"/>
              </w:numPr>
              <w:suppressLineNumbers/>
              <w:suppressAutoHyphens/>
              <w:spacing w:before="0" w:after="160"/>
              <w:jc w:val="left"/>
              <w:rPr>
                <w:b/>
                <w:bCs/>
                <w:kern w:val="22"/>
                <w:szCs w:val="22"/>
                <w:lang w:val="fr-CA"/>
              </w:rPr>
            </w:pPr>
            <w:r w:rsidRPr="007734D5">
              <w:rPr>
                <w:b/>
                <w:bCs/>
                <w:kern w:val="22"/>
                <w:szCs w:val="22"/>
                <w:lang w:val="fr-CA"/>
              </w:rPr>
              <w:t>Catégorie/expression</w:t>
            </w:r>
          </w:p>
        </w:tc>
        <w:tc>
          <w:tcPr>
            <w:tcW w:w="2977" w:type="dxa"/>
          </w:tcPr>
          <w:p w14:paraId="2D2DB36C"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Données sur la séquence nucléotidique;</w:t>
            </w:r>
          </w:p>
          <w:p w14:paraId="4D4911F2"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sur la séquence génomique;</w:t>
            </w:r>
          </w:p>
          <w:p w14:paraId="07425758"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génomique;</w:t>
            </w:r>
          </w:p>
          <w:p w14:paraId="171D8A10"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sur la séquence nucléotidique;</w:t>
            </w:r>
          </w:p>
          <w:p w14:paraId="6346390A"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Données sur la séquence de la ressource génétique;</w:t>
            </w:r>
          </w:p>
          <w:p w14:paraId="18071B70"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Données sur la séquence numérique;</w:t>
            </w:r>
          </w:p>
          <w:p w14:paraId="63B45341"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Données sur l’ADN (ou l’ARN) génomique d’un échantillon de ressource génétique</w:t>
            </w:r>
          </w:p>
        </w:tc>
        <w:tc>
          <w:tcPr>
            <w:tcW w:w="4111" w:type="dxa"/>
          </w:tcPr>
          <w:p w14:paraId="17EACDF7"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sur la séquence génomique et protéomique;</w:t>
            </w:r>
          </w:p>
          <w:p w14:paraId="733B5951" w14:textId="77777777" w:rsidR="00B97C31" w:rsidRPr="00623B0A" w:rsidRDefault="00B97C31" w:rsidP="00623B0A">
            <w:pPr>
              <w:pStyle w:val="ListParagraph"/>
              <w:numPr>
                <w:ilvl w:val="0"/>
                <w:numId w:val="22"/>
              </w:numPr>
              <w:suppressLineNumbers/>
              <w:suppressAutoHyphens/>
              <w:ind w:left="0" w:hanging="149"/>
              <w:contextualSpacing w:val="0"/>
              <w:jc w:val="left"/>
              <w:rPr>
                <w:kern w:val="22"/>
                <w:lang w:val="fr-CA"/>
              </w:rPr>
            </w:pPr>
            <w:r w:rsidRPr="00623B0A">
              <w:rPr>
                <w:kern w:val="22"/>
                <w:lang w:val="fr-CA"/>
              </w:rPr>
              <w:t>Information sur la séquence nucléotidique;</w:t>
            </w:r>
          </w:p>
          <w:p w14:paraId="46DE6DD7"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génétique;</w:t>
            </w:r>
          </w:p>
          <w:p w14:paraId="5E289CDB"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Données sur la séquence;</w:t>
            </w:r>
          </w:p>
          <w:p w14:paraId="57166FE6"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Données sur la séquence nucléotidique et aminoacide;</w:t>
            </w:r>
          </w:p>
          <w:p w14:paraId="12CFAB71"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sur la séquence et la structure nucléotidique et aminoacide;</w:t>
            </w:r>
          </w:p>
          <w:p w14:paraId="43F0BC35"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sur la séquence, la structure et la fonction nucléotidique et aminoacide;</w:t>
            </w:r>
          </w:p>
          <w:p w14:paraId="057112E7"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fonctionnelle numérique sur la séquence génomique nucléotidique;</w:t>
            </w:r>
          </w:p>
          <w:p w14:paraId="5DEECCA2" w14:textId="77777777" w:rsidR="00B97C31" w:rsidRDefault="00B97C31" w:rsidP="00B97C31">
            <w:pPr>
              <w:pStyle w:val="ListParagraph"/>
              <w:numPr>
                <w:ilvl w:val="0"/>
                <w:numId w:val="22"/>
              </w:numPr>
              <w:suppressLineNumbers/>
              <w:suppressAutoHyphens/>
              <w:ind w:left="0" w:hanging="149"/>
              <w:contextualSpacing w:val="0"/>
              <w:jc w:val="left"/>
              <w:rPr>
                <w:kern w:val="22"/>
                <w:lang w:val="fr-CA"/>
              </w:rPr>
            </w:pPr>
            <w:r>
              <w:rPr>
                <w:kern w:val="22"/>
                <w:lang w:val="fr-CA"/>
              </w:rPr>
              <w:t>Données protéomiques;</w:t>
            </w:r>
          </w:p>
          <w:p w14:paraId="3B83E3B7" w14:textId="77777777" w:rsidR="00B97C31" w:rsidRPr="00623B0A" w:rsidRDefault="00B97C31" w:rsidP="00623B0A">
            <w:pPr>
              <w:pStyle w:val="ListParagraph"/>
              <w:numPr>
                <w:ilvl w:val="0"/>
                <w:numId w:val="22"/>
              </w:numPr>
              <w:suppressLineNumbers/>
              <w:suppressAutoHyphens/>
              <w:ind w:left="0" w:hanging="149"/>
              <w:contextualSpacing w:val="0"/>
              <w:jc w:val="left"/>
              <w:rPr>
                <w:kern w:val="22"/>
                <w:lang w:val="fr-CA"/>
              </w:rPr>
            </w:pPr>
            <w:r w:rsidRPr="00623B0A">
              <w:rPr>
                <w:kern w:val="22"/>
                <w:lang w:val="fr-CA"/>
              </w:rPr>
              <w:t>Données sur la composition macromoléculaire de l’échantillon de ressource génétique</w:t>
            </w:r>
          </w:p>
          <w:p w14:paraId="4DC3B4A1"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p>
          <w:p w14:paraId="67F55376"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p>
        </w:tc>
        <w:tc>
          <w:tcPr>
            <w:tcW w:w="3260" w:type="dxa"/>
          </w:tcPr>
          <w:p w14:paraId="498FC0F1"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génomique, protéomique et métabolomique;</w:t>
            </w:r>
          </w:p>
          <w:p w14:paraId="2AE9A6AF" w14:textId="77777777" w:rsidR="00B97C31"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génétique et « </w:t>
            </w:r>
            <w:proofErr w:type="spellStart"/>
            <w:r w:rsidRPr="007734D5">
              <w:rPr>
                <w:kern w:val="22"/>
                <w:lang w:val="fr-CA"/>
              </w:rPr>
              <w:t>omique</w:t>
            </w:r>
            <w:proofErr w:type="spellEnd"/>
            <w:r w:rsidRPr="007734D5">
              <w:rPr>
                <w:kern w:val="22"/>
                <w:lang w:val="fr-CA"/>
              </w:rPr>
              <w:t> »;</w:t>
            </w:r>
          </w:p>
          <w:p w14:paraId="60AC45D7"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Pr>
                <w:kern w:val="22"/>
                <w:lang w:val="fr-CA"/>
              </w:rPr>
              <w:t>Données métabolomiques;</w:t>
            </w:r>
          </w:p>
          <w:p w14:paraId="4C0020C5"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 </w:t>
            </w:r>
            <w:proofErr w:type="spellStart"/>
            <w:r w:rsidRPr="007734D5">
              <w:rPr>
                <w:kern w:val="22"/>
                <w:lang w:val="fr-CA"/>
              </w:rPr>
              <w:t>omique</w:t>
            </w:r>
            <w:proofErr w:type="spellEnd"/>
            <w:r w:rsidRPr="007734D5">
              <w:rPr>
                <w:kern w:val="22"/>
                <w:lang w:val="fr-CA"/>
              </w:rPr>
              <w:t> »;</w:t>
            </w:r>
          </w:p>
          <w:p w14:paraId="3BF61356"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g</w:t>
            </w:r>
            <w:r>
              <w:rPr>
                <w:kern w:val="22"/>
                <w:lang w:val="fr-CA"/>
              </w:rPr>
              <w:t>énomiqu</w:t>
            </w:r>
            <w:r w:rsidRPr="007734D5">
              <w:rPr>
                <w:kern w:val="22"/>
                <w:lang w:val="fr-CA"/>
              </w:rPr>
              <w:t>e, protéomique et métabolomique;</w:t>
            </w:r>
          </w:p>
          <w:p w14:paraId="6A50A80D"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Données sur la composition biochimique et génétique d’un échantillon de ressource génétique.</w:t>
            </w:r>
          </w:p>
        </w:tc>
        <w:tc>
          <w:tcPr>
            <w:tcW w:w="2086" w:type="dxa"/>
          </w:tcPr>
          <w:p w14:paraId="334BE473"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apparentée;</w:t>
            </w:r>
          </w:p>
          <w:p w14:paraId="0187CE92"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contextuelle;</w:t>
            </w:r>
          </w:p>
          <w:p w14:paraId="520C72C2" w14:textId="77777777" w:rsidR="00B97C31" w:rsidRPr="007734D5" w:rsidRDefault="00B97C31" w:rsidP="00B97C31">
            <w:pPr>
              <w:pStyle w:val="ListParagraph"/>
              <w:numPr>
                <w:ilvl w:val="0"/>
                <w:numId w:val="22"/>
              </w:numPr>
              <w:suppressLineNumbers/>
              <w:suppressAutoHyphens/>
              <w:ind w:left="0" w:hanging="149"/>
              <w:contextualSpacing w:val="0"/>
              <w:jc w:val="left"/>
              <w:rPr>
                <w:kern w:val="22"/>
                <w:lang w:val="fr-CA"/>
              </w:rPr>
            </w:pPr>
            <w:r w:rsidRPr="007734D5">
              <w:rPr>
                <w:kern w:val="22"/>
                <w:lang w:val="fr-CA"/>
              </w:rPr>
              <w:t>Information subsidiaire.</w:t>
            </w:r>
          </w:p>
        </w:tc>
      </w:tr>
      <w:tr w:rsidR="00B97C31" w:rsidRPr="00AF2996" w14:paraId="0AF0B2B3" w14:textId="77777777" w:rsidTr="00B97C31">
        <w:trPr>
          <w:cantSplit/>
          <w:jc w:val="center"/>
        </w:trPr>
        <w:tc>
          <w:tcPr>
            <w:tcW w:w="14130" w:type="dxa"/>
            <w:gridSpan w:val="5"/>
          </w:tcPr>
          <w:p w14:paraId="5AF52DF3" w14:textId="77777777" w:rsidR="00B97C31" w:rsidRPr="007734D5" w:rsidRDefault="00B97C31" w:rsidP="00B97C31">
            <w:pPr>
              <w:pStyle w:val="ListParagraph"/>
              <w:suppressLineNumbers/>
              <w:suppressAutoHyphens/>
              <w:ind w:left="0"/>
              <w:contextualSpacing w:val="0"/>
              <w:rPr>
                <w:spacing w:val="-2"/>
                <w:kern w:val="22"/>
                <w:lang w:val="fr-CA"/>
              </w:rPr>
            </w:pPr>
            <w:r w:rsidRPr="007734D5">
              <w:rPr>
                <w:spacing w:val="-2"/>
                <w:kern w:val="22"/>
                <w:lang w:val="fr-CA"/>
              </w:rPr>
              <w:t xml:space="preserve">D’autres expression </w:t>
            </w:r>
            <w:proofErr w:type="gramStart"/>
            <w:r w:rsidRPr="007734D5">
              <w:rPr>
                <w:spacing w:val="-2"/>
                <w:kern w:val="22"/>
                <w:lang w:val="fr-CA"/>
              </w:rPr>
              <w:t>ont</w:t>
            </w:r>
            <w:proofErr w:type="gramEnd"/>
            <w:r w:rsidRPr="007734D5">
              <w:rPr>
                <w:spacing w:val="-2"/>
                <w:kern w:val="22"/>
                <w:lang w:val="fr-CA"/>
              </w:rPr>
              <w:t xml:space="preserve"> également été abordées, telles que : information de séquençage numérique, information naturelle, information numérique sur la ressource génétique, données et informations numériques sur les ressources génétiques, données et information sur les ressources génétiques, information génétique, toutes les données concernant un échantillon (de ressource génétique) et </w:t>
            </w:r>
            <w:r w:rsidRPr="007734D5">
              <w:rPr>
                <w:i/>
                <w:spacing w:val="-2"/>
                <w:kern w:val="22"/>
                <w:lang w:val="fr-CA"/>
              </w:rPr>
              <w:t>in silico.</w:t>
            </w:r>
          </w:p>
        </w:tc>
      </w:tr>
    </w:tbl>
    <w:p w14:paraId="4F043453" w14:textId="77777777" w:rsidR="00B97C31" w:rsidRPr="007734D5" w:rsidRDefault="00B97C31" w:rsidP="00B97C31">
      <w:pPr>
        <w:pStyle w:val="Para1"/>
        <w:numPr>
          <w:ilvl w:val="0"/>
          <w:numId w:val="0"/>
        </w:numPr>
        <w:suppressLineNumbers/>
        <w:suppressAutoHyphens/>
        <w:spacing w:before="0" w:after="160"/>
        <w:rPr>
          <w:kern w:val="22"/>
          <w:szCs w:val="22"/>
          <w:lang w:val="fr-CA"/>
        </w:rPr>
      </w:pPr>
    </w:p>
    <w:p w14:paraId="6F582FF0" w14:textId="77777777" w:rsidR="00B97C31" w:rsidRPr="007734D5" w:rsidRDefault="00B97C31" w:rsidP="00B97C31">
      <w:pPr>
        <w:pStyle w:val="Para1"/>
        <w:numPr>
          <w:ilvl w:val="0"/>
          <w:numId w:val="0"/>
        </w:numPr>
        <w:suppressLineNumbers/>
        <w:suppressAutoHyphens/>
        <w:spacing w:before="0" w:after="160"/>
        <w:rPr>
          <w:kern w:val="22"/>
          <w:szCs w:val="22"/>
          <w:lang w:val="fr-CA"/>
        </w:rPr>
        <w:sectPr w:rsidR="00B97C31" w:rsidRPr="007734D5" w:rsidSect="001862C0">
          <w:footerReference w:type="default" r:id="rId24"/>
          <w:headerReference w:type="first" r:id="rId25"/>
          <w:footnotePr>
            <w:numRestart w:val="eachSect"/>
          </w:footnotePr>
          <w:pgSz w:w="15840" w:h="12240" w:orient="landscape" w:code="1"/>
          <w:pgMar w:top="1440" w:right="1138" w:bottom="1440" w:left="562" w:header="461" w:footer="720" w:gutter="0"/>
          <w:cols w:space="720"/>
          <w:docGrid w:linePitch="326"/>
        </w:sectPr>
      </w:pPr>
    </w:p>
    <w:p w14:paraId="2533F796" w14:textId="77777777" w:rsidR="00B97C31" w:rsidRPr="007734D5" w:rsidRDefault="00B97C31" w:rsidP="00B97C31">
      <w:pPr>
        <w:pStyle w:val="Heading1"/>
        <w:suppressLineNumbers/>
        <w:tabs>
          <w:tab w:val="clear" w:pos="720"/>
          <w:tab w:val="left" w:pos="426"/>
        </w:tabs>
        <w:suppressAutoHyphens/>
        <w:spacing w:before="0" w:after="160"/>
        <w:rPr>
          <w:b w:val="0"/>
          <w:kern w:val="22"/>
          <w:szCs w:val="22"/>
          <w:lang w:val="fr-CA"/>
        </w:rPr>
      </w:pPr>
      <w:r w:rsidRPr="007734D5">
        <w:rPr>
          <w:kern w:val="22"/>
          <w:szCs w:val="22"/>
          <w:lang w:val="fr-CA"/>
        </w:rPr>
        <w:lastRenderedPageBreak/>
        <w:t>II.</w:t>
      </w:r>
      <w:r w:rsidRPr="007734D5">
        <w:rPr>
          <w:kern w:val="22"/>
          <w:szCs w:val="22"/>
          <w:lang w:val="fr-CA"/>
        </w:rPr>
        <w:tab/>
        <w:t>conséquences possibles émanant des différents groupes</w:t>
      </w:r>
    </w:p>
    <w:p w14:paraId="55ADF076"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 Groupe spécial d’experts techniques a abordé les conséquences des différents groupes examinés ci-dessus : a) concernant la traçabilité des différents types d’information; b) concernant l’utilisation de l’information de séquençage numérique et les technologies facilitées par l’information de séquençage numérique dans la recherche et les processus d’innovation des sciences de la vie; c) de la Collaboration internationale sur la base de données des séquences nucléotidiques (INSDC) sur le libre-échange et l’utilisation de l’information de séquençage numérique; et d) concernant les mesures régissant l’accès, le partage des avantages et la conformité.</w:t>
      </w:r>
    </w:p>
    <w:p w14:paraId="0CEEB6D6"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Les exp</w:t>
      </w:r>
      <w:r>
        <w:rPr>
          <w:kern w:val="22"/>
          <w:lang w:val="fr-CA"/>
        </w:rPr>
        <w:t>e</w:t>
      </w:r>
      <w:r w:rsidRPr="007734D5">
        <w:rPr>
          <w:kern w:val="22"/>
          <w:lang w:val="fr-CA"/>
        </w:rPr>
        <w:t xml:space="preserve">rts ont insisté sur la nature préliminaire des échanges et </w:t>
      </w:r>
      <w:r>
        <w:rPr>
          <w:kern w:val="22"/>
          <w:lang w:val="fr-CA"/>
        </w:rPr>
        <w:t xml:space="preserve">ont indiqué </w:t>
      </w:r>
      <w:r w:rsidRPr="007734D5">
        <w:rPr>
          <w:kern w:val="22"/>
          <w:lang w:val="fr-CA"/>
        </w:rPr>
        <w:t>que les conséquences dépendront de la nature de l’approche utilisée pour le partage des avantages. Ils ont aussi précisé que certaines conséquences possibles n’avaient pas été débattu</w:t>
      </w:r>
      <w:r>
        <w:rPr>
          <w:kern w:val="22"/>
          <w:lang w:val="fr-CA"/>
        </w:rPr>
        <w:t>es de manière aussi approfondie</w:t>
      </w:r>
      <w:r w:rsidRPr="007734D5">
        <w:rPr>
          <w:kern w:val="22"/>
          <w:lang w:val="fr-CA"/>
        </w:rPr>
        <w:t xml:space="preserve"> que d’autres</w:t>
      </w:r>
      <w:r>
        <w:rPr>
          <w:kern w:val="22"/>
          <w:lang w:val="fr-CA"/>
        </w:rPr>
        <w:t>,</w:t>
      </w:r>
      <w:r w:rsidRPr="007734D5">
        <w:rPr>
          <w:kern w:val="22"/>
          <w:lang w:val="fr-CA"/>
        </w:rPr>
        <w:t xml:space="preserve"> et </w:t>
      </w:r>
      <w:r>
        <w:rPr>
          <w:kern w:val="22"/>
          <w:lang w:val="fr-CA"/>
        </w:rPr>
        <w:t xml:space="preserve">que </w:t>
      </w:r>
      <w:r w:rsidRPr="007734D5">
        <w:rPr>
          <w:kern w:val="22"/>
          <w:lang w:val="fr-CA"/>
        </w:rPr>
        <w:t>de plus amples informations ou analyses</w:t>
      </w:r>
      <w:r>
        <w:rPr>
          <w:kern w:val="22"/>
          <w:lang w:val="fr-CA"/>
        </w:rPr>
        <w:t xml:space="preserve"> pourraient être utiles</w:t>
      </w:r>
      <w:r w:rsidRPr="007734D5">
        <w:rPr>
          <w:kern w:val="22"/>
          <w:lang w:val="fr-CA"/>
        </w:rPr>
        <w:t>.</w:t>
      </w:r>
    </w:p>
    <w:p w14:paraId="3CE8ECA9" w14:textId="77777777" w:rsidR="00B97C31" w:rsidRPr="007734D5" w:rsidRDefault="00B97C31" w:rsidP="00B97C31">
      <w:pPr>
        <w:pStyle w:val="Para1"/>
        <w:numPr>
          <w:ilvl w:val="0"/>
          <w:numId w:val="23"/>
        </w:numPr>
        <w:suppressLineNumbers/>
        <w:suppressAutoHyphens/>
        <w:spacing w:before="0" w:after="160"/>
        <w:ind w:left="993"/>
        <w:jc w:val="left"/>
        <w:rPr>
          <w:b/>
          <w:bCs/>
          <w:iCs/>
          <w:kern w:val="22"/>
          <w:szCs w:val="22"/>
          <w:lang w:val="fr-CA"/>
        </w:rPr>
      </w:pPr>
      <w:r w:rsidRPr="007734D5">
        <w:rPr>
          <w:b/>
          <w:iCs/>
          <w:kern w:val="22"/>
          <w:szCs w:val="22"/>
          <w:lang w:val="fr-CA"/>
        </w:rPr>
        <w:t>Conséquences possibles des différents groupes au sujet de la traçabilité et de la Collaboration internationale sur la base de données des séquences nucléotidiques</w:t>
      </w:r>
    </w:p>
    <w:p w14:paraId="4ECBDCB8"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Les observations principales suivantes ont émané des échanges sur l’Étude 2 examinée par des pairs.</w:t>
      </w:r>
    </w:p>
    <w:p w14:paraId="7DDF6A10"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Les experts ont abordé les conséquences de</w:t>
      </w:r>
      <w:r>
        <w:rPr>
          <w:kern w:val="22"/>
          <w:lang w:val="fr-CA"/>
        </w:rPr>
        <w:t>s</w:t>
      </w:r>
      <w:r w:rsidRPr="007734D5">
        <w:rPr>
          <w:kern w:val="22"/>
          <w:lang w:val="fr-CA"/>
        </w:rPr>
        <w:t xml:space="preserve"> bases de données accessibles au public </w:t>
      </w:r>
      <w:r>
        <w:rPr>
          <w:kern w:val="22"/>
          <w:lang w:val="fr-CA"/>
        </w:rPr>
        <w:t>dans le contexte de</w:t>
      </w:r>
      <w:r w:rsidRPr="007734D5">
        <w:rPr>
          <w:kern w:val="22"/>
          <w:lang w:val="fr-CA"/>
        </w:rPr>
        <w:t xml:space="preserve"> l’information de séquençage numérique. Ils ont réitéré la valeur des espaces libres, certains experts précisant même que le « libre » accès ne signifie pas nécessairement un accès « ouvert et </w:t>
      </w:r>
      <w:proofErr w:type="gramStart"/>
      <w:r w:rsidRPr="007734D5">
        <w:rPr>
          <w:kern w:val="22"/>
          <w:lang w:val="fr-CA"/>
        </w:rPr>
        <w:t>sans restrictions</w:t>
      </w:r>
      <w:proofErr w:type="gramEnd"/>
      <w:r w:rsidRPr="007734D5">
        <w:rPr>
          <w:kern w:val="22"/>
          <w:lang w:val="fr-CA"/>
        </w:rPr>
        <w:t> » et que les bases de données accessibles au public sont assujetties à différentes conditions d’utilisation.</w:t>
      </w:r>
    </w:p>
    <w:p w14:paraId="7EF4E53D"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Les experts ont mentionné différentes façons d’améliorer la traçabilité :</w:t>
      </w:r>
    </w:p>
    <w:p w14:paraId="140B5810" w14:textId="61A985D3" w:rsidR="00B97C31" w:rsidRPr="007734D5" w:rsidRDefault="00B97C31" w:rsidP="00111D81">
      <w:pPr>
        <w:pStyle w:val="ListParagraph"/>
        <w:numPr>
          <w:ilvl w:val="2"/>
          <w:numId w:val="25"/>
        </w:numPr>
        <w:suppressLineNumbers/>
        <w:tabs>
          <w:tab w:val="clear" w:pos="1440"/>
        </w:tabs>
        <w:suppressAutoHyphens/>
        <w:spacing w:after="160"/>
        <w:ind w:left="0" w:firstLine="720"/>
        <w:contextualSpacing w:val="0"/>
        <w:rPr>
          <w:kern w:val="22"/>
          <w:lang w:val="fr-CA"/>
        </w:rPr>
      </w:pPr>
      <w:r w:rsidRPr="007734D5">
        <w:rPr>
          <w:snapToGrid w:val="0"/>
          <w:kern w:val="22"/>
          <w:lang w:val="fr-CA"/>
        </w:rPr>
        <w:t xml:space="preserve">Améliorer </w:t>
      </w:r>
      <w:r>
        <w:rPr>
          <w:snapToGrid w:val="0"/>
          <w:kern w:val="22"/>
          <w:lang w:val="fr-CA"/>
        </w:rPr>
        <w:t>l’intégration</w:t>
      </w:r>
      <w:r w:rsidRPr="007734D5">
        <w:rPr>
          <w:snapToGrid w:val="0"/>
          <w:kern w:val="22"/>
          <w:lang w:val="fr-CA"/>
        </w:rPr>
        <w:t xml:space="preserve"> de</w:t>
      </w:r>
      <w:r>
        <w:rPr>
          <w:snapToGrid w:val="0"/>
          <w:kern w:val="22"/>
          <w:lang w:val="fr-CA"/>
        </w:rPr>
        <w:t>s</w:t>
      </w:r>
      <w:r w:rsidRPr="007734D5">
        <w:rPr>
          <w:snapToGrid w:val="0"/>
          <w:kern w:val="22"/>
          <w:lang w:val="fr-CA"/>
        </w:rPr>
        <w:t xml:space="preserve"> données de passeport essentielles (p. ex., en exigeant que le pays fournisseur examine les entrées lorsqu’il téléverse des dossiers dans la base de données);</w:t>
      </w:r>
    </w:p>
    <w:p w14:paraId="123E1DE1" w14:textId="77777777" w:rsidR="00B97C31" w:rsidRPr="007734D5" w:rsidRDefault="00B97C31" w:rsidP="00B97C31">
      <w:pPr>
        <w:pStyle w:val="Para1"/>
        <w:numPr>
          <w:ilvl w:val="2"/>
          <w:numId w:val="25"/>
        </w:numPr>
        <w:suppressLineNumbers/>
        <w:tabs>
          <w:tab w:val="clear" w:pos="1440"/>
        </w:tabs>
        <w:suppressAutoHyphens/>
        <w:spacing w:before="0" w:after="160"/>
        <w:ind w:left="0" w:firstLine="720"/>
        <w:rPr>
          <w:kern w:val="22"/>
          <w:szCs w:val="22"/>
          <w:lang w:val="fr-CA"/>
        </w:rPr>
      </w:pPr>
      <w:r w:rsidRPr="007734D5">
        <w:rPr>
          <w:kern w:val="22"/>
          <w:szCs w:val="22"/>
          <w:lang w:val="fr-CA"/>
        </w:rPr>
        <w:t>Inclure de l’information sur la ressource génétique dans la base de données;</w:t>
      </w:r>
    </w:p>
    <w:p w14:paraId="740CFFD3" w14:textId="77777777" w:rsidR="00B97C31" w:rsidRPr="007734D5" w:rsidRDefault="00B97C31" w:rsidP="00B97C31">
      <w:pPr>
        <w:pStyle w:val="Para1"/>
        <w:numPr>
          <w:ilvl w:val="2"/>
          <w:numId w:val="25"/>
        </w:numPr>
        <w:suppressLineNumbers/>
        <w:tabs>
          <w:tab w:val="clear" w:pos="1440"/>
        </w:tabs>
        <w:suppressAutoHyphens/>
        <w:spacing w:before="0" w:after="160"/>
        <w:ind w:left="0" w:firstLine="720"/>
        <w:rPr>
          <w:kern w:val="22"/>
          <w:szCs w:val="22"/>
          <w:lang w:val="fr-CA"/>
        </w:rPr>
      </w:pPr>
      <w:r w:rsidRPr="007734D5">
        <w:rPr>
          <w:kern w:val="22"/>
          <w:szCs w:val="22"/>
          <w:lang w:val="fr-CA"/>
        </w:rPr>
        <w:t xml:space="preserve">Relier les publications de journal aux ressources génétiques stockées dans des collections </w:t>
      </w:r>
      <w:r w:rsidRPr="00AC7FA2">
        <w:rPr>
          <w:i/>
          <w:kern w:val="22"/>
          <w:szCs w:val="22"/>
          <w:lang w:val="fr-CA"/>
        </w:rPr>
        <w:t>ex situ</w:t>
      </w:r>
      <w:r w:rsidRPr="007734D5">
        <w:rPr>
          <w:kern w:val="22"/>
          <w:szCs w:val="22"/>
          <w:lang w:val="fr-CA"/>
        </w:rPr>
        <w:t>.</w:t>
      </w:r>
    </w:p>
    <w:p w14:paraId="31BF3F9C"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Certains experts ont aussi envisagé :</w:t>
      </w:r>
    </w:p>
    <w:p w14:paraId="10F80430" w14:textId="67B6A128" w:rsidR="00B97C31" w:rsidRPr="007734D5" w:rsidRDefault="00B97C31" w:rsidP="00111D81">
      <w:pPr>
        <w:pStyle w:val="ListParagraph"/>
        <w:numPr>
          <w:ilvl w:val="2"/>
          <w:numId w:val="26"/>
        </w:numPr>
        <w:suppressLineNumbers/>
        <w:suppressAutoHyphens/>
        <w:spacing w:after="160"/>
        <w:ind w:hanging="720"/>
        <w:contextualSpacing w:val="0"/>
        <w:rPr>
          <w:kern w:val="22"/>
          <w:lang w:val="fr-CA"/>
        </w:rPr>
      </w:pPr>
      <w:r w:rsidRPr="007734D5">
        <w:rPr>
          <w:snapToGrid w:val="0"/>
          <w:kern w:val="22"/>
          <w:lang w:val="fr-CA"/>
        </w:rPr>
        <w:t xml:space="preserve">Inclure la divulgation dans les demandes de brevet des pays fournisseurs; </w:t>
      </w:r>
    </w:p>
    <w:p w14:paraId="15C567FA" w14:textId="77777777" w:rsidR="00B97C31" w:rsidRPr="007734D5" w:rsidRDefault="00B97C31" w:rsidP="00B97C31">
      <w:pPr>
        <w:pStyle w:val="ListParagraph"/>
        <w:numPr>
          <w:ilvl w:val="2"/>
          <w:numId w:val="26"/>
        </w:numPr>
        <w:suppressLineNumbers/>
        <w:tabs>
          <w:tab w:val="clear" w:pos="1440"/>
        </w:tabs>
        <w:suppressAutoHyphens/>
        <w:spacing w:after="160"/>
        <w:ind w:left="0" w:firstLine="720"/>
        <w:contextualSpacing w:val="0"/>
        <w:rPr>
          <w:kern w:val="22"/>
          <w:lang w:val="fr-CA"/>
        </w:rPr>
      </w:pPr>
      <w:r w:rsidRPr="007734D5">
        <w:rPr>
          <w:snapToGrid w:val="0"/>
          <w:kern w:val="22"/>
          <w:lang w:val="fr-CA"/>
        </w:rPr>
        <w:t>Améliorer les outils bioinformatiques en appui à la traçabilité, par exemple en comparant directement les séquences;</w:t>
      </w:r>
    </w:p>
    <w:p w14:paraId="5132A0AF" w14:textId="77777777" w:rsidR="00B97C31" w:rsidRPr="007734D5" w:rsidRDefault="00B97C31" w:rsidP="00B97C31">
      <w:pPr>
        <w:pStyle w:val="ListParagraph"/>
        <w:numPr>
          <w:ilvl w:val="2"/>
          <w:numId w:val="26"/>
        </w:numPr>
        <w:suppressLineNumbers/>
        <w:tabs>
          <w:tab w:val="clear" w:pos="1440"/>
        </w:tabs>
        <w:suppressAutoHyphens/>
        <w:spacing w:after="160"/>
        <w:ind w:left="0" w:firstLine="720"/>
        <w:contextualSpacing w:val="0"/>
        <w:rPr>
          <w:kern w:val="22"/>
          <w:lang w:val="fr-CA"/>
        </w:rPr>
      </w:pPr>
      <w:r w:rsidRPr="007734D5">
        <w:rPr>
          <w:snapToGrid w:val="0"/>
          <w:kern w:val="22"/>
          <w:lang w:val="fr-CA"/>
        </w:rPr>
        <w:t>Examiner la faisabilité de lier des certificats de conformité internationalement reconnus aux séquences génétiques téléversées à l’INSDC, y compris par interopérabilité.</w:t>
      </w:r>
    </w:p>
    <w:p w14:paraId="1E4B42A0"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En ce qui concerne la traçabilité des différents regroupements, les experts étaient d’avis que le groupe 1, dont </w:t>
      </w:r>
      <w:r>
        <w:rPr>
          <w:kern w:val="22"/>
          <w:lang w:val="fr-CA"/>
        </w:rPr>
        <w:t>l’étendue</w:t>
      </w:r>
      <w:r w:rsidRPr="007734D5">
        <w:rPr>
          <w:kern w:val="22"/>
          <w:lang w:val="fr-CA"/>
        </w:rPr>
        <w:t xml:space="preserve"> est la plus restreinte serait, en théorie, le plus facile à retracer et à vérifier, tandis que la tâche serait progressivement plus difficile pour les groupes 2 et 3.</w:t>
      </w:r>
    </w:p>
    <w:p w14:paraId="4847C0ED"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Les experts ont précisé que la traçabilité pourrait être plus ou moins pertinente, selon l’approche utilisée pour le partage des avantages et les exigences connexes en matière de suivi et de conformité. Par exemple, en ce qui concerne l’approche multilatérale pour le partage des avantages, il n’est pas toujours nécessaire de retracer l’information de séquençage numérique aux pays fournisseurs et d’effectuer le suivi de son utilisation tout </w:t>
      </w:r>
      <w:r>
        <w:rPr>
          <w:kern w:val="22"/>
          <w:lang w:val="fr-CA"/>
        </w:rPr>
        <w:t>au</w:t>
      </w:r>
      <w:r w:rsidRPr="007734D5">
        <w:rPr>
          <w:kern w:val="22"/>
          <w:lang w:val="fr-CA"/>
        </w:rPr>
        <w:t xml:space="preserve"> long de la chaîne de valeur.</w:t>
      </w:r>
    </w:p>
    <w:p w14:paraId="03C124E9"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lastRenderedPageBreak/>
        <w:t>À cet égard, les experts ont mentionné la complexité possible et le coût de développer des programmes pour retracer et effectuer le suivi de l’information de séquençage numérique le long de la chaîne de valeur.</w:t>
      </w:r>
    </w:p>
    <w:p w14:paraId="23B1A5D6"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eastAsia="en-CA"/>
        </w:rPr>
        <w:t>Quant aux conséquences pour l’INSDC, les experts ont indiqué qu’il serait important de connaître directement l’avis de l’INSDC sur la question.</w:t>
      </w:r>
      <w:r w:rsidRPr="007734D5">
        <w:rPr>
          <w:rStyle w:val="FootnoteReference"/>
          <w:kern w:val="22"/>
          <w:lang w:val="fr-CA" w:eastAsia="en-CA"/>
        </w:rPr>
        <w:footnoteReference w:id="16"/>
      </w:r>
      <w:r w:rsidRPr="007734D5">
        <w:rPr>
          <w:kern w:val="22"/>
          <w:lang w:val="fr-CA" w:eastAsia="en-CA"/>
        </w:rPr>
        <w:t xml:space="preserve"> Les experts estiment qu’une utilisation plus régulière des étiquettes de pays de l’INSDC et des données de passeport améliorerait la traçabilité.</w:t>
      </w:r>
    </w:p>
    <w:p w14:paraId="7133B624"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eastAsia="en-CA"/>
        </w:rPr>
      </w:pPr>
      <w:r w:rsidRPr="007734D5">
        <w:rPr>
          <w:kern w:val="22"/>
          <w:lang w:val="fr-CA" w:eastAsia="en-CA"/>
        </w:rPr>
        <w:t>Les experts sont également d’avis que la norme ST.26</w:t>
      </w:r>
      <w:r w:rsidRPr="007734D5">
        <w:rPr>
          <w:rStyle w:val="FootnoteReference"/>
          <w:kern w:val="22"/>
          <w:lang w:val="fr-CA" w:eastAsia="en-CA"/>
        </w:rPr>
        <w:footnoteReference w:id="17"/>
      </w:r>
      <w:r w:rsidRPr="007734D5">
        <w:rPr>
          <w:kern w:val="22"/>
          <w:lang w:val="fr-CA" w:eastAsia="en-CA"/>
        </w:rPr>
        <w:t xml:space="preserve"> de l’Organisation mondiale de la propriété intellectuelle (OMPI) sur la lisibilité par machine des lis</w:t>
      </w:r>
      <w:r>
        <w:rPr>
          <w:kern w:val="22"/>
          <w:lang w:val="fr-CA" w:eastAsia="en-CA"/>
        </w:rPr>
        <w:t>tes de séquençage nucléotidique</w:t>
      </w:r>
      <w:r w:rsidRPr="007734D5">
        <w:rPr>
          <w:kern w:val="22"/>
          <w:lang w:val="fr-CA" w:eastAsia="en-CA"/>
        </w:rPr>
        <w:t xml:space="preserve"> pourrait </w:t>
      </w:r>
      <w:r>
        <w:rPr>
          <w:kern w:val="22"/>
          <w:lang w:val="fr-CA" w:eastAsia="en-CA"/>
        </w:rPr>
        <w:t>favoriser</w:t>
      </w:r>
      <w:r w:rsidRPr="007734D5">
        <w:rPr>
          <w:kern w:val="22"/>
          <w:lang w:val="fr-CA" w:eastAsia="en-CA"/>
        </w:rPr>
        <w:t xml:space="preserve"> la cohérence des données entre les programmes d’information sur les brevets et l’INSDC, facilitant ainsi la comparaison des données sur les brevets et l’accès à l’INSDC.</w:t>
      </w:r>
    </w:p>
    <w:p w14:paraId="67DF7425" w14:textId="77777777" w:rsidR="00B97C31" w:rsidRPr="007734D5" w:rsidRDefault="00B97C31" w:rsidP="00B97C31">
      <w:pPr>
        <w:pStyle w:val="Heading2"/>
        <w:suppressLineNumbers/>
        <w:tabs>
          <w:tab w:val="clear" w:pos="720"/>
        </w:tabs>
        <w:suppressAutoHyphens/>
        <w:spacing w:before="0" w:after="160"/>
        <w:ind w:left="1276" w:right="713" w:hanging="567"/>
        <w:jc w:val="left"/>
        <w:rPr>
          <w:b w:val="0"/>
          <w:kern w:val="22"/>
          <w:szCs w:val="22"/>
          <w:lang w:val="fr-CA" w:eastAsia="en-CA"/>
        </w:rPr>
      </w:pPr>
      <w:r w:rsidRPr="007734D5">
        <w:rPr>
          <w:iCs w:val="0"/>
          <w:kern w:val="22"/>
          <w:szCs w:val="22"/>
          <w:lang w:val="fr-CA" w:eastAsia="en-CA"/>
        </w:rPr>
        <w:t>B.</w:t>
      </w:r>
      <w:r w:rsidRPr="007734D5">
        <w:rPr>
          <w:iCs w:val="0"/>
          <w:kern w:val="22"/>
          <w:szCs w:val="22"/>
          <w:lang w:val="fr-CA" w:eastAsia="en-CA"/>
        </w:rPr>
        <w:tab/>
        <w:t>Conséquences possibles des différents groupes sur les technologies et/ou les secteurs dans les sciences de la vie</w:t>
      </w:r>
    </w:p>
    <w:p w14:paraId="02778D08"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Les experts ont abordé la couverture des technologies facilitées par l’information de séquençage numérique et l’utilisation de l’information de séquençage numérique dans les différents secteurs des sciences de la vie en se fondant sur l’Étude 1, sur le concept et </w:t>
      </w:r>
      <w:r>
        <w:rPr>
          <w:kern w:val="22"/>
          <w:lang w:val="fr-CA"/>
        </w:rPr>
        <w:t>l’étendue</w:t>
      </w:r>
      <w:r w:rsidRPr="007734D5">
        <w:rPr>
          <w:kern w:val="22"/>
          <w:lang w:val="fr-CA"/>
        </w:rPr>
        <w:t xml:space="preserve">. Au cours des échanges, les experts ont indiqué que le tableau 3 de l’Étude 1, qui indique à quel point les différents secteurs </w:t>
      </w:r>
      <w:r>
        <w:rPr>
          <w:kern w:val="22"/>
          <w:lang w:val="fr-CA"/>
        </w:rPr>
        <w:t>dépendent de</w:t>
      </w:r>
      <w:r w:rsidRPr="007734D5">
        <w:rPr>
          <w:kern w:val="22"/>
          <w:lang w:val="fr-CA"/>
        </w:rPr>
        <w:t xml:space="preserve"> l’information de séquençage numérique, était très utile.</w:t>
      </w:r>
    </w:p>
    <w:p w14:paraId="3F6A1A5D"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Les experts ont précisé que les échanges sur les conséquences pour les secteurs des sciences de la vie étaient de nature préliminaire et </w:t>
      </w:r>
      <w:r>
        <w:rPr>
          <w:kern w:val="22"/>
          <w:lang w:val="fr-CA"/>
        </w:rPr>
        <w:t>que des débats plus approfondis sur les c</w:t>
      </w:r>
      <w:r w:rsidRPr="007734D5">
        <w:rPr>
          <w:kern w:val="22"/>
          <w:lang w:val="fr-CA"/>
        </w:rPr>
        <w:t xml:space="preserve">onséquences des différents groupes sur </w:t>
      </w:r>
      <w:r>
        <w:rPr>
          <w:kern w:val="22"/>
          <w:lang w:val="fr-CA"/>
        </w:rPr>
        <w:t>l’étendue</w:t>
      </w:r>
      <w:r w:rsidRPr="007734D5">
        <w:rPr>
          <w:kern w:val="22"/>
          <w:lang w:val="fr-CA"/>
        </w:rPr>
        <w:t xml:space="preserve"> de l’information de séquençage numérique </w:t>
      </w:r>
      <w:r>
        <w:rPr>
          <w:kern w:val="22"/>
          <w:lang w:val="fr-CA"/>
        </w:rPr>
        <w:t xml:space="preserve">pourraient être utiles </w:t>
      </w:r>
      <w:r w:rsidRPr="007734D5">
        <w:rPr>
          <w:kern w:val="22"/>
          <w:lang w:val="fr-CA"/>
        </w:rPr>
        <w:t>:</w:t>
      </w:r>
    </w:p>
    <w:p w14:paraId="64822CF0"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Examen des conséquences des groupes par rapport aux différentes technologies plutôt qu’aux secteurs;</w:t>
      </w:r>
    </w:p>
    <w:p w14:paraId="7102EB25"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Examen des conséquences des différents groupes sur le partage des avantages;</w:t>
      </w:r>
    </w:p>
    <w:p w14:paraId="1803E33B"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Examen des conséquences de l’utilisation de l’information de séquençage numérique découlant des différents groupes</w:t>
      </w:r>
      <w:r>
        <w:rPr>
          <w:kern w:val="22"/>
          <w:szCs w:val="22"/>
          <w:lang w:val="fr-CA"/>
        </w:rPr>
        <w:t xml:space="preserve"> </w:t>
      </w:r>
      <w:r w:rsidRPr="007734D5">
        <w:rPr>
          <w:kern w:val="22"/>
          <w:szCs w:val="22"/>
          <w:lang w:val="fr-CA"/>
        </w:rPr>
        <w:t>par les travailleurs scientifiques des secteurs public et privé;</w:t>
      </w:r>
    </w:p>
    <w:p w14:paraId="6830FA6A"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La transition en bioprospection de</w:t>
      </w:r>
      <w:r>
        <w:rPr>
          <w:kern w:val="22"/>
          <w:szCs w:val="22"/>
          <w:lang w:val="fr-CA"/>
        </w:rPr>
        <w:t>puis</w:t>
      </w:r>
      <w:r w:rsidRPr="007734D5">
        <w:rPr>
          <w:kern w:val="22"/>
          <w:szCs w:val="22"/>
          <w:lang w:val="fr-CA"/>
        </w:rPr>
        <w:t xml:space="preserve"> l’essai des produits naturels </w:t>
      </w:r>
      <w:r>
        <w:rPr>
          <w:kern w:val="22"/>
          <w:szCs w:val="22"/>
          <w:lang w:val="fr-CA"/>
        </w:rPr>
        <w:t>jusqu’</w:t>
      </w:r>
      <w:r w:rsidRPr="007734D5">
        <w:rPr>
          <w:kern w:val="22"/>
          <w:szCs w:val="22"/>
          <w:lang w:val="fr-CA"/>
        </w:rPr>
        <w:t>à la vérification des chimiothèques.</w:t>
      </w:r>
    </w:p>
    <w:p w14:paraId="3A03A640"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Au cours de ses courts écha</w:t>
      </w:r>
      <w:r>
        <w:rPr>
          <w:kern w:val="22"/>
          <w:lang w:val="fr-CA"/>
        </w:rPr>
        <w:t xml:space="preserve">nges sur les conséquences </w:t>
      </w:r>
      <w:r w:rsidRPr="007734D5">
        <w:rPr>
          <w:kern w:val="22"/>
          <w:lang w:val="fr-CA"/>
        </w:rPr>
        <w:t>pour les secteurs des sciences de la vie, les experts ont relevé :</w:t>
      </w:r>
    </w:p>
    <w:p w14:paraId="390DB4C0"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Des difficultés dans la traçabilité et l’application inhérentes à l’inca</w:t>
      </w:r>
      <w:r>
        <w:rPr>
          <w:kern w:val="22"/>
          <w:szCs w:val="22"/>
          <w:lang w:val="fr-CA"/>
        </w:rPr>
        <w:t>pacité à déduire rapidement l’</w:t>
      </w:r>
      <w:r w:rsidRPr="007734D5">
        <w:rPr>
          <w:kern w:val="22"/>
          <w:szCs w:val="22"/>
          <w:lang w:val="fr-CA"/>
        </w:rPr>
        <w:t>ADN</w:t>
      </w:r>
      <w:r>
        <w:rPr>
          <w:kern w:val="22"/>
          <w:szCs w:val="22"/>
          <w:lang w:val="fr-CA"/>
        </w:rPr>
        <w:t>,</w:t>
      </w:r>
      <w:r w:rsidRPr="007734D5">
        <w:rPr>
          <w:kern w:val="22"/>
          <w:szCs w:val="22"/>
          <w:lang w:val="fr-CA"/>
        </w:rPr>
        <w:t xml:space="preserve"> </w:t>
      </w:r>
      <w:r>
        <w:rPr>
          <w:kern w:val="22"/>
          <w:szCs w:val="22"/>
          <w:lang w:val="fr-CA"/>
        </w:rPr>
        <w:t>l’</w:t>
      </w:r>
      <w:r w:rsidRPr="007734D5">
        <w:rPr>
          <w:kern w:val="22"/>
          <w:szCs w:val="22"/>
          <w:lang w:val="fr-CA"/>
        </w:rPr>
        <w:t xml:space="preserve">ARN ou </w:t>
      </w:r>
      <w:r>
        <w:rPr>
          <w:kern w:val="22"/>
          <w:szCs w:val="22"/>
          <w:lang w:val="fr-CA"/>
        </w:rPr>
        <w:t xml:space="preserve">les </w:t>
      </w:r>
      <w:r w:rsidRPr="007734D5">
        <w:rPr>
          <w:kern w:val="22"/>
          <w:szCs w:val="22"/>
          <w:lang w:val="fr-CA"/>
        </w:rPr>
        <w:t>protéines sous-jacents à partir des métabolites;</w:t>
      </w:r>
    </w:p>
    <w:p w14:paraId="5DDBF8DF"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Que les données et l’information sur les métabolites, telles que proposées dans le groupe 3, sont importantes à la recherche dans le</w:t>
      </w:r>
      <w:r>
        <w:rPr>
          <w:kern w:val="22"/>
          <w:szCs w:val="22"/>
          <w:lang w:val="fr-CA"/>
        </w:rPr>
        <w:t>s</w:t>
      </w:r>
      <w:r w:rsidRPr="007734D5">
        <w:rPr>
          <w:kern w:val="22"/>
          <w:szCs w:val="22"/>
          <w:lang w:val="fr-CA"/>
        </w:rPr>
        <w:t xml:space="preserve"> secteur</w:t>
      </w:r>
      <w:r>
        <w:rPr>
          <w:kern w:val="22"/>
          <w:szCs w:val="22"/>
          <w:lang w:val="fr-CA"/>
        </w:rPr>
        <w:t>s</w:t>
      </w:r>
      <w:r w:rsidRPr="007734D5">
        <w:rPr>
          <w:kern w:val="22"/>
          <w:szCs w:val="22"/>
          <w:lang w:val="fr-CA"/>
        </w:rPr>
        <w:t xml:space="preserve"> de la santé et pharmaceutique;</w:t>
      </w:r>
    </w:p>
    <w:p w14:paraId="5AE77C05"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L’étendue de la transformation dans les différents groupes est indicati</w:t>
      </w:r>
      <w:r>
        <w:rPr>
          <w:kern w:val="22"/>
          <w:szCs w:val="22"/>
          <w:lang w:val="fr-CA"/>
        </w:rPr>
        <w:t>ve</w:t>
      </w:r>
      <w:r w:rsidRPr="007734D5">
        <w:rPr>
          <w:kern w:val="22"/>
          <w:szCs w:val="22"/>
          <w:lang w:val="fr-CA"/>
        </w:rPr>
        <w:t xml:space="preserve"> de l’augmentation correspondante des efforts nécessaires afin d’obtenir de la valeur d’une ressource génétique, ce qui peut être un facteur dans la traçabilité et/ou le partage des avantages, et nécessiter une approche sectorielle.</w:t>
      </w:r>
    </w:p>
    <w:p w14:paraId="7D8DB310"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Les experts ont souligné l’importance de détenir une certitude légale pour l’utilisation de l’information de séquençage numérique pour tous les secteurs</w:t>
      </w:r>
      <w:r>
        <w:rPr>
          <w:kern w:val="22"/>
          <w:lang w:val="fr-CA"/>
        </w:rPr>
        <w:t xml:space="preserve">; </w:t>
      </w:r>
      <w:r w:rsidRPr="007734D5">
        <w:rPr>
          <w:kern w:val="22"/>
          <w:lang w:val="fr-CA"/>
        </w:rPr>
        <w:t xml:space="preserve">ainsi, toutes les approches en matière de </w:t>
      </w:r>
      <w:r w:rsidRPr="007734D5">
        <w:rPr>
          <w:kern w:val="22"/>
          <w:lang w:val="fr-CA"/>
        </w:rPr>
        <w:lastRenderedPageBreak/>
        <w:t>partage des avantages devraient offrir une certaine certitude légale, encourager l’utilisation d’information de séquençage numérique et diminuer le fardeau inutile des exigences de surveillance, de traçage et de suivi.</w:t>
      </w:r>
    </w:p>
    <w:p w14:paraId="401B788E" w14:textId="77777777" w:rsidR="00B97C31" w:rsidRPr="007734D5" w:rsidRDefault="00B97C31" w:rsidP="00B97C31">
      <w:pPr>
        <w:pStyle w:val="Heading2"/>
        <w:suppressLineNumbers/>
        <w:suppressAutoHyphens/>
        <w:spacing w:before="0" w:after="160"/>
        <w:ind w:left="1276" w:hanging="567"/>
        <w:jc w:val="left"/>
        <w:rPr>
          <w:b w:val="0"/>
          <w:iCs w:val="0"/>
          <w:kern w:val="22"/>
          <w:szCs w:val="22"/>
          <w:lang w:val="fr-CA"/>
        </w:rPr>
      </w:pPr>
      <w:r w:rsidRPr="007734D5">
        <w:rPr>
          <w:iCs w:val="0"/>
          <w:kern w:val="22"/>
          <w:szCs w:val="22"/>
          <w:lang w:val="fr-CA"/>
        </w:rPr>
        <w:t>C.</w:t>
      </w:r>
      <w:r w:rsidRPr="007734D5">
        <w:rPr>
          <w:iCs w:val="0"/>
          <w:kern w:val="22"/>
          <w:szCs w:val="22"/>
          <w:lang w:val="fr-CA"/>
        </w:rPr>
        <w:tab/>
        <w:t>Conséquences possibles des différents groupes ou choix de mesures régissant l’accès, le partage des avantages et la conformité</w:t>
      </w:r>
    </w:p>
    <w:p w14:paraId="78ECB048"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Dans leur examen des mesures internes, les experts ont reconnu que certains pays réglementent actuellement l’information de séquençage numérique, d’autres sont en attente d’un consensus international à cet égard au titre de la Convention et dans les autres forums, et d’autres encore ont indiqué qu’ils ne comptent pas la </w:t>
      </w:r>
      <w:r>
        <w:rPr>
          <w:kern w:val="22"/>
          <w:lang w:val="fr-CA"/>
        </w:rPr>
        <w:t>réglementer</w:t>
      </w:r>
      <w:r w:rsidRPr="007734D5">
        <w:rPr>
          <w:kern w:val="22"/>
          <w:lang w:val="fr-CA"/>
        </w:rPr>
        <w:t>.</w:t>
      </w:r>
    </w:p>
    <w:p w14:paraId="2B33AC0D"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Les experts ont constaté que </w:t>
      </w:r>
      <w:r>
        <w:rPr>
          <w:kern w:val="22"/>
          <w:lang w:val="fr-CA"/>
        </w:rPr>
        <w:t>la multiplicité des</w:t>
      </w:r>
      <w:r w:rsidRPr="007734D5">
        <w:rPr>
          <w:kern w:val="22"/>
          <w:lang w:val="fr-CA"/>
        </w:rPr>
        <w:t xml:space="preserve"> cadres nationaux d’accès et de partage des avantages portant sur l’information de séquençage numérique sur les ressources génétiques crée un problème pour les utilisateurs, y compris ceux qui effectuent de la recherche de base non </w:t>
      </w:r>
      <w:proofErr w:type="gramStart"/>
      <w:r w:rsidRPr="007734D5">
        <w:rPr>
          <w:kern w:val="22"/>
          <w:lang w:val="fr-CA"/>
        </w:rPr>
        <w:t>commerciale,  en</w:t>
      </w:r>
      <w:proofErr w:type="gramEnd"/>
      <w:r w:rsidRPr="007734D5">
        <w:rPr>
          <w:kern w:val="22"/>
          <w:lang w:val="fr-CA"/>
        </w:rPr>
        <w:t xml:space="preserve"> milieu universitaire et dans les petites et moyennes entreprises.</w:t>
      </w:r>
    </w:p>
    <w:p w14:paraId="785C25CB"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Il a été observé que l’information de séquençage numérique peut </w:t>
      </w:r>
      <w:r>
        <w:rPr>
          <w:kern w:val="22"/>
          <w:lang w:val="fr-CA"/>
        </w:rPr>
        <w:t xml:space="preserve">être le résultat direct ou indirect </w:t>
      </w:r>
      <w:r w:rsidRPr="007734D5">
        <w:rPr>
          <w:kern w:val="22"/>
          <w:lang w:val="fr-CA"/>
        </w:rPr>
        <w:t>de l’utilisation des ressources génétiques.</w:t>
      </w:r>
    </w:p>
    <w:p w14:paraId="0222C9FF"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L’importance d’une approche internationale concertée et économique </w:t>
      </w:r>
      <w:r>
        <w:rPr>
          <w:kern w:val="22"/>
          <w:lang w:val="fr-CA"/>
        </w:rPr>
        <w:t>à</w:t>
      </w:r>
      <w:r w:rsidRPr="007734D5">
        <w:rPr>
          <w:kern w:val="22"/>
          <w:lang w:val="fr-CA"/>
        </w:rPr>
        <w:t xml:space="preserve"> l’information de séquençage numérique sur les ressources génétiques a été soulign</w:t>
      </w:r>
      <w:r>
        <w:rPr>
          <w:kern w:val="22"/>
          <w:lang w:val="fr-CA"/>
        </w:rPr>
        <w:t>ée à cet égard, et les expe</w:t>
      </w:r>
      <w:r w:rsidRPr="007734D5">
        <w:rPr>
          <w:kern w:val="22"/>
          <w:lang w:val="fr-CA"/>
        </w:rPr>
        <w:t xml:space="preserve">rts ont </w:t>
      </w:r>
      <w:r>
        <w:rPr>
          <w:kern w:val="22"/>
          <w:lang w:val="fr-CA"/>
        </w:rPr>
        <w:t>proposé</w:t>
      </w:r>
      <w:r w:rsidRPr="007734D5">
        <w:rPr>
          <w:kern w:val="22"/>
          <w:lang w:val="fr-CA"/>
        </w:rPr>
        <w:t xml:space="preserve"> des approches possibles, dont des mesures au moment de l’accès (telles que l’accès à tarif fixe ou un permis de Creative Commons, un accord sur l’accès à la base de données), le libre accès avec partage des avantages déclenché par l’utilisation et la commercialisation, et une approche multilatérale possible.</w:t>
      </w:r>
    </w:p>
    <w:p w14:paraId="0BABE8D2"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Les experts ont précisé que les échanges sur les conséquences possibles des mesures régissant l’accès, le partage des avantages et la conformité pour les différents groupes étaient de nature préliminaire, et que </w:t>
      </w:r>
      <w:r>
        <w:rPr>
          <w:kern w:val="22"/>
          <w:lang w:val="fr-CA"/>
        </w:rPr>
        <w:t>des débats plus approfondis sur la question s’imposent</w:t>
      </w:r>
      <w:r w:rsidRPr="007734D5">
        <w:rPr>
          <w:kern w:val="22"/>
          <w:lang w:val="fr-CA"/>
        </w:rPr>
        <w:t xml:space="preserve">. De façon générale, les experts ont indiqué que les conséquences des mesures régissant l’accès, le partage </w:t>
      </w:r>
      <w:r>
        <w:rPr>
          <w:kern w:val="22"/>
          <w:lang w:val="fr-CA"/>
        </w:rPr>
        <w:t xml:space="preserve">des avantages et la conformité </w:t>
      </w:r>
      <w:r w:rsidRPr="007734D5">
        <w:rPr>
          <w:kern w:val="22"/>
          <w:lang w:val="fr-CA"/>
        </w:rPr>
        <w:t>pour les différents groupes dépendraient de l’approche utilisée pour le parta</w:t>
      </w:r>
      <w:r>
        <w:rPr>
          <w:kern w:val="22"/>
          <w:lang w:val="fr-CA"/>
        </w:rPr>
        <w:t>ge des avantages. Par exemple, l</w:t>
      </w:r>
      <w:r w:rsidRPr="007734D5">
        <w:rPr>
          <w:kern w:val="22"/>
          <w:lang w:val="fr-CA"/>
        </w:rPr>
        <w:t>es mesures d’accès ne seraient pas nécessaires dans un modèle de liberté encadrée et autres approches multilatérales dans lesquel</w:t>
      </w:r>
      <w:r>
        <w:rPr>
          <w:kern w:val="22"/>
          <w:lang w:val="fr-CA"/>
        </w:rPr>
        <w:t>le</w:t>
      </w:r>
      <w:r w:rsidRPr="007734D5">
        <w:rPr>
          <w:kern w:val="22"/>
          <w:lang w:val="fr-CA"/>
        </w:rPr>
        <w:t>s l’utilisation ou la commercialisation déclencherait le partage des avantages.</w:t>
      </w:r>
    </w:p>
    <w:p w14:paraId="5D0F8812" w14:textId="77777777" w:rsidR="00B97C31" w:rsidRPr="007734D5" w:rsidRDefault="00B97C31" w:rsidP="00B97C31">
      <w:pPr>
        <w:pStyle w:val="Heading1"/>
        <w:suppressLineNumbers/>
        <w:tabs>
          <w:tab w:val="clear" w:pos="720"/>
          <w:tab w:val="left" w:pos="567"/>
        </w:tabs>
        <w:suppressAutoHyphens/>
        <w:spacing w:before="0" w:after="160"/>
        <w:rPr>
          <w:b w:val="0"/>
          <w:bCs/>
          <w:caps w:val="0"/>
          <w:kern w:val="22"/>
          <w:szCs w:val="22"/>
          <w:lang w:val="fr-CA"/>
        </w:rPr>
      </w:pPr>
      <w:r w:rsidRPr="007734D5">
        <w:rPr>
          <w:bCs/>
          <w:caps w:val="0"/>
          <w:snapToGrid w:val="0"/>
          <w:kern w:val="22"/>
          <w:szCs w:val="22"/>
          <w:lang w:val="fr-CA"/>
        </w:rPr>
        <w:t>III.</w:t>
      </w:r>
      <w:r w:rsidRPr="007734D5">
        <w:rPr>
          <w:bCs/>
          <w:caps w:val="0"/>
          <w:snapToGrid w:val="0"/>
          <w:kern w:val="22"/>
          <w:szCs w:val="22"/>
          <w:lang w:val="fr-CA"/>
        </w:rPr>
        <w:tab/>
        <w:t>IDENTIFICATION DES SECTEURS CLÉS DE RENFORCEMENT DES CAPACITÉS</w:t>
      </w:r>
    </w:p>
    <w:p w14:paraId="37E40BD2"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Les experts ont indiqué que le renforcement des capacités était essentiel à l’information de séquençage numérique sur les ressources génétiques, y compris la capacité des pays à développer leurs recherches endogènes et d’identifier, comprendre, surveiller et gérer leur propre biodiversité. </w:t>
      </w:r>
    </w:p>
    <w:p w14:paraId="42A65A6B"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Il a été suggéré d’intégrer le renforcement des capacités afin d’utiliser les ressources génétiques et l’information de séquençage numérique dans de plus vastes projets/stratégies de renforcement des capacités adaptées et harmonisées aux besoins des différents pays et institutions de recherche</w:t>
      </w:r>
      <w:r>
        <w:rPr>
          <w:kern w:val="22"/>
          <w:lang w:val="fr-CA"/>
        </w:rPr>
        <w:t>, et de tenir compte des besoins et d</w:t>
      </w:r>
      <w:r w:rsidRPr="007734D5">
        <w:rPr>
          <w:kern w:val="22"/>
          <w:lang w:val="fr-CA"/>
        </w:rPr>
        <w:t xml:space="preserve">es spécificités associées à la réalisation de recherches dans les différents types d’environnements (p. ex., marin ou terrestre). </w:t>
      </w:r>
    </w:p>
    <w:p w14:paraId="02E7A0A1"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Pr>
          <w:kern w:val="22"/>
          <w:lang w:val="fr-CA"/>
        </w:rPr>
        <w:t>La</w:t>
      </w:r>
      <w:r w:rsidRPr="007734D5">
        <w:rPr>
          <w:kern w:val="22"/>
          <w:lang w:val="fr-CA"/>
        </w:rPr>
        <w:t xml:space="preserve"> nécessité d’obtenir le financement et le soutien nécessaires au développement et au maintien d’une infrastructure scientifique</w:t>
      </w:r>
      <w:r>
        <w:rPr>
          <w:kern w:val="22"/>
          <w:lang w:val="fr-CA"/>
        </w:rPr>
        <w:t xml:space="preserve"> a été mise en évidence</w:t>
      </w:r>
      <w:r w:rsidRPr="007734D5">
        <w:rPr>
          <w:kern w:val="22"/>
          <w:lang w:val="fr-CA"/>
        </w:rPr>
        <w:t>.</w:t>
      </w:r>
    </w:p>
    <w:p w14:paraId="0B09E73B"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Les experts ont débattu du renforcement des capacités comme forme de partage des avantages non monétaire. Les projets de renforcement des capacités représentant une forme de partage des avan</w:t>
      </w:r>
      <w:r>
        <w:rPr>
          <w:kern w:val="22"/>
          <w:lang w:val="fr-CA"/>
        </w:rPr>
        <w:t>tages devraient tenir compte du contexte socioéconomique</w:t>
      </w:r>
      <w:r w:rsidRPr="007734D5">
        <w:rPr>
          <w:kern w:val="22"/>
          <w:lang w:val="fr-CA"/>
        </w:rPr>
        <w:t xml:space="preserve"> des pays fournisseurs et être élaborés de façon à contribuer aux capacités de recherche endogènes de ces pays. </w:t>
      </w:r>
    </w:p>
    <w:p w14:paraId="15F87265"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 xml:space="preserve">Dans leurs échanges sur les principales parties prenantes au renforcement des capacités relatives à l’information de séquençage numérique, les experts ont convenu : </w:t>
      </w:r>
    </w:p>
    <w:p w14:paraId="77493A63"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lastRenderedPageBreak/>
        <w:t xml:space="preserve">De la nécessité de renforcer les capacités des correspondants nationaux et des organes de réglementation et/ou législateurs, ainsi que des </w:t>
      </w:r>
      <w:r>
        <w:rPr>
          <w:kern w:val="22"/>
          <w:szCs w:val="22"/>
          <w:lang w:val="fr-CA"/>
        </w:rPr>
        <w:t>peuples autochtones et d</w:t>
      </w:r>
      <w:r w:rsidRPr="007734D5">
        <w:rPr>
          <w:kern w:val="22"/>
          <w:szCs w:val="22"/>
          <w:lang w:val="fr-CA"/>
        </w:rPr>
        <w:t>es communautés locales à comprendre les questions entourant à l’information de séquençage numérique;</w:t>
      </w:r>
    </w:p>
    <w:p w14:paraId="4F51D147"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De l’importance de garantir l’engagement et la collaboration des différentes agences gouvernementales au pays;</w:t>
      </w:r>
    </w:p>
    <w:p w14:paraId="10D662D8"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 xml:space="preserve">De la nécessité que les universités, les collections </w:t>
      </w:r>
      <w:r>
        <w:rPr>
          <w:i/>
          <w:kern w:val="22"/>
          <w:szCs w:val="22"/>
          <w:lang w:val="fr-CA"/>
        </w:rPr>
        <w:t>ex</w:t>
      </w:r>
      <w:r w:rsidRPr="007734D5">
        <w:rPr>
          <w:i/>
          <w:kern w:val="22"/>
          <w:szCs w:val="22"/>
          <w:lang w:val="fr-CA"/>
        </w:rPr>
        <w:t xml:space="preserve"> situ</w:t>
      </w:r>
      <w:r w:rsidRPr="007734D5">
        <w:rPr>
          <w:kern w:val="22"/>
          <w:szCs w:val="22"/>
          <w:lang w:val="fr-CA"/>
        </w:rPr>
        <w:t xml:space="preserve">, les institutions de recherche, le secteur privé et les institutions du domaine de </w:t>
      </w:r>
      <w:r>
        <w:rPr>
          <w:kern w:val="22"/>
          <w:szCs w:val="22"/>
          <w:lang w:val="fr-CA"/>
        </w:rPr>
        <w:t>l</w:t>
      </w:r>
      <w:r w:rsidRPr="007734D5">
        <w:rPr>
          <w:kern w:val="22"/>
          <w:szCs w:val="22"/>
          <w:lang w:val="fr-CA"/>
        </w:rPr>
        <w:t>a bioinformatique jouent un rôle dans le renforcement des capacités liées à l’information de séquençage numérique.</w:t>
      </w:r>
    </w:p>
    <w:p w14:paraId="0B9AA7FA"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Les experts ont recensé les principaux secteurs suivants pour le renforcement possible des capacités :</w:t>
      </w:r>
    </w:p>
    <w:p w14:paraId="472ADB71" w14:textId="77777777" w:rsidR="00B97C31" w:rsidRPr="007734D5" w:rsidDel="007263CC"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Compréhension générale des questions liées à l’information de séquençage numérique, dont la pertinence des aspects économiques de l’information, afin de mieux comprendre les liens entre l’accès et le partage des avantages et l’information de séquençage numérique</w:t>
      </w:r>
      <w:r w:rsidRPr="007734D5" w:rsidDel="007263CC">
        <w:rPr>
          <w:kern w:val="22"/>
          <w:szCs w:val="22"/>
          <w:lang w:val="fr-CA"/>
        </w:rPr>
        <w:t>;</w:t>
      </w:r>
    </w:p>
    <w:p w14:paraId="52314BAD"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Connaissance des étapes de la recherche e</w:t>
      </w:r>
      <w:r>
        <w:rPr>
          <w:kern w:val="22"/>
          <w:szCs w:val="22"/>
          <w:lang w:val="fr-CA"/>
        </w:rPr>
        <w:t>t</w:t>
      </w:r>
      <w:r w:rsidRPr="007734D5">
        <w:rPr>
          <w:kern w:val="22"/>
          <w:szCs w:val="22"/>
          <w:lang w:val="fr-CA"/>
        </w:rPr>
        <w:t xml:space="preserve"> du développement des différents produits le long de la chaîne de valeur</w:t>
      </w:r>
      <w:r>
        <w:rPr>
          <w:kern w:val="22"/>
          <w:szCs w:val="22"/>
          <w:lang w:val="fr-CA"/>
        </w:rPr>
        <w:t>,</w:t>
      </w:r>
      <w:r w:rsidRPr="007734D5">
        <w:rPr>
          <w:kern w:val="22"/>
          <w:szCs w:val="22"/>
          <w:lang w:val="fr-CA"/>
        </w:rPr>
        <w:t xml:space="preserve"> à partir des ressources génétiques/information de séquençage numérique;</w:t>
      </w:r>
    </w:p>
    <w:p w14:paraId="48310C94" w14:textId="77777777" w:rsidR="00B97C31" w:rsidRPr="007734D5" w:rsidRDefault="00B97C31" w:rsidP="00B97C31">
      <w:pPr>
        <w:pStyle w:val="ListParagraph"/>
        <w:numPr>
          <w:ilvl w:val="1"/>
          <w:numId w:val="24"/>
        </w:numPr>
        <w:suppressLineNumbers/>
        <w:suppressAutoHyphens/>
        <w:spacing w:after="160"/>
        <w:contextualSpacing w:val="0"/>
        <w:rPr>
          <w:kern w:val="22"/>
          <w:lang w:val="fr-CA"/>
        </w:rPr>
      </w:pPr>
      <w:r w:rsidRPr="007734D5">
        <w:rPr>
          <w:snapToGrid w:val="0"/>
          <w:kern w:val="22"/>
          <w:lang w:val="fr-CA"/>
        </w:rPr>
        <w:t>Analyse et traitement des mégadonnées liées à l’information de séquençage numérique;</w:t>
      </w:r>
    </w:p>
    <w:p w14:paraId="1CBC76B7"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Renforcement de l’efficacité de l’accès aux bases de données internationales et l’utilisation de celles-ci par les chercheurs de tous les pays, y compris les pays en développement;</w:t>
      </w:r>
    </w:p>
    <w:p w14:paraId="05230202"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Taxonomie, extraction d</w:t>
      </w:r>
      <w:r>
        <w:rPr>
          <w:kern w:val="22"/>
          <w:szCs w:val="22"/>
          <w:lang w:val="fr-CA"/>
        </w:rPr>
        <w:t>e l</w:t>
      </w:r>
      <w:r w:rsidRPr="007734D5">
        <w:rPr>
          <w:kern w:val="22"/>
          <w:szCs w:val="22"/>
          <w:lang w:val="fr-CA"/>
        </w:rPr>
        <w:t>’ADN/ARN de ressources génétiques pour des applications de biologie moléculaire, PRC et/ou séquençage, traitement de l’information de séquençage numérique et son téléversement dans les bases de données, bioinformatique, gestion des bases de données.</w:t>
      </w:r>
    </w:p>
    <w:p w14:paraId="2B10AAB2"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Les experts ont discuté de modèles possibles de clauses contractuelles, cadres et modèles pour traiter l’information de séquençage numérique dans des conditions réciproques, afin d’éviter des approches divergentes créant des obstacles et des complexités.</w:t>
      </w:r>
    </w:p>
    <w:p w14:paraId="39712955" w14:textId="77777777" w:rsidR="00B97C31" w:rsidRPr="007734D5" w:rsidRDefault="00B97C31" w:rsidP="00B97C31">
      <w:pPr>
        <w:pStyle w:val="Para1"/>
        <w:numPr>
          <w:ilvl w:val="0"/>
          <w:numId w:val="24"/>
        </w:numPr>
        <w:suppressLineNumbers/>
        <w:tabs>
          <w:tab w:val="clear" w:pos="360"/>
        </w:tabs>
        <w:suppressAutoHyphens/>
        <w:spacing w:before="0" w:after="160"/>
        <w:rPr>
          <w:kern w:val="22"/>
          <w:lang w:val="fr-CA"/>
        </w:rPr>
      </w:pPr>
      <w:r w:rsidRPr="007734D5">
        <w:rPr>
          <w:kern w:val="22"/>
          <w:lang w:val="fr-CA"/>
        </w:rPr>
        <w:t>En dernier lieu, les experts ont mentionné différentes modalités de renforcement des capacités :</w:t>
      </w:r>
    </w:p>
    <w:p w14:paraId="454B8456"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Cours/ateliers sur place et/ou virtuels dans toutes les langues officielles des Nations Unies;</w:t>
      </w:r>
    </w:p>
    <w:p w14:paraId="7D20A4A4"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Études de cas, échanges d’information et d’</w:t>
      </w:r>
      <w:r>
        <w:rPr>
          <w:kern w:val="22"/>
          <w:szCs w:val="22"/>
          <w:lang w:val="fr-CA"/>
        </w:rPr>
        <w:t xml:space="preserve">expériences, et </w:t>
      </w:r>
      <w:r w:rsidRPr="007734D5">
        <w:rPr>
          <w:kern w:val="22"/>
          <w:szCs w:val="22"/>
          <w:lang w:val="fr-CA"/>
        </w:rPr>
        <w:t>partage d’enseignements tirés dans les langues officielles des Nations Unies;</w:t>
      </w:r>
    </w:p>
    <w:p w14:paraId="685919C4"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Recherche scientifique conjointe, transfert de technologie, visites scientifiques, partenariats et collaborations, y compris par l’entremise des réseaux régionaux;</w:t>
      </w:r>
    </w:p>
    <w:p w14:paraId="3D3E6D83"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Soutien au développement d’une infrastructure scientifique, y compris au moyen d’approches régionales (p. ex, centres CGIAR);</w:t>
      </w:r>
    </w:p>
    <w:p w14:paraId="1EFC175A"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Dialogue interculturel au moyen de rencontres en personne pour les peuples autochtones et les communautés locales, d’outil</w:t>
      </w:r>
      <w:r>
        <w:rPr>
          <w:kern w:val="22"/>
          <w:szCs w:val="22"/>
          <w:lang w:val="fr-CA"/>
        </w:rPr>
        <w:t>s et de méthodologies approprié</w:t>
      </w:r>
      <w:r w:rsidRPr="007734D5">
        <w:rPr>
          <w:kern w:val="22"/>
          <w:szCs w:val="22"/>
          <w:lang w:val="fr-CA"/>
        </w:rPr>
        <w:t>s dans les langues autochtones, qui pourraient comprendre un dialogue entre les travailleurs scientifiques et les détenteurs des connaissances traditionnelles;</w:t>
      </w:r>
    </w:p>
    <w:p w14:paraId="4818AC97" w14:textId="77777777" w:rsidR="00B97C31" w:rsidRPr="007734D5"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Intégrations dans les programmes d’étude;</w:t>
      </w:r>
    </w:p>
    <w:p w14:paraId="75A1EEF9" w14:textId="36F72AFD" w:rsidR="004A0A9C" w:rsidRDefault="00B97C31" w:rsidP="00B97C31">
      <w:pPr>
        <w:pStyle w:val="Para1"/>
        <w:numPr>
          <w:ilvl w:val="1"/>
          <w:numId w:val="24"/>
        </w:numPr>
        <w:suppressLineNumbers/>
        <w:suppressAutoHyphens/>
        <w:spacing w:before="0" w:after="160"/>
        <w:rPr>
          <w:kern w:val="22"/>
          <w:szCs w:val="22"/>
          <w:lang w:val="fr-CA"/>
        </w:rPr>
      </w:pPr>
      <w:r w:rsidRPr="007734D5">
        <w:rPr>
          <w:kern w:val="22"/>
          <w:szCs w:val="22"/>
          <w:lang w:val="fr-CA"/>
        </w:rPr>
        <w:t xml:space="preserve">Intégration </w:t>
      </w:r>
      <w:r>
        <w:rPr>
          <w:kern w:val="22"/>
          <w:szCs w:val="22"/>
          <w:lang w:val="fr-CA"/>
        </w:rPr>
        <w:t>dans les</w:t>
      </w:r>
      <w:r w:rsidRPr="007734D5">
        <w:rPr>
          <w:kern w:val="22"/>
          <w:szCs w:val="22"/>
          <w:lang w:val="fr-CA"/>
        </w:rPr>
        <w:t xml:space="preserve"> programmes de développement régionaux et internationaux.</w:t>
      </w:r>
    </w:p>
    <w:p w14:paraId="4338EE86" w14:textId="77777777" w:rsidR="004A0A9C" w:rsidRDefault="004A0A9C">
      <w:pPr>
        <w:jc w:val="left"/>
        <w:rPr>
          <w:snapToGrid w:val="0"/>
          <w:kern w:val="22"/>
          <w:szCs w:val="22"/>
          <w:lang w:val="fr-CA"/>
        </w:rPr>
      </w:pPr>
      <w:r>
        <w:rPr>
          <w:kern w:val="22"/>
          <w:szCs w:val="22"/>
          <w:lang w:val="fr-CA"/>
        </w:rPr>
        <w:br w:type="page"/>
      </w:r>
    </w:p>
    <w:p w14:paraId="25442CC5" w14:textId="77777777" w:rsidR="00B97C31" w:rsidRPr="005A030C" w:rsidRDefault="00B97C31" w:rsidP="00B97C31">
      <w:pPr>
        <w:pStyle w:val="Heading3"/>
        <w:rPr>
          <w:rFonts w:eastAsia="Malgun Gothic"/>
          <w:lang w:val="fr-CA"/>
        </w:rPr>
      </w:pPr>
      <w:r w:rsidRPr="005A030C">
        <w:rPr>
          <w:rFonts w:eastAsia="Malgun Gothic"/>
          <w:lang w:val="fr-CA"/>
        </w:rPr>
        <w:lastRenderedPageBreak/>
        <w:t>Annexe II</w:t>
      </w:r>
    </w:p>
    <w:p w14:paraId="43764228" w14:textId="6DE90968" w:rsidR="00B97C31" w:rsidRPr="005A030C" w:rsidRDefault="00B97C31" w:rsidP="00B97C31">
      <w:pPr>
        <w:pStyle w:val="Heading1"/>
        <w:rPr>
          <w:rFonts w:eastAsia="Malgun Gothic"/>
          <w:lang w:val="fr-CA"/>
        </w:rPr>
      </w:pPr>
      <w:r w:rsidRPr="005A030C">
        <w:rPr>
          <w:rFonts w:eastAsia="Malgun Gothic"/>
          <w:lang w:val="fr-CA"/>
        </w:rPr>
        <w:t>SOMMAIRE DES POINTS soulevés dans lES WEBINAIRES SUR LES OPTIONS stratégiques ET LES CRITÈRES DE L’INFORMATION DE SÉQUENÇAGE NUMÉRIQUE SUR LES ressources GÉNÉTIQUES</w:t>
      </w:r>
    </w:p>
    <w:p w14:paraId="2AD4C20A" w14:textId="77777777" w:rsidR="00B97C31" w:rsidRPr="005A030C" w:rsidRDefault="00B97C31" w:rsidP="00B97C31">
      <w:pPr>
        <w:pStyle w:val="Heading2"/>
        <w:numPr>
          <w:ilvl w:val="0"/>
          <w:numId w:val="53"/>
        </w:numPr>
        <w:rPr>
          <w:sz w:val="18"/>
          <w:szCs w:val="18"/>
          <w:lang w:val="fr-CA" w:eastAsia="zh-CN"/>
        </w:rPr>
      </w:pPr>
      <w:r w:rsidRPr="005A030C">
        <w:rPr>
          <w:lang w:val="fr-CA" w:eastAsia="zh-CN"/>
        </w:rPr>
        <w:t>Typologie des options stratégiques/archétypes</w:t>
      </w:r>
    </w:p>
    <w:p w14:paraId="3F24B461" w14:textId="77777777" w:rsidR="00B97C31" w:rsidRPr="005A030C" w:rsidRDefault="00B97C31" w:rsidP="00B97C31">
      <w:pPr>
        <w:pStyle w:val="Heading2"/>
        <w:jc w:val="both"/>
        <w:rPr>
          <w:rFonts w:eastAsia="Malgun Gothic"/>
          <w:b w:val="0"/>
          <w:bCs w:val="0"/>
          <w:lang w:val="fr-CA"/>
        </w:rPr>
      </w:pPr>
      <w:r w:rsidRPr="005A030C">
        <w:rPr>
          <w:rFonts w:eastAsia="Malgun Gothic"/>
          <w:b w:val="0"/>
          <w:bCs w:val="0"/>
          <w:lang w:val="fr-CA"/>
        </w:rPr>
        <w:t>Cette note puise dans différentes sources,</w:t>
      </w:r>
      <w:r w:rsidRPr="005A030C">
        <w:rPr>
          <w:rFonts w:eastAsia="Malgun Gothic"/>
          <w:b w:val="0"/>
          <w:bCs w:val="0"/>
          <w:vertAlign w:val="superscript"/>
          <w:lang w:val="fr-CA"/>
        </w:rPr>
        <w:footnoteReference w:id="18"/>
      </w:r>
      <w:r w:rsidRPr="005A030C">
        <w:rPr>
          <w:rFonts w:eastAsia="Malgun Gothic"/>
          <w:b w:val="0"/>
          <w:bCs w:val="0"/>
          <w:lang w:val="fr-CA"/>
        </w:rPr>
        <w:t xml:space="preserve"> afin de tenter d’organiser et de classer les options stratégiques éventuelles concernant l’accès et le partage des avantages (APA) de l’information de séquençage numérique (ISN) relative aux </w:t>
      </w:r>
      <w:r w:rsidRPr="005A030C">
        <w:rPr>
          <w:b w:val="0"/>
          <w:bCs w:val="0"/>
          <w:lang w:val="fr-CA"/>
        </w:rPr>
        <w:t>ressources</w:t>
      </w:r>
      <w:r w:rsidRPr="005A030C">
        <w:rPr>
          <w:rFonts w:eastAsia="Malgun Gothic"/>
          <w:b w:val="0"/>
          <w:bCs w:val="0"/>
          <w:lang w:val="fr-CA"/>
        </w:rPr>
        <w:t xml:space="preserve"> génétiques. Le but est de présenter les options de manière simple et relativement pratique. La liste des options n’est pas exhaustive. Des études ou des idées supplémentaires </w:t>
      </w:r>
      <w:r>
        <w:rPr>
          <w:rFonts w:eastAsia="Malgun Gothic"/>
          <w:b w:val="0"/>
          <w:bCs w:val="0"/>
          <w:lang w:val="fr-CA"/>
        </w:rPr>
        <w:t xml:space="preserve">existantes </w:t>
      </w:r>
      <w:r w:rsidRPr="005A030C">
        <w:rPr>
          <w:rFonts w:eastAsia="Malgun Gothic"/>
          <w:b w:val="0"/>
          <w:bCs w:val="0"/>
          <w:lang w:val="fr-CA"/>
        </w:rPr>
        <w:t xml:space="preserve">pourraient ne pas avoir été prises en ligne de compte et certaines </w:t>
      </w:r>
      <w:r>
        <w:rPr>
          <w:rFonts w:eastAsia="Malgun Gothic"/>
          <w:b w:val="0"/>
          <w:bCs w:val="0"/>
          <w:lang w:val="fr-CA"/>
        </w:rPr>
        <w:t>nouvelles options</w:t>
      </w:r>
      <w:r w:rsidRPr="005A030C">
        <w:rPr>
          <w:rFonts w:eastAsia="Malgun Gothic"/>
          <w:b w:val="0"/>
          <w:bCs w:val="0"/>
          <w:lang w:val="fr-CA"/>
        </w:rPr>
        <w:t xml:space="preserve"> pourraient </w:t>
      </w:r>
      <w:r>
        <w:rPr>
          <w:rFonts w:eastAsia="Malgun Gothic"/>
          <w:b w:val="0"/>
          <w:bCs w:val="0"/>
          <w:lang w:val="fr-CA"/>
        </w:rPr>
        <w:t xml:space="preserve">encore </w:t>
      </w:r>
      <w:r w:rsidRPr="005A030C">
        <w:rPr>
          <w:rFonts w:eastAsia="Malgun Gothic"/>
          <w:b w:val="0"/>
          <w:bCs w:val="0"/>
          <w:lang w:val="fr-CA"/>
        </w:rPr>
        <w:t xml:space="preserve">se </w:t>
      </w:r>
      <w:r>
        <w:rPr>
          <w:rFonts w:eastAsia="Malgun Gothic"/>
          <w:b w:val="0"/>
          <w:bCs w:val="0"/>
          <w:lang w:val="fr-CA"/>
        </w:rPr>
        <w:t>manifester</w:t>
      </w:r>
      <w:r w:rsidRPr="005A030C">
        <w:rPr>
          <w:rFonts w:eastAsia="Malgun Gothic"/>
          <w:b w:val="0"/>
          <w:bCs w:val="0"/>
          <w:lang w:val="fr-CA"/>
        </w:rPr>
        <w:t>.</w:t>
      </w:r>
    </w:p>
    <w:p w14:paraId="7E28B04C" w14:textId="77777777" w:rsidR="00B97C31" w:rsidRPr="004841BB" w:rsidRDefault="00B97C31" w:rsidP="00B97C31">
      <w:pPr>
        <w:pStyle w:val="Heading2"/>
        <w:jc w:val="both"/>
        <w:rPr>
          <w:rFonts w:eastAsia="Malgun Gothic"/>
          <w:b w:val="0"/>
          <w:bCs w:val="0"/>
          <w:lang w:val="fr-CA"/>
        </w:rPr>
      </w:pPr>
      <w:r w:rsidRPr="005A030C">
        <w:rPr>
          <w:rFonts w:eastAsia="Malgun Gothic"/>
          <w:b w:val="0"/>
          <w:bCs w:val="0"/>
          <w:lang w:val="fr-CA"/>
        </w:rPr>
        <w:t>La figure ci-dessous présente les options en fonction de certaines caractéristiques. Les options sont présenté</w:t>
      </w:r>
      <w:r>
        <w:rPr>
          <w:rFonts w:eastAsia="Malgun Gothic"/>
          <w:b w:val="0"/>
          <w:bCs w:val="0"/>
          <w:lang w:val="fr-CA"/>
        </w:rPr>
        <w:t>e</w:t>
      </w:r>
      <w:r w:rsidRPr="005A030C">
        <w:rPr>
          <w:rFonts w:eastAsia="Malgun Gothic"/>
          <w:b w:val="0"/>
          <w:bCs w:val="0"/>
          <w:lang w:val="fr-CA"/>
        </w:rPr>
        <w:t>s de façon neutre, sans jugement quant à leur viabilité ou leur rentabilité, leur applicabilité ou les capacités exigées. Les options ne s’excluent pas mutuellement</w:t>
      </w:r>
      <w:r>
        <w:rPr>
          <w:rFonts w:eastAsia="Malgun Gothic"/>
          <w:b w:val="0"/>
          <w:bCs w:val="0"/>
          <w:lang w:val="fr-CA"/>
        </w:rPr>
        <w:t>,</w:t>
      </w:r>
      <w:r w:rsidRPr="005A030C">
        <w:rPr>
          <w:rFonts w:eastAsia="Malgun Gothic"/>
          <w:b w:val="0"/>
          <w:bCs w:val="0"/>
          <w:lang w:val="fr-CA"/>
        </w:rPr>
        <w:t xml:space="preserve"> et deux ou plusieurs options ou leurs composants</w:t>
      </w:r>
      <w:r>
        <w:rPr>
          <w:rFonts w:eastAsia="Malgun Gothic"/>
          <w:b w:val="0"/>
          <w:bCs w:val="0"/>
          <w:lang w:val="fr-CA"/>
        </w:rPr>
        <w:t xml:space="preserve"> peuvent être combinés</w:t>
      </w:r>
      <w:r w:rsidRPr="005A030C">
        <w:rPr>
          <w:rFonts w:eastAsia="Malgun Gothic"/>
          <w:b w:val="0"/>
          <w:bCs w:val="0"/>
          <w:lang w:val="fr-CA"/>
        </w:rPr>
        <w:t>. Bien que les connaissances traditionnelles associées aux ressources génétiques peuvent être un aspect important de l’ISN, nous ne connaissons aucune étude publiée sur ce sujet</w:t>
      </w:r>
      <w:r>
        <w:rPr>
          <w:rFonts w:eastAsia="Malgun Gothic"/>
          <w:b w:val="0"/>
          <w:bCs w:val="0"/>
          <w:lang w:val="fr-CA"/>
        </w:rPr>
        <w:t xml:space="preserve">. Par conséquent, </w:t>
      </w:r>
      <w:r w:rsidRPr="005A030C">
        <w:rPr>
          <w:rFonts w:eastAsia="Malgun Gothic"/>
          <w:b w:val="0"/>
          <w:bCs w:val="0"/>
          <w:lang w:val="fr-CA"/>
        </w:rPr>
        <w:t xml:space="preserve">la question n’est pas abordée dans ce document. </w:t>
      </w:r>
      <w:r>
        <w:rPr>
          <w:rFonts w:eastAsia="Malgun Gothic"/>
          <w:b w:val="0"/>
          <w:bCs w:val="0"/>
          <w:lang w:val="fr-CA"/>
        </w:rPr>
        <w:t xml:space="preserve">  </w:t>
      </w:r>
    </w:p>
    <w:p w14:paraId="7A004340" w14:textId="77777777" w:rsidR="00B97C31" w:rsidRPr="005A030C" w:rsidRDefault="00B97C31" w:rsidP="00B97C31">
      <w:pPr>
        <w:jc w:val="center"/>
        <w:textAlignment w:val="baseline"/>
        <w:rPr>
          <w:rFonts w:eastAsia="Malgun Gothic"/>
          <w:noProof/>
          <w:szCs w:val="22"/>
          <w:lang w:val="fr-CA"/>
        </w:rPr>
      </w:pPr>
    </w:p>
    <w:p w14:paraId="7720E0F6" w14:textId="77777777" w:rsidR="00B97C31" w:rsidRPr="005A030C" w:rsidRDefault="00B97C31" w:rsidP="00B97C31">
      <w:pPr>
        <w:jc w:val="center"/>
        <w:textAlignment w:val="baseline"/>
        <w:rPr>
          <w:sz w:val="18"/>
          <w:szCs w:val="18"/>
          <w:lang w:val="fr-CA" w:eastAsia="zh-CN"/>
        </w:rPr>
      </w:pPr>
      <w:r>
        <w:rPr>
          <w:rFonts w:eastAsia="Malgun Gothic"/>
          <w:noProof/>
          <w:lang w:val="fr-CA" w:eastAsia="fr-CA"/>
        </w:rPr>
        <w:drawing>
          <wp:inline distT="0" distB="0" distL="0" distR="0" wp14:anchorId="55FC08DE" wp14:editId="40ED06B6">
            <wp:extent cx="5936613" cy="3339345"/>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26"/>
                    <a:stretch>
                      <a:fillRect/>
                    </a:stretch>
                  </pic:blipFill>
                  <pic:spPr bwMode="auto">
                    <a:xfrm>
                      <a:off x="0" y="0"/>
                      <a:ext cx="5936613" cy="3339345"/>
                    </a:xfrm>
                    <a:prstGeom prst="rect">
                      <a:avLst/>
                    </a:prstGeom>
                    <a:noFill/>
                    <a:ln>
                      <a:noFill/>
                    </a:ln>
                  </pic:spPr>
                </pic:pic>
              </a:graphicData>
            </a:graphic>
          </wp:inline>
        </w:drawing>
      </w:r>
    </w:p>
    <w:p w14:paraId="6574E889" w14:textId="77777777" w:rsidR="003B600C" w:rsidRPr="003B600C" w:rsidRDefault="00B97C31" w:rsidP="00B97C31">
      <w:pPr>
        <w:textAlignment w:val="baseline"/>
        <w:rPr>
          <w:iCs/>
          <w:color w:val="404040"/>
          <w:szCs w:val="22"/>
          <w:lang w:val="fr-CA" w:eastAsia="zh-CN"/>
        </w:rPr>
      </w:pPr>
      <w:r>
        <w:rPr>
          <w:i/>
          <w:iCs/>
          <w:color w:val="404040"/>
          <w:szCs w:val="22"/>
          <w:lang w:val="fr-CA" w:eastAsia="zh-CN"/>
        </w:rPr>
        <w:br/>
      </w:r>
      <w:r w:rsidRPr="003B600C">
        <w:rPr>
          <w:iCs/>
          <w:color w:val="404040"/>
          <w:szCs w:val="22"/>
          <w:lang w:val="fr-CA" w:eastAsia="zh-CN"/>
        </w:rPr>
        <w:t xml:space="preserve">Figure 1 : </w:t>
      </w:r>
      <w:r w:rsidRPr="003B600C">
        <w:rPr>
          <w:b/>
          <w:iCs/>
          <w:color w:val="404040"/>
          <w:szCs w:val="22"/>
          <w:lang w:val="fr-CA" w:eastAsia="zh-CN"/>
        </w:rPr>
        <w:t>Classification de haut niveau des options stratégiques selon des caractéristiques précises.</w:t>
      </w:r>
      <w:r w:rsidRPr="003B600C">
        <w:rPr>
          <w:iCs/>
          <w:color w:val="404040"/>
          <w:szCs w:val="22"/>
          <w:lang w:val="fr-CA" w:eastAsia="zh-CN"/>
        </w:rPr>
        <w:t xml:space="preserve"> </w:t>
      </w:r>
    </w:p>
    <w:p w14:paraId="7AD6762D" w14:textId="77777777" w:rsidR="003B600C" w:rsidRDefault="003B600C" w:rsidP="00B97C31">
      <w:pPr>
        <w:textAlignment w:val="baseline"/>
        <w:rPr>
          <w:iCs/>
          <w:color w:val="404040"/>
          <w:szCs w:val="22"/>
          <w:lang w:val="fr-CA" w:eastAsia="zh-CN"/>
        </w:rPr>
      </w:pPr>
    </w:p>
    <w:p w14:paraId="4363412B" w14:textId="4809B85E" w:rsidR="00B97C31" w:rsidRPr="003B600C" w:rsidRDefault="003B600C" w:rsidP="00B97C31">
      <w:pPr>
        <w:textAlignment w:val="baseline"/>
        <w:rPr>
          <w:sz w:val="18"/>
          <w:szCs w:val="18"/>
          <w:lang w:val="fr-CA" w:eastAsia="zh-CN"/>
        </w:rPr>
      </w:pPr>
      <w:r w:rsidRPr="003B600C">
        <w:rPr>
          <w:i/>
          <w:iCs/>
          <w:color w:val="404040"/>
          <w:szCs w:val="22"/>
          <w:lang w:val="fr-CA" w:eastAsia="zh-CN"/>
        </w:rPr>
        <w:t>Remarque</w:t>
      </w:r>
      <w:r>
        <w:rPr>
          <w:iCs/>
          <w:color w:val="404040"/>
          <w:szCs w:val="22"/>
          <w:lang w:val="fr-CA" w:eastAsia="zh-CN"/>
        </w:rPr>
        <w:t xml:space="preserve"> : </w:t>
      </w:r>
      <w:r w:rsidR="00B97C31" w:rsidRPr="003B600C">
        <w:rPr>
          <w:iCs/>
          <w:color w:val="404040"/>
          <w:szCs w:val="22"/>
          <w:lang w:val="fr-CA" w:eastAsia="zh-CN"/>
        </w:rPr>
        <w:t>Ces caractéristiques ont été choisies selon leur prévalence dans la documentation et une logique subjective. D’autres caractéristiques peuvent toutefois être utilisées pour classer les options stratégiques en fonction de leur importance pour divers groupes de parties prenantes. Les étiquettes abrégées des caractéristiques sont utilisées à des fins de commodité. Elles sont expliquées ci-dessous.</w:t>
      </w:r>
    </w:p>
    <w:p w14:paraId="51C7D594" w14:textId="77777777" w:rsidR="00B97C31" w:rsidRPr="005A030C" w:rsidRDefault="00B97C31" w:rsidP="00B97C31">
      <w:pPr>
        <w:jc w:val="left"/>
        <w:textAlignment w:val="baseline"/>
        <w:rPr>
          <w:b/>
          <w:bCs/>
          <w:i/>
          <w:iCs/>
          <w:szCs w:val="22"/>
          <w:u w:val="single"/>
          <w:lang w:val="fr-CA" w:eastAsia="zh-CN"/>
        </w:rPr>
      </w:pPr>
    </w:p>
    <w:p w14:paraId="7ED402E1" w14:textId="77777777" w:rsidR="00B97C31" w:rsidRPr="005A030C" w:rsidRDefault="00B97C31" w:rsidP="00B97C31">
      <w:pPr>
        <w:spacing w:before="80" w:after="80"/>
        <w:jc w:val="left"/>
        <w:textAlignment w:val="baseline"/>
        <w:rPr>
          <w:i/>
          <w:iCs/>
          <w:sz w:val="18"/>
          <w:szCs w:val="18"/>
          <w:lang w:val="fr-CA" w:eastAsia="zh-CN"/>
        </w:rPr>
      </w:pPr>
      <w:r w:rsidRPr="005A030C">
        <w:rPr>
          <w:b/>
          <w:bCs/>
          <w:i/>
          <w:iCs/>
          <w:szCs w:val="22"/>
          <w:u w:val="single"/>
          <w:lang w:val="fr-CA" w:eastAsia="zh-CN"/>
        </w:rPr>
        <w:lastRenderedPageBreak/>
        <w:t>Explication des caractéristiques utilisées dans la figure 1 : </w:t>
      </w:r>
      <w:r w:rsidRPr="005A030C">
        <w:rPr>
          <w:i/>
          <w:iCs/>
          <w:szCs w:val="22"/>
          <w:lang w:val="fr-CA" w:eastAsia="zh-CN"/>
        </w:rPr>
        <w:t> </w:t>
      </w:r>
    </w:p>
    <w:p w14:paraId="267F6FEB" w14:textId="77777777" w:rsidR="00B97C31" w:rsidRPr="005A030C" w:rsidRDefault="00B97C31" w:rsidP="00B97C31">
      <w:pPr>
        <w:spacing w:before="80" w:after="80"/>
        <w:textAlignment w:val="baseline"/>
        <w:rPr>
          <w:i/>
          <w:iCs/>
          <w:sz w:val="18"/>
          <w:szCs w:val="18"/>
          <w:lang w:val="fr-CA" w:eastAsia="zh-CN"/>
        </w:rPr>
      </w:pPr>
      <w:r w:rsidRPr="005A030C">
        <w:rPr>
          <w:b/>
          <w:bCs/>
          <w:i/>
          <w:iCs/>
          <w:szCs w:val="22"/>
          <w:lang w:val="fr-CA" w:eastAsia="zh-CN"/>
        </w:rPr>
        <w:t>Accès réglementé :</w:t>
      </w:r>
      <w:r w:rsidRPr="005A030C">
        <w:rPr>
          <w:i/>
          <w:iCs/>
          <w:szCs w:val="22"/>
          <w:lang w:val="fr-CA" w:eastAsia="zh-CN"/>
        </w:rPr>
        <w:t> L’accès à l’ISN n’est pas libre et fait l’objet d’une réglementation quelconque. « Accès non réglementé » ne signifie pas que l’accès n’est pas assujetti à certaines conditions; il n’est pas nécessairement gratuit.  </w:t>
      </w:r>
    </w:p>
    <w:p w14:paraId="01F55FB8" w14:textId="77777777" w:rsidR="00B97C31" w:rsidRPr="005A030C" w:rsidRDefault="00B97C31" w:rsidP="00B97C31">
      <w:pPr>
        <w:spacing w:before="80" w:after="80"/>
        <w:textAlignment w:val="baseline"/>
        <w:rPr>
          <w:i/>
          <w:iCs/>
          <w:sz w:val="18"/>
          <w:szCs w:val="18"/>
          <w:lang w:val="fr-CA" w:eastAsia="zh-CN"/>
        </w:rPr>
      </w:pPr>
      <w:r w:rsidRPr="005A030C">
        <w:rPr>
          <w:b/>
          <w:bCs/>
          <w:i/>
          <w:iCs/>
          <w:szCs w:val="22"/>
          <w:lang w:val="fr-CA" w:eastAsia="zh-CN"/>
        </w:rPr>
        <w:t>CPDCC :</w:t>
      </w:r>
      <w:r w:rsidRPr="005A030C">
        <w:rPr>
          <w:i/>
          <w:iCs/>
          <w:szCs w:val="22"/>
          <w:lang w:val="fr-CA" w:eastAsia="zh-CN"/>
        </w:rPr>
        <w:t> L’accès à l’ISN exige le consentement préalable donné en connaissance de cause.   </w:t>
      </w:r>
    </w:p>
    <w:p w14:paraId="3D65C50D" w14:textId="77777777" w:rsidR="00B97C31" w:rsidRPr="005A030C" w:rsidRDefault="00B97C31" w:rsidP="00B97C31">
      <w:pPr>
        <w:spacing w:before="80" w:after="80"/>
        <w:textAlignment w:val="baseline"/>
        <w:rPr>
          <w:i/>
          <w:iCs/>
          <w:sz w:val="18"/>
          <w:szCs w:val="18"/>
          <w:lang w:val="fr-CA" w:eastAsia="zh-CN"/>
        </w:rPr>
      </w:pPr>
      <w:r w:rsidRPr="005A030C">
        <w:rPr>
          <w:b/>
          <w:bCs/>
          <w:i/>
          <w:iCs/>
          <w:szCs w:val="22"/>
          <w:lang w:val="fr-CA" w:eastAsia="zh-CN"/>
        </w:rPr>
        <w:t xml:space="preserve">CCCA </w:t>
      </w:r>
      <w:r w:rsidRPr="005A030C">
        <w:rPr>
          <w:i/>
          <w:iCs/>
          <w:szCs w:val="22"/>
          <w:lang w:val="fr-CA" w:eastAsia="zh-CN"/>
        </w:rPr>
        <w:t xml:space="preserve">: Des conditions convenues d’un commun accord ou une licence standard sont négociées pour le partage des avantages de l’utilisation de l’ISN. </w:t>
      </w:r>
      <w:r>
        <w:rPr>
          <w:i/>
          <w:iCs/>
          <w:szCs w:val="22"/>
          <w:lang w:val="fr-CA" w:eastAsia="zh-CN"/>
        </w:rPr>
        <w:t>Les</w:t>
      </w:r>
      <w:r w:rsidRPr="005A030C">
        <w:rPr>
          <w:i/>
          <w:iCs/>
          <w:szCs w:val="22"/>
          <w:lang w:val="fr-CA" w:eastAsia="zh-CN"/>
        </w:rPr>
        <w:t xml:space="preserve"> CCCA peu</w:t>
      </w:r>
      <w:r>
        <w:rPr>
          <w:i/>
          <w:iCs/>
          <w:szCs w:val="22"/>
          <w:lang w:val="fr-CA" w:eastAsia="zh-CN"/>
        </w:rPr>
        <w:t>vent</w:t>
      </w:r>
      <w:r w:rsidRPr="005A030C">
        <w:rPr>
          <w:i/>
          <w:iCs/>
          <w:szCs w:val="22"/>
          <w:lang w:val="fr-CA" w:eastAsia="zh-CN"/>
        </w:rPr>
        <w:t xml:space="preserve"> inclure la nécessité d’un CPDCC, mais ce n’est pas toujours le cas (</w:t>
      </w:r>
      <w:r>
        <w:rPr>
          <w:i/>
          <w:iCs/>
          <w:szCs w:val="22"/>
          <w:lang w:val="fr-CA" w:eastAsia="zh-CN"/>
        </w:rPr>
        <w:t>voir l’</w:t>
      </w:r>
      <w:r w:rsidRPr="005A030C">
        <w:rPr>
          <w:i/>
          <w:iCs/>
          <w:szCs w:val="22"/>
          <w:lang w:val="fr-CA" w:eastAsia="zh-CN"/>
        </w:rPr>
        <w:t>option 2).  </w:t>
      </w:r>
    </w:p>
    <w:p w14:paraId="044547D7" w14:textId="77777777" w:rsidR="00B97C31" w:rsidRPr="005A030C" w:rsidRDefault="00B97C31" w:rsidP="00B97C31">
      <w:pPr>
        <w:spacing w:before="80" w:after="80"/>
        <w:textAlignment w:val="baseline"/>
        <w:rPr>
          <w:i/>
          <w:iCs/>
          <w:sz w:val="18"/>
          <w:szCs w:val="18"/>
          <w:lang w:val="fr-CA" w:eastAsia="zh-CN"/>
        </w:rPr>
      </w:pPr>
      <w:r w:rsidRPr="005A030C">
        <w:rPr>
          <w:b/>
          <w:bCs/>
          <w:i/>
          <w:iCs/>
          <w:szCs w:val="22"/>
          <w:lang w:val="fr-CA" w:eastAsia="zh-CN"/>
        </w:rPr>
        <w:t>PA lié au</w:t>
      </w:r>
      <w:r>
        <w:rPr>
          <w:b/>
          <w:bCs/>
          <w:i/>
          <w:iCs/>
          <w:szCs w:val="22"/>
          <w:lang w:val="fr-CA" w:eastAsia="zh-CN"/>
        </w:rPr>
        <w:t>x</w:t>
      </w:r>
      <w:r w:rsidRPr="005A030C">
        <w:rPr>
          <w:b/>
          <w:bCs/>
          <w:i/>
          <w:iCs/>
          <w:szCs w:val="22"/>
          <w:lang w:val="fr-CA" w:eastAsia="zh-CN"/>
        </w:rPr>
        <w:t xml:space="preserve"> données d’ISN </w:t>
      </w:r>
      <w:r w:rsidRPr="005A030C">
        <w:rPr>
          <w:i/>
          <w:iCs/>
          <w:szCs w:val="22"/>
          <w:lang w:val="fr-CA" w:eastAsia="zh-CN"/>
        </w:rPr>
        <w:t>: Le partage des avantages (PA) de l’utilisation d’ISN est lié au produit ou service spécifique éman</w:t>
      </w:r>
      <w:r>
        <w:rPr>
          <w:i/>
          <w:iCs/>
          <w:szCs w:val="22"/>
          <w:lang w:val="fr-CA" w:eastAsia="zh-CN"/>
        </w:rPr>
        <w:t>é</w:t>
      </w:r>
      <w:r w:rsidRPr="005A030C">
        <w:rPr>
          <w:i/>
          <w:iCs/>
          <w:szCs w:val="22"/>
          <w:lang w:val="fr-CA" w:eastAsia="zh-CN"/>
        </w:rPr>
        <w:t xml:space="preserve"> de cette ISN et non à une contribution générale des utilisateurs de l’ISN.  </w:t>
      </w:r>
    </w:p>
    <w:p w14:paraId="70E1AB7D" w14:textId="77777777" w:rsidR="00B97C31" w:rsidRPr="005A030C" w:rsidRDefault="00B97C31" w:rsidP="00B97C31">
      <w:pPr>
        <w:spacing w:before="80" w:after="80"/>
        <w:textAlignment w:val="baseline"/>
        <w:rPr>
          <w:i/>
          <w:iCs/>
          <w:sz w:val="18"/>
          <w:szCs w:val="18"/>
          <w:lang w:val="fr-CA" w:eastAsia="zh-CN"/>
        </w:rPr>
      </w:pPr>
      <w:r w:rsidRPr="005A030C">
        <w:rPr>
          <w:b/>
          <w:bCs/>
          <w:i/>
          <w:iCs/>
          <w:szCs w:val="22"/>
          <w:lang w:val="fr-CA" w:eastAsia="zh-CN"/>
        </w:rPr>
        <w:t xml:space="preserve">Exiger le retracement du pays d’origine </w:t>
      </w:r>
      <w:r w:rsidRPr="005A030C">
        <w:rPr>
          <w:b/>
          <w:bCs/>
          <w:i/>
          <w:szCs w:val="22"/>
          <w:lang w:val="fr-CA" w:eastAsia="zh-CN"/>
        </w:rPr>
        <w:t>:</w:t>
      </w:r>
      <w:r w:rsidRPr="005A030C">
        <w:rPr>
          <w:i/>
          <w:iCs/>
          <w:szCs w:val="22"/>
          <w:lang w:val="fr-CA" w:eastAsia="zh-CN"/>
        </w:rPr>
        <w:t> Il est nécessaire pour cette option de pouvoir identifier le pays d’origine de la ressource</w:t>
      </w:r>
      <w:r>
        <w:rPr>
          <w:i/>
          <w:iCs/>
          <w:szCs w:val="22"/>
          <w:lang w:val="fr-CA" w:eastAsia="zh-CN"/>
        </w:rPr>
        <w:t xml:space="preserve"> génétique d’où provient l’ISN</w:t>
      </w:r>
      <w:r w:rsidRPr="005A030C">
        <w:rPr>
          <w:i/>
          <w:iCs/>
          <w:szCs w:val="22"/>
          <w:lang w:val="fr-CA" w:eastAsia="zh-CN"/>
        </w:rPr>
        <w:t>.  </w:t>
      </w:r>
    </w:p>
    <w:p w14:paraId="1C7CD6F2" w14:textId="77777777" w:rsidR="00B97C31" w:rsidRPr="005A030C" w:rsidRDefault="00B97C31" w:rsidP="00B97C31">
      <w:pPr>
        <w:spacing w:before="80" w:after="80"/>
        <w:textAlignment w:val="baseline"/>
        <w:rPr>
          <w:i/>
          <w:iCs/>
          <w:szCs w:val="22"/>
          <w:lang w:val="fr-CA" w:eastAsia="zh-CN"/>
        </w:rPr>
      </w:pPr>
      <w:r w:rsidRPr="005A030C">
        <w:rPr>
          <w:b/>
          <w:bCs/>
          <w:i/>
          <w:iCs/>
          <w:szCs w:val="22"/>
          <w:lang w:val="fr-CA" w:eastAsia="zh-CN"/>
        </w:rPr>
        <w:t>Mécanisme bilatéral :</w:t>
      </w:r>
      <w:r w:rsidRPr="005A030C">
        <w:rPr>
          <w:i/>
          <w:iCs/>
          <w:szCs w:val="22"/>
          <w:lang w:val="fr-CA" w:eastAsia="zh-CN"/>
        </w:rPr>
        <w:t> Cette option stratégique exige un accord entre le pays fournisseur et le pays utilisateur, qui établit les conditions de partage des avantages et le partage de ces avantages d</w:t>
      </w:r>
      <w:r>
        <w:rPr>
          <w:i/>
          <w:iCs/>
          <w:szCs w:val="22"/>
          <w:lang w:val="fr-CA" w:eastAsia="zh-CN"/>
        </w:rPr>
        <w:t>epuis le</w:t>
      </w:r>
      <w:r w:rsidRPr="005A030C">
        <w:rPr>
          <w:i/>
          <w:iCs/>
          <w:szCs w:val="22"/>
          <w:lang w:val="fr-CA" w:eastAsia="zh-CN"/>
        </w:rPr>
        <w:t xml:space="preserve"> pays utilisateur </w:t>
      </w:r>
      <w:r>
        <w:rPr>
          <w:i/>
          <w:iCs/>
          <w:szCs w:val="22"/>
          <w:lang w:val="fr-CA" w:eastAsia="zh-CN"/>
        </w:rPr>
        <w:t>jusqu’</w:t>
      </w:r>
      <w:r w:rsidRPr="005A030C">
        <w:rPr>
          <w:i/>
          <w:iCs/>
          <w:szCs w:val="22"/>
          <w:lang w:val="fr-CA" w:eastAsia="zh-CN"/>
        </w:rPr>
        <w:t>au pays fournisseur de l’ISN, et non l’acheminement des avantages de l’utilisation de l’ISN par l’intermédiaire d’un fonds ou mécanisme multilatéral. </w:t>
      </w:r>
    </w:p>
    <w:p w14:paraId="71F0963D" w14:textId="77777777" w:rsidR="00B97C31" w:rsidRPr="005A030C" w:rsidRDefault="00B97C31" w:rsidP="00B97C31">
      <w:pPr>
        <w:spacing w:before="240" w:after="120"/>
        <w:jc w:val="left"/>
        <w:textAlignment w:val="baseline"/>
        <w:rPr>
          <w:i/>
          <w:iCs/>
          <w:szCs w:val="22"/>
          <w:lang w:val="fr-CA" w:eastAsia="zh-CN"/>
        </w:rPr>
      </w:pPr>
      <w:r w:rsidRPr="005A030C">
        <w:rPr>
          <w:i/>
          <w:iCs/>
          <w:szCs w:val="22"/>
          <w:lang w:val="fr-CA" w:eastAsia="zh-CN"/>
        </w:rPr>
        <w:t>Description des options par groupe.</w:t>
      </w:r>
    </w:p>
    <w:p w14:paraId="35C0A2AA" w14:textId="77777777" w:rsidR="00B97C31" w:rsidRPr="005A030C" w:rsidRDefault="00B97C31" w:rsidP="00B97C31">
      <w:pPr>
        <w:spacing w:before="240" w:after="120"/>
        <w:jc w:val="left"/>
        <w:textAlignment w:val="baseline"/>
        <w:rPr>
          <w:sz w:val="18"/>
          <w:szCs w:val="18"/>
          <w:lang w:val="fr-CA" w:eastAsia="zh-CN"/>
        </w:rPr>
      </w:pPr>
      <w:r w:rsidRPr="005A030C">
        <w:rPr>
          <w:b/>
          <w:bCs/>
          <w:szCs w:val="22"/>
          <w:lang w:val="fr-CA" w:eastAsia="zh-CN"/>
        </w:rPr>
        <w:t>Option 0 : Statu quo</w:t>
      </w:r>
      <w:r w:rsidRPr="005A030C">
        <w:rPr>
          <w:szCs w:val="22"/>
          <w:lang w:val="fr-CA" w:eastAsia="zh-CN"/>
        </w:rPr>
        <w:t> </w:t>
      </w:r>
    </w:p>
    <w:p w14:paraId="3A2D1B04"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Dans cette option, les Parties n’ont pas convenu de la manière d’aborder l’APA pour l’ISN. Certaines Parties peuvent décider d’inclure des mesures d’accès à l’ISN et/ou de partage des avantages de l’utilisation de l’ISN à leur programme interne d’accès et de partage des avantages, et certaines peuvent être d’avis que le libre accès à l’ISN dans leur base de données constitue une forme de partage des avantages</w:t>
      </w:r>
      <w:r>
        <w:rPr>
          <w:szCs w:val="22"/>
          <w:lang w:val="fr-CA" w:eastAsia="zh-CN"/>
        </w:rPr>
        <w:t xml:space="preserve"> non monétaires</w:t>
      </w:r>
      <w:r w:rsidRPr="005A030C">
        <w:rPr>
          <w:szCs w:val="22"/>
          <w:lang w:val="fr-CA" w:eastAsia="zh-CN"/>
        </w:rPr>
        <w:t>.  </w:t>
      </w:r>
    </w:p>
    <w:p w14:paraId="6F723853" w14:textId="77777777" w:rsidR="00B97C31" w:rsidRPr="005A030C" w:rsidRDefault="00B97C31" w:rsidP="00B97C31">
      <w:pPr>
        <w:spacing w:before="240" w:after="120"/>
        <w:jc w:val="left"/>
        <w:textAlignment w:val="baseline"/>
        <w:rPr>
          <w:sz w:val="18"/>
          <w:szCs w:val="18"/>
          <w:lang w:val="fr-CA" w:eastAsia="zh-CN"/>
        </w:rPr>
      </w:pPr>
      <w:r w:rsidRPr="005A030C">
        <w:rPr>
          <w:b/>
          <w:bCs/>
          <w:szCs w:val="22"/>
          <w:lang w:val="fr-CA" w:eastAsia="zh-CN"/>
        </w:rPr>
        <w:t xml:space="preserve">Option 1 : Intégration complète de l’ISN à la Convention sur la diversité biologique et </w:t>
      </w:r>
      <w:r>
        <w:rPr>
          <w:b/>
          <w:bCs/>
          <w:szCs w:val="22"/>
          <w:lang w:val="fr-CA" w:eastAsia="zh-CN"/>
        </w:rPr>
        <w:t>au</w:t>
      </w:r>
      <w:r w:rsidRPr="005A030C">
        <w:rPr>
          <w:b/>
          <w:bCs/>
          <w:szCs w:val="22"/>
          <w:lang w:val="fr-CA" w:eastAsia="zh-CN"/>
        </w:rPr>
        <w:t xml:space="preserve"> Protocole de Nagoya</w:t>
      </w:r>
      <w:r w:rsidRPr="005A030C">
        <w:rPr>
          <w:szCs w:val="22"/>
          <w:lang w:val="fr-CA" w:eastAsia="zh-CN"/>
        </w:rPr>
        <w:t> </w:t>
      </w:r>
    </w:p>
    <w:p w14:paraId="0BE7BA1F" w14:textId="1B56D589" w:rsidR="00B97C31" w:rsidRPr="005A030C" w:rsidRDefault="00B97C31" w:rsidP="00B97C31">
      <w:pPr>
        <w:spacing w:before="120" w:after="120"/>
        <w:textAlignment w:val="baseline"/>
        <w:rPr>
          <w:sz w:val="18"/>
          <w:szCs w:val="18"/>
          <w:lang w:val="fr-CA" w:eastAsia="zh-CN"/>
        </w:rPr>
      </w:pPr>
      <w:r w:rsidRPr="005A030C">
        <w:rPr>
          <w:szCs w:val="22"/>
          <w:lang w:val="fr-CA" w:eastAsia="zh-CN"/>
        </w:rPr>
        <w:t xml:space="preserve">Dans cette option, l’APA est </w:t>
      </w:r>
      <w:proofErr w:type="gramStart"/>
      <w:r w:rsidRPr="005A030C">
        <w:rPr>
          <w:szCs w:val="22"/>
          <w:lang w:val="fr-CA" w:eastAsia="zh-CN"/>
        </w:rPr>
        <w:t>assujetti</w:t>
      </w:r>
      <w:proofErr w:type="gramEnd"/>
      <w:r w:rsidRPr="005A030C">
        <w:rPr>
          <w:szCs w:val="22"/>
          <w:lang w:val="fr-CA" w:eastAsia="zh-CN"/>
        </w:rPr>
        <w:t xml:space="preserve"> aux lois des différents pays. Il s’agit de l’approche bilatérale traditionnelle à l’APA. L’accès est réglementé sensiblement de la même façon que les ressources génétiques au titre de la </w:t>
      </w:r>
      <w:r w:rsidR="00AF4D49">
        <w:rPr>
          <w:szCs w:val="22"/>
          <w:lang w:val="fr-CA" w:eastAsia="zh-CN"/>
        </w:rPr>
        <w:t>Convention sur la diversité biologique</w:t>
      </w:r>
      <w:r w:rsidRPr="005A030C">
        <w:rPr>
          <w:szCs w:val="22"/>
          <w:lang w:val="fr-CA" w:eastAsia="zh-CN"/>
        </w:rPr>
        <w:t xml:space="preserve"> et du Protocole de Nagoya, c’est-à-dire que l’accès à l’ISN peut être assujetti au CPDCC ou aux CCCA (essentiellement </w:t>
      </w:r>
      <w:r w:rsidR="00C77DFC">
        <w:rPr>
          <w:szCs w:val="22"/>
          <w:lang w:val="fr-CA" w:eastAsia="zh-CN"/>
        </w:rPr>
        <w:t>RG</w:t>
      </w:r>
      <w:r w:rsidRPr="005A030C">
        <w:rPr>
          <w:szCs w:val="22"/>
          <w:lang w:val="fr-CA" w:eastAsia="zh-CN"/>
        </w:rPr>
        <w:t>=ISN), selon les lois en vigueur au pays. L’utilisation de l’</w:t>
      </w:r>
      <w:r>
        <w:rPr>
          <w:szCs w:val="22"/>
          <w:lang w:val="fr-CA" w:eastAsia="zh-CN"/>
        </w:rPr>
        <w:t>I</w:t>
      </w:r>
      <w:r w:rsidRPr="005A030C">
        <w:rPr>
          <w:szCs w:val="22"/>
          <w:lang w:val="fr-CA" w:eastAsia="zh-CN"/>
        </w:rPr>
        <w:t>SN doit être réglementé par le</w:t>
      </w:r>
      <w:r>
        <w:rPr>
          <w:szCs w:val="22"/>
          <w:lang w:val="fr-CA" w:eastAsia="zh-CN"/>
        </w:rPr>
        <w:t>s</w:t>
      </w:r>
      <w:r w:rsidRPr="005A030C">
        <w:rPr>
          <w:szCs w:val="22"/>
          <w:lang w:val="fr-CA" w:eastAsia="zh-CN"/>
        </w:rPr>
        <w:t xml:space="preserve"> CCCA, au même titre que les obligations de partage des avantages, et les CCCA sont négociées pour chaque accès à l’ISN. L’étude sur les mesures d’APA mise à la disposition du Groupe spécial d'experts techniques sur l’ISN aux fins de consultation pour l’étude révèle que certains pays incluent déjà l’ISN dans leurs mesures nationales d’APA et d’autres prévoient le faire bientôt.  </w:t>
      </w:r>
    </w:p>
    <w:p w14:paraId="53DBF560"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Dans cette option, les chercheurs sont tenus de respecter les exigences du pays concernant l’APA lorsqu’ils accèdent à l’ISN par le biais d’une base de données, de retracer l’ISN jusqu’au pays d’origine et de négocier les différentes exigences d’APA avec chaque pays, car les CCCA pourraient varier d’un pays à l’autre.  </w:t>
      </w:r>
    </w:p>
    <w:p w14:paraId="386153F8" w14:textId="77777777" w:rsidR="00B97C31" w:rsidRPr="005A030C" w:rsidRDefault="00B97C31" w:rsidP="00B97C31">
      <w:pPr>
        <w:spacing w:before="240" w:after="120"/>
        <w:jc w:val="left"/>
        <w:textAlignment w:val="baseline"/>
        <w:rPr>
          <w:sz w:val="18"/>
          <w:szCs w:val="18"/>
          <w:lang w:val="fr-CA" w:eastAsia="zh-CN"/>
        </w:rPr>
      </w:pPr>
      <w:r w:rsidRPr="005A030C">
        <w:rPr>
          <w:b/>
          <w:bCs/>
          <w:szCs w:val="22"/>
          <w:lang w:val="fr-CA" w:eastAsia="zh-CN"/>
        </w:rPr>
        <w:t>Option 2 : CCCA standards</w:t>
      </w:r>
      <w:r w:rsidRPr="005A030C">
        <w:rPr>
          <w:szCs w:val="22"/>
          <w:lang w:val="fr-CA" w:eastAsia="zh-CN"/>
        </w:rPr>
        <w:t> </w:t>
      </w:r>
    </w:p>
    <w:p w14:paraId="08DF20BF" w14:textId="4DACC06F" w:rsidR="00B97C31" w:rsidRPr="005A030C" w:rsidRDefault="00B97C31" w:rsidP="00B97C31">
      <w:pPr>
        <w:spacing w:before="120" w:after="120"/>
        <w:textAlignment w:val="baseline"/>
        <w:rPr>
          <w:sz w:val="18"/>
          <w:szCs w:val="18"/>
          <w:lang w:val="fr-CA" w:eastAsia="zh-CN"/>
        </w:rPr>
      </w:pPr>
      <w:r w:rsidRPr="005A030C">
        <w:rPr>
          <w:szCs w:val="22"/>
          <w:lang w:val="fr-CA" w:eastAsia="zh-CN"/>
        </w:rPr>
        <w:t>Ce regroupement plus général des options reconnaît l’obligation de partager les avantages de l’utilisation</w:t>
      </w:r>
      <w:r>
        <w:rPr>
          <w:szCs w:val="22"/>
          <w:lang w:val="fr-CA" w:eastAsia="zh-CN"/>
        </w:rPr>
        <w:t>, mai</w:t>
      </w:r>
      <w:r w:rsidRPr="005A030C">
        <w:rPr>
          <w:szCs w:val="22"/>
          <w:lang w:val="fr-CA" w:eastAsia="zh-CN"/>
        </w:rPr>
        <w:t>s d’</w:t>
      </w:r>
      <w:r>
        <w:rPr>
          <w:szCs w:val="22"/>
          <w:lang w:val="fr-CA" w:eastAsia="zh-CN"/>
        </w:rPr>
        <w:t>une manière non reliée à l’a</w:t>
      </w:r>
      <w:r w:rsidRPr="005A030C">
        <w:rPr>
          <w:szCs w:val="22"/>
          <w:lang w:val="fr-CA" w:eastAsia="zh-CN"/>
        </w:rPr>
        <w:t>ccès à l’ISN même (il n’y a pas de CPDCC). L’obligation de partager les avantages peut être déclenchée par des repères établis le long de la chaîne de valeur. L’accès n’est pas restreint, mais l’obligation de partager les avantages est déterminé</w:t>
      </w:r>
      <w:r>
        <w:rPr>
          <w:szCs w:val="22"/>
          <w:lang w:val="fr-CA" w:eastAsia="zh-CN"/>
        </w:rPr>
        <w:t>e</w:t>
      </w:r>
      <w:r w:rsidRPr="005A030C">
        <w:rPr>
          <w:szCs w:val="22"/>
          <w:lang w:val="fr-CA" w:eastAsia="zh-CN"/>
        </w:rPr>
        <w:t xml:space="preserve"> par des CCCA, une licence, un </w:t>
      </w:r>
      <w:r w:rsidR="00AF4D49">
        <w:rPr>
          <w:szCs w:val="22"/>
          <w:lang w:val="fr-CA" w:eastAsia="zh-CN"/>
        </w:rPr>
        <w:t xml:space="preserve">accord type de transfert multilatéral </w:t>
      </w:r>
      <w:r w:rsidRPr="005A030C">
        <w:rPr>
          <w:szCs w:val="22"/>
          <w:lang w:val="fr-CA" w:eastAsia="zh-CN"/>
        </w:rPr>
        <w:t>ou des conditions standards. La standardisation des CCCA sous-entend qu’il n’est pas nécessaire de négocier chaque contrat d’utilisation de l’</w:t>
      </w:r>
      <w:r>
        <w:rPr>
          <w:szCs w:val="22"/>
          <w:lang w:val="fr-CA" w:eastAsia="zh-CN"/>
        </w:rPr>
        <w:t>I</w:t>
      </w:r>
      <w:r w:rsidRPr="005A030C">
        <w:rPr>
          <w:szCs w:val="22"/>
          <w:lang w:val="fr-CA" w:eastAsia="zh-CN"/>
        </w:rPr>
        <w:t xml:space="preserve">SN, mais plutôt un contrat ou un </w:t>
      </w:r>
      <w:r>
        <w:rPr>
          <w:szCs w:val="22"/>
          <w:lang w:val="fr-CA" w:eastAsia="zh-CN"/>
        </w:rPr>
        <w:t xml:space="preserve">petit </w:t>
      </w:r>
      <w:r w:rsidRPr="005A030C">
        <w:rPr>
          <w:szCs w:val="22"/>
          <w:lang w:val="fr-CA" w:eastAsia="zh-CN"/>
        </w:rPr>
        <w:lastRenderedPageBreak/>
        <w:t xml:space="preserve">nombre de contrats standards. Cette catégorie d’options </w:t>
      </w:r>
      <w:r>
        <w:rPr>
          <w:szCs w:val="22"/>
          <w:lang w:val="fr-CA" w:eastAsia="zh-CN"/>
        </w:rPr>
        <w:t>stratégiques</w:t>
      </w:r>
      <w:r w:rsidRPr="005A030C">
        <w:rPr>
          <w:szCs w:val="22"/>
          <w:lang w:val="fr-CA" w:eastAsia="zh-CN"/>
        </w:rPr>
        <w:t xml:space="preserve"> exige une surveillance en aval de l’utilisation de l’ISN aux fins d’application et de suivi.</w:t>
      </w:r>
      <w:r>
        <w:rPr>
          <w:szCs w:val="22"/>
          <w:lang w:val="fr-CA" w:eastAsia="zh-CN"/>
        </w:rPr>
        <w:t xml:space="preserve"> </w:t>
      </w:r>
      <w:r w:rsidRPr="005A030C">
        <w:rPr>
          <w:szCs w:val="22"/>
          <w:lang w:val="fr-CA" w:eastAsia="zh-CN"/>
        </w:rPr>
        <w:t>La différence entre les scénarios se trouve dans la façon de traiter les CCCA, c’est-à-dire au niveau national ou international.</w:t>
      </w:r>
    </w:p>
    <w:p w14:paraId="72F7F615" w14:textId="77777777" w:rsidR="00B97C31" w:rsidRPr="005A030C" w:rsidRDefault="00B97C31" w:rsidP="00B97C31">
      <w:pPr>
        <w:spacing w:before="120" w:after="120"/>
        <w:jc w:val="left"/>
        <w:textAlignment w:val="baseline"/>
        <w:rPr>
          <w:sz w:val="18"/>
          <w:szCs w:val="18"/>
          <w:lang w:val="fr-CA" w:eastAsia="zh-CN"/>
        </w:rPr>
      </w:pPr>
      <w:r w:rsidRPr="005A030C">
        <w:rPr>
          <w:b/>
          <w:bCs/>
          <w:szCs w:val="22"/>
          <w:lang w:val="fr-CA" w:eastAsia="zh-CN"/>
        </w:rPr>
        <w:t>Option 2.1 : Chaque pays possède des CCCA ou une licence standard</w:t>
      </w:r>
      <w:r w:rsidRPr="005A030C">
        <w:rPr>
          <w:szCs w:val="22"/>
          <w:lang w:val="fr-CA" w:eastAsia="zh-CN"/>
        </w:rPr>
        <w:t> </w:t>
      </w:r>
    </w:p>
    <w:p w14:paraId="2DA87466" w14:textId="1603AEBF" w:rsidR="00B97C31" w:rsidRPr="005A030C" w:rsidRDefault="00B97C31" w:rsidP="00B97C31">
      <w:pPr>
        <w:spacing w:before="120" w:after="120"/>
        <w:textAlignment w:val="baseline"/>
        <w:rPr>
          <w:sz w:val="18"/>
          <w:szCs w:val="18"/>
          <w:lang w:val="fr-CA" w:eastAsia="zh-CN"/>
        </w:rPr>
      </w:pPr>
      <w:r w:rsidRPr="005A030C">
        <w:rPr>
          <w:szCs w:val="22"/>
          <w:lang w:val="fr-CA" w:eastAsia="zh-CN"/>
        </w:rPr>
        <w:t xml:space="preserve">Dans ce scénario, chaque Partie met en place un cadre comprenant une série de CCCA ou </w:t>
      </w:r>
      <w:proofErr w:type="gramStart"/>
      <w:r w:rsidRPr="005A030C">
        <w:rPr>
          <w:szCs w:val="22"/>
          <w:lang w:val="fr-CA" w:eastAsia="zh-CN"/>
        </w:rPr>
        <w:t>une licence standard</w:t>
      </w:r>
      <w:r>
        <w:rPr>
          <w:szCs w:val="22"/>
          <w:lang w:val="fr-CA" w:eastAsia="zh-CN"/>
        </w:rPr>
        <w:t>s</w:t>
      </w:r>
      <w:proofErr w:type="gramEnd"/>
      <w:r w:rsidRPr="005A030C">
        <w:rPr>
          <w:szCs w:val="22"/>
          <w:lang w:val="fr-CA" w:eastAsia="zh-CN"/>
        </w:rPr>
        <w:t xml:space="preserve"> </w:t>
      </w:r>
      <w:r w:rsidR="00C00612">
        <w:rPr>
          <w:szCs w:val="22"/>
          <w:lang w:val="fr-CA" w:eastAsia="zh-CN"/>
        </w:rPr>
        <w:t>que</w:t>
      </w:r>
      <w:r w:rsidRPr="005A030C">
        <w:rPr>
          <w:szCs w:val="22"/>
          <w:lang w:val="fr-CA" w:eastAsia="zh-CN"/>
        </w:rPr>
        <w:t xml:space="preserve"> les utilisateurs </w:t>
      </w:r>
      <w:r w:rsidR="00C00612">
        <w:rPr>
          <w:szCs w:val="22"/>
          <w:lang w:val="fr-CA" w:eastAsia="zh-CN"/>
        </w:rPr>
        <w:t>doivent respecter au</w:t>
      </w:r>
      <w:r w:rsidRPr="005A030C">
        <w:rPr>
          <w:szCs w:val="22"/>
          <w:lang w:val="fr-CA" w:eastAsia="zh-CN"/>
        </w:rPr>
        <w:t xml:space="preserve"> point prédéterminé qui déclenche l’obligation de partage des avantages. Le cadre est assujetti aux lois intérieures du pays. Le déclenchement peut survenir à la commercialisation, à titre d’exemple, et les avantages seraient partagés bilatéralement. Cela ressemble à l’approche adoptée par les mesures d’APA au Brésil, en vertu desquelles le partage des avantages est communiqué au moment de l’enregistrement d’un modèle et commence après la commercialisation réussie d’un produit développé ou </w:t>
      </w:r>
      <w:r>
        <w:rPr>
          <w:szCs w:val="22"/>
          <w:lang w:val="fr-CA" w:eastAsia="zh-CN"/>
        </w:rPr>
        <w:t>fabriqué</w:t>
      </w:r>
      <w:r w:rsidRPr="005A030C">
        <w:rPr>
          <w:szCs w:val="22"/>
          <w:lang w:val="fr-CA" w:eastAsia="zh-CN"/>
        </w:rPr>
        <w:t xml:space="preserve"> à partir de l’ISN. Les chercheurs doivent respecter le cadre national et retracer l’ISN jusqu’au pays d’origine de la ressource génétique. Un chercheur qui utilise plusieurs ISN provenant de différents pays doit respecter un certain nombre de CCCA ou </w:t>
      </w:r>
      <w:r>
        <w:rPr>
          <w:szCs w:val="22"/>
          <w:lang w:val="fr-CA" w:eastAsia="zh-CN"/>
        </w:rPr>
        <w:t xml:space="preserve">de </w:t>
      </w:r>
      <w:r w:rsidRPr="005A030C">
        <w:rPr>
          <w:szCs w:val="22"/>
          <w:lang w:val="fr-CA" w:eastAsia="zh-CN"/>
        </w:rPr>
        <w:t>licences, selon les CCCA ou les licences standards déterminées par le pays pour leur ISN.  </w:t>
      </w:r>
    </w:p>
    <w:p w14:paraId="32862EC5" w14:textId="77777777" w:rsidR="00B97C31" w:rsidRPr="005A030C" w:rsidRDefault="00B97C31" w:rsidP="00B97C31">
      <w:pPr>
        <w:spacing w:before="120" w:after="120"/>
        <w:textAlignment w:val="baseline"/>
        <w:rPr>
          <w:sz w:val="18"/>
          <w:szCs w:val="18"/>
          <w:lang w:val="fr-CA" w:eastAsia="zh-CN"/>
        </w:rPr>
      </w:pPr>
      <w:r w:rsidRPr="005A030C">
        <w:rPr>
          <w:i/>
          <w:iCs/>
          <w:szCs w:val="22"/>
          <w:lang w:val="fr-CA" w:eastAsia="zh-CN"/>
        </w:rPr>
        <w:t>Remarque :</w:t>
      </w:r>
      <w:r w:rsidRPr="005A030C">
        <w:rPr>
          <w:szCs w:val="22"/>
          <w:lang w:val="fr-CA" w:eastAsia="zh-CN"/>
        </w:rPr>
        <w:t> L’adoption d’un cadre normalisé pour tous les pays qui simplifierait la conformité est une variante de ce scénario. Tous les pays auraient le même cadre en place pour l’ISN, qui serait quand même assujettie au cadre d’APA du pays concerné. </w:t>
      </w:r>
    </w:p>
    <w:p w14:paraId="60BCFA81" w14:textId="77777777" w:rsidR="00B97C31" w:rsidRPr="005A030C" w:rsidRDefault="00B97C31" w:rsidP="00B97C31">
      <w:pPr>
        <w:spacing w:before="120" w:after="120"/>
        <w:jc w:val="left"/>
        <w:textAlignment w:val="baseline"/>
        <w:rPr>
          <w:sz w:val="18"/>
          <w:szCs w:val="18"/>
          <w:lang w:val="fr-CA" w:eastAsia="zh-CN"/>
        </w:rPr>
      </w:pPr>
      <w:r w:rsidRPr="005A030C">
        <w:rPr>
          <w:b/>
          <w:bCs/>
          <w:szCs w:val="22"/>
          <w:lang w:val="fr-CA" w:eastAsia="zh-CN"/>
        </w:rPr>
        <w:t xml:space="preserve">Option 2.2 : CCCA ou </w:t>
      </w:r>
      <w:proofErr w:type="gramStart"/>
      <w:r w:rsidRPr="005A030C">
        <w:rPr>
          <w:b/>
          <w:bCs/>
          <w:szCs w:val="22"/>
          <w:lang w:val="fr-CA" w:eastAsia="zh-CN"/>
        </w:rPr>
        <w:t>licence internationales</w:t>
      </w:r>
      <w:proofErr w:type="gramEnd"/>
      <w:r w:rsidRPr="005A030C">
        <w:rPr>
          <w:szCs w:val="22"/>
          <w:lang w:val="fr-CA" w:eastAsia="zh-CN"/>
        </w:rPr>
        <w:t> </w:t>
      </w:r>
    </w:p>
    <w:p w14:paraId="4CE316E1"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Ce scénario aborde le partage des avantages au niveau international au lieu d’être assujetti au cadre national des différents pays, comme dans le scénario 2.1. Une ou plusieurs licences standards sont convenues et les conditions varient selon la licence rattachée à l’ISN. Les avantages de l’utilisation de l’ISN sont traités en vertu d’un cadre national qui les redirige vers le pays d’origine de la ressource génétique. Le chercheur ou l’utilisateur n’a donc pas à faire des démarches auprès des différents pays. </w:t>
      </w:r>
    </w:p>
    <w:p w14:paraId="3EF1A4C8"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Ce scénario offre la possibilité d’intégrer les licences dans la base de données des ISN et les conditions sont communiquées à l’utilisateur au moment de l’accès (</w:t>
      </w:r>
      <w:r>
        <w:rPr>
          <w:szCs w:val="22"/>
          <w:lang w:val="fr-CA" w:eastAsia="zh-CN"/>
        </w:rPr>
        <w:t xml:space="preserve">p. ex., </w:t>
      </w:r>
      <w:r w:rsidRPr="005A030C">
        <w:rPr>
          <w:szCs w:val="22"/>
          <w:lang w:val="fr-CA" w:eastAsia="zh-CN"/>
        </w:rPr>
        <w:t>les obligations concernant l’utilisation co</w:t>
      </w:r>
      <w:r>
        <w:rPr>
          <w:szCs w:val="22"/>
          <w:lang w:val="fr-CA" w:eastAsia="zh-CN"/>
        </w:rPr>
        <w:t>mmerciale et non commerciale d’une ISN particul</w:t>
      </w:r>
      <w:r w:rsidRPr="005A030C">
        <w:rPr>
          <w:szCs w:val="22"/>
          <w:lang w:val="fr-CA" w:eastAsia="zh-CN"/>
        </w:rPr>
        <w:t>ière). Ou encore, les conditions et les licences pourraient être intégrées au cadre de propriété intellectuelle (</w:t>
      </w:r>
      <w:r>
        <w:rPr>
          <w:szCs w:val="22"/>
          <w:lang w:val="fr-CA" w:eastAsia="zh-CN"/>
        </w:rPr>
        <w:t xml:space="preserve">p. ex., </w:t>
      </w:r>
      <w:r w:rsidRPr="005A030C">
        <w:rPr>
          <w:szCs w:val="22"/>
          <w:lang w:val="fr-CA" w:eastAsia="zh-CN"/>
        </w:rPr>
        <w:t xml:space="preserve">lors de la demande d’obtenir la protection de la propriété intellectuelle, </w:t>
      </w:r>
      <w:r>
        <w:rPr>
          <w:szCs w:val="22"/>
          <w:lang w:val="fr-CA" w:eastAsia="zh-CN"/>
        </w:rPr>
        <w:t>en vertu</w:t>
      </w:r>
      <w:r w:rsidRPr="005A030C">
        <w:rPr>
          <w:szCs w:val="22"/>
          <w:lang w:val="fr-CA" w:eastAsia="zh-CN"/>
        </w:rPr>
        <w:t xml:space="preserve"> d’une obligation de divulgation de l’utilisation</w:t>
      </w:r>
      <w:r>
        <w:rPr>
          <w:szCs w:val="22"/>
          <w:lang w:val="fr-CA" w:eastAsia="zh-CN"/>
        </w:rPr>
        <w:t xml:space="preserve"> de l’ISN</w:t>
      </w:r>
      <w:r w:rsidRPr="005A030C">
        <w:rPr>
          <w:szCs w:val="22"/>
          <w:lang w:val="fr-CA" w:eastAsia="zh-CN"/>
        </w:rPr>
        <w:t>).</w:t>
      </w:r>
      <w:r>
        <w:rPr>
          <w:szCs w:val="22"/>
          <w:lang w:val="fr-CA" w:eastAsia="zh-CN"/>
        </w:rPr>
        <w:t xml:space="preserve"> Ce scénario est examiné dans un</w:t>
      </w:r>
      <w:r w:rsidRPr="005A030C">
        <w:rPr>
          <w:szCs w:val="22"/>
          <w:lang w:val="fr-CA" w:eastAsia="zh-CN"/>
        </w:rPr>
        <w:t xml:space="preserve"> contexte de « liberté encadrée à l’égard des ressources naturelles », </w:t>
      </w:r>
      <w:r>
        <w:rPr>
          <w:szCs w:val="22"/>
          <w:lang w:val="fr-CA" w:eastAsia="zh-CN"/>
        </w:rPr>
        <w:t>où</w:t>
      </w:r>
      <w:r w:rsidRPr="005A030C">
        <w:rPr>
          <w:szCs w:val="22"/>
          <w:lang w:val="fr-CA" w:eastAsia="zh-CN"/>
        </w:rPr>
        <w:t xml:space="preserve"> les avantages consistent en des redevances négociées à l’avance sur la commercialisation réussie du produit.  </w:t>
      </w:r>
    </w:p>
    <w:p w14:paraId="574B6DD6"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 xml:space="preserve">La collaboration avec les publications, les bureaux de brevets, les bases de données et tout autre point le long de la chaîne de valeur de l’ISN aidera à </w:t>
      </w:r>
      <w:r>
        <w:rPr>
          <w:szCs w:val="22"/>
          <w:lang w:val="fr-CA" w:eastAsia="zh-CN"/>
        </w:rPr>
        <w:t>garantir le respect de</w:t>
      </w:r>
      <w:r w:rsidRPr="005A030C">
        <w:rPr>
          <w:szCs w:val="22"/>
          <w:lang w:val="fr-CA" w:eastAsia="zh-CN"/>
        </w:rPr>
        <w:t xml:space="preserve"> </w:t>
      </w:r>
      <w:r>
        <w:rPr>
          <w:szCs w:val="22"/>
          <w:lang w:val="fr-CA" w:eastAsia="zh-CN"/>
        </w:rPr>
        <w:t>l’obligation de</w:t>
      </w:r>
      <w:r w:rsidRPr="005A030C">
        <w:rPr>
          <w:szCs w:val="22"/>
          <w:lang w:val="fr-CA" w:eastAsia="zh-CN"/>
        </w:rPr>
        <w:t xml:space="preserve"> déclaration au fournisseur de l’ISN. Le cas échéant, il incombe à l’utilisateur se respecter les conditions des licences</w:t>
      </w:r>
      <w:r>
        <w:rPr>
          <w:szCs w:val="22"/>
          <w:lang w:val="fr-CA" w:eastAsia="zh-CN"/>
        </w:rPr>
        <w:t>,</w:t>
      </w:r>
      <w:r w:rsidRPr="005A030C">
        <w:rPr>
          <w:szCs w:val="22"/>
          <w:lang w:val="fr-CA" w:eastAsia="zh-CN"/>
        </w:rPr>
        <w:t xml:space="preserve"> et un mécanisme de surveillance ou de repérage en aval de l’utilisation contribuera à assurer l’application des mesures d’APA.  </w:t>
      </w:r>
    </w:p>
    <w:p w14:paraId="03C19B23" w14:textId="77777777" w:rsidR="00B97C31" w:rsidRPr="005A030C" w:rsidRDefault="00B97C31" w:rsidP="00B97C31">
      <w:pPr>
        <w:spacing w:before="240" w:after="120"/>
        <w:jc w:val="left"/>
        <w:textAlignment w:val="baseline"/>
        <w:rPr>
          <w:sz w:val="18"/>
          <w:szCs w:val="18"/>
          <w:lang w:val="fr-CA" w:eastAsia="zh-CN"/>
        </w:rPr>
      </w:pPr>
      <w:r w:rsidRPr="005A030C">
        <w:rPr>
          <w:b/>
          <w:bCs/>
          <w:szCs w:val="22"/>
          <w:lang w:val="fr-CA" w:eastAsia="zh-CN"/>
        </w:rPr>
        <w:t>Option 3 : Pas de CPDCC, pas de CCCA</w:t>
      </w:r>
      <w:r w:rsidRPr="005A030C">
        <w:rPr>
          <w:szCs w:val="22"/>
          <w:lang w:val="fr-CA" w:eastAsia="zh-CN"/>
        </w:rPr>
        <w:t> </w:t>
      </w:r>
    </w:p>
    <w:p w14:paraId="356952E0" w14:textId="6463A9DD" w:rsidR="00B97C31" w:rsidRPr="005A030C" w:rsidRDefault="00B97C31" w:rsidP="00B97C31">
      <w:pPr>
        <w:spacing w:before="120" w:after="120"/>
        <w:textAlignment w:val="baseline"/>
        <w:rPr>
          <w:sz w:val="18"/>
          <w:szCs w:val="18"/>
          <w:lang w:val="fr-CA" w:eastAsia="zh-CN"/>
        </w:rPr>
      </w:pPr>
      <w:r w:rsidRPr="005A030C">
        <w:rPr>
          <w:szCs w:val="22"/>
          <w:lang w:val="fr-CA" w:eastAsia="zh-CN"/>
        </w:rPr>
        <w:t xml:space="preserve">Ce regroupement général des options </w:t>
      </w:r>
      <w:r>
        <w:rPr>
          <w:szCs w:val="22"/>
          <w:lang w:val="fr-CA" w:eastAsia="zh-CN"/>
        </w:rPr>
        <w:t>repose sur</w:t>
      </w:r>
      <w:r w:rsidRPr="005A030C">
        <w:rPr>
          <w:szCs w:val="22"/>
          <w:lang w:val="fr-CA" w:eastAsia="zh-CN"/>
        </w:rPr>
        <w:t xml:space="preserve"> un paiement ou </w:t>
      </w:r>
      <w:proofErr w:type="gramStart"/>
      <w:r w:rsidRPr="005A030C">
        <w:rPr>
          <w:szCs w:val="22"/>
          <w:lang w:val="fr-CA" w:eastAsia="zh-CN"/>
        </w:rPr>
        <w:t>une contribution versé</w:t>
      </w:r>
      <w:proofErr w:type="gramEnd"/>
      <w:r w:rsidRPr="005A030C">
        <w:rPr>
          <w:szCs w:val="22"/>
          <w:lang w:val="fr-CA" w:eastAsia="zh-CN"/>
        </w:rPr>
        <w:t xml:space="preserve"> </w:t>
      </w:r>
      <w:r>
        <w:rPr>
          <w:szCs w:val="22"/>
          <w:lang w:val="fr-CA" w:eastAsia="zh-CN"/>
        </w:rPr>
        <w:t xml:space="preserve">à </w:t>
      </w:r>
      <w:r w:rsidRPr="005A030C">
        <w:rPr>
          <w:szCs w:val="22"/>
          <w:lang w:val="fr-CA" w:eastAsia="zh-CN"/>
        </w:rPr>
        <w:t>un fonds multilatéral.</w:t>
      </w:r>
      <w:r>
        <w:rPr>
          <w:szCs w:val="22"/>
          <w:lang w:val="fr-CA" w:eastAsia="zh-CN"/>
        </w:rPr>
        <w:t xml:space="preserve"> </w:t>
      </w:r>
      <w:r w:rsidRPr="005A030C">
        <w:rPr>
          <w:szCs w:val="22"/>
          <w:lang w:val="fr-CA" w:eastAsia="zh-CN"/>
        </w:rPr>
        <w:t xml:space="preserve">Il évite la nécessité de retracer l’origine de la ressource génétique </w:t>
      </w:r>
      <w:r w:rsidR="00C00612">
        <w:rPr>
          <w:szCs w:val="22"/>
          <w:lang w:val="fr-CA" w:eastAsia="zh-CN"/>
        </w:rPr>
        <w:t xml:space="preserve">de laquelle </w:t>
      </w:r>
      <w:r w:rsidRPr="005A030C">
        <w:rPr>
          <w:szCs w:val="22"/>
          <w:lang w:val="fr-CA" w:eastAsia="zh-CN"/>
        </w:rPr>
        <w:t>l’ISN</w:t>
      </w:r>
      <w:r w:rsidR="00C00612">
        <w:rPr>
          <w:szCs w:val="22"/>
          <w:lang w:val="fr-CA" w:eastAsia="zh-CN"/>
        </w:rPr>
        <w:t xml:space="preserve"> a été extraite</w:t>
      </w:r>
      <w:r w:rsidRPr="005A030C">
        <w:rPr>
          <w:szCs w:val="22"/>
          <w:lang w:val="fr-CA" w:eastAsia="zh-CN"/>
        </w:rPr>
        <w:t xml:space="preserve">, ou le besoin de suivre l’utilisation en aval du produit ou service dérivé de l’ISN. Cette option </w:t>
      </w:r>
      <w:r>
        <w:rPr>
          <w:szCs w:val="22"/>
          <w:lang w:val="fr-CA" w:eastAsia="zh-CN"/>
        </w:rPr>
        <w:t>prévoit</w:t>
      </w:r>
      <w:r w:rsidRPr="005A030C">
        <w:rPr>
          <w:szCs w:val="22"/>
          <w:lang w:val="fr-CA" w:eastAsia="zh-CN"/>
        </w:rPr>
        <w:t xml:space="preserve"> différentes formes de paiement et de contribution. La première sous-option est liée à </w:t>
      </w:r>
      <w:r w:rsidR="00C00612">
        <w:rPr>
          <w:szCs w:val="22"/>
          <w:lang w:val="fr-CA" w:eastAsia="zh-CN"/>
        </w:rPr>
        <w:t>l’ISN</w:t>
      </w:r>
      <w:r w:rsidRPr="005A030C">
        <w:rPr>
          <w:szCs w:val="22"/>
          <w:lang w:val="fr-CA" w:eastAsia="zh-CN"/>
        </w:rPr>
        <w:t xml:space="preserve"> comme telle et la deuxième sous-option est indépendante de l’information même. </w:t>
      </w:r>
    </w:p>
    <w:p w14:paraId="249D27F4" w14:textId="77777777" w:rsidR="00B97C31" w:rsidRPr="005A030C" w:rsidRDefault="00B97C31" w:rsidP="00B97C31">
      <w:pPr>
        <w:spacing w:before="120" w:after="120"/>
        <w:jc w:val="left"/>
        <w:textAlignment w:val="baseline"/>
        <w:rPr>
          <w:sz w:val="18"/>
          <w:szCs w:val="18"/>
          <w:lang w:val="fr-CA" w:eastAsia="zh-CN"/>
        </w:rPr>
      </w:pPr>
      <w:r w:rsidRPr="005A030C">
        <w:rPr>
          <w:b/>
          <w:bCs/>
          <w:szCs w:val="22"/>
          <w:lang w:val="fr-CA" w:eastAsia="zh-CN"/>
        </w:rPr>
        <w:t>Option 3.1 : Paiement pour l’accès à l’ISN</w:t>
      </w:r>
      <w:r w:rsidRPr="005A030C">
        <w:rPr>
          <w:szCs w:val="22"/>
          <w:lang w:val="fr-CA" w:eastAsia="zh-CN"/>
        </w:rPr>
        <w:t> </w:t>
      </w:r>
    </w:p>
    <w:p w14:paraId="3C12878B"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Le principe de paiement pour l’accès à la séquence même est au cœur de cette option et peut être organisé de différentes façons, notamment en versant une cotisation pour accéder à l’ISN dans une base de données. Le prix peut être fixé en fonction de crit</w:t>
      </w:r>
      <w:r>
        <w:rPr>
          <w:szCs w:val="22"/>
          <w:lang w:val="fr-CA" w:eastAsia="zh-CN"/>
        </w:rPr>
        <w:t>ères négociés à l’avance, tel</w:t>
      </w:r>
      <w:r w:rsidRPr="005A030C">
        <w:rPr>
          <w:szCs w:val="22"/>
          <w:lang w:val="fr-CA" w:eastAsia="zh-CN"/>
        </w:rPr>
        <w:t>s que, sans s’y limiter, l’application de la recherch</w:t>
      </w:r>
      <w:r>
        <w:rPr>
          <w:szCs w:val="22"/>
          <w:lang w:val="fr-CA" w:eastAsia="zh-CN"/>
        </w:rPr>
        <w:t>e</w:t>
      </w:r>
      <w:r w:rsidRPr="005A030C">
        <w:rPr>
          <w:szCs w:val="22"/>
          <w:lang w:val="fr-CA" w:eastAsia="zh-CN"/>
        </w:rPr>
        <w:t>, le secteur de recherch</w:t>
      </w:r>
      <w:r>
        <w:rPr>
          <w:szCs w:val="22"/>
          <w:lang w:val="fr-CA" w:eastAsia="zh-CN"/>
        </w:rPr>
        <w:t>e</w:t>
      </w:r>
      <w:r w:rsidRPr="005A030C">
        <w:rPr>
          <w:szCs w:val="22"/>
          <w:lang w:val="fr-CA" w:eastAsia="zh-CN"/>
        </w:rPr>
        <w:t>, le revenu ou un tarif annuel fixe.  </w:t>
      </w:r>
    </w:p>
    <w:p w14:paraId="2DE6B969" w14:textId="04D4A23C" w:rsidR="00B97C31" w:rsidRPr="005A030C" w:rsidRDefault="00B97C31" w:rsidP="00B97C31">
      <w:pPr>
        <w:spacing w:before="120" w:after="120"/>
        <w:textAlignment w:val="baseline"/>
        <w:rPr>
          <w:sz w:val="18"/>
          <w:szCs w:val="18"/>
          <w:lang w:val="fr-CA" w:eastAsia="zh-CN"/>
        </w:rPr>
      </w:pPr>
      <w:r w:rsidRPr="005A030C">
        <w:rPr>
          <w:szCs w:val="22"/>
          <w:lang w:val="fr-CA" w:eastAsia="zh-CN"/>
        </w:rPr>
        <w:lastRenderedPageBreak/>
        <w:t xml:space="preserve">Il est aussi possible de demander un </w:t>
      </w:r>
      <w:r>
        <w:rPr>
          <w:szCs w:val="22"/>
          <w:lang w:val="fr-CA" w:eastAsia="zh-CN"/>
        </w:rPr>
        <w:t xml:space="preserve">très </w:t>
      </w:r>
      <w:r w:rsidRPr="005A030C">
        <w:rPr>
          <w:szCs w:val="22"/>
          <w:lang w:val="fr-CA" w:eastAsia="zh-CN"/>
        </w:rPr>
        <w:t xml:space="preserve">petit paiement pour l’accès aux différentes ISN dans la base de données. </w:t>
      </w:r>
      <w:r w:rsidR="006D2295">
        <w:rPr>
          <w:szCs w:val="22"/>
          <w:lang w:val="fr-CA" w:eastAsia="zh-CN"/>
        </w:rPr>
        <w:t>Un compte est créé et des frais prédéterminés sont imputés au compte pour chaque séquence téléchargée</w:t>
      </w:r>
      <w:r w:rsidRPr="005A030C">
        <w:rPr>
          <w:szCs w:val="22"/>
          <w:lang w:val="fr-CA" w:eastAsia="zh-CN"/>
        </w:rPr>
        <w:t>.  </w:t>
      </w:r>
    </w:p>
    <w:p w14:paraId="0763C9CA" w14:textId="77777777" w:rsidR="00B97C31" w:rsidRPr="005A030C" w:rsidRDefault="00B97C31" w:rsidP="00B97C31">
      <w:pPr>
        <w:spacing w:before="120" w:after="120"/>
        <w:textAlignment w:val="baseline"/>
        <w:rPr>
          <w:szCs w:val="22"/>
          <w:lang w:val="fr-CA" w:eastAsia="zh-CN"/>
        </w:rPr>
      </w:pPr>
      <w:r w:rsidRPr="005A030C">
        <w:rPr>
          <w:szCs w:val="22"/>
          <w:lang w:val="fr-CA" w:eastAsia="zh-CN"/>
        </w:rPr>
        <w:t xml:space="preserve">En dernier lieu, </w:t>
      </w:r>
      <w:r>
        <w:rPr>
          <w:szCs w:val="22"/>
          <w:lang w:val="fr-CA" w:eastAsia="zh-CN"/>
        </w:rPr>
        <w:t xml:space="preserve">l’arrangement pourrait accorder </w:t>
      </w:r>
      <w:r w:rsidRPr="005A030C">
        <w:rPr>
          <w:szCs w:val="22"/>
          <w:lang w:val="fr-CA" w:eastAsia="zh-CN"/>
        </w:rPr>
        <w:t xml:space="preserve">le libre accès à la séquence même, </w:t>
      </w:r>
      <w:r>
        <w:rPr>
          <w:szCs w:val="22"/>
          <w:lang w:val="fr-CA" w:eastAsia="zh-CN"/>
        </w:rPr>
        <w:t xml:space="preserve">ainsi qu’à certaines données minimales </w:t>
      </w:r>
      <w:r w:rsidRPr="005A030C">
        <w:rPr>
          <w:szCs w:val="22"/>
          <w:lang w:val="fr-CA" w:eastAsia="zh-CN"/>
        </w:rPr>
        <w:t>entourant</w:t>
      </w:r>
      <w:r>
        <w:rPr>
          <w:szCs w:val="22"/>
          <w:lang w:val="fr-CA" w:eastAsia="zh-CN"/>
        </w:rPr>
        <w:t xml:space="preserve"> la séquence</w:t>
      </w:r>
      <w:r w:rsidRPr="005A030C">
        <w:rPr>
          <w:szCs w:val="22"/>
          <w:lang w:val="fr-CA" w:eastAsia="zh-CN"/>
        </w:rPr>
        <w:t>, telles que le nom de l’espèce, mais exige</w:t>
      </w:r>
      <w:r>
        <w:rPr>
          <w:szCs w:val="22"/>
          <w:lang w:val="fr-CA" w:eastAsia="zh-CN"/>
        </w:rPr>
        <w:t>rait le paiement de frais pour les d</w:t>
      </w:r>
      <w:r w:rsidRPr="005A030C">
        <w:rPr>
          <w:szCs w:val="22"/>
          <w:lang w:val="fr-CA" w:eastAsia="zh-CN"/>
        </w:rPr>
        <w:t xml:space="preserve">onnées </w:t>
      </w:r>
      <w:r>
        <w:rPr>
          <w:szCs w:val="22"/>
          <w:lang w:val="fr-CA" w:eastAsia="zh-CN"/>
        </w:rPr>
        <w:t>associées</w:t>
      </w:r>
      <w:r w:rsidRPr="005A030C">
        <w:rPr>
          <w:szCs w:val="22"/>
          <w:lang w:val="fr-CA" w:eastAsia="zh-CN"/>
        </w:rPr>
        <w:t xml:space="preserve"> découlant de l’analyse et du traitement des données, telles que la fonction de la protéine ou le g</w:t>
      </w:r>
      <w:r>
        <w:rPr>
          <w:szCs w:val="22"/>
          <w:lang w:val="fr-CA" w:eastAsia="zh-CN"/>
        </w:rPr>
        <w:t>è</w:t>
      </w:r>
      <w:r w:rsidRPr="005A030C">
        <w:rPr>
          <w:szCs w:val="22"/>
          <w:lang w:val="fr-CA" w:eastAsia="zh-CN"/>
        </w:rPr>
        <w:t xml:space="preserve">ne associé, car les données </w:t>
      </w:r>
      <w:r>
        <w:rPr>
          <w:szCs w:val="22"/>
          <w:lang w:val="fr-CA" w:eastAsia="zh-CN"/>
        </w:rPr>
        <w:t>associées</w:t>
      </w:r>
      <w:r w:rsidRPr="005A030C">
        <w:rPr>
          <w:szCs w:val="22"/>
          <w:lang w:val="fr-CA" w:eastAsia="zh-CN"/>
        </w:rPr>
        <w:t xml:space="preserve"> sont valables pour la recherche et le développement. À l’heure actuelle, la base de données </w:t>
      </w:r>
      <w:proofErr w:type="spellStart"/>
      <w:r w:rsidRPr="005A030C">
        <w:rPr>
          <w:szCs w:val="22"/>
          <w:lang w:val="fr-CA" w:eastAsia="zh-CN"/>
        </w:rPr>
        <w:t>BioSample</w:t>
      </w:r>
      <w:proofErr w:type="spellEnd"/>
      <w:r w:rsidRPr="005A030C">
        <w:rPr>
          <w:szCs w:val="22"/>
          <w:lang w:val="fr-CA" w:eastAsia="zh-CN"/>
        </w:rPr>
        <w:t xml:space="preserve"> relie les données de la séquence à d’autres données associées à la séquence même ou à la ressource génétique de laquelle elles proviennent. Dans cet exemple, la base de données </w:t>
      </w:r>
      <w:proofErr w:type="spellStart"/>
      <w:r w:rsidRPr="005A030C">
        <w:rPr>
          <w:szCs w:val="22"/>
          <w:lang w:val="fr-CA" w:eastAsia="zh-CN"/>
        </w:rPr>
        <w:t>BioSample</w:t>
      </w:r>
      <w:proofErr w:type="spellEnd"/>
      <w:r w:rsidRPr="005A030C">
        <w:rPr>
          <w:szCs w:val="22"/>
          <w:lang w:val="fr-CA" w:eastAsia="zh-CN"/>
        </w:rPr>
        <w:t xml:space="preserve"> imputerait des frais d’accès.  </w:t>
      </w:r>
    </w:p>
    <w:p w14:paraId="1A40F94A" w14:textId="77777777" w:rsidR="00B97C31" w:rsidRPr="005A030C" w:rsidRDefault="00B97C31" w:rsidP="00B97C31">
      <w:pPr>
        <w:spacing w:before="120" w:after="120"/>
        <w:jc w:val="left"/>
        <w:textAlignment w:val="baseline"/>
        <w:rPr>
          <w:sz w:val="18"/>
          <w:szCs w:val="18"/>
          <w:lang w:val="fr-CA" w:eastAsia="zh-CN"/>
        </w:rPr>
      </w:pPr>
      <w:r w:rsidRPr="005A030C">
        <w:rPr>
          <w:b/>
          <w:bCs/>
          <w:szCs w:val="22"/>
          <w:lang w:val="fr-CA" w:eastAsia="zh-CN"/>
        </w:rPr>
        <w:t>Option 3.2 : Autres paiements et contributions</w:t>
      </w:r>
    </w:p>
    <w:p w14:paraId="49A85A7B"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 xml:space="preserve">La documentation propose plusieurs façons d’établir des paiements et des contributions versés </w:t>
      </w:r>
      <w:r>
        <w:rPr>
          <w:szCs w:val="22"/>
          <w:lang w:val="fr-CA" w:eastAsia="zh-CN"/>
        </w:rPr>
        <w:t>à</w:t>
      </w:r>
      <w:r w:rsidRPr="005A030C">
        <w:rPr>
          <w:szCs w:val="22"/>
          <w:lang w:val="fr-CA" w:eastAsia="zh-CN"/>
        </w:rPr>
        <w:t xml:space="preserve"> un fonds multilatéral pour le partage des avantages découlant de l’utilisation de l’ISN. Une des pro</w:t>
      </w:r>
      <w:r>
        <w:rPr>
          <w:szCs w:val="22"/>
          <w:lang w:val="fr-CA" w:eastAsia="zh-CN"/>
        </w:rPr>
        <w:t xml:space="preserve">positions prévoit le paiement pour </w:t>
      </w:r>
      <w:r w:rsidRPr="005A030C">
        <w:rPr>
          <w:szCs w:val="22"/>
          <w:lang w:val="fr-CA" w:eastAsia="zh-CN"/>
        </w:rPr>
        <w:t xml:space="preserve">un service </w:t>
      </w:r>
      <w:r>
        <w:rPr>
          <w:szCs w:val="22"/>
          <w:lang w:val="fr-CA" w:eastAsia="zh-CN"/>
        </w:rPr>
        <w:t>relié à</w:t>
      </w:r>
      <w:r w:rsidRPr="005A030C">
        <w:rPr>
          <w:szCs w:val="22"/>
          <w:lang w:val="fr-CA" w:eastAsia="zh-CN"/>
        </w:rPr>
        <w:t xml:space="preserve"> l’ISN tel que le stockage, le traitement, l’expertise et l’analyse des séquences en retour du paiement.  </w:t>
      </w:r>
    </w:p>
    <w:p w14:paraId="5AA40F47"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 xml:space="preserve">Une autre proposition impose une redevance sur les produits et services associés à l’ISN, </w:t>
      </w:r>
      <w:r>
        <w:rPr>
          <w:szCs w:val="22"/>
          <w:lang w:val="fr-CA" w:eastAsia="zh-CN"/>
        </w:rPr>
        <w:t>par exemple</w:t>
      </w:r>
      <w:r w:rsidRPr="005A030C">
        <w:rPr>
          <w:szCs w:val="22"/>
          <w:lang w:val="fr-CA" w:eastAsia="zh-CN"/>
        </w:rPr>
        <w:t xml:space="preserve"> une micro-redevance sur l’équipement de laboratoire lié à la production de l’ISN, tandis qu’une autre </w:t>
      </w:r>
      <w:r>
        <w:rPr>
          <w:szCs w:val="22"/>
          <w:lang w:val="fr-CA" w:eastAsia="zh-CN"/>
        </w:rPr>
        <w:t>l’impose</w:t>
      </w:r>
      <w:r w:rsidRPr="005A030C">
        <w:rPr>
          <w:szCs w:val="22"/>
          <w:lang w:val="fr-CA" w:eastAsia="zh-CN"/>
        </w:rPr>
        <w:t xml:space="preserve"> sur l’espace informatique en nuage pour le stockage et/ou le traitement de la séquence.  </w:t>
      </w:r>
    </w:p>
    <w:p w14:paraId="62EAF487"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 xml:space="preserve">Une autre proposition encore </w:t>
      </w:r>
      <w:r>
        <w:rPr>
          <w:szCs w:val="22"/>
          <w:lang w:val="fr-CA" w:eastAsia="zh-CN"/>
        </w:rPr>
        <w:t>suggère</w:t>
      </w:r>
      <w:r w:rsidRPr="005A030C">
        <w:rPr>
          <w:szCs w:val="22"/>
          <w:lang w:val="fr-CA" w:eastAsia="zh-CN"/>
        </w:rPr>
        <w:t xml:space="preserve"> des obligations de biodiversité</w:t>
      </w:r>
      <w:r>
        <w:rPr>
          <w:szCs w:val="22"/>
          <w:lang w:val="fr-CA" w:eastAsia="zh-CN"/>
        </w:rPr>
        <w:t xml:space="preserve">, comme ce fut fait dans un </w:t>
      </w:r>
      <w:r w:rsidRPr="005A030C">
        <w:rPr>
          <w:szCs w:val="22"/>
          <w:lang w:val="fr-CA" w:eastAsia="zh-CN"/>
        </w:rPr>
        <w:t>autre dom</w:t>
      </w:r>
      <w:r>
        <w:rPr>
          <w:szCs w:val="22"/>
          <w:lang w:val="fr-CA" w:eastAsia="zh-CN"/>
        </w:rPr>
        <w:t>aine</w:t>
      </w:r>
      <w:r w:rsidRPr="005A030C">
        <w:rPr>
          <w:szCs w:val="22"/>
          <w:lang w:val="fr-CA" w:eastAsia="zh-CN"/>
        </w:rPr>
        <w:t>, telles que l’utilisation d’images de la vie sauvage ou des obligations vertes de changements climatiques, comme source d’information pour les options d’ISN. Une autre option consiste en un programme de marketing</w:t>
      </w:r>
      <w:r>
        <w:rPr>
          <w:szCs w:val="22"/>
          <w:lang w:val="fr-CA" w:eastAsia="zh-CN"/>
        </w:rPr>
        <w:t>,</w:t>
      </w:r>
      <w:r w:rsidRPr="005A030C">
        <w:rPr>
          <w:szCs w:val="22"/>
          <w:lang w:val="fr-CA" w:eastAsia="zh-CN"/>
        </w:rPr>
        <w:t xml:space="preserve"> où une étiquette ou un écusson est apposé sur les produits afin </w:t>
      </w:r>
      <w:r>
        <w:rPr>
          <w:szCs w:val="22"/>
          <w:lang w:val="fr-CA" w:eastAsia="zh-CN"/>
        </w:rPr>
        <w:t>d’accroître</w:t>
      </w:r>
      <w:r w:rsidRPr="005A030C">
        <w:rPr>
          <w:szCs w:val="22"/>
          <w:lang w:val="fr-CA" w:eastAsia="zh-CN"/>
        </w:rPr>
        <w:t xml:space="preserve"> les ventes et véhiculer l’idée de la conservation de la diversité biologique, </w:t>
      </w:r>
      <w:r>
        <w:rPr>
          <w:szCs w:val="22"/>
          <w:lang w:val="fr-CA" w:eastAsia="zh-CN"/>
        </w:rPr>
        <w:t>et</w:t>
      </w:r>
      <w:r w:rsidRPr="005A030C">
        <w:rPr>
          <w:szCs w:val="22"/>
          <w:lang w:val="fr-CA" w:eastAsia="zh-CN"/>
        </w:rPr>
        <w:t xml:space="preserve"> les entreprises qui vendent ces produits s’engageraient à verser un pourcentage des </w:t>
      </w:r>
      <w:r>
        <w:rPr>
          <w:szCs w:val="22"/>
          <w:lang w:val="fr-CA" w:eastAsia="zh-CN"/>
        </w:rPr>
        <w:t>profits</w:t>
      </w:r>
      <w:r w:rsidRPr="005A030C">
        <w:rPr>
          <w:szCs w:val="22"/>
          <w:lang w:val="fr-CA" w:eastAsia="zh-CN"/>
        </w:rPr>
        <w:t xml:space="preserve"> </w:t>
      </w:r>
      <w:r>
        <w:rPr>
          <w:szCs w:val="22"/>
          <w:lang w:val="fr-CA" w:eastAsia="zh-CN"/>
        </w:rPr>
        <w:t>à</w:t>
      </w:r>
      <w:r w:rsidRPr="005A030C">
        <w:rPr>
          <w:szCs w:val="22"/>
          <w:lang w:val="fr-CA" w:eastAsia="zh-CN"/>
        </w:rPr>
        <w:t xml:space="preserve"> un fonds multilatéral. En dernier lieu, les contributions volontaires provenant du secteur privé, des uti</w:t>
      </w:r>
      <w:r>
        <w:rPr>
          <w:szCs w:val="22"/>
          <w:lang w:val="fr-CA" w:eastAsia="zh-CN"/>
        </w:rPr>
        <w:t>lisateurs de la base de données</w:t>
      </w:r>
      <w:r w:rsidRPr="005A030C">
        <w:rPr>
          <w:szCs w:val="22"/>
          <w:lang w:val="fr-CA" w:eastAsia="zh-CN"/>
        </w:rPr>
        <w:t xml:space="preserve"> et de donateurs privés et autres pourraient alimenter le fonds multilatéral.</w:t>
      </w:r>
    </w:p>
    <w:p w14:paraId="6AB3C1CC" w14:textId="77777777" w:rsidR="00B97C31" w:rsidRPr="005A030C" w:rsidRDefault="00B97C31" w:rsidP="00B97C31">
      <w:pPr>
        <w:spacing w:before="240" w:after="120"/>
        <w:jc w:val="left"/>
        <w:textAlignment w:val="baseline"/>
        <w:rPr>
          <w:sz w:val="18"/>
          <w:szCs w:val="18"/>
          <w:lang w:val="fr-CA" w:eastAsia="zh-CN"/>
        </w:rPr>
      </w:pPr>
      <w:r w:rsidRPr="005A030C">
        <w:rPr>
          <w:b/>
          <w:bCs/>
          <w:szCs w:val="22"/>
          <w:lang w:val="fr-CA" w:eastAsia="zh-CN"/>
        </w:rPr>
        <w:t>Option 4 : Coopération technique et scientifique améliorée</w:t>
      </w:r>
      <w:r w:rsidRPr="005A030C">
        <w:rPr>
          <w:szCs w:val="22"/>
          <w:lang w:val="fr-CA" w:eastAsia="zh-CN"/>
        </w:rPr>
        <w:t> </w:t>
      </w:r>
    </w:p>
    <w:p w14:paraId="0D1E9863" w14:textId="77777777" w:rsidR="00B97C31" w:rsidRPr="005A030C" w:rsidRDefault="00B97C31" w:rsidP="00B97C31">
      <w:pPr>
        <w:spacing w:before="120" w:after="120"/>
        <w:textAlignment w:val="baseline"/>
        <w:rPr>
          <w:sz w:val="18"/>
          <w:szCs w:val="18"/>
          <w:lang w:val="fr-CA" w:eastAsia="zh-CN"/>
        </w:rPr>
      </w:pPr>
      <w:r>
        <w:rPr>
          <w:szCs w:val="22"/>
          <w:lang w:val="fr-CA" w:eastAsia="zh-CN"/>
        </w:rPr>
        <w:t>Dans le contexte de</w:t>
      </w:r>
      <w:r w:rsidRPr="005A030C">
        <w:rPr>
          <w:szCs w:val="22"/>
          <w:lang w:val="fr-CA" w:eastAsia="zh-CN"/>
        </w:rPr>
        <w:t xml:space="preserve"> cette option, la coopération scientifique devient un aspect systématique et obligatoire de la politique d’ISN. Une capacité de soutien accrue </w:t>
      </w:r>
      <w:r>
        <w:rPr>
          <w:szCs w:val="22"/>
          <w:lang w:val="fr-CA" w:eastAsia="zh-CN"/>
        </w:rPr>
        <w:t>aux</w:t>
      </w:r>
      <w:r w:rsidRPr="005A030C">
        <w:rPr>
          <w:szCs w:val="22"/>
          <w:lang w:val="fr-CA" w:eastAsia="zh-CN"/>
        </w:rPr>
        <w:t xml:space="preserve"> pays en développement démocratisera l’accès à l’ISN et son utilisation, la rendant plus équitable, afin que tous les pays aient la capacité et </w:t>
      </w:r>
      <w:r>
        <w:rPr>
          <w:szCs w:val="22"/>
          <w:lang w:val="fr-CA" w:eastAsia="zh-CN"/>
        </w:rPr>
        <w:t>la possibilité</w:t>
      </w:r>
      <w:r w:rsidRPr="005A030C">
        <w:rPr>
          <w:szCs w:val="22"/>
          <w:lang w:val="fr-CA" w:eastAsia="zh-CN"/>
        </w:rPr>
        <w:t xml:space="preserve"> d’avoir accès à l’ISN et de l’utiliser à son plein potentiel. Cette coopération pourrait prendre la forme d</w:t>
      </w:r>
      <w:r>
        <w:rPr>
          <w:szCs w:val="22"/>
          <w:lang w:val="fr-CA" w:eastAsia="zh-CN"/>
        </w:rPr>
        <w:t>’un</w:t>
      </w:r>
      <w:r w:rsidRPr="005A030C">
        <w:rPr>
          <w:szCs w:val="22"/>
          <w:lang w:val="fr-CA" w:eastAsia="zh-CN"/>
        </w:rPr>
        <w:t>e collaboration à la recherche, d’une formation, de plateformes de connaissances, de transfert de t</w:t>
      </w:r>
      <w:r>
        <w:rPr>
          <w:szCs w:val="22"/>
          <w:lang w:val="fr-CA" w:eastAsia="zh-CN"/>
        </w:rPr>
        <w:t>echnologie, de co</w:t>
      </w:r>
      <w:r w:rsidRPr="005A030C">
        <w:rPr>
          <w:szCs w:val="22"/>
          <w:lang w:val="fr-CA" w:eastAsia="zh-CN"/>
        </w:rPr>
        <w:t>développement technologique et plus. L’option est presque toujours présentée en combinaison avec d’autres stratégies.  </w:t>
      </w:r>
    </w:p>
    <w:p w14:paraId="69C8C94E" w14:textId="77777777" w:rsidR="00B97C31" w:rsidRPr="005A030C" w:rsidRDefault="00B97C31" w:rsidP="00B97C31">
      <w:pPr>
        <w:spacing w:before="240" w:after="120"/>
        <w:jc w:val="left"/>
        <w:textAlignment w:val="baseline"/>
        <w:rPr>
          <w:sz w:val="18"/>
          <w:szCs w:val="18"/>
          <w:lang w:val="fr-CA" w:eastAsia="zh-CN"/>
        </w:rPr>
      </w:pPr>
      <w:r w:rsidRPr="005A030C">
        <w:rPr>
          <w:b/>
          <w:bCs/>
          <w:szCs w:val="22"/>
          <w:lang w:val="fr-CA" w:eastAsia="zh-CN"/>
        </w:rPr>
        <w:t>Option 5 : Aucun partage des avantages de l’ISN</w:t>
      </w:r>
      <w:r w:rsidRPr="005A030C">
        <w:rPr>
          <w:szCs w:val="22"/>
          <w:lang w:val="fr-CA" w:eastAsia="zh-CN"/>
        </w:rPr>
        <w:t> </w:t>
      </w:r>
    </w:p>
    <w:p w14:paraId="56DFB024" w14:textId="77777777" w:rsidR="00B97C31" w:rsidRPr="005A030C" w:rsidRDefault="00B97C31" w:rsidP="00B97C31">
      <w:pPr>
        <w:spacing w:before="120" w:after="120"/>
        <w:textAlignment w:val="baseline"/>
        <w:rPr>
          <w:sz w:val="18"/>
          <w:szCs w:val="18"/>
          <w:lang w:val="fr-CA" w:eastAsia="zh-CN"/>
        </w:rPr>
      </w:pPr>
      <w:r w:rsidRPr="005A030C">
        <w:rPr>
          <w:szCs w:val="22"/>
          <w:lang w:val="fr-CA" w:eastAsia="zh-CN"/>
        </w:rPr>
        <w:t>Selon cette option, le partage des avantages de l’utilisation de l’ISN des ressources génétiques n’est pas nécessaire et par conséquent, aucun mécanisme n’est proposé.  </w:t>
      </w:r>
    </w:p>
    <w:p w14:paraId="79A708B1" w14:textId="77777777" w:rsidR="00B97C31" w:rsidRPr="005A030C" w:rsidRDefault="00B97C31" w:rsidP="00B97C31">
      <w:pPr>
        <w:pStyle w:val="Heading2"/>
        <w:numPr>
          <w:ilvl w:val="0"/>
          <w:numId w:val="53"/>
        </w:numPr>
        <w:rPr>
          <w:rFonts w:eastAsia="Malgun Gothic"/>
          <w:lang w:val="fr-CA"/>
        </w:rPr>
      </w:pPr>
      <w:r w:rsidRPr="005A030C">
        <w:rPr>
          <w:rFonts w:eastAsia="Malgun Gothic"/>
          <w:lang w:val="fr-CA"/>
        </w:rPr>
        <w:t>Typologie des critères à prendre en ligne de compte pour les options stratégiques</w:t>
      </w:r>
    </w:p>
    <w:p w14:paraId="180577CC" w14:textId="77777777" w:rsidR="00B97C31" w:rsidRPr="005A030C" w:rsidRDefault="00B97C31" w:rsidP="00B97C31">
      <w:pPr>
        <w:pStyle w:val="paragraph"/>
        <w:spacing w:before="120" w:beforeAutospacing="0" w:after="120" w:afterAutospacing="0"/>
        <w:textAlignment w:val="baseline"/>
        <w:rPr>
          <w:rStyle w:val="normaltextrun"/>
          <w:sz w:val="22"/>
          <w:szCs w:val="22"/>
          <w:lang w:val="fr-CA"/>
        </w:rPr>
      </w:pPr>
      <w:r w:rsidRPr="005A030C">
        <w:rPr>
          <w:rStyle w:val="normaltextrun"/>
          <w:i/>
          <w:iCs/>
          <w:color w:val="000000"/>
          <w:szCs w:val="22"/>
          <w:shd w:val="clear" w:color="auto" w:fill="FFFFFF"/>
          <w:lang w:val="fr-CA"/>
        </w:rPr>
        <w:t>Contexte</w:t>
      </w:r>
    </w:p>
    <w:p w14:paraId="24D18C93" w14:textId="77777777" w:rsidR="00B97C31" w:rsidRPr="005A030C" w:rsidRDefault="00B97C31" w:rsidP="00B97C31">
      <w:pPr>
        <w:pStyle w:val="paragraph"/>
        <w:spacing w:before="120" w:beforeAutospacing="0" w:after="120" w:afterAutospacing="0"/>
        <w:textAlignment w:val="baseline"/>
        <w:rPr>
          <w:sz w:val="18"/>
          <w:szCs w:val="18"/>
          <w:lang w:val="fr-CA"/>
        </w:rPr>
      </w:pPr>
      <w:r w:rsidRPr="005A030C">
        <w:rPr>
          <w:rStyle w:val="normaltextrun"/>
          <w:sz w:val="22"/>
          <w:szCs w:val="22"/>
          <w:lang w:val="fr-CA"/>
        </w:rPr>
        <w:t>Les publications sur l’ISN avaient plusieurs critères importants en commun : </w:t>
      </w:r>
      <w:r w:rsidRPr="005A030C">
        <w:rPr>
          <w:rStyle w:val="eop"/>
          <w:sz w:val="22"/>
          <w:szCs w:val="22"/>
          <w:lang w:val="fr-CA"/>
        </w:rPr>
        <w:t> </w:t>
      </w:r>
    </w:p>
    <w:p w14:paraId="160AB77A" w14:textId="510CF94A" w:rsidR="00B97C31" w:rsidRPr="005A030C" w:rsidRDefault="00B97C31" w:rsidP="00760516">
      <w:pPr>
        <w:pStyle w:val="paragraph"/>
        <w:numPr>
          <w:ilvl w:val="0"/>
          <w:numId w:val="33"/>
        </w:numPr>
        <w:tabs>
          <w:tab w:val="clear" w:pos="720"/>
          <w:tab w:val="num" w:pos="270"/>
        </w:tabs>
        <w:spacing w:before="120" w:beforeAutospacing="0" w:after="120" w:afterAutospacing="0"/>
        <w:ind w:hanging="180"/>
        <w:textAlignment w:val="baseline"/>
        <w:rPr>
          <w:sz w:val="22"/>
          <w:szCs w:val="22"/>
          <w:lang w:val="fr-CA"/>
        </w:rPr>
      </w:pPr>
      <w:r w:rsidRPr="005A030C">
        <w:rPr>
          <w:rStyle w:val="normaltextrun"/>
          <w:sz w:val="22"/>
          <w:szCs w:val="22"/>
          <w:lang w:val="fr-CA"/>
        </w:rPr>
        <w:t xml:space="preserve"> Le partage juste et équitable des avantages de l’utilisation de l’ISN provenant </w:t>
      </w:r>
      <w:r w:rsidR="00760516">
        <w:rPr>
          <w:rStyle w:val="normaltextrun"/>
          <w:sz w:val="22"/>
          <w:szCs w:val="22"/>
          <w:lang w:val="fr-CA"/>
        </w:rPr>
        <w:t>des ressources génétiques</w:t>
      </w:r>
      <w:r w:rsidRPr="005A030C">
        <w:rPr>
          <w:rStyle w:val="eop"/>
          <w:sz w:val="22"/>
          <w:szCs w:val="22"/>
          <w:lang w:val="fr-CA"/>
        </w:rPr>
        <w:t> </w:t>
      </w:r>
    </w:p>
    <w:p w14:paraId="342D6F28" w14:textId="77777777" w:rsidR="00B97C31" w:rsidRPr="005A030C" w:rsidRDefault="00B97C31" w:rsidP="00B97C31">
      <w:pPr>
        <w:pStyle w:val="paragraph"/>
        <w:numPr>
          <w:ilvl w:val="0"/>
          <w:numId w:val="34"/>
        </w:numPr>
        <w:tabs>
          <w:tab w:val="clear" w:pos="720"/>
          <w:tab w:val="num" w:pos="270"/>
        </w:tabs>
        <w:spacing w:before="120" w:beforeAutospacing="0" w:after="120" w:afterAutospacing="0"/>
        <w:ind w:left="540" w:firstLine="0"/>
        <w:textAlignment w:val="baseline"/>
        <w:rPr>
          <w:sz w:val="22"/>
          <w:szCs w:val="22"/>
          <w:lang w:val="fr-CA"/>
        </w:rPr>
      </w:pPr>
      <w:r w:rsidRPr="005A030C">
        <w:rPr>
          <w:rStyle w:val="normaltextrun"/>
          <w:sz w:val="22"/>
          <w:szCs w:val="22"/>
          <w:lang w:val="fr-CA"/>
        </w:rPr>
        <w:t xml:space="preserve"> Données ouvertes</w:t>
      </w:r>
      <w:r w:rsidRPr="005A030C">
        <w:rPr>
          <w:rStyle w:val="eop"/>
          <w:sz w:val="22"/>
          <w:szCs w:val="22"/>
          <w:lang w:val="fr-CA"/>
        </w:rPr>
        <w:t> </w:t>
      </w:r>
    </w:p>
    <w:p w14:paraId="4E0E0EF9" w14:textId="77777777" w:rsidR="00B97C31" w:rsidRPr="005A030C" w:rsidRDefault="00B97C31" w:rsidP="00B97C31">
      <w:pPr>
        <w:pStyle w:val="paragraph"/>
        <w:tabs>
          <w:tab w:val="num" w:pos="270"/>
        </w:tabs>
        <w:spacing w:before="120" w:beforeAutospacing="0" w:after="120" w:afterAutospacing="0"/>
        <w:ind w:left="540"/>
        <w:textAlignment w:val="baseline"/>
        <w:rPr>
          <w:sz w:val="18"/>
          <w:szCs w:val="18"/>
          <w:lang w:val="fr-CA"/>
        </w:rPr>
      </w:pPr>
      <w:r w:rsidRPr="005A030C">
        <w:rPr>
          <w:rStyle w:val="normaltextrun"/>
          <w:sz w:val="22"/>
          <w:szCs w:val="22"/>
          <w:lang w:val="fr-CA"/>
        </w:rPr>
        <w:t>3. Contribution à la conservation et l’utilisation durable de la diversité biologique</w:t>
      </w:r>
      <w:r w:rsidRPr="005A030C">
        <w:rPr>
          <w:rStyle w:val="eop"/>
          <w:sz w:val="22"/>
          <w:szCs w:val="22"/>
          <w:lang w:val="fr-CA"/>
        </w:rPr>
        <w:t> </w:t>
      </w:r>
    </w:p>
    <w:p w14:paraId="0C613E34" w14:textId="77777777" w:rsidR="00B97C31" w:rsidRPr="005A030C" w:rsidRDefault="00B97C31" w:rsidP="00B97C31">
      <w:pPr>
        <w:pStyle w:val="paragraph"/>
        <w:tabs>
          <w:tab w:val="num" w:pos="270"/>
        </w:tabs>
        <w:spacing w:before="120" w:beforeAutospacing="0" w:after="120" w:afterAutospacing="0"/>
        <w:ind w:left="540"/>
        <w:textAlignment w:val="baseline"/>
        <w:rPr>
          <w:sz w:val="18"/>
          <w:szCs w:val="18"/>
          <w:lang w:val="fr-CA"/>
        </w:rPr>
      </w:pPr>
      <w:r w:rsidRPr="005A030C">
        <w:rPr>
          <w:rStyle w:val="normaltextrun"/>
          <w:sz w:val="22"/>
          <w:szCs w:val="22"/>
          <w:lang w:val="fr-CA"/>
        </w:rPr>
        <w:lastRenderedPageBreak/>
        <w:t>4. Liens à l’échelle des régimes de biodiversité et des forums internationaux</w:t>
      </w:r>
      <w:r w:rsidRPr="005A030C">
        <w:rPr>
          <w:rStyle w:val="eop"/>
          <w:sz w:val="22"/>
          <w:szCs w:val="22"/>
          <w:lang w:val="fr-CA"/>
        </w:rPr>
        <w:t> </w:t>
      </w:r>
    </w:p>
    <w:p w14:paraId="099BF8E8" w14:textId="77777777" w:rsidR="00B97C31" w:rsidRPr="005A030C" w:rsidRDefault="00B97C31" w:rsidP="00B97C31">
      <w:pPr>
        <w:pStyle w:val="paragraph"/>
        <w:tabs>
          <w:tab w:val="num" w:pos="270"/>
        </w:tabs>
        <w:spacing w:before="120" w:beforeAutospacing="0" w:after="120" w:afterAutospacing="0"/>
        <w:ind w:left="540"/>
        <w:textAlignment w:val="baseline"/>
        <w:rPr>
          <w:sz w:val="18"/>
          <w:szCs w:val="18"/>
          <w:lang w:val="fr-CA"/>
        </w:rPr>
      </w:pPr>
      <w:r w:rsidRPr="005A030C">
        <w:rPr>
          <w:rStyle w:val="normaltextrun"/>
          <w:sz w:val="22"/>
          <w:szCs w:val="22"/>
          <w:lang w:val="fr-CA"/>
        </w:rPr>
        <w:t>5. Faisabilité financière du partage monétaire des avantages</w:t>
      </w:r>
      <w:r w:rsidRPr="005A030C">
        <w:rPr>
          <w:rStyle w:val="eop"/>
          <w:sz w:val="22"/>
          <w:szCs w:val="22"/>
          <w:lang w:val="fr-CA"/>
        </w:rPr>
        <w:t> </w:t>
      </w:r>
    </w:p>
    <w:p w14:paraId="3FA88F9C" w14:textId="77777777" w:rsidR="00B97C31" w:rsidRPr="005A030C" w:rsidRDefault="00B97C31" w:rsidP="00B97C31">
      <w:pPr>
        <w:pStyle w:val="paragraph"/>
        <w:tabs>
          <w:tab w:val="num" w:pos="270"/>
        </w:tabs>
        <w:spacing w:before="120" w:beforeAutospacing="0" w:after="120" w:afterAutospacing="0"/>
        <w:ind w:left="540"/>
        <w:textAlignment w:val="baseline"/>
        <w:rPr>
          <w:sz w:val="18"/>
          <w:szCs w:val="18"/>
          <w:lang w:val="fr-CA"/>
        </w:rPr>
      </w:pPr>
      <w:r w:rsidRPr="005A030C">
        <w:rPr>
          <w:rStyle w:val="normaltextrun"/>
          <w:sz w:val="22"/>
          <w:szCs w:val="22"/>
          <w:lang w:val="fr-CA"/>
        </w:rPr>
        <w:t>6. Simplicité des solutions</w:t>
      </w:r>
      <w:r w:rsidRPr="005A030C">
        <w:rPr>
          <w:rStyle w:val="eop"/>
          <w:sz w:val="22"/>
          <w:szCs w:val="22"/>
          <w:lang w:val="fr-CA"/>
        </w:rPr>
        <w:t> </w:t>
      </w:r>
    </w:p>
    <w:p w14:paraId="409A1768" w14:textId="77777777" w:rsidR="00B97C31" w:rsidRPr="005A030C" w:rsidRDefault="00B97C31" w:rsidP="00B97C31">
      <w:pPr>
        <w:pStyle w:val="paragraph"/>
        <w:spacing w:before="120" w:beforeAutospacing="0" w:after="120" w:afterAutospacing="0"/>
        <w:jc w:val="both"/>
        <w:textAlignment w:val="baseline"/>
        <w:rPr>
          <w:sz w:val="18"/>
          <w:szCs w:val="18"/>
          <w:lang w:val="fr-CA"/>
        </w:rPr>
      </w:pPr>
      <w:r w:rsidRPr="005A030C">
        <w:rPr>
          <w:rStyle w:val="normaltextrun"/>
          <w:sz w:val="22"/>
          <w:szCs w:val="22"/>
          <w:lang w:val="fr-CA"/>
        </w:rPr>
        <w:t xml:space="preserve">Les trois premiers critères répondent au « </w:t>
      </w:r>
      <w:proofErr w:type="gramStart"/>
      <w:r w:rsidRPr="005A030C">
        <w:rPr>
          <w:sz w:val="22"/>
          <w:szCs w:val="22"/>
          <w:lang w:val="fr-CA"/>
        </w:rPr>
        <w:t>pourquoi»</w:t>
      </w:r>
      <w:proofErr w:type="gramEnd"/>
      <w:r w:rsidRPr="005A030C">
        <w:rPr>
          <w:sz w:val="22"/>
          <w:szCs w:val="22"/>
          <w:lang w:val="fr-CA"/>
        </w:rPr>
        <w:t xml:space="preserve"> des o</w:t>
      </w:r>
      <w:r>
        <w:rPr>
          <w:sz w:val="22"/>
          <w:szCs w:val="22"/>
          <w:lang w:val="fr-CA"/>
        </w:rPr>
        <w:t>ptions stratégiques, notamment les buts et l</w:t>
      </w:r>
      <w:r w:rsidRPr="005A030C">
        <w:rPr>
          <w:sz w:val="22"/>
          <w:szCs w:val="22"/>
          <w:lang w:val="fr-CA"/>
        </w:rPr>
        <w:t>es mesures du succès, dans le contexte</w:t>
      </w:r>
      <w:r>
        <w:rPr>
          <w:sz w:val="22"/>
          <w:szCs w:val="22"/>
          <w:lang w:val="fr-CA"/>
        </w:rPr>
        <w:t xml:space="preserve"> des</w:t>
      </w:r>
      <w:r w:rsidRPr="005A030C">
        <w:rPr>
          <w:sz w:val="22"/>
          <w:szCs w:val="22"/>
          <w:lang w:val="fr-CA"/>
        </w:rPr>
        <w:t xml:space="preserve"> </w:t>
      </w:r>
      <w:r w:rsidRPr="005A030C">
        <w:rPr>
          <w:rStyle w:val="normaltextrun"/>
          <w:sz w:val="22"/>
          <w:szCs w:val="22"/>
          <w:lang w:val="fr-CA"/>
        </w:rPr>
        <w:t>« étapes » de l’élaboration des options stratégiques. Les trois derniers répondent au « comment » et communiquent des moyens par lesquels les options stratégiques peuvent répondre à ces trois objectifs. </w:t>
      </w:r>
      <w:r w:rsidRPr="005A030C">
        <w:rPr>
          <w:rStyle w:val="eop"/>
          <w:sz w:val="22"/>
          <w:szCs w:val="22"/>
          <w:lang w:val="fr-CA"/>
        </w:rPr>
        <w:t> </w:t>
      </w:r>
    </w:p>
    <w:p w14:paraId="7280D269" w14:textId="77777777" w:rsidR="00B97C31" w:rsidRPr="005A030C" w:rsidRDefault="00B97C31" w:rsidP="00B97C31">
      <w:pPr>
        <w:pStyle w:val="paragraph"/>
        <w:spacing w:before="120" w:beforeAutospacing="0" w:after="120" w:afterAutospacing="0"/>
        <w:jc w:val="both"/>
        <w:textAlignment w:val="baseline"/>
        <w:rPr>
          <w:sz w:val="18"/>
          <w:szCs w:val="18"/>
          <w:lang w:val="fr-CA"/>
        </w:rPr>
      </w:pPr>
      <w:r>
        <w:rPr>
          <w:rStyle w:val="normaltextrun"/>
          <w:sz w:val="22"/>
          <w:szCs w:val="22"/>
          <w:lang w:val="fr-CA"/>
        </w:rPr>
        <w:t xml:space="preserve">Les deux premiers critères </w:t>
      </w:r>
      <w:r w:rsidRPr="005A030C">
        <w:rPr>
          <w:rStyle w:val="normaltextrun"/>
          <w:sz w:val="22"/>
          <w:szCs w:val="22"/>
          <w:lang w:val="fr-CA"/>
        </w:rPr>
        <w:t>ont été abordés systématiquement dans les documents sur l’ISN et exigent une attention particulière en tant que critères généraux possibles : </w:t>
      </w:r>
      <w:r w:rsidRPr="005A030C">
        <w:rPr>
          <w:rStyle w:val="eop"/>
          <w:sz w:val="22"/>
          <w:szCs w:val="22"/>
          <w:lang w:val="fr-CA"/>
        </w:rPr>
        <w:t> </w:t>
      </w:r>
    </w:p>
    <w:p w14:paraId="5314F9FC" w14:textId="1EBEE7AD" w:rsidR="00B97C31" w:rsidRPr="005A030C" w:rsidRDefault="00B97C31" w:rsidP="00B97C31">
      <w:pPr>
        <w:pStyle w:val="paragraph"/>
        <w:numPr>
          <w:ilvl w:val="0"/>
          <w:numId w:val="35"/>
        </w:numPr>
        <w:tabs>
          <w:tab w:val="clear" w:pos="720"/>
          <w:tab w:val="num" w:pos="270"/>
        </w:tabs>
        <w:spacing w:before="120" w:beforeAutospacing="0" w:after="120" w:afterAutospacing="0"/>
        <w:ind w:left="0" w:firstLine="0"/>
        <w:jc w:val="both"/>
        <w:textAlignment w:val="baseline"/>
        <w:rPr>
          <w:rStyle w:val="normaltextrun"/>
          <w:sz w:val="22"/>
          <w:szCs w:val="22"/>
          <w:lang w:val="fr-CA"/>
        </w:rPr>
      </w:pPr>
      <w:r>
        <w:rPr>
          <w:rStyle w:val="normaltextrun"/>
          <w:sz w:val="22"/>
          <w:szCs w:val="22"/>
          <w:u w:val="single"/>
          <w:lang w:val="fr-CA"/>
        </w:rPr>
        <w:t>Le p</w:t>
      </w:r>
      <w:r w:rsidRPr="005A030C">
        <w:rPr>
          <w:rStyle w:val="normaltextrun"/>
          <w:sz w:val="22"/>
          <w:szCs w:val="22"/>
          <w:u w:val="single"/>
          <w:lang w:val="fr-CA"/>
        </w:rPr>
        <w:t>artage juste et équitable des avantages</w:t>
      </w:r>
      <w:r w:rsidRPr="005A030C">
        <w:rPr>
          <w:rStyle w:val="normaltextrun"/>
          <w:sz w:val="22"/>
          <w:szCs w:val="22"/>
          <w:lang w:val="fr-CA"/>
        </w:rPr>
        <w:t xml:space="preserve"> découlant de l’utilisation de l’ISN </w:t>
      </w:r>
      <w:r w:rsidR="00760516">
        <w:rPr>
          <w:rStyle w:val="normaltextrun"/>
          <w:sz w:val="22"/>
          <w:szCs w:val="22"/>
          <w:lang w:val="fr-CA"/>
        </w:rPr>
        <w:t>des ressources génétiques</w:t>
      </w:r>
      <w:r w:rsidRPr="005A030C">
        <w:rPr>
          <w:rStyle w:val="normaltextrun"/>
          <w:sz w:val="22"/>
          <w:szCs w:val="22"/>
          <w:lang w:val="fr-CA"/>
        </w:rPr>
        <w:t xml:space="preserve"> est défini en deux points : les avantages de l’utilisation de l’ISN </w:t>
      </w:r>
      <w:r w:rsidR="00760516">
        <w:rPr>
          <w:rStyle w:val="normaltextrun"/>
          <w:sz w:val="22"/>
          <w:szCs w:val="22"/>
          <w:lang w:val="fr-CA"/>
        </w:rPr>
        <w:t>des ressources génétiques</w:t>
      </w:r>
      <w:r w:rsidRPr="005A030C">
        <w:rPr>
          <w:rStyle w:val="normaltextrun"/>
          <w:sz w:val="22"/>
          <w:szCs w:val="22"/>
          <w:lang w:val="fr-CA"/>
        </w:rPr>
        <w:t xml:space="preserve"> doivent être partagés et ce partage doit être juste et équitable. </w:t>
      </w:r>
    </w:p>
    <w:p w14:paraId="66C70B7E" w14:textId="01873231" w:rsidR="00B97C31" w:rsidRPr="005A030C" w:rsidRDefault="00B97C31" w:rsidP="00B97C31">
      <w:pPr>
        <w:pStyle w:val="paragraph"/>
        <w:numPr>
          <w:ilvl w:val="0"/>
          <w:numId w:val="35"/>
        </w:numPr>
        <w:tabs>
          <w:tab w:val="clear" w:pos="720"/>
          <w:tab w:val="num" w:pos="270"/>
        </w:tabs>
        <w:spacing w:before="120" w:beforeAutospacing="0" w:after="120" w:afterAutospacing="0"/>
        <w:ind w:left="0" w:firstLine="0"/>
        <w:jc w:val="both"/>
        <w:textAlignment w:val="baseline"/>
        <w:rPr>
          <w:rStyle w:val="normaltextrun"/>
          <w:sz w:val="22"/>
          <w:szCs w:val="22"/>
          <w:lang w:val="fr-CA"/>
        </w:rPr>
      </w:pPr>
      <w:r w:rsidRPr="005A030C">
        <w:rPr>
          <w:rStyle w:val="normaltextrun"/>
          <w:sz w:val="22"/>
          <w:szCs w:val="22"/>
          <w:u w:val="single"/>
          <w:lang w:val="fr-CA"/>
        </w:rPr>
        <w:t>Les données ouvertes</w:t>
      </w:r>
      <w:r w:rsidRPr="005A030C">
        <w:rPr>
          <w:rStyle w:val="normaltextrun"/>
          <w:sz w:val="22"/>
          <w:szCs w:val="22"/>
          <w:lang w:val="fr-CA"/>
        </w:rPr>
        <w:t xml:space="preserve"> ont pour but </w:t>
      </w:r>
      <w:r>
        <w:rPr>
          <w:rStyle w:val="normaltextrun"/>
          <w:sz w:val="22"/>
          <w:szCs w:val="22"/>
          <w:lang w:val="fr-CA"/>
        </w:rPr>
        <w:t>d’éviter que</w:t>
      </w:r>
      <w:r w:rsidRPr="005A030C">
        <w:rPr>
          <w:rStyle w:val="normaltextrun"/>
          <w:sz w:val="22"/>
          <w:szCs w:val="22"/>
          <w:lang w:val="fr-CA"/>
        </w:rPr>
        <w:t xml:space="preserve"> l’accès aux données soit un obstacle à la recherche scientifique </w:t>
      </w:r>
      <w:r w:rsidR="00760516">
        <w:rPr>
          <w:rStyle w:val="normaltextrun"/>
          <w:sz w:val="22"/>
          <w:szCs w:val="22"/>
          <w:lang w:val="fr-CA"/>
        </w:rPr>
        <w:t>ou</w:t>
      </w:r>
      <w:r w:rsidRPr="005A030C">
        <w:rPr>
          <w:rStyle w:val="normaltextrun"/>
          <w:sz w:val="22"/>
          <w:szCs w:val="22"/>
          <w:lang w:val="fr-CA"/>
        </w:rPr>
        <w:t xml:space="preserve"> l’innovation. Tous les documents s’accordent sur le fait que l’ISN doit demeurer découvrable et accessible, mais diffèrent en ce qui concerne les coûts et les conditions d’utilisation des données.</w:t>
      </w:r>
      <w:r w:rsidRPr="005A030C">
        <w:rPr>
          <w:rStyle w:val="normaltextrun"/>
          <w:sz w:val="22"/>
          <w:szCs w:val="22"/>
          <w:u w:val="single"/>
          <w:lang w:val="fr-CA"/>
        </w:rPr>
        <w:t xml:space="preserve"> </w:t>
      </w:r>
    </w:p>
    <w:p w14:paraId="7D10BD88" w14:textId="77777777" w:rsidR="00B97C31" w:rsidRPr="005A030C" w:rsidRDefault="00B97C31" w:rsidP="00B97C31">
      <w:pPr>
        <w:pStyle w:val="paragraph"/>
        <w:spacing w:before="120" w:beforeAutospacing="0" w:after="120" w:afterAutospacing="0"/>
        <w:jc w:val="both"/>
        <w:textAlignment w:val="baseline"/>
        <w:rPr>
          <w:rStyle w:val="normaltextrun"/>
          <w:sz w:val="22"/>
          <w:szCs w:val="22"/>
          <w:lang w:val="fr-CA"/>
        </w:rPr>
      </w:pPr>
      <w:r w:rsidRPr="005A030C">
        <w:rPr>
          <w:rStyle w:val="normaltextrun"/>
          <w:sz w:val="22"/>
          <w:szCs w:val="22"/>
          <w:lang w:val="fr-CA"/>
        </w:rPr>
        <w:t xml:space="preserve">Ces deux buts sont les pierres d’assise de l’accès et </w:t>
      </w:r>
      <w:r>
        <w:rPr>
          <w:rStyle w:val="normaltextrun"/>
          <w:sz w:val="22"/>
          <w:szCs w:val="22"/>
          <w:lang w:val="fr-CA"/>
        </w:rPr>
        <w:t>du</w:t>
      </w:r>
      <w:r w:rsidRPr="005A030C">
        <w:rPr>
          <w:rStyle w:val="normaltextrun"/>
          <w:sz w:val="22"/>
          <w:szCs w:val="22"/>
          <w:lang w:val="fr-CA"/>
        </w:rPr>
        <w:t xml:space="preserve"> partage des avantages, et </w:t>
      </w:r>
      <w:r>
        <w:rPr>
          <w:rStyle w:val="normaltextrun"/>
          <w:sz w:val="22"/>
          <w:szCs w:val="22"/>
          <w:lang w:val="fr-CA"/>
        </w:rPr>
        <w:t>l’option</w:t>
      </w:r>
      <w:r w:rsidRPr="005A030C">
        <w:rPr>
          <w:rStyle w:val="normaltextrun"/>
          <w:sz w:val="22"/>
          <w:szCs w:val="22"/>
          <w:lang w:val="fr-CA"/>
        </w:rPr>
        <w:t xml:space="preserve"> stratégique doit tenter de trouver un équilibre entre ces deux notions et, si les Parties y consentent, </w:t>
      </w:r>
      <w:r>
        <w:rPr>
          <w:rStyle w:val="normaltextrun"/>
          <w:sz w:val="22"/>
          <w:szCs w:val="22"/>
          <w:lang w:val="fr-CA"/>
        </w:rPr>
        <w:t>ne pas les opposer</w:t>
      </w:r>
      <w:r w:rsidRPr="005A030C">
        <w:rPr>
          <w:rStyle w:val="normaltextrun"/>
          <w:sz w:val="22"/>
          <w:szCs w:val="22"/>
          <w:lang w:val="fr-CA"/>
        </w:rPr>
        <w:t xml:space="preserve"> l’une à l’autre.</w:t>
      </w:r>
    </w:p>
    <w:p w14:paraId="064405AB" w14:textId="77777777" w:rsidR="00B97C31" w:rsidRPr="005A030C" w:rsidRDefault="00B97C31" w:rsidP="00B97C31">
      <w:pPr>
        <w:spacing w:before="240" w:after="120"/>
        <w:textAlignment w:val="baseline"/>
        <w:rPr>
          <w:i/>
          <w:iCs/>
          <w:szCs w:val="22"/>
          <w:lang w:val="fr-CA" w:eastAsia="zh-CN"/>
        </w:rPr>
      </w:pPr>
      <w:r w:rsidRPr="005A030C">
        <w:rPr>
          <w:i/>
          <w:iCs/>
          <w:szCs w:val="22"/>
          <w:lang w:val="fr-CA" w:eastAsia="zh-CN"/>
        </w:rPr>
        <w:t>Cadre des critères proposés</w:t>
      </w:r>
    </w:p>
    <w:p w14:paraId="7A9A1CF3" w14:textId="050038E9" w:rsidR="00B97C31" w:rsidRPr="005A030C" w:rsidRDefault="00B97C31" w:rsidP="00B97C31">
      <w:pPr>
        <w:spacing w:after="240"/>
        <w:textAlignment w:val="baseline"/>
        <w:rPr>
          <w:sz w:val="18"/>
          <w:szCs w:val="18"/>
          <w:lang w:val="fr-CA" w:eastAsia="zh-CN"/>
        </w:rPr>
      </w:pPr>
      <w:r w:rsidRPr="005A030C">
        <w:rPr>
          <w:szCs w:val="22"/>
          <w:lang w:val="fr-CA" w:eastAsia="zh-CN"/>
        </w:rPr>
        <w:t>Un c</w:t>
      </w:r>
      <w:r>
        <w:rPr>
          <w:szCs w:val="22"/>
          <w:lang w:val="fr-CA" w:eastAsia="zh-CN"/>
        </w:rPr>
        <w:t>adre sur mesure a été développé</w:t>
      </w:r>
      <w:r w:rsidRPr="005A030C">
        <w:rPr>
          <w:szCs w:val="22"/>
          <w:lang w:val="fr-CA" w:eastAsia="zh-CN"/>
        </w:rPr>
        <w:t xml:space="preserve"> en se fondant sur ce qui précède et dans la foulée des autres cadres décrits dans la documentation, afin de tenir compte des questions soulevées dans les documents de politique et les rapport</w:t>
      </w:r>
      <w:r>
        <w:rPr>
          <w:szCs w:val="22"/>
          <w:lang w:val="fr-CA" w:eastAsia="zh-CN"/>
        </w:rPr>
        <w:t>s</w:t>
      </w:r>
      <w:r w:rsidRPr="005A030C">
        <w:rPr>
          <w:szCs w:val="22"/>
          <w:lang w:val="fr-CA" w:eastAsia="zh-CN"/>
        </w:rPr>
        <w:t xml:space="preserve"> sur l’ISN (voir le tableau 1, ci-dessous). Les quatre groupes/catégories correspondent aux quatre </w:t>
      </w:r>
      <w:r w:rsidR="005F50E0">
        <w:rPr>
          <w:szCs w:val="22"/>
          <w:lang w:val="fr-CA" w:eastAsia="zh-CN"/>
        </w:rPr>
        <w:t>« </w:t>
      </w:r>
      <w:r w:rsidRPr="005A030C">
        <w:rPr>
          <w:szCs w:val="22"/>
          <w:lang w:val="fr-CA" w:eastAsia="zh-CN"/>
        </w:rPr>
        <w:t>étapes</w:t>
      </w:r>
      <w:r w:rsidR="005F50E0">
        <w:rPr>
          <w:szCs w:val="22"/>
          <w:lang w:val="fr-CA" w:eastAsia="zh-CN"/>
        </w:rPr>
        <w:t> »</w:t>
      </w:r>
      <w:r w:rsidRPr="005A030C">
        <w:rPr>
          <w:szCs w:val="22"/>
          <w:lang w:val="fr-CA" w:eastAsia="zh-CN"/>
        </w:rPr>
        <w:t xml:space="preserve"> de l’analyse, la mise en œuvre et le contexte des options stratégiques. Ce classement n’est pas exhaustif ni exclusif, et les parties prenantes doivent </w:t>
      </w:r>
      <w:r>
        <w:rPr>
          <w:szCs w:val="22"/>
          <w:lang w:val="fr-CA" w:eastAsia="zh-CN"/>
        </w:rPr>
        <w:t>examiner le</w:t>
      </w:r>
      <w:r w:rsidRPr="005A030C">
        <w:rPr>
          <w:szCs w:val="22"/>
          <w:lang w:val="fr-CA" w:eastAsia="zh-CN"/>
        </w:rPr>
        <w:t xml:space="preserve"> classement </w:t>
      </w:r>
      <w:r>
        <w:rPr>
          <w:szCs w:val="22"/>
          <w:lang w:val="fr-CA" w:eastAsia="zh-CN"/>
        </w:rPr>
        <w:t xml:space="preserve">des critères qui leur semble le </w:t>
      </w:r>
      <w:r w:rsidRPr="005A030C">
        <w:rPr>
          <w:szCs w:val="22"/>
          <w:lang w:val="fr-CA" w:eastAsia="zh-CN"/>
        </w:rPr>
        <w:t xml:space="preserve">plus logique. </w:t>
      </w:r>
    </w:p>
    <w:p w14:paraId="0555A073" w14:textId="18027357" w:rsidR="00B97C31" w:rsidRPr="005A030C" w:rsidRDefault="00B97C31" w:rsidP="00B97C31">
      <w:pPr>
        <w:spacing w:after="240"/>
        <w:textAlignment w:val="baseline"/>
        <w:rPr>
          <w:sz w:val="18"/>
          <w:szCs w:val="18"/>
          <w:lang w:val="fr-CA" w:eastAsia="zh-CN"/>
        </w:rPr>
      </w:pPr>
      <w:r w:rsidRPr="005A030C">
        <w:rPr>
          <w:szCs w:val="22"/>
          <w:lang w:val="fr-CA" w:eastAsia="zh-CN"/>
        </w:rPr>
        <w:t xml:space="preserve">1- La première catégorie porte que le </w:t>
      </w:r>
      <w:r w:rsidR="00760516">
        <w:rPr>
          <w:szCs w:val="22"/>
          <w:lang w:val="fr-CA" w:eastAsia="zh-CN"/>
        </w:rPr>
        <w:t>pourquoi</w:t>
      </w:r>
      <w:r w:rsidRPr="005A030C">
        <w:rPr>
          <w:szCs w:val="22"/>
          <w:lang w:val="fr-CA" w:eastAsia="zh-CN"/>
        </w:rPr>
        <w:t>, le but, les objectifs. Cela comprend les objectifs communs à tous les documents sur l’ISN et aussi les objectifs déterminés au moyen de consultations, de discussions et éventuellement, de négociations.  </w:t>
      </w:r>
    </w:p>
    <w:p w14:paraId="40F90D28" w14:textId="75719F74" w:rsidR="00B97C31" w:rsidRPr="005A030C" w:rsidRDefault="00B97C31" w:rsidP="00B97C31">
      <w:pPr>
        <w:spacing w:after="240"/>
        <w:textAlignment w:val="baseline"/>
        <w:rPr>
          <w:sz w:val="18"/>
          <w:szCs w:val="18"/>
          <w:lang w:val="fr-CA" w:eastAsia="zh-CN"/>
        </w:rPr>
      </w:pPr>
      <w:r w:rsidRPr="005A030C">
        <w:rPr>
          <w:szCs w:val="22"/>
          <w:lang w:val="fr-CA" w:eastAsia="zh-CN"/>
        </w:rPr>
        <w:t xml:space="preserve">2- La deuxième porte davantage sur le </w:t>
      </w:r>
      <w:r w:rsidR="00760516">
        <w:rPr>
          <w:szCs w:val="22"/>
          <w:lang w:val="fr-CA" w:eastAsia="zh-CN"/>
        </w:rPr>
        <w:t>comment</w:t>
      </w:r>
      <w:r w:rsidRPr="005A030C">
        <w:rPr>
          <w:szCs w:val="22"/>
          <w:lang w:val="fr-CA" w:eastAsia="zh-CN"/>
        </w:rPr>
        <w:t xml:space="preserve">, la faisabilité, l’applicabilité des options stratégiques. </w:t>
      </w:r>
      <w:r>
        <w:rPr>
          <w:szCs w:val="22"/>
          <w:lang w:val="fr-CA" w:eastAsia="zh-CN"/>
        </w:rPr>
        <w:t>Un lien étroit entre</w:t>
      </w:r>
      <w:r w:rsidRPr="005A030C">
        <w:rPr>
          <w:szCs w:val="22"/>
          <w:lang w:val="fr-CA" w:eastAsia="zh-CN"/>
        </w:rPr>
        <w:t xml:space="preserve"> les buts et les principes d’une option stratégique </w:t>
      </w:r>
      <w:r>
        <w:rPr>
          <w:szCs w:val="22"/>
          <w:lang w:val="fr-CA" w:eastAsia="zh-CN"/>
        </w:rPr>
        <w:t>et</w:t>
      </w:r>
      <w:r w:rsidRPr="005A030C">
        <w:rPr>
          <w:szCs w:val="22"/>
          <w:lang w:val="fr-CA" w:eastAsia="zh-CN"/>
        </w:rPr>
        <w:t xml:space="preserve"> la commodité et les attentes réalistes est essentiel au succès. </w:t>
      </w:r>
    </w:p>
    <w:p w14:paraId="2D7A85E8" w14:textId="77777777" w:rsidR="00B97C31" w:rsidRDefault="00B97C31" w:rsidP="00B97C31">
      <w:pPr>
        <w:spacing w:after="240"/>
        <w:textAlignment w:val="baseline"/>
        <w:rPr>
          <w:szCs w:val="22"/>
          <w:lang w:val="fr-CA" w:eastAsia="zh-CN"/>
        </w:rPr>
      </w:pPr>
      <w:r w:rsidRPr="005A030C">
        <w:rPr>
          <w:szCs w:val="22"/>
          <w:lang w:val="fr-CA" w:eastAsia="zh-CN"/>
        </w:rPr>
        <w:t xml:space="preserve">3- La bonne gouvernance </w:t>
      </w:r>
      <w:r>
        <w:rPr>
          <w:szCs w:val="22"/>
          <w:lang w:val="fr-CA" w:eastAsia="zh-CN"/>
        </w:rPr>
        <w:t>porte</w:t>
      </w:r>
      <w:r w:rsidRPr="005A030C">
        <w:rPr>
          <w:szCs w:val="22"/>
          <w:lang w:val="fr-CA" w:eastAsia="zh-CN"/>
        </w:rPr>
        <w:t xml:space="preserve"> également </w:t>
      </w:r>
      <w:r>
        <w:rPr>
          <w:szCs w:val="22"/>
          <w:lang w:val="fr-CA" w:eastAsia="zh-CN"/>
        </w:rPr>
        <w:t>sur le</w:t>
      </w:r>
      <w:r w:rsidRPr="005A030C">
        <w:rPr>
          <w:szCs w:val="22"/>
          <w:lang w:val="fr-CA" w:eastAsia="zh-CN"/>
        </w:rPr>
        <w:t xml:space="preserve"> COMMENT </w:t>
      </w:r>
      <w:r>
        <w:rPr>
          <w:szCs w:val="22"/>
          <w:lang w:val="fr-CA" w:eastAsia="zh-CN"/>
        </w:rPr>
        <w:t>et</w:t>
      </w:r>
      <w:r w:rsidRPr="005A030C">
        <w:rPr>
          <w:szCs w:val="22"/>
          <w:lang w:val="fr-CA" w:eastAsia="zh-CN"/>
        </w:rPr>
        <w:t xml:space="preserve"> englobe à la fois les buts et les outils. Ce sont les critères directeurs </w:t>
      </w:r>
      <w:r>
        <w:rPr>
          <w:szCs w:val="22"/>
          <w:lang w:val="fr-CA" w:eastAsia="zh-CN"/>
        </w:rPr>
        <w:t>d’une</w:t>
      </w:r>
      <w:r w:rsidRPr="005A030C">
        <w:rPr>
          <w:szCs w:val="22"/>
          <w:lang w:val="fr-CA" w:eastAsia="zh-CN"/>
        </w:rPr>
        <w:t xml:space="preserve"> gouvernance et </w:t>
      </w:r>
      <w:r>
        <w:rPr>
          <w:szCs w:val="22"/>
          <w:lang w:val="fr-CA" w:eastAsia="zh-CN"/>
        </w:rPr>
        <w:t>d’une</w:t>
      </w:r>
      <w:r w:rsidRPr="005A030C">
        <w:rPr>
          <w:szCs w:val="22"/>
          <w:lang w:val="fr-CA" w:eastAsia="zh-CN"/>
        </w:rPr>
        <w:t xml:space="preserve"> gestion éthiques et transparentes : </w:t>
      </w:r>
      <w:r>
        <w:rPr>
          <w:szCs w:val="22"/>
          <w:lang w:val="fr-CA" w:eastAsia="zh-CN"/>
        </w:rPr>
        <w:t xml:space="preserve">la transparence, l’accent mis sur </w:t>
      </w:r>
      <w:r w:rsidRPr="005A030C">
        <w:rPr>
          <w:szCs w:val="22"/>
          <w:lang w:val="fr-CA" w:eastAsia="zh-CN"/>
        </w:rPr>
        <w:t xml:space="preserve">les communications et l’inclusion. </w:t>
      </w:r>
    </w:p>
    <w:p w14:paraId="712F8A31" w14:textId="77777777" w:rsidR="00B97C31" w:rsidRPr="001A0169" w:rsidRDefault="00B97C31" w:rsidP="00B97C31">
      <w:pPr>
        <w:jc w:val="left"/>
        <w:rPr>
          <w:szCs w:val="22"/>
          <w:lang w:val="fr-CA" w:eastAsia="zh-CN"/>
        </w:rPr>
      </w:pPr>
      <w:r w:rsidRPr="005A030C">
        <w:rPr>
          <w:szCs w:val="22"/>
          <w:lang w:val="fr-CA" w:eastAsia="zh-CN"/>
        </w:rPr>
        <w:t>4- Le dernier regroupement porte sur le contexte.</w:t>
      </w:r>
      <w:r>
        <w:rPr>
          <w:szCs w:val="22"/>
          <w:lang w:val="fr-CA" w:eastAsia="zh-CN"/>
        </w:rPr>
        <w:t xml:space="preserve"> </w:t>
      </w:r>
      <w:r w:rsidRPr="005A030C">
        <w:rPr>
          <w:szCs w:val="22"/>
          <w:lang w:val="fr-CA" w:eastAsia="zh-CN"/>
        </w:rPr>
        <w:t xml:space="preserve">Les éléments </w:t>
      </w:r>
      <w:r>
        <w:rPr>
          <w:szCs w:val="22"/>
          <w:lang w:val="fr-CA" w:eastAsia="zh-CN"/>
        </w:rPr>
        <w:t xml:space="preserve">constitutifs </w:t>
      </w:r>
      <w:r w:rsidRPr="005A030C">
        <w:rPr>
          <w:szCs w:val="22"/>
          <w:lang w:val="fr-CA" w:eastAsia="zh-CN"/>
        </w:rPr>
        <w:t xml:space="preserve">d’une option stratégique doivent être exhaustifs et complémentaires. De plus, la solution doit </w:t>
      </w:r>
      <w:r>
        <w:rPr>
          <w:szCs w:val="22"/>
          <w:lang w:val="fr-CA" w:eastAsia="zh-CN"/>
        </w:rPr>
        <w:t xml:space="preserve">tenter d’être cohérente par rapport </w:t>
      </w:r>
      <w:r w:rsidRPr="005A030C">
        <w:rPr>
          <w:szCs w:val="22"/>
          <w:lang w:val="fr-CA" w:eastAsia="zh-CN"/>
        </w:rPr>
        <w:t>aux efforts des autres organes et projets d’APA de l’ISN</w:t>
      </w:r>
      <w:r>
        <w:rPr>
          <w:szCs w:val="22"/>
          <w:lang w:val="fr-CA" w:eastAsia="zh-CN"/>
        </w:rPr>
        <w:t>.</w:t>
      </w:r>
    </w:p>
    <w:p w14:paraId="47D55B6F" w14:textId="77777777" w:rsidR="00B97C31" w:rsidRPr="005A030C" w:rsidRDefault="00B97C31" w:rsidP="00B97C31">
      <w:pPr>
        <w:spacing w:after="240"/>
        <w:textAlignment w:val="baseline"/>
        <w:rPr>
          <w:sz w:val="18"/>
          <w:szCs w:val="18"/>
          <w:lang w:val="fr-CA" w:eastAsia="zh-CN"/>
        </w:rPr>
        <w:sectPr w:rsidR="00B97C31" w:rsidRPr="005A030C" w:rsidSect="00F5357E">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2240" w:h="15840"/>
          <w:pgMar w:top="567" w:right="1440" w:bottom="1134" w:left="1440" w:header="709" w:footer="709" w:gutter="0"/>
          <w:cols w:space="708"/>
          <w:docGrid w:linePitch="360"/>
        </w:sectPr>
      </w:pPr>
    </w:p>
    <w:p w14:paraId="230D3124" w14:textId="77777777" w:rsidR="00B97C31" w:rsidRPr="005A030C" w:rsidRDefault="00B97C31" w:rsidP="00B97C31">
      <w:pPr>
        <w:jc w:val="left"/>
        <w:rPr>
          <w:rFonts w:eastAsia="Malgun Gothic"/>
          <w:szCs w:val="22"/>
          <w:lang w:val="fr-CA"/>
        </w:rPr>
      </w:pPr>
      <w:r w:rsidRPr="005A030C">
        <w:rPr>
          <w:rFonts w:eastAsia="Malgun Gothic"/>
          <w:szCs w:val="22"/>
          <w:lang w:val="fr-CA"/>
        </w:rPr>
        <w:lastRenderedPageBreak/>
        <w:t>Table 1: Cadre des critères</w:t>
      </w:r>
      <w:r>
        <w:rPr>
          <w:rFonts w:eastAsia="Malgun Gothic"/>
          <w:szCs w:val="22"/>
          <w:lang w:val="fr-CA"/>
        </w:rPr>
        <w:t xml:space="preserve"> proposé</w:t>
      </w:r>
    </w:p>
    <w:tbl>
      <w:tblPr>
        <w:tblW w:w="143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003"/>
        <w:gridCol w:w="9270"/>
      </w:tblGrid>
      <w:tr w:rsidR="00B97C31" w:rsidRPr="005A030C" w14:paraId="70A5C64E" w14:textId="77777777" w:rsidTr="00B40A0B">
        <w:trPr>
          <w:trHeight w:val="329"/>
        </w:trPr>
        <w:tc>
          <w:tcPr>
            <w:tcW w:w="2119" w:type="dxa"/>
            <w:tcBorders>
              <w:top w:val="single" w:sz="6" w:space="0" w:color="4472C4"/>
              <w:left w:val="single" w:sz="6" w:space="0" w:color="4472C4"/>
              <w:bottom w:val="single" w:sz="6" w:space="0" w:color="auto"/>
              <w:right w:val="single" w:sz="6" w:space="0" w:color="auto"/>
            </w:tcBorders>
            <w:shd w:val="clear" w:color="auto" w:fill="F2F2F2"/>
            <w:hideMark/>
          </w:tcPr>
          <w:p w14:paraId="4C22FCC8"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CATÉGORIE</w:t>
            </w:r>
          </w:p>
        </w:tc>
        <w:tc>
          <w:tcPr>
            <w:tcW w:w="3003" w:type="dxa"/>
            <w:tcBorders>
              <w:top w:val="single" w:sz="6" w:space="0" w:color="4472C4"/>
              <w:left w:val="single" w:sz="6" w:space="0" w:color="auto"/>
              <w:bottom w:val="single" w:sz="6" w:space="0" w:color="auto"/>
              <w:right w:val="single" w:sz="6" w:space="0" w:color="auto"/>
            </w:tcBorders>
            <w:shd w:val="clear" w:color="auto" w:fill="F2F2F2"/>
            <w:hideMark/>
          </w:tcPr>
          <w:p w14:paraId="7548622A"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CRITÈRE</w:t>
            </w:r>
          </w:p>
        </w:tc>
        <w:tc>
          <w:tcPr>
            <w:tcW w:w="9270" w:type="dxa"/>
            <w:tcBorders>
              <w:top w:val="single" w:sz="6" w:space="0" w:color="4472C4"/>
              <w:left w:val="single" w:sz="6" w:space="0" w:color="auto"/>
              <w:bottom w:val="single" w:sz="6" w:space="0" w:color="auto"/>
              <w:right w:val="single" w:sz="6" w:space="0" w:color="4472C4"/>
            </w:tcBorders>
            <w:shd w:val="clear" w:color="auto" w:fill="F2F2F2"/>
            <w:hideMark/>
          </w:tcPr>
          <w:p w14:paraId="74EAD978"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MODE D’ÉVALUATION</w:t>
            </w:r>
          </w:p>
        </w:tc>
      </w:tr>
      <w:tr w:rsidR="00B97C31" w:rsidRPr="00AF2996" w14:paraId="6CC1F640" w14:textId="77777777" w:rsidTr="00B40A0B">
        <w:trPr>
          <w:trHeight w:val="958"/>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22B585F7" w14:textId="77777777" w:rsidR="00B97C31" w:rsidRPr="005A030C" w:rsidRDefault="00B97C31" w:rsidP="00B97C31">
            <w:pPr>
              <w:spacing w:before="40" w:after="40"/>
              <w:jc w:val="left"/>
              <w:textAlignment w:val="baseline"/>
              <w:rPr>
                <w:b/>
                <w:bCs/>
                <w:color w:val="000000" w:themeColor="text1"/>
                <w:sz w:val="20"/>
                <w:szCs w:val="20"/>
                <w:lang w:val="fr-CA"/>
              </w:rPr>
            </w:pPr>
            <w:r>
              <w:rPr>
                <w:b/>
                <w:bCs/>
                <w:color w:val="000000" w:themeColor="text1"/>
                <w:sz w:val="20"/>
                <w:szCs w:val="20"/>
                <w:lang w:val="fr-CA"/>
              </w:rPr>
              <w:t xml:space="preserve">Efficacité dans l’atteinte des </w:t>
            </w:r>
            <w:r w:rsidRPr="005A030C">
              <w:rPr>
                <w:b/>
                <w:bCs/>
                <w:color w:val="000000" w:themeColor="text1"/>
                <w:sz w:val="20"/>
                <w:szCs w:val="20"/>
                <w:lang w:val="fr-CA"/>
              </w:rPr>
              <w:t>objectifs</w:t>
            </w:r>
          </w:p>
          <w:p w14:paraId="28E1104D"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(Remarque : Les buts peuvent être convenus ou en voie de l’être)</w:t>
            </w:r>
          </w:p>
          <w:p w14:paraId="5D3B1CF5"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 </w:t>
            </w:r>
          </w:p>
        </w:tc>
        <w:tc>
          <w:tcPr>
            <w:tcW w:w="3003"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3FD2CBAE" w14:textId="68A2E4D1" w:rsidR="00B97C31" w:rsidRPr="005A030C" w:rsidRDefault="00B97C31" w:rsidP="00C77DFC">
            <w:pPr>
              <w:spacing w:before="40" w:after="40"/>
              <w:jc w:val="left"/>
              <w:textAlignment w:val="baseline"/>
              <w:rPr>
                <w:color w:val="000000" w:themeColor="text1"/>
                <w:sz w:val="20"/>
                <w:szCs w:val="20"/>
                <w:lang w:val="fr-CA"/>
              </w:rPr>
            </w:pPr>
            <w:r w:rsidRPr="005A030C">
              <w:rPr>
                <w:color w:val="000000" w:themeColor="text1"/>
                <w:sz w:val="20"/>
                <w:szCs w:val="20"/>
                <w:lang w:val="fr-CA"/>
              </w:rPr>
              <w:t xml:space="preserve">1. Offre des avantages de l’ISN justes et équitables (associés à </w:t>
            </w:r>
            <w:r w:rsidR="00C77DFC">
              <w:rPr>
                <w:color w:val="000000" w:themeColor="text1"/>
                <w:sz w:val="20"/>
                <w:szCs w:val="20"/>
                <w:lang w:val="fr-CA"/>
              </w:rPr>
              <w:t>la RG</w:t>
            </w:r>
            <w:r w:rsidRPr="005A030C">
              <w:rPr>
                <w:color w:val="000000" w:themeColor="text1"/>
                <w:sz w:val="20"/>
                <w:szCs w:val="20"/>
                <w:lang w:val="fr-CA"/>
              </w:rPr>
              <w:t>)</w:t>
            </w:r>
          </w:p>
        </w:tc>
        <w:tc>
          <w:tcPr>
            <w:tcW w:w="9270"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14DCA289"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Qualité et quantité du partage des avantages (monétaire</w:t>
            </w:r>
            <w:r>
              <w:rPr>
                <w:color w:val="000000" w:themeColor="text1"/>
                <w:sz w:val="20"/>
                <w:szCs w:val="20"/>
                <w:lang w:val="fr-CA"/>
              </w:rPr>
              <w:t>s</w:t>
            </w:r>
            <w:r w:rsidRPr="005A030C">
              <w:rPr>
                <w:color w:val="000000" w:themeColor="text1"/>
                <w:sz w:val="20"/>
                <w:szCs w:val="20"/>
                <w:lang w:val="fr-CA"/>
              </w:rPr>
              <w:t xml:space="preserve"> et non monétaire</w:t>
            </w:r>
            <w:r>
              <w:rPr>
                <w:color w:val="000000" w:themeColor="text1"/>
                <w:sz w:val="20"/>
                <w:szCs w:val="20"/>
                <w:lang w:val="fr-CA"/>
              </w:rPr>
              <w:t>s</w:t>
            </w:r>
            <w:r w:rsidRPr="005A030C">
              <w:rPr>
                <w:color w:val="000000" w:themeColor="text1"/>
                <w:sz w:val="20"/>
                <w:szCs w:val="20"/>
                <w:lang w:val="fr-CA"/>
              </w:rPr>
              <w:t>)</w:t>
            </w:r>
          </w:p>
          <w:p w14:paraId="6F5430D1"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Moment opportun du partage des avantages</w:t>
            </w:r>
          </w:p>
          <w:p w14:paraId="0BE1B3F8"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Spécificité/but du partage des avantages (créer une communauté, créer un pays, partage à grande échelle, formule de partage)</w:t>
            </w:r>
          </w:p>
        </w:tc>
      </w:tr>
      <w:tr w:rsidR="00B97C31" w:rsidRPr="00AF2996" w14:paraId="22D7D63D" w14:textId="77777777" w:rsidTr="00B40A0B">
        <w:trPr>
          <w:trHeight w:val="660"/>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6810E830" w14:textId="77777777" w:rsidR="00B97C31" w:rsidRPr="005A030C" w:rsidRDefault="00B97C31" w:rsidP="00B97C31">
            <w:pPr>
              <w:spacing w:before="40" w:after="40"/>
              <w:jc w:val="left"/>
              <w:rPr>
                <w:color w:val="000000" w:themeColor="text1"/>
                <w:sz w:val="20"/>
                <w:szCs w:val="20"/>
                <w:lang w:val="fr-CA"/>
              </w:rPr>
            </w:pPr>
          </w:p>
        </w:tc>
        <w:tc>
          <w:tcPr>
            <w:tcW w:w="3003"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6BA86BDA"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2. Facilite l’accès à l’ISN et ne dérange pas la R et D</w:t>
            </w:r>
          </w:p>
        </w:tc>
        <w:tc>
          <w:tcPr>
            <w:tcW w:w="9270"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373E720C"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Libre accès (avec ou sans conditions, fardeau des conditions)</w:t>
            </w:r>
          </w:p>
          <w:p w14:paraId="71AA06E8"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Encourage les partenariats de R et D en appui au transfert de technologie et au renforcement des capacités</w:t>
            </w:r>
          </w:p>
        </w:tc>
      </w:tr>
      <w:tr w:rsidR="00B97C31" w:rsidRPr="00AF2996" w14:paraId="666CA039" w14:textId="77777777" w:rsidTr="00B40A0B">
        <w:trPr>
          <w:trHeight w:val="660"/>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4D42A1A0" w14:textId="77777777" w:rsidR="00B97C31" w:rsidRPr="005A030C" w:rsidRDefault="00B97C31" w:rsidP="00B97C31">
            <w:pPr>
              <w:spacing w:before="40" w:after="40"/>
              <w:jc w:val="left"/>
              <w:rPr>
                <w:color w:val="000000" w:themeColor="text1"/>
                <w:sz w:val="20"/>
                <w:szCs w:val="20"/>
                <w:lang w:val="fr-CA"/>
              </w:rPr>
            </w:pPr>
          </w:p>
        </w:tc>
        <w:tc>
          <w:tcPr>
            <w:tcW w:w="3003"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103F4B33"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3. Contribue à la conservation et l’utilisation durable de la diversité biologique</w:t>
            </w:r>
          </w:p>
        </w:tc>
        <w:tc>
          <w:tcPr>
            <w:tcW w:w="9270"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67348F5C"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Directement ou indirectement (au moyen de mesures d’encouragement)</w:t>
            </w:r>
          </w:p>
        </w:tc>
      </w:tr>
      <w:tr w:rsidR="00B97C31" w:rsidRPr="00AF2996" w14:paraId="12E59438" w14:textId="77777777" w:rsidTr="00B40A0B">
        <w:trPr>
          <w:trHeight w:val="528"/>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14:paraId="704BA8CF" w14:textId="77777777" w:rsidR="00B97C31" w:rsidRPr="005A030C" w:rsidRDefault="00B97C31" w:rsidP="00B97C31">
            <w:pPr>
              <w:spacing w:before="40" w:after="40"/>
              <w:jc w:val="left"/>
              <w:rPr>
                <w:color w:val="000000" w:themeColor="text1"/>
                <w:sz w:val="20"/>
                <w:szCs w:val="20"/>
                <w:lang w:val="fr-CA"/>
              </w:rPr>
            </w:pPr>
          </w:p>
        </w:tc>
        <w:tc>
          <w:tcPr>
            <w:tcW w:w="3003"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219801F1"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4. Contribue au développement durable</w:t>
            </w:r>
          </w:p>
        </w:tc>
        <w:tc>
          <w:tcPr>
            <w:tcW w:w="9270"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5F8F2E06" w14:textId="77777777" w:rsidR="00B97C31" w:rsidRPr="005A030C" w:rsidRDefault="00B97C31" w:rsidP="00B97C31">
            <w:pPr>
              <w:spacing w:before="40" w:after="40"/>
              <w:jc w:val="left"/>
              <w:textAlignment w:val="baseline"/>
              <w:rPr>
                <w:color w:val="000000" w:themeColor="text1"/>
                <w:sz w:val="20"/>
                <w:szCs w:val="20"/>
                <w:lang w:val="fr-CA"/>
              </w:rPr>
            </w:pPr>
            <w:r w:rsidRPr="005A030C">
              <w:rPr>
                <w:color w:val="000000" w:themeColor="text1"/>
                <w:sz w:val="20"/>
                <w:szCs w:val="20"/>
                <w:lang w:val="fr-CA"/>
              </w:rPr>
              <w:t>Remarque : Réalise 4 en conséquence de la réalisation de 1, 2 et 3 (aucune évaluation séparée n’est nécessaire)</w:t>
            </w:r>
          </w:p>
        </w:tc>
      </w:tr>
      <w:tr w:rsidR="00B97C31" w:rsidRPr="00AF2996" w14:paraId="53D736EE" w14:textId="77777777" w:rsidTr="00B40A0B">
        <w:trPr>
          <w:trHeight w:val="528"/>
        </w:trPr>
        <w:tc>
          <w:tcPr>
            <w:tcW w:w="2119" w:type="dxa"/>
            <w:vMerge w:val="restart"/>
            <w:tcBorders>
              <w:top w:val="single" w:sz="6" w:space="0" w:color="auto"/>
              <w:left w:val="single" w:sz="6" w:space="0" w:color="4472C4"/>
              <w:bottom w:val="single" w:sz="6" w:space="0" w:color="auto"/>
              <w:right w:val="single" w:sz="6" w:space="0" w:color="auto"/>
            </w:tcBorders>
            <w:shd w:val="clear" w:color="auto" w:fill="DBE5F1" w:themeFill="accent1" w:themeFillTint="33"/>
            <w:hideMark/>
          </w:tcPr>
          <w:p w14:paraId="0C73DB60" w14:textId="77777777" w:rsidR="00B97C31" w:rsidRPr="005A030C" w:rsidRDefault="00B97C31" w:rsidP="00B97C31">
            <w:pPr>
              <w:spacing w:before="40" w:after="40"/>
              <w:jc w:val="left"/>
              <w:textAlignment w:val="baseline"/>
              <w:rPr>
                <w:sz w:val="20"/>
                <w:szCs w:val="20"/>
                <w:lang w:val="fr-CA" w:eastAsia="zh-CN"/>
              </w:rPr>
            </w:pPr>
            <w:r w:rsidRPr="005A030C">
              <w:rPr>
                <w:b/>
                <w:bCs/>
                <w:sz w:val="20"/>
                <w:szCs w:val="20"/>
                <w:lang w:val="fr-CA" w:eastAsia="zh-CN"/>
              </w:rPr>
              <w:t xml:space="preserve">Efficace et </w:t>
            </w:r>
            <w:r>
              <w:rPr>
                <w:b/>
                <w:bCs/>
                <w:sz w:val="20"/>
                <w:szCs w:val="20"/>
                <w:lang w:val="fr-CA" w:eastAsia="zh-CN"/>
              </w:rPr>
              <w:t xml:space="preserve">la </w:t>
            </w:r>
            <w:r w:rsidRPr="005A030C">
              <w:rPr>
                <w:b/>
                <w:bCs/>
                <w:sz w:val="20"/>
                <w:szCs w:val="20"/>
                <w:lang w:val="fr-CA" w:eastAsia="zh-CN"/>
              </w:rPr>
              <w:t xml:space="preserve">mise en œuvre </w:t>
            </w:r>
            <w:r>
              <w:rPr>
                <w:b/>
                <w:bCs/>
                <w:sz w:val="20"/>
                <w:szCs w:val="20"/>
                <w:lang w:val="fr-CA" w:eastAsia="zh-CN"/>
              </w:rPr>
              <w:t xml:space="preserve">est </w:t>
            </w:r>
            <w:r w:rsidRPr="005A030C">
              <w:rPr>
                <w:b/>
                <w:bCs/>
                <w:sz w:val="20"/>
                <w:szCs w:val="20"/>
                <w:lang w:val="fr-CA" w:eastAsia="zh-CN"/>
              </w:rPr>
              <w:t>réalisable</w:t>
            </w:r>
          </w:p>
        </w:tc>
        <w:tc>
          <w:tcPr>
            <w:tcW w:w="30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B399BC"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5. Atteint des objectifs de manière rentable</w:t>
            </w:r>
          </w:p>
        </w:tc>
        <w:tc>
          <w:tcPr>
            <w:tcW w:w="9270"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2C1DB36A"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 xml:space="preserve">Les coûts de transaction et d’administration </w:t>
            </w:r>
            <w:r>
              <w:rPr>
                <w:sz w:val="20"/>
                <w:szCs w:val="20"/>
                <w:lang w:val="fr-CA" w:eastAsia="zh-CN"/>
              </w:rPr>
              <w:t>d</w:t>
            </w:r>
            <w:r w:rsidRPr="005A030C">
              <w:rPr>
                <w:sz w:val="20"/>
                <w:szCs w:val="20"/>
                <w:lang w:val="fr-CA" w:eastAsia="zh-CN"/>
              </w:rPr>
              <w:t xml:space="preserve">es avantages partagés sont réduits au minimum </w:t>
            </w:r>
          </w:p>
          <w:p w14:paraId="0A78B57D"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Les coûts institutionnels, d’infrastructure et de gouvernance des avantages partagés sont réduits au minimum</w:t>
            </w:r>
          </w:p>
        </w:tc>
      </w:tr>
      <w:tr w:rsidR="00B97C31" w:rsidRPr="00AF2996" w14:paraId="4B0707A9" w14:textId="77777777" w:rsidTr="00B40A0B">
        <w:trPr>
          <w:trHeight w:val="544"/>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02631CFC" w14:textId="77777777" w:rsidR="00B97C31" w:rsidRPr="005A030C" w:rsidRDefault="00B97C31" w:rsidP="00B97C31">
            <w:pPr>
              <w:spacing w:before="40" w:after="40"/>
              <w:jc w:val="left"/>
              <w:rPr>
                <w:sz w:val="20"/>
                <w:szCs w:val="20"/>
                <w:lang w:val="fr-CA" w:eastAsia="zh-CN"/>
              </w:rPr>
            </w:pPr>
          </w:p>
        </w:tc>
        <w:tc>
          <w:tcPr>
            <w:tcW w:w="30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F5B9ED4"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 xml:space="preserve">6. Réalisable et </w:t>
            </w:r>
            <w:r>
              <w:rPr>
                <w:sz w:val="20"/>
                <w:szCs w:val="20"/>
                <w:lang w:val="fr-CA" w:eastAsia="zh-CN"/>
              </w:rPr>
              <w:t>la</w:t>
            </w:r>
            <w:r w:rsidRPr="005A030C">
              <w:rPr>
                <w:sz w:val="20"/>
                <w:szCs w:val="20"/>
                <w:lang w:val="fr-CA" w:eastAsia="zh-CN"/>
              </w:rPr>
              <w:t xml:space="preserve"> mise en œuvre</w:t>
            </w:r>
            <w:r>
              <w:rPr>
                <w:sz w:val="20"/>
                <w:szCs w:val="20"/>
                <w:lang w:val="fr-CA" w:eastAsia="zh-CN"/>
              </w:rPr>
              <w:t xml:space="preserve"> est </w:t>
            </w:r>
            <w:r w:rsidRPr="005A030C">
              <w:rPr>
                <w:sz w:val="20"/>
                <w:szCs w:val="20"/>
                <w:lang w:val="fr-CA" w:eastAsia="zh-CN"/>
              </w:rPr>
              <w:t>pratique</w:t>
            </w:r>
          </w:p>
        </w:tc>
        <w:tc>
          <w:tcPr>
            <w:tcW w:w="9270"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68E8F618"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Les exigences techniques sont minimes ou réalisables (p. ex., besoin de suivi, outils de renforcement des capacités)</w:t>
            </w:r>
          </w:p>
          <w:p w14:paraId="4C35E7B6"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Mesure dans laquelle l’infrastructure et les processus existants peuvent être développés</w:t>
            </w:r>
          </w:p>
        </w:tc>
      </w:tr>
      <w:tr w:rsidR="00B97C31" w:rsidRPr="00AF2996" w14:paraId="34DF85F0" w14:textId="77777777" w:rsidTr="00B40A0B">
        <w:trPr>
          <w:trHeight w:val="594"/>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67BDB05D" w14:textId="77777777" w:rsidR="00B97C31" w:rsidRPr="005A030C" w:rsidRDefault="00B97C31" w:rsidP="00B97C31">
            <w:pPr>
              <w:spacing w:before="40" w:after="40"/>
              <w:jc w:val="left"/>
              <w:rPr>
                <w:sz w:val="20"/>
                <w:szCs w:val="20"/>
                <w:lang w:val="fr-CA" w:eastAsia="zh-CN"/>
              </w:rPr>
            </w:pPr>
          </w:p>
        </w:tc>
        <w:tc>
          <w:tcPr>
            <w:tcW w:w="30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323D50C"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7. Facile à appliquer</w:t>
            </w:r>
          </w:p>
        </w:tc>
        <w:tc>
          <w:tcPr>
            <w:tcW w:w="9270"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14:paraId="40B11177"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Mesures d’encouragement à la conformité intégrés (auto-applicables)</w:t>
            </w:r>
          </w:p>
          <w:p w14:paraId="63F7CF7B"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Les coûts d’application sont minimes, lorsque l’application est nécessaire</w:t>
            </w:r>
          </w:p>
        </w:tc>
      </w:tr>
      <w:tr w:rsidR="00B97C31" w:rsidRPr="00AF2996" w14:paraId="3994EBED" w14:textId="77777777" w:rsidTr="00B40A0B">
        <w:trPr>
          <w:trHeight w:val="329"/>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14:paraId="7E22235F" w14:textId="77777777" w:rsidR="00B97C31" w:rsidRPr="005A030C" w:rsidRDefault="00B97C31" w:rsidP="00B97C31">
            <w:pPr>
              <w:spacing w:before="40" w:after="40"/>
              <w:jc w:val="left"/>
              <w:textAlignment w:val="baseline"/>
              <w:rPr>
                <w:sz w:val="20"/>
                <w:szCs w:val="20"/>
                <w:lang w:val="fr-CA" w:eastAsia="zh-CN"/>
              </w:rPr>
            </w:pPr>
            <w:r w:rsidRPr="005A030C">
              <w:rPr>
                <w:b/>
                <w:bCs/>
                <w:sz w:val="20"/>
                <w:szCs w:val="20"/>
                <w:lang w:val="fr-CA" w:eastAsia="zh-CN"/>
              </w:rPr>
              <w:t>Facilite la bonne gouvernance</w:t>
            </w:r>
          </w:p>
        </w:tc>
        <w:tc>
          <w:tcPr>
            <w:tcW w:w="3003"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7EB3F5E2"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8. Légalement fondé</w:t>
            </w:r>
          </w:p>
        </w:tc>
        <w:tc>
          <w:tcPr>
            <w:tcW w:w="9270"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58ECE167"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Certitude/prévisibilité légale</w:t>
            </w:r>
          </w:p>
          <w:p w14:paraId="12900177"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Mécanisme de règlement des différends</w:t>
            </w:r>
          </w:p>
        </w:tc>
      </w:tr>
      <w:tr w:rsidR="00B97C31" w:rsidRPr="00AF2996" w14:paraId="14133ACF" w14:textId="77777777" w:rsidTr="00B40A0B">
        <w:trPr>
          <w:trHeight w:val="561"/>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212BB7B2" w14:textId="77777777" w:rsidR="00B97C31" w:rsidRPr="005A030C" w:rsidRDefault="00B97C31" w:rsidP="00B97C31">
            <w:pPr>
              <w:spacing w:before="40" w:after="40"/>
              <w:jc w:val="left"/>
              <w:rPr>
                <w:sz w:val="20"/>
                <w:szCs w:val="20"/>
                <w:lang w:val="fr-CA" w:eastAsia="zh-CN"/>
              </w:rPr>
            </w:pPr>
          </w:p>
        </w:tc>
        <w:tc>
          <w:tcPr>
            <w:tcW w:w="3003"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2532DDEA"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9. Équitable</w:t>
            </w:r>
          </w:p>
        </w:tc>
        <w:tc>
          <w:tcPr>
            <w:tcW w:w="9270"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2B7820F7"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Conséquences positives et négatives pour les peuples autochtones et les communautés locales</w:t>
            </w:r>
            <w:r>
              <w:rPr>
                <w:sz w:val="20"/>
                <w:szCs w:val="20"/>
                <w:lang w:val="fr-CA" w:eastAsia="zh-CN"/>
              </w:rPr>
              <w:t>,</w:t>
            </w:r>
            <w:r w:rsidRPr="005A030C">
              <w:rPr>
                <w:sz w:val="20"/>
                <w:szCs w:val="20"/>
                <w:lang w:val="fr-CA" w:eastAsia="zh-CN"/>
              </w:rPr>
              <w:t xml:space="preserve"> et les parties prenantes </w:t>
            </w:r>
          </w:p>
          <w:p w14:paraId="3A957E18"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Réduction de l’asymétrie de l’information entre les pays et les utilisateurs</w:t>
            </w:r>
          </w:p>
        </w:tc>
      </w:tr>
      <w:tr w:rsidR="00B97C31" w:rsidRPr="00AF2996" w14:paraId="48004183" w14:textId="77777777" w:rsidTr="00B40A0B">
        <w:trPr>
          <w:trHeight w:val="329"/>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14:paraId="40C3D3BE" w14:textId="77777777" w:rsidR="00B97C31" w:rsidRPr="005A030C" w:rsidRDefault="00B97C31" w:rsidP="00B97C31">
            <w:pPr>
              <w:spacing w:before="40" w:after="40"/>
              <w:jc w:val="left"/>
              <w:rPr>
                <w:sz w:val="20"/>
                <w:szCs w:val="20"/>
                <w:lang w:val="fr-CA" w:eastAsia="zh-CN"/>
              </w:rPr>
            </w:pPr>
          </w:p>
        </w:tc>
        <w:tc>
          <w:tcPr>
            <w:tcW w:w="3003"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339EF0DF"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10. Transparent</w:t>
            </w:r>
          </w:p>
        </w:tc>
        <w:tc>
          <w:tcPr>
            <w:tcW w:w="9270"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14:paraId="738B7479"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Simple, transparent, facile à comprendre</w:t>
            </w:r>
          </w:p>
        </w:tc>
      </w:tr>
      <w:tr w:rsidR="00B97C31" w:rsidRPr="00AF2996" w14:paraId="08FA63E1" w14:textId="77777777" w:rsidTr="00B40A0B">
        <w:trPr>
          <w:trHeight w:val="759"/>
        </w:trPr>
        <w:tc>
          <w:tcPr>
            <w:tcW w:w="2119" w:type="dxa"/>
            <w:vMerge w:val="restart"/>
            <w:tcBorders>
              <w:top w:val="single" w:sz="6" w:space="0" w:color="auto"/>
              <w:left w:val="single" w:sz="6" w:space="0" w:color="4472C4"/>
              <w:bottom w:val="single" w:sz="6" w:space="0" w:color="4472C4"/>
              <w:right w:val="single" w:sz="6" w:space="0" w:color="auto"/>
            </w:tcBorders>
            <w:shd w:val="clear" w:color="auto" w:fill="DAE3F3"/>
            <w:hideMark/>
          </w:tcPr>
          <w:p w14:paraId="4CDE2CA9" w14:textId="77777777" w:rsidR="00B97C31" w:rsidRPr="005A030C" w:rsidRDefault="00B97C31" w:rsidP="00B97C31">
            <w:pPr>
              <w:spacing w:before="40" w:after="40"/>
              <w:jc w:val="left"/>
              <w:textAlignment w:val="baseline"/>
              <w:rPr>
                <w:b/>
                <w:bCs/>
                <w:sz w:val="20"/>
                <w:szCs w:val="20"/>
                <w:lang w:val="fr-CA" w:eastAsia="zh-CN"/>
              </w:rPr>
            </w:pPr>
            <w:r w:rsidRPr="005A030C">
              <w:rPr>
                <w:b/>
                <w:bCs/>
                <w:sz w:val="20"/>
                <w:szCs w:val="20"/>
                <w:lang w:val="fr-CA" w:eastAsia="zh-CN"/>
              </w:rPr>
              <w:t>Exhaustif et cohérent</w:t>
            </w:r>
          </w:p>
          <w:p w14:paraId="026422B8"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 </w:t>
            </w:r>
          </w:p>
        </w:tc>
        <w:tc>
          <w:tcPr>
            <w:tcW w:w="3003" w:type="dxa"/>
            <w:tcBorders>
              <w:top w:val="single" w:sz="6" w:space="0" w:color="auto"/>
              <w:left w:val="single" w:sz="6" w:space="0" w:color="auto"/>
              <w:bottom w:val="single" w:sz="6" w:space="0" w:color="auto"/>
              <w:right w:val="single" w:sz="6" w:space="0" w:color="auto"/>
            </w:tcBorders>
            <w:shd w:val="clear" w:color="auto" w:fill="DAE3F3"/>
            <w:hideMark/>
          </w:tcPr>
          <w:p w14:paraId="56949FB8"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11. Cohérent</w:t>
            </w:r>
          </w:p>
        </w:tc>
        <w:tc>
          <w:tcPr>
            <w:tcW w:w="9270" w:type="dxa"/>
            <w:tcBorders>
              <w:top w:val="single" w:sz="6" w:space="0" w:color="auto"/>
              <w:left w:val="single" w:sz="6" w:space="0" w:color="auto"/>
              <w:bottom w:val="single" w:sz="6" w:space="0" w:color="auto"/>
              <w:right w:val="single" w:sz="6" w:space="0" w:color="4472C4"/>
            </w:tcBorders>
            <w:shd w:val="clear" w:color="auto" w:fill="DAE3F3"/>
            <w:hideMark/>
          </w:tcPr>
          <w:p w14:paraId="1EC03C80"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Niveau de cohérence par rapport aux autres cadres d’APA</w:t>
            </w:r>
          </w:p>
          <w:p w14:paraId="4FDDBF22"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Niveau de cohérence avec tous les accords internationaux des différents secteurs (environnement, alimentation et agriculture, santé, océans, etc.)</w:t>
            </w:r>
          </w:p>
        </w:tc>
      </w:tr>
      <w:tr w:rsidR="00B97C31" w:rsidRPr="00AF2996" w14:paraId="4A460908" w14:textId="77777777" w:rsidTr="00B40A0B">
        <w:trPr>
          <w:trHeight w:val="1090"/>
        </w:trPr>
        <w:tc>
          <w:tcPr>
            <w:tcW w:w="2119" w:type="dxa"/>
            <w:vMerge/>
            <w:tcBorders>
              <w:top w:val="single" w:sz="6" w:space="0" w:color="auto"/>
              <w:left w:val="single" w:sz="6" w:space="0" w:color="4472C4"/>
              <w:bottom w:val="single" w:sz="6" w:space="0" w:color="4472C4"/>
              <w:right w:val="single" w:sz="6" w:space="0" w:color="auto"/>
            </w:tcBorders>
            <w:shd w:val="clear" w:color="auto" w:fill="auto"/>
            <w:vAlign w:val="center"/>
            <w:hideMark/>
          </w:tcPr>
          <w:p w14:paraId="08D67121" w14:textId="77777777" w:rsidR="00B97C31" w:rsidRPr="005A030C" w:rsidRDefault="00B97C31" w:rsidP="00B97C31">
            <w:pPr>
              <w:spacing w:before="40" w:after="40"/>
              <w:jc w:val="left"/>
              <w:rPr>
                <w:sz w:val="20"/>
                <w:szCs w:val="20"/>
                <w:lang w:val="fr-CA" w:eastAsia="zh-CN"/>
              </w:rPr>
            </w:pPr>
          </w:p>
        </w:tc>
        <w:tc>
          <w:tcPr>
            <w:tcW w:w="3003" w:type="dxa"/>
            <w:tcBorders>
              <w:top w:val="single" w:sz="6" w:space="0" w:color="auto"/>
              <w:left w:val="single" w:sz="6" w:space="0" w:color="auto"/>
              <w:bottom w:val="single" w:sz="6" w:space="0" w:color="4472C4"/>
              <w:right w:val="single" w:sz="6" w:space="0" w:color="auto"/>
            </w:tcBorders>
            <w:shd w:val="clear" w:color="auto" w:fill="DAE3F3"/>
            <w:hideMark/>
          </w:tcPr>
          <w:p w14:paraId="25BEAFEB"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12. Exhaustif et/ou compatible</w:t>
            </w:r>
          </w:p>
        </w:tc>
        <w:tc>
          <w:tcPr>
            <w:tcW w:w="9270" w:type="dxa"/>
            <w:tcBorders>
              <w:top w:val="single" w:sz="6" w:space="0" w:color="auto"/>
              <w:left w:val="single" w:sz="6" w:space="0" w:color="auto"/>
              <w:bottom w:val="single" w:sz="6" w:space="0" w:color="4472C4"/>
              <w:right w:val="single" w:sz="6" w:space="0" w:color="4472C4"/>
            </w:tcBorders>
            <w:shd w:val="clear" w:color="auto" w:fill="DAE3F3"/>
            <w:hideMark/>
          </w:tcPr>
          <w:p w14:paraId="1F6F954D"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Mesure dans laquelle l’option couvre tous les besoins/</w:t>
            </w:r>
            <w:r>
              <w:rPr>
                <w:sz w:val="20"/>
                <w:szCs w:val="20"/>
                <w:lang w:val="fr-CA" w:eastAsia="zh-CN"/>
              </w:rPr>
              <w:t>l’</w:t>
            </w:r>
            <w:r w:rsidRPr="005A030C">
              <w:rPr>
                <w:sz w:val="20"/>
                <w:szCs w:val="20"/>
                <w:lang w:val="fr-CA" w:eastAsia="zh-CN"/>
              </w:rPr>
              <w:t xml:space="preserve">étendue, ou compatibilité des options </w:t>
            </w:r>
            <w:r>
              <w:rPr>
                <w:sz w:val="20"/>
                <w:szCs w:val="20"/>
                <w:lang w:val="fr-CA" w:eastAsia="zh-CN"/>
              </w:rPr>
              <w:t>avec les</w:t>
            </w:r>
            <w:r w:rsidRPr="005A030C">
              <w:rPr>
                <w:sz w:val="20"/>
                <w:szCs w:val="20"/>
                <w:lang w:val="fr-CA" w:eastAsia="zh-CN"/>
              </w:rPr>
              <w:t xml:space="preserve"> autres </w:t>
            </w:r>
            <w:proofErr w:type="gramStart"/>
            <w:r w:rsidRPr="005A030C">
              <w:rPr>
                <w:sz w:val="20"/>
                <w:szCs w:val="20"/>
                <w:lang w:val="fr-CA" w:eastAsia="zh-CN"/>
              </w:rPr>
              <w:t>de manière à ce</w:t>
            </w:r>
            <w:proofErr w:type="gramEnd"/>
            <w:r w:rsidRPr="005A030C">
              <w:rPr>
                <w:sz w:val="20"/>
                <w:szCs w:val="20"/>
                <w:lang w:val="fr-CA" w:eastAsia="zh-CN"/>
              </w:rPr>
              <w:t xml:space="preserve"> que le cadre général répond</w:t>
            </w:r>
            <w:r>
              <w:rPr>
                <w:sz w:val="20"/>
                <w:szCs w:val="20"/>
                <w:lang w:val="fr-CA" w:eastAsia="zh-CN"/>
              </w:rPr>
              <w:t>e</w:t>
            </w:r>
            <w:r w:rsidRPr="005A030C">
              <w:rPr>
                <w:sz w:val="20"/>
                <w:szCs w:val="20"/>
                <w:lang w:val="fr-CA" w:eastAsia="zh-CN"/>
              </w:rPr>
              <w:t xml:space="preserve"> à tous les besoins /</w:t>
            </w:r>
            <w:r>
              <w:rPr>
                <w:sz w:val="20"/>
                <w:szCs w:val="20"/>
                <w:lang w:val="fr-CA" w:eastAsia="zh-CN"/>
              </w:rPr>
              <w:t>l’</w:t>
            </w:r>
            <w:r w:rsidRPr="005A030C">
              <w:rPr>
                <w:sz w:val="20"/>
                <w:szCs w:val="20"/>
                <w:lang w:val="fr-CA" w:eastAsia="zh-CN"/>
              </w:rPr>
              <w:t>étendue</w:t>
            </w:r>
          </w:p>
          <w:p w14:paraId="16BF7707" w14:textId="77777777" w:rsidR="00B97C31" w:rsidRPr="005A030C" w:rsidRDefault="00B97C31" w:rsidP="00B97C31">
            <w:pPr>
              <w:spacing w:before="40" w:after="40"/>
              <w:jc w:val="left"/>
              <w:textAlignment w:val="baseline"/>
              <w:rPr>
                <w:sz w:val="20"/>
                <w:szCs w:val="20"/>
                <w:lang w:val="fr-CA" w:eastAsia="zh-CN"/>
              </w:rPr>
            </w:pPr>
            <w:r w:rsidRPr="005A030C">
              <w:rPr>
                <w:sz w:val="20"/>
                <w:szCs w:val="20"/>
                <w:lang w:val="fr-CA" w:eastAsia="zh-CN"/>
              </w:rPr>
              <w:t>Preuve future (adaptabilité du cadre, probabilité que le cadre demeure efficace et efficient face aux futurs développements technologiques</w:t>
            </w:r>
            <w:r>
              <w:rPr>
                <w:sz w:val="20"/>
                <w:szCs w:val="20"/>
                <w:lang w:val="fr-CA" w:eastAsia="zh-CN"/>
              </w:rPr>
              <w:t>)</w:t>
            </w:r>
          </w:p>
        </w:tc>
      </w:tr>
    </w:tbl>
    <w:p w14:paraId="4043AE5B" w14:textId="77777777" w:rsidR="00B97C31" w:rsidRPr="005A030C" w:rsidRDefault="00B97C31" w:rsidP="00B97C31">
      <w:pPr>
        <w:spacing w:after="240"/>
        <w:jc w:val="left"/>
        <w:textAlignment w:val="baseline"/>
        <w:rPr>
          <w:szCs w:val="22"/>
          <w:lang w:val="fr-CA" w:eastAsia="zh-CN"/>
        </w:rPr>
        <w:sectPr w:rsidR="00B97C31" w:rsidRPr="005A030C" w:rsidSect="00D94922">
          <w:pgSz w:w="15840" w:h="12240" w:orient="landscape"/>
          <w:pgMar w:top="1440" w:right="1134" w:bottom="1440" w:left="567" w:header="709" w:footer="709" w:gutter="0"/>
          <w:cols w:space="708"/>
          <w:docGrid w:linePitch="360"/>
        </w:sectPr>
      </w:pPr>
    </w:p>
    <w:p w14:paraId="7F84A09D" w14:textId="77777777" w:rsidR="00B97C31" w:rsidRPr="005A030C" w:rsidRDefault="00B97C31" w:rsidP="00B97C31">
      <w:pPr>
        <w:jc w:val="center"/>
        <w:rPr>
          <w:rFonts w:eastAsia="Malgun Gothic"/>
          <w:i/>
          <w:iCs/>
          <w:szCs w:val="22"/>
          <w:lang w:val="fr-CA" w:eastAsia="zh-CN"/>
        </w:rPr>
      </w:pPr>
      <w:r w:rsidRPr="005A030C">
        <w:rPr>
          <w:rFonts w:eastAsia="Malgun Gothic"/>
          <w:i/>
          <w:iCs/>
          <w:szCs w:val="22"/>
          <w:lang w:val="fr-CA" w:eastAsia="zh-CN"/>
        </w:rPr>
        <w:lastRenderedPageBreak/>
        <w:t>Annexe III</w:t>
      </w:r>
    </w:p>
    <w:p w14:paraId="1E1292C9" w14:textId="77777777" w:rsidR="00B97C31" w:rsidRPr="005A030C" w:rsidRDefault="00B97C31" w:rsidP="00B97C31">
      <w:pPr>
        <w:pStyle w:val="Heading1"/>
        <w:rPr>
          <w:rFonts w:eastAsia="Malgun Gothic"/>
          <w:lang w:val="fr-CA" w:eastAsia="zh-CN"/>
        </w:rPr>
      </w:pPr>
      <w:r w:rsidRPr="005A030C">
        <w:rPr>
          <w:rFonts w:eastAsia="Malgun Gothic"/>
          <w:lang w:val="fr-CA" w:eastAsia="zh-CN"/>
        </w:rPr>
        <w:t xml:space="preserve">points récapitulatifs du forum de discussion en ligne sur l’information de séquençage numérique sur les ressources génétiques </w:t>
      </w:r>
    </w:p>
    <w:p w14:paraId="4995E44A" w14:textId="77777777" w:rsidR="00B97C31" w:rsidRPr="005A030C" w:rsidRDefault="00B97C31" w:rsidP="00B97C31">
      <w:pPr>
        <w:pStyle w:val="Heading2"/>
        <w:jc w:val="left"/>
        <w:rPr>
          <w:b w:val="0"/>
          <w:bCs w:val="0"/>
          <w:lang w:val="fr-CA"/>
        </w:rPr>
      </w:pPr>
      <w:r w:rsidRPr="005A030C">
        <w:rPr>
          <w:b w:val="0"/>
          <w:bCs w:val="0"/>
          <w:i/>
          <w:iCs w:val="0"/>
          <w:lang w:val="fr-CA"/>
        </w:rPr>
        <w:t xml:space="preserve">Remarque </w:t>
      </w:r>
      <w:r w:rsidRPr="005A030C">
        <w:rPr>
          <w:b w:val="0"/>
          <w:bCs w:val="0"/>
          <w:lang w:val="fr-CA"/>
        </w:rPr>
        <w:t>: Voici un rappel des points soulevés lors des discussions informelles en ligne (21 avril – 3 mai 2021) organisées dans le but d’échanger de l’information et des points de vue sur les options stratégiques et les critères de l’ISN. Les éléments de discussion et les commentaires sont publiés sur le site Web de la Convention sur la diversité biologique.</w:t>
      </w:r>
      <w:r w:rsidRPr="005A030C">
        <w:rPr>
          <w:rStyle w:val="FootnoteReference"/>
          <w:b w:val="0"/>
          <w:bCs w:val="0"/>
          <w:lang w:val="fr-CA"/>
        </w:rPr>
        <w:footnoteReference w:id="19"/>
      </w:r>
      <w:r w:rsidRPr="005A030C">
        <w:rPr>
          <w:b w:val="0"/>
          <w:bCs w:val="0"/>
          <w:lang w:val="fr-CA"/>
        </w:rPr>
        <w:t xml:space="preserve"> Cette information est fournie sous réserve de la position officielle des Parties et des observateurs sur ces questions. </w:t>
      </w:r>
    </w:p>
    <w:p w14:paraId="1663B85D" w14:textId="77777777" w:rsidR="00B97C31" w:rsidRPr="005A030C" w:rsidRDefault="00B97C31" w:rsidP="00B97C31">
      <w:pPr>
        <w:pStyle w:val="Heading2"/>
        <w:rPr>
          <w:lang w:val="fr-CA"/>
        </w:rPr>
      </w:pPr>
      <w:proofErr w:type="gramStart"/>
      <w:r w:rsidRPr="005A030C">
        <w:rPr>
          <w:lang w:val="fr-CA"/>
        </w:rPr>
        <w:t>Remarques les</w:t>
      </w:r>
      <w:proofErr w:type="gramEnd"/>
      <w:r w:rsidRPr="005A030C">
        <w:rPr>
          <w:lang w:val="fr-CA"/>
        </w:rPr>
        <w:t xml:space="preserve"> plus fréquentes/pertinentes</w:t>
      </w:r>
    </w:p>
    <w:p w14:paraId="0AA47439" w14:textId="77777777" w:rsidR="00B97C31" w:rsidRPr="005A030C" w:rsidRDefault="00B97C31" w:rsidP="00B97C31">
      <w:pPr>
        <w:spacing w:before="120" w:after="120"/>
        <w:rPr>
          <w:u w:val="single"/>
          <w:lang w:val="fr-CA"/>
        </w:rPr>
      </w:pPr>
      <w:r w:rsidRPr="005A030C">
        <w:rPr>
          <w:b/>
          <w:bCs/>
          <w:lang w:val="fr-CA"/>
        </w:rPr>
        <w:t>Généralités</w:t>
      </w:r>
    </w:p>
    <w:p w14:paraId="620B572B"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 xml:space="preserve">Sur les données : </w:t>
      </w:r>
    </w:p>
    <w:p w14:paraId="681BE9C1" w14:textId="77777777" w:rsidR="00B97C31" w:rsidRPr="005A030C" w:rsidRDefault="00B97C31" w:rsidP="00B97C31">
      <w:pPr>
        <w:pStyle w:val="ListParagraph"/>
        <w:numPr>
          <w:ilvl w:val="1"/>
          <w:numId w:val="37"/>
        </w:numPr>
        <w:spacing w:before="120" w:after="120"/>
        <w:ind w:left="720"/>
        <w:contextualSpacing w:val="0"/>
        <w:jc w:val="left"/>
        <w:rPr>
          <w:lang w:val="fr-CA"/>
        </w:rPr>
      </w:pPr>
      <w:r w:rsidRPr="005A030C">
        <w:rPr>
          <w:lang w:val="fr-CA"/>
        </w:rPr>
        <w:t xml:space="preserve">L’accès ne doit pas être restreint dans le but de protéger l’innovation, élimine le magasinage des compétences, </w:t>
      </w:r>
      <w:r>
        <w:rPr>
          <w:lang w:val="fr-CA"/>
        </w:rPr>
        <w:t>réduction au minimum d</w:t>
      </w:r>
      <w:r w:rsidRPr="005A030C">
        <w:rPr>
          <w:lang w:val="fr-CA"/>
        </w:rPr>
        <w:t>es coûts d’obtention de l’information naturelle</w:t>
      </w:r>
    </w:p>
    <w:p w14:paraId="11E388DA" w14:textId="77777777" w:rsidR="00B97C31" w:rsidRPr="005A030C" w:rsidRDefault="00B97C31" w:rsidP="00B97C31">
      <w:pPr>
        <w:pStyle w:val="ListParagraph"/>
        <w:numPr>
          <w:ilvl w:val="1"/>
          <w:numId w:val="37"/>
        </w:numPr>
        <w:spacing w:before="120" w:after="120"/>
        <w:ind w:left="720"/>
        <w:contextualSpacing w:val="0"/>
        <w:jc w:val="left"/>
        <w:rPr>
          <w:lang w:val="fr-CA"/>
        </w:rPr>
      </w:pPr>
      <w:r w:rsidRPr="005A030C">
        <w:rPr>
          <w:lang w:val="fr-CA"/>
        </w:rPr>
        <w:t>Doit être FAIR (facile à trouver, accessible, interopérable, réutilisable)</w:t>
      </w:r>
    </w:p>
    <w:p w14:paraId="6105D0B6" w14:textId="77777777" w:rsidR="00B97C31" w:rsidRPr="005A030C" w:rsidRDefault="00B97C31" w:rsidP="00B97C31">
      <w:pPr>
        <w:pStyle w:val="ListParagraph"/>
        <w:numPr>
          <w:ilvl w:val="1"/>
          <w:numId w:val="37"/>
        </w:numPr>
        <w:spacing w:before="120" w:after="120"/>
        <w:ind w:left="720"/>
        <w:contextualSpacing w:val="0"/>
        <w:jc w:val="left"/>
        <w:rPr>
          <w:lang w:val="fr-CA"/>
        </w:rPr>
      </w:pPr>
      <w:r w:rsidRPr="005A030C">
        <w:rPr>
          <w:lang w:val="fr-CA"/>
        </w:rPr>
        <w:t xml:space="preserve"> La comparaison des données doit être considérée comme un visionnement et non une utilisation des données (et être </w:t>
      </w:r>
      <w:r>
        <w:rPr>
          <w:lang w:val="fr-CA"/>
        </w:rPr>
        <w:t>soustraite à</w:t>
      </w:r>
      <w:r w:rsidRPr="005A030C">
        <w:rPr>
          <w:lang w:val="fr-CA"/>
        </w:rPr>
        <w:t xml:space="preserve"> toute obligation relative à l’utilisation des données)</w:t>
      </w:r>
    </w:p>
    <w:p w14:paraId="3724B4D4" w14:textId="77777777" w:rsidR="00B97C31" w:rsidRPr="005A030C" w:rsidRDefault="00B97C31" w:rsidP="00B97C31">
      <w:pPr>
        <w:pStyle w:val="ListParagraph"/>
        <w:numPr>
          <w:ilvl w:val="1"/>
          <w:numId w:val="37"/>
        </w:numPr>
        <w:spacing w:before="120" w:after="120"/>
        <w:ind w:left="720"/>
        <w:contextualSpacing w:val="0"/>
        <w:jc w:val="left"/>
        <w:rPr>
          <w:lang w:val="fr-CA"/>
        </w:rPr>
      </w:pPr>
      <w:r w:rsidRPr="005A030C">
        <w:rPr>
          <w:lang w:val="fr-CA"/>
        </w:rPr>
        <w:t>Le libre accès ne sera un succès que si tout le monde peut utiliser les données et en tirer des avantages</w:t>
      </w:r>
    </w:p>
    <w:p w14:paraId="1639F346"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La définition de l’ISN a des conséquences pratiques pour l’option stratégique</w:t>
      </w:r>
    </w:p>
    <w:p w14:paraId="48367821"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La conversation doit être plus pratique que théorique</w:t>
      </w:r>
    </w:p>
    <w:p w14:paraId="6CAB7090"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L’accès et le partage des avantages doivent être indépendants dans les échanges sur l’ISN</w:t>
      </w:r>
    </w:p>
    <w:p w14:paraId="080A37B5"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Il y a urgence de convenir d’un moyen d’aller de l’avant concernant l’ISN</w:t>
      </w:r>
    </w:p>
    <w:p w14:paraId="0B07C3BE" w14:textId="77777777" w:rsidR="00B97C31" w:rsidRPr="005A030C" w:rsidRDefault="00B97C31" w:rsidP="00B97C31">
      <w:pPr>
        <w:pStyle w:val="ListParagraph"/>
        <w:numPr>
          <w:ilvl w:val="1"/>
          <w:numId w:val="37"/>
        </w:numPr>
        <w:spacing w:before="120" w:after="120"/>
        <w:ind w:left="810"/>
        <w:contextualSpacing w:val="0"/>
        <w:jc w:val="left"/>
        <w:rPr>
          <w:lang w:val="fr-CA"/>
        </w:rPr>
      </w:pPr>
      <w:r w:rsidRPr="005A030C">
        <w:rPr>
          <w:lang w:val="fr-CA"/>
        </w:rPr>
        <w:t>aux fins d’intégration après 2020</w:t>
      </w:r>
    </w:p>
    <w:p w14:paraId="43ED1136" w14:textId="77777777" w:rsidR="00B97C31" w:rsidRPr="005A030C" w:rsidRDefault="00B97C31" w:rsidP="00B97C31">
      <w:pPr>
        <w:pStyle w:val="ListParagraph"/>
        <w:numPr>
          <w:ilvl w:val="1"/>
          <w:numId w:val="37"/>
        </w:numPr>
        <w:spacing w:before="120" w:after="120"/>
        <w:ind w:left="810"/>
        <w:contextualSpacing w:val="0"/>
        <w:jc w:val="left"/>
        <w:rPr>
          <w:lang w:val="fr-CA"/>
        </w:rPr>
      </w:pPr>
      <w:r w:rsidRPr="005A030C">
        <w:rPr>
          <w:lang w:val="fr-CA"/>
        </w:rPr>
        <w:t>afin de ne pas retarder les avantages possibles pour la conservation</w:t>
      </w:r>
    </w:p>
    <w:p w14:paraId="78BA1F81" w14:textId="77777777" w:rsidR="00B97C31" w:rsidRPr="005A030C" w:rsidRDefault="00B97C31" w:rsidP="00B97C31">
      <w:pPr>
        <w:pStyle w:val="ListParagraph"/>
        <w:numPr>
          <w:ilvl w:val="1"/>
          <w:numId w:val="37"/>
        </w:numPr>
        <w:spacing w:before="120" w:after="120"/>
        <w:ind w:left="810"/>
        <w:contextualSpacing w:val="0"/>
        <w:jc w:val="left"/>
        <w:rPr>
          <w:lang w:val="fr-CA"/>
        </w:rPr>
      </w:pPr>
      <w:r w:rsidRPr="005A030C">
        <w:rPr>
          <w:lang w:val="fr-CA"/>
        </w:rPr>
        <w:t>afin que d’autres forums puissent utiliser nos conclusions dans leurs propres échanges</w:t>
      </w:r>
    </w:p>
    <w:p w14:paraId="17577E5E" w14:textId="77777777" w:rsidR="00B97C31" w:rsidRPr="005A030C" w:rsidRDefault="00B97C31" w:rsidP="00B97C31">
      <w:pPr>
        <w:pStyle w:val="ListParagraph"/>
        <w:numPr>
          <w:ilvl w:val="1"/>
          <w:numId w:val="37"/>
        </w:numPr>
        <w:spacing w:before="120" w:after="120"/>
        <w:ind w:left="810"/>
        <w:contextualSpacing w:val="0"/>
        <w:jc w:val="left"/>
        <w:rPr>
          <w:lang w:val="fr-CA"/>
        </w:rPr>
      </w:pPr>
      <w:r w:rsidRPr="005A030C">
        <w:rPr>
          <w:lang w:val="fr-CA"/>
        </w:rPr>
        <w:t xml:space="preserve">les politiques juridiquement contraignantes pourraient causer trop de retards dans la mise en œuvre </w:t>
      </w:r>
    </w:p>
    <w:p w14:paraId="1297A236"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 xml:space="preserve">Les enseignements tirés des négociations et </w:t>
      </w:r>
      <w:r>
        <w:rPr>
          <w:lang w:val="fr-CA"/>
        </w:rPr>
        <w:t xml:space="preserve">des </w:t>
      </w:r>
      <w:r w:rsidRPr="005A030C">
        <w:rPr>
          <w:lang w:val="fr-CA"/>
        </w:rPr>
        <w:t>mises en œuvre de Nagoya doivent entrer en ligne de compte</w:t>
      </w:r>
    </w:p>
    <w:p w14:paraId="5E369EB9"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La base de données est un outil opérationnel de l’information; il faut donc décider d’abord d’un vaste cadre pour l’information</w:t>
      </w:r>
    </w:p>
    <w:p w14:paraId="70740661"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La taxonomie est un bien public international</w:t>
      </w:r>
    </w:p>
    <w:p w14:paraId="2E25BC03"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 xml:space="preserve">Les résultats d’une recherche de base payée avec des fonds publics sont un avantage non monétaire suffisant et ne devraient pas devoir contribuer aux avantages monétaires. </w:t>
      </w:r>
    </w:p>
    <w:p w14:paraId="78AA93D5"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Les propriétaires de la technologie et les propriétaires du germoplasme doivent en arriver à un compromis sur le partage des avantages et le transfert de technologie</w:t>
      </w:r>
    </w:p>
    <w:p w14:paraId="42F63CED"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Les modalités du partage des avantages auront une influence sur l’examen des option</w:t>
      </w:r>
      <w:r>
        <w:rPr>
          <w:lang w:val="fr-CA"/>
        </w:rPr>
        <w:t>s</w:t>
      </w:r>
    </w:p>
    <w:p w14:paraId="7B8C3553"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lastRenderedPageBreak/>
        <w:t>Une surveillance réglementaire du partage des avantages pourrait être assurée au niveau des pays/</w:t>
      </w:r>
      <w:r>
        <w:rPr>
          <w:lang w:val="fr-CA"/>
        </w:rPr>
        <w:t>territoires</w:t>
      </w:r>
      <w:r w:rsidRPr="005A030C">
        <w:rPr>
          <w:lang w:val="fr-CA"/>
        </w:rPr>
        <w:t xml:space="preserve"> ou </w:t>
      </w:r>
      <w:r>
        <w:rPr>
          <w:lang w:val="fr-CA"/>
        </w:rPr>
        <w:t>dépendra</w:t>
      </w:r>
      <w:r w:rsidRPr="005A030C">
        <w:rPr>
          <w:lang w:val="fr-CA"/>
        </w:rPr>
        <w:t xml:space="preserve"> des efforts des fournisseurs civils </w:t>
      </w:r>
      <w:r>
        <w:rPr>
          <w:lang w:val="fr-CA"/>
        </w:rPr>
        <w:t>pour</w:t>
      </w:r>
      <w:r w:rsidRPr="005A030C">
        <w:rPr>
          <w:lang w:val="fr-CA"/>
        </w:rPr>
        <w:t xml:space="preserve"> poursuivre les cas fraudul</w:t>
      </w:r>
      <w:r>
        <w:rPr>
          <w:lang w:val="fr-CA"/>
        </w:rPr>
        <w:t>eux (ce qui entraîne le nommage et le</w:t>
      </w:r>
      <w:r w:rsidRPr="005A030C">
        <w:rPr>
          <w:lang w:val="fr-CA"/>
        </w:rPr>
        <w:t xml:space="preserve"> lieu géographique de l’activité)</w:t>
      </w:r>
    </w:p>
    <w:p w14:paraId="4CE69A34" w14:textId="77777777" w:rsidR="00B97C31" w:rsidRPr="005A030C" w:rsidRDefault="00B97C31" w:rsidP="00B97C31">
      <w:pPr>
        <w:pStyle w:val="ListParagraph"/>
        <w:numPr>
          <w:ilvl w:val="0"/>
          <w:numId w:val="37"/>
        </w:numPr>
        <w:spacing w:before="120" w:after="120"/>
        <w:ind w:left="360"/>
        <w:contextualSpacing w:val="0"/>
        <w:jc w:val="left"/>
        <w:rPr>
          <w:lang w:val="fr-CA"/>
        </w:rPr>
      </w:pPr>
      <w:r w:rsidRPr="005A030C">
        <w:rPr>
          <w:lang w:val="fr-CA"/>
        </w:rPr>
        <w:t>Il faut mettre l’accent sur ce qui se fait au niveau de l’ISN et ses répercussions sur la société et la biodiversité</w:t>
      </w:r>
    </w:p>
    <w:p w14:paraId="45B689D8" w14:textId="77777777" w:rsidR="00B97C31" w:rsidRPr="005A030C" w:rsidRDefault="00B97C31" w:rsidP="00B97C31">
      <w:pPr>
        <w:spacing w:before="120" w:after="120"/>
        <w:rPr>
          <w:lang w:val="fr-CA"/>
        </w:rPr>
      </w:pPr>
      <w:r w:rsidRPr="005A030C">
        <w:rPr>
          <w:b/>
          <w:bCs/>
          <w:lang w:val="fr-CA"/>
        </w:rPr>
        <w:t>Options stratégiques</w:t>
      </w:r>
    </w:p>
    <w:p w14:paraId="06D2EBDA" w14:textId="77777777" w:rsidR="00B97C31" w:rsidRPr="005A030C" w:rsidRDefault="00B97C31" w:rsidP="00B97C31">
      <w:pPr>
        <w:pStyle w:val="ListParagraph"/>
        <w:numPr>
          <w:ilvl w:val="0"/>
          <w:numId w:val="37"/>
        </w:numPr>
        <w:spacing w:before="120" w:after="120"/>
        <w:ind w:left="360"/>
        <w:contextualSpacing w:val="0"/>
        <w:rPr>
          <w:b/>
          <w:bCs/>
          <w:lang w:val="fr-CA"/>
        </w:rPr>
      </w:pPr>
      <w:r w:rsidRPr="005A030C">
        <w:rPr>
          <w:lang w:val="fr-CA"/>
        </w:rPr>
        <w:t>Un programme de récompenses pour la production d’ISN, l’innovation pourrait être facilitée et encouragée</w:t>
      </w:r>
    </w:p>
    <w:p w14:paraId="64AECF81" w14:textId="77777777" w:rsidR="00B97C31" w:rsidRPr="005A030C" w:rsidRDefault="00B97C31" w:rsidP="00B97C31">
      <w:pPr>
        <w:pStyle w:val="ListParagraph"/>
        <w:numPr>
          <w:ilvl w:val="0"/>
          <w:numId w:val="37"/>
        </w:numPr>
        <w:spacing w:before="120" w:after="120"/>
        <w:ind w:left="360"/>
        <w:contextualSpacing w:val="0"/>
        <w:rPr>
          <w:b/>
          <w:bCs/>
          <w:lang w:val="fr-CA"/>
        </w:rPr>
      </w:pPr>
      <w:r w:rsidRPr="005A030C">
        <w:rPr>
          <w:lang w:val="fr-CA"/>
        </w:rPr>
        <w:t>Éviter/réduire au minimum les coûts de transaction, la bureaucratie, le fardeau de la conformité</w:t>
      </w:r>
    </w:p>
    <w:p w14:paraId="215B6261" w14:textId="77777777" w:rsidR="00B97C31" w:rsidRPr="005A030C" w:rsidRDefault="00B97C31" w:rsidP="00B97C31">
      <w:pPr>
        <w:pStyle w:val="ListParagraph"/>
        <w:numPr>
          <w:ilvl w:val="0"/>
          <w:numId w:val="37"/>
        </w:numPr>
        <w:spacing w:before="120" w:after="120"/>
        <w:ind w:left="360"/>
        <w:contextualSpacing w:val="0"/>
        <w:rPr>
          <w:b/>
          <w:bCs/>
          <w:lang w:val="fr-CA"/>
        </w:rPr>
      </w:pPr>
      <w:r w:rsidRPr="005A030C">
        <w:rPr>
          <w:lang w:val="fr-CA"/>
        </w:rPr>
        <w:t>Garantir la certitude légale et les coûts prévisibles pour les utilisateurs, afin d’encourager les investissements</w:t>
      </w:r>
    </w:p>
    <w:p w14:paraId="49D9E6E6"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 xml:space="preserve">Autres options stratégiques : </w:t>
      </w:r>
    </w:p>
    <w:p w14:paraId="477BE038" w14:textId="77777777"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 xml:space="preserve">Doit-on envisager des projets de mobilisation plus vastes? </w:t>
      </w:r>
    </w:p>
    <w:p w14:paraId="765595F0" w14:textId="77777777" w:rsidR="00B97C31" w:rsidRPr="005A030C" w:rsidRDefault="00B97C31" w:rsidP="00B97C31">
      <w:pPr>
        <w:pStyle w:val="ListParagraph"/>
        <w:numPr>
          <w:ilvl w:val="3"/>
          <w:numId w:val="37"/>
        </w:numPr>
        <w:spacing w:before="120" w:after="120"/>
        <w:ind w:left="1080"/>
        <w:contextualSpacing w:val="0"/>
        <w:rPr>
          <w:lang w:val="fr-CA"/>
        </w:rPr>
      </w:pPr>
      <w:r w:rsidRPr="005A030C">
        <w:rPr>
          <w:lang w:val="fr-CA"/>
        </w:rPr>
        <w:t>Option 3.2. Les obligations ou étiquettes de la biodiversité peuvent dépasser les limites de l’ISN</w:t>
      </w:r>
    </w:p>
    <w:p w14:paraId="4C6610F9" w14:textId="77777777"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Options stratégiques multilatérales et universelles (harmonisées ou interdisciplinaires)</w:t>
      </w:r>
    </w:p>
    <w:p w14:paraId="02A5F2CF" w14:textId="77777777" w:rsidR="00B97C31" w:rsidRPr="005A030C" w:rsidRDefault="00B97C31" w:rsidP="00B97C31">
      <w:pPr>
        <w:pStyle w:val="ListParagraph"/>
        <w:numPr>
          <w:ilvl w:val="3"/>
          <w:numId w:val="37"/>
        </w:numPr>
        <w:spacing w:before="120" w:after="120"/>
        <w:ind w:left="1080"/>
        <w:contextualSpacing w:val="0"/>
        <w:rPr>
          <w:lang w:val="fr-CA"/>
        </w:rPr>
      </w:pPr>
      <w:r w:rsidRPr="005A030C">
        <w:rPr>
          <w:lang w:val="fr-CA"/>
        </w:rPr>
        <w:t xml:space="preserve">Comme moyen de </w:t>
      </w:r>
      <w:r>
        <w:rPr>
          <w:lang w:val="fr-CA"/>
        </w:rPr>
        <w:t>créer</w:t>
      </w:r>
      <w:r w:rsidRPr="005A030C">
        <w:rPr>
          <w:lang w:val="fr-CA"/>
        </w:rPr>
        <w:t xml:space="preserve"> un lien à l’échelle des régimes de la biodiversité et des forums internationaux. </w:t>
      </w:r>
    </w:p>
    <w:p w14:paraId="33609437" w14:textId="350C948C"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 xml:space="preserve">Les gouvernements des pays effectuent des paiements de partage des avantages fondés sur les niveaux d’activité commerciale pertinents des entreprises situées sur leur territoire. Ces avantages peuvent servir pour répondre aux priorités </w:t>
      </w:r>
      <w:r w:rsidR="00D17D62">
        <w:rPr>
          <w:lang w:val="fr-CA"/>
        </w:rPr>
        <w:t>du cadre mondial de la biodiversité pour l'après-2020</w:t>
      </w:r>
      <w:r w:rsidRPr="005A030C">
        <w:rPr>
          <w:lang w:val="fr-CA"/>
        </w:rPr>
        <w:t>. Les entreprises peuvent tenter d’en récupérer une partie sur leur territoire.</w:t>
      </w:r>
    </w:p>
    <w:p w14:paraId="1B22D17C" w14:textId="1D380915"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 xml:space="preserve">Les options stratégiques doivent inclure le contexte </w:t>
      </w:r>
      <w:r>
        <w:rPr>
          <w:lang w:val="fr-CA"/>
        </w:rPr>
        <w:t>dans lequel</w:t>
      </w:r>
      <w:r w:rsidRPr="005A030C">
        <w:rPr>
          <w:lang w:val="fr-CA"/>
        </w:rPr>
        <w:t xml:space="preserve"> elles s’appliquent (</w:t>
      </w:r>
      <w:r w:rsidR="00D17D62">
        <w:rPr>
          <w:lang w:val="fr-CA"/>
        </w:rPr>
        <w:t xml:space="preserve">Convention sur la diversité biologique ou Protocole de </w:t>
      </w:r>
      <w:r w:rsidRPr="005A030C">
        <w:rPr>
          <w:lang w:val="fr-CA"/>
        </w:rPr>
        <w:t>Nagoya)</w:t>
      </w:r>
    </w:p>
    <w:p w14:paraId="21CB41D0"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Les avantages non monétaires devraient faire partie de toutes les options de solutions</w:t>
      </w:r>
    </w:p>
    <w:p w14:paraId="0DA89225" w14:textId="2CF45514"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 xml:space="preserve">La plateforme suggérée par </w:t>
      </w:r>
      <w:proofErr w:type="spellStart"/>
      <w:r w:rsidR="00D17D62">
        <w:rPr>
          <w:lang w:val="fr-CA"/>
        </w:rPr>
        <w:t>Elisa</w:t>
      </w:r>
      <w:proofErr w:type="spellEnd"/>
      <w:r w:rsidR="00D17D62">
        <w:rPr>
          <w:lang w:val="fr-CA"/>
        </w:rPr>
        <w:t xml:space="preserve"> </w:t>
      </w:r>
      <w:proofErr w:type="spellStart"/>
      <w:r w:rsidRPr="005A030C">
        <w:rPr>
          <w:lang w:val="fr-CA"/>
        </w:rPr>
        <w:t>Morger</w:t>
      </w:r>
      <w:r>
        <w:rPr>
          <w:lang w:val="fr-CA"/>
        </w:rPr>
        <w:t>a</w:t>
      </w:r>
      <w:proofErr w:type="spellEnd"/>
      <w:r>
        <w:rPr>
          <w:lang w:val="fr-CA"/>
        </w:rPr>
        <w:t xml:space="preserve"> dans son étude par le Royaume-</w:t>
      </w:r>
      <w:r w:rsidRPr="005A030C">
        <w:rPr>
          <w:lang w:val="fr-CA"/>
        </w:rPr>
        <w:t xml:space="preserve">Uni </w:t>
      </w:r>
      <w:r w:rsidR="00D17D62">
        <w:rPr>
          <w:lang w:val="fr-CA"/>
        </w:rPr>
        <w:t xml:space="preserve">de Grande-Bretagne et d’Irlande du Nord </w:t>
      </w:r>
      <w:r w:rsidRPr="005A030C">
        <w:rPr>
          <w:lang w:val="fr-CA"/>
        </w:rPr>
        <w:t>doit être examinée, car elle combine l’échange de connaissances</w:t>
      </w:r>
      <w:r>
        <w:rPr>
          <w:lang w:val="fr-CA"/>
        </w:rPr>
        <w:t>,</w:t>
      </w:r>
      <w:r w:rsidRPr="005A030C">
        <w:rPr>
          <w:lang w:val="fr-CA"/>
        </w:rPr>
        <w:t xml:space="preserve"> le renforcement des capacités, le transfert de technologie, la coopération et la coproduction de solutions d’ISN. </w:t>
      </w:r>
    </w:p>
    <w:p w14:paraId="16FB5728"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 xml:space="preserve">Les avantages non monétaires pourraient être intégrés </w:t>
      </w:r>
      <w:r>
        <w:rPr>
          <w:lang w:val="fr-CA"/>
        </w:rPr>
        <w:t>d</w:t>
      </w:r>
      <w:r w:rsidRPr="005A030C">
        <w:rPr>
          <w:lang w:val="fr-CA"/>
        </w:rPr>
        <w:t>ans le flux de financement de la recherche des pays plus riches</w:t>
      </w:r>
    </w:p>
    <w:p w14:paraId="434B5879"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Les données ouvertes et le partage juste et équitable des avantages excluent les options 0, 1 et 5</w:t>
      </w:r>
    </w:p>
    <w:p w14:paraId="3C8DE39D" w14:textId="10876C05"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L’option 2.2 est semblable à l’option de partage des avantages par défaut de l’article 6.7 de l</w:t>
      </w:r>
      <w:r w:rsidR="00D17D62">
        <w:rPr>
          <w:lang w:val="fr-CA"/>
        </w:rPr>
        <w:t>’accord type de transfert multilatéral</w:t>
      </w:r>
      <w:r w:rsidRPr="005A030C">
        <w:rPr>
          <w:lang w:val="fr-CA"/>
        </w:rPr>
        <w:t xml:space="preserve"> du Traité sur les ressources phytogénétiques</w:t>
      </w:r>
    </w:p>
    <w:p w14:paraId="2A61C6B8" w14:textId="77777777" w:rsidR="00B97C31" w:rsidRPr="005A030C" w:rsidRDefault="00B97C31" w:rsidP="00B97C31">
      <w:pPr>
        <w:spacing w:before="120" w:after="120"/>
        <w:rPr>
          <w:b/>
          <w:bCs/>
          <w:lang w:val="fr-CA"/>
        </w:rPr>
      </w:pPr>
      <w:r w:rsidRPr="005A030C">
        <w:rPr>
          <w:b/>
          <w:bCs/>
          <w:lang w:val="fr-CA"/>
        </w:rPr>
        <w:t>Critères</w:t>
      </w:r>
    </w:p>
    <w:p w14:paraId="04113BAB"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 xml:space="preserve">Le libre accès (et la facilitation de l’innovation) et les avantages justes et équitables ne sont pas antithétiques et devraient être des principes globaux des options stratégiques de l’ISN </w:t>
      </w:r>
    </w:p>
    <w:p w14:paraId="242AB2CA"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Répartition des fonds :</w:t>
      </w:r>
    </w:p>
    <w:p w14:paraId="1519B48B" w14:textId="77777777"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La contribution à la conservation doit être un objectif général; la biodiversité serait l</w:t>
      </w:r>
      <w:r>
        <w:rPr>
          <w:lang w:val="fr-CA"/>
        </w:rPr>
        <w:t>a première</w:t>
      </w:r>
      <w:r w:rsidRPr="005A030C">
        <w:rPr>
          <w:lang w:val="fr-CA"/>
        </w:rPr>
        <w:t xml:space="preserve"> bénéficiaire</w:t>
      </w:r>
    </w:p>
    <w:p w14:paraId="16300513" w14:textId="77777777" w:rsidR="00B97C31" w:rsidRDefault="00B97C31" w:rsidP="00B97C31">
      <w:pPr>
        <w:pStyle w:val="ListParagraph"/>
        <w:numPr>
          <w:ilvl w:val="1"/>
          <w:numId w:val="37"/>
        </w:numPr>
        <w:spacing w:before="120" w:after="120"/>
        <w:ind w:left="720"/>
        <w:contextualSpacing w:val="0"/>
        <w:rPr>
          <w:lang w:val="fr-CA"/>
        </w:rPr>
      </w:pPr>
      <w:r w:rsidRPr="005A030C">
        <w:rPr>
          <w:lang w:val="fr-CA"/>
        </w:rPr>
        <w:t>Les sommes doivent servir au renforcement des capacités</w:t>
      </w:r>
    </w:p>
    <w:p w14:paraId="217DC961" w14:textId="77777777" w:rsidR="006D0CFE" w:rsidRDefault="006D0CFE" w:rsidP="006D0CFE">
      <w:pPr>
        <w:pStyle w:val="ListParagraph"/>
        <w:spacing w:before="120" w:after="120"/>
        <w:contextualSpacing w:val="0"/>
        <w:rPr>
          <w:lang w:val="fr-CA"/>
        </w:rPr>
      </w:pPr>
    </w:p>
    <w:p w14:paraId="71A349E1" w14:textId="77777777" w:rsidR="006D0CFE" w:rsidRPr="005A030C" w:rsidRDefault="006D0CFE" w:rsidP="006D0CFE">
      <w:pPr>
        <w:pStyle w:val="ListParagraph"/>
        <w:spacing w:before="120" w:after="120"/>
        <w:contextualSpacing w:val="0"/>
        <w:rPr>
          <w:lang w:val="fr-CA"/>
        </w:rPr>
      </w:pPr>
    </w:p>
    <w:p w14:paraId="4B3F75CE"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Critères de deuxième niveau</w:t>
      </w:r>
    </w:p>
    <w:p w14:paraId="5C9739C0" w14:textId="77777777"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Réduire au minimum l’arbitrage réglementaire</w:t>
      </w:r>
    </w:p>
    <w:p w14:paraId="308F5364" w14:textId="77777777"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Réduire au minimum la complexité réglementaire</w:t>
      </w:r>
    </w:p>
    <w:p w14:paraId="057EF89A" w14:textId="77777777"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Réduire au minimum les coûts de transaction</w:t>
      </w:r>
    </w:p>
    <w:p w14:paraId="7313D42E" w14:textId="77777777" w:rsidR="00B97C31" w:rsidRPr="005A030C" w:rsidRDefault="00B97C31" w:rsidP="00B97C31">
      <w:pPr>
        <w:pStyle w:val="ListParagraph"/>
        <w:numPr>
          <w:ilvl w:val="1"/>
          <w:numId w:val="37"/>
        </w:numPr>
        <w:spacing w:before="120" w:after="120"/>
        <w:ind w:left="720"/>
        <w:contextualSpacing w:val="0"/>
        <w:rPr>
          <w:lang w:val="fr-CA"/>
        </w:rPr>
      </w:pPr>
      <w:r w:rsidRPr="005A030C">
        <w:rPr>
          <w:lang w:val="fr-CA"/>
        </w:rPr>
        <w:t xml:space="preserve">Réduire au minimum les coûts de mise en œuvre </w:t>
      </w:r>
    </w:p>
    <w:p w14:paraId="5ABFD74E" w14:textId="77777777" w:rsidR="00B97C31" w:rsidRPr="005A030C" w:rsidRDefault="00B97C31" w:rsidP="00B97C31">
      <w:pPr>
        <w:pStyle w:val="ListParagraph"/>
        <w:numPr>
          <w:ilvl w:val="0"/>
          <w:numId w:val="37"/>
        </w:numPr>
        <w:spacing w:before="120" w:after="120"/>
        <w:ind w:left="360"/>
        <w:contextualSpacing w:val="0"/>
        <w:rPr>
          <w:lang w:val="fr-CA"/>
        </w:rPr>
      </w:pPr>
      <w:r w:rsidRPr="005A030C">
        <w:rPr>
          <w:lang w:val="fr-CA"/>
        </w:rPr>
        <w:t xml:space="preserve">Critères supplémentaires : réversibilité (pour s’adapter aux développements technologiques), viabilité, applicabilité. </w:t>
      </w:r>
    </w:p>
    <w:p w14:paraId="0CB3A913" w14:textId="77777777" w:rsidR="00B97C31" w:rsidRPr="005A030C" w:rsidRDefault="00B97C31" w:rsidP="00B97C31">
      <w:pPr>
        <w:pStyle w:val="Heading2"/>
        <w:rPr>
          <w:lang w:val="fr-CA"/>
        </w:rPr>
      </w:pPr>
      <w:r w:rsidRPr="005A030C">
        <w:rPr>
          <w:lang w:val="fr-CA"/>
        </w:rPr>
        <w:t>Questions à examiner plus en profondeur</w:t>
      </w:r>
    </w:p>
    <w:p w14:paraId="6369FA4B" w14:textId="77777777" w:rsidR="00B97C31" w:rsidRPr="005A030C" w:rsidRDefault="00B97C31" w:rsidP="00B97C31">
      <w:pPr>
        <w:pStyle w:val="ListParagraph"/>
        <w:numPr>
          <w:ilvl w:val="0"/>
          <w:numId w:val="36"/>
        </w:numPr>
        <w:spacing w:before="120" w:after="120"/>
        <w:ind w:left="360"/>
        <w:contextualSpacing w:val="0"/>
        <w:jc w:val="left"/>
        <w:rPr>
          <w:lang w:val="fr-CA"/>
        </w:rPr>
      </w:pPr>
      <w:r w:rsidRPr="005A030C">
        <w:rPr>
          <w:lang w:val="fr-CA"/>
        </w:rPr>
        <w:t xml:space="preserve">Flux général des avantages monétaires : collecte (suivi de la conformité), distribution (gouvernance) et utilisation (gestion des données). Quel critère s’applique à quel élément? </w:t>
      </w:r>
    </w:p>
    <w:p w14:paraId="73B3F884" w14:textId="77777777" w:rsidR="00B97C31" w:rsidRPr="005A030C" w:rsidRDefault="00B97C31" w:rsidP="00B97C31">
      <w:pPr>
        <w:pStyle w:val="ListParagraph"/>
        <w:numPr>
          <w:ilvl w:val="0"/>
          <w:numId w:val="36"/>
        </w:numPr>
        <w:spacing w:before="120" w:after="120"/>
        <w:ind w:left="360"/>
        <w:contextualSpacing w:val="0"/>
        <w:jc w:val="left"/>
        <w:rPr>
          <w:lang w:val="fr-CA"/>
        </w:rPr>
      </w:pPr>
      <w:r w:rsidRPr="005A030C">
        <w:rPr>
          <w:lang w:val="fr-CA"/>
        </w:rPr>
        <w:t xml:space="preserve">Bases de données : </w:t>
      </w:r>
    </w:p>
    <w:p w14:paraId="5A51E806" w14:textId="77777777"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 xml:space="preserve">Est-ce que toutes les sources de données peuvent être conséquentes? Les bases de données publiques et privées </w:t>
      </w:r>
      <w:r>
        <w:rPr>
          <w:lang w:val="fr-CA"/>
        </w:rPr>
        <w:t>comportent</w:t>
      </w:r>
      <w:r w:rsidRPr="005A030C">
        <w:rPr>
          <w:lang w:val="fr-CA"/>
        </w:rPr>
        <w:t xml:space="preserve"> leurs propres obstacles et problèmes.</w:t>
      </w:r>
    </w:p>
    <w:p w14:paraId="133F02A0" w14:textId="0276DA8D"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 xml:space="preserve">Peut-on ajouter l’enregistrement aux bases de données tout en maintenant la liberté des données (p. ex., </w:t>
      </w:r>
      <w:r w:rsidR="006D0CFE">
        <w:rPr>
          <w:lang w:val="fr-CA"/>
        </w:rPr>
        <w:t>Système mondial d’information sur la biodiversité</w:t>
      </w:r>
      <w:r w:rsidRPr="005A030C">
        <w:rPr>
          <w:lang w:val="fr-CA"/>
        </w:rPr>
        <w:t>) afin de permettre le suivi?</w:t>
      </w:r>
      <w:r w:rsidRPr="005A030C">
        <w:rPr>
          <w:lang w:val="fr-CA"/>
        </w:rPr>
        <w:tab/>
      </w:r>
    </w:p>
    <w:p w14:paraId="735482CC" w14:textId="77777777"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Les bases de données sont des tierces parties. Nous devons débattre des données</w:t>
      </w:r>
      <w:r>
        <w:rPr>
          <w:lang w:val="fr-CA"/>
        </w:rPr>
        <w:t xml:space="preserve"> de base. Accepteraient-elles d’y</w:t>
      </w:r>
      <w:r w:rsidRPr="005A030C">
        <w:rPr>
          <w:lang w:val="fr-CA"/>
        </w:rPr>
        <w:t xml:space="preserve"> joindre des conditions?</w:t>
      </w:r>
    </w:p>
    <w:p w14:paraId="0C2AC1AD" w14:textId="77777777" w:rsidR="00B97C31" w:rsidRPr="005A030C" w:rsidRDefault="00B97C31" w:rsidP="00B97C31">
      <w:pPr>
        <w:pStyle w:val="ListParagraph"/>
        <w:numPr>
          <w:ilvl w:val="0"/>
          <w:numId w:val="36"/>
        </w:numPr>
        <w:spacing w:before="120" w:after="120"/>
        <w:ind w:left="360"/>
        <w:contextualSpacing w:val="0"/>
        <w:jc w:val="left"/>
        <w:rPr>
          <w:lang w:val="fr-CA"/>
        </w:rPr>
      </w:pPr>
      <w:r w:rsidRPr="005A030C">
        <w:rPr>
          <w:lang w:val="fr-CA"/>
        </w:rPr>
        <w:t>Il faut examiner/étudier les aspect</w:t>
      </w:r>
      <w:r>
        <w:rPr>
          <w:lang w:val="fr-CA"/>
        </w:rPr>
        <w:t>s</w:t>
      </w:r>
      <w:r w:rsidRPr="005A030C">
        <w:rPr>
          <w:lang w:val="fr-CA"/>
        </w:rPr>
        <w:t xml:space="preserve"> plus économiques des options proposées</w:t>
      </w:r>
    </w:p>
    <w:p w14:paraId="5F54BD2C" w14:textId="77777777"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Définition claire et accessible de l’information naturelle et du loyer économique</w:t>
      </w:r>
    </w:p>
    <w:p w14:paraId="50EA2B15" w14:textId="77777777"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 xml:space="preserve">La théorie de l’économie de l’information est pertinente à l’information naturelle, mais doit intégrer la production et la reproduction de l’information. </w:t>
      </w:r>
    </w:p>
    <w:p w14:paraId="4283A643" w14:textId="77777777"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La modélisation des avantages monétaires et des coûts de la mise en œuvre (préparation et maintien) de chaque option ou sous-ensemble d’option stratégique</w:t>
      </w:r>
    </w:p>
    <w:p w14:paraId="4F8E25D1" w14:textId="7D6A2A14"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 xml:space="preserve">La valeur de l’information associée à </w:t>
      </w:r>
      <w:r w:rsidR="00C77DFC">
        <w:rPr>
          <w:lang w:val="fr-CA"/>
        </w:rPr>
        <w:t>la RG</w:t>
      </w:r>
      <w:r w:rsidRPr="005A030C">
        <w:rPr>
          <w:lang w:val="fr-CA"/>
        </w:rPr>
        <w:t xml:space="preserve"> et à l’ISN doit être examinée/déterminée</w:t>
      </w:r>
    </w:p>
    <w:p w14:paraId="1B4D95B9" w14:textId="7C55180F"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 xml:space="preserve">L’étape d’obtention d’ISN de </w:t>
      </w:r>
      <w:r w:rsidR="00C77DFC">
        <w:rPr>
          <w:lang w:val="fr-CA"/>
        </w:rPr>
        <w:t>la RG</w:t>
      </w:r>
      <w:r w:rsidRPr="005A030C">
        <w:rPr>
          <w:lang w:val="fr-CA"/>
        </w:rPr>
        <w:t xml:space="preserve"> est plus analogique, tandis que l’accès à l’ISN et sa réutilisation sont plus numérique</w:t>
      </w:r>
      <w:r>
        <w:rPr>
          <w:lang w:val="fr-CA"/>
        </w:rPr>
        <w:t>s</w:t>
      </w:r>
      <w:r w:rsidRPr="005A030C">
        <w:rPr>
          <w:lang w:val="fr-CA"/>
        </w:rPr>
        <w:t xml:space="preserve"> et se comporteront comme de l’information</w:t>
      </w:r>
    </w:p>
    <w:p w14:paraId="0A75A909" w14:textId="073DEF07" w:rsidR="00B97C31" w:rsidRPr="005A030C" w:rsidRDefault="00B97C31" w:rsidP="00B97C31">
      <w:pPr>
        <w:pStyle w:val="ListParagraph"/>
        <w:numPr>
          <w:ilvl w:val="0"/>
          <w:numId w:val="36"/>
        </w:numPr>
        <w:spacing w:before="120" w:after="120"/>
        <w:ind w:left="360"/>
        <w:contextualSpacing w:val="0"/>
        <w:jc w:val="left"/>
        <w:rPr>
          <w:lang w:val="fr-CA"/>
        </w:rPr>
      </w:pPr>
      <w:r w:rsidRPr="005A030C">
        <w:rPr>
          <w:lang w:val="fr-CA"/>
        </w:rPr>
        <w:t xml:space="preserve">La documentation des 30 dernières années sur </w:t>
      </w:r>
      <w:r w:rsidR="00C77DFC">
        <w:rPr>
          <w:lang w:val="fr-CA"/>
        </w:rPr>
        <w:t>la RG</w:t>
      </w:r>
      <w:r w:rsidRPr="005A030C">
        <w:rPr>
          <w:lang w:val="fr-CA"/>
        </w:rPr>
        <w:t xml:space="preserve"> devrait </w:t>
      </w:r>
      <w:r>
        <w:rPr>
          <w:lang w:val="fr-CA"/>
        </w:rPr>
        <w:t>offrir</w:t>
      </w:r>
      <w:r w:rsidRPr="005A030C">
        <w:rPr>
          <w:lang w:val="fr-CA"/>
        </w:rPr>
        <w:t xml:space="preserve"> des réponses à la faisabilité, les défis, les valeurs ou les marchés de l’ISN</w:t>
      </w:r>
    </w:p>
    <w:p w14:paraId="5EE2750A" w14:textId="77777777" w:rsidR="00B97C31" w:rsidRPr="005A030C" w:rsidRDefault="00B97C31" w:rsidP="00B97C31">
      <w:pPr>
        <w:pStyle w:val="ListParagraph"/>
        <w:numPr>
          <w:ilvl w:val="0"/>
          <w:numId w:val="36"/>
        </w:numPr>
        <w:spacing w:before="120" w:after="120"/>
        <w:ind w:left="360"/>
        <w:contextualSpacing w:val="0"/>
        <w:jc w:val="left"/>
        <w:rPr>
          <w:lang w:val="fr-CA"/>
        </w:rPr>
      </w:pPr>
      <w:r w:rsidRPr="005A030C">
        <w:rPr>
          <w:lang w:val="fr-CA"/>
        </w:rPr>
        <w:t xml:space="preserve">Questions légales : </w:t>
      </w:r>
    </w:p>
    <w:p w14:paraId="30B0F85F" w14:textId="77777777"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Plusieurs propositions mises de l’avant dans les forums en ligne peuvent être traité</w:t>
      </w:r>
      <w:r>
        <w:rPr>
          <w:lang w:val="fr-CA"/>
        </w:rPr>
        <w:t>e</w:t>
      </w:r>
      <w:r w:rsidRPr="005A030C">
        <w:rPr>
          <w:lang w:val="fr-CA"/>
        </w:rPr>
        <w:t>s comme des amendements à la Convention, des négociations au titre du Protocole et des décisions de la Conférence des Parties. Cependant, les échanges du système multilatéral d’accès et de partage des avantages au titre du Traité international sur les ressources phytogénétiques pour l’alimentation et l’agriculture par un groupe d’experts ont conclu qu’une solution multilatéral</w:t>
      </w:r>
      <w:r>
        <w:rPr>
          <w:lang w:val="fr-CA"/>
        </w:rPr>
        <w:t>e</w:t>
      </w:r>
      <w:r w:rsidRPr="005A030C">
        <w:rPr>
          <w:lang w:val="fr-CA"/>
        </w:rPr>
        <w:t xml:space="preserve"> est mieux mise en œuvre </w:t>
      </w:r>
      <w:r>
        <w:rPr>
          <w:lang w:val="fr-CA"/>
        </w:rPr>
        <w:t>lorsqu’il s’agit d’une</w:t>
      </w:r>
      <w:r w:rsidRPr="005A030C">
        <w:rPr>
          <w:lang w:val="fr-CA"/>
        </w:rPr>
        <w:t xml:space="preserve"> résolution de l’organe directeur </w:t>
      </w:r>
      <w:r>
        <w:rPr>
          <w:lang w:val="fr-CA"/>
        </w:rPr>
        <w:t>et non d’un amendement</w:t>
      </w:r>
      <w:r w:rsidRPr="005A030C">
        <w:rPr>
          <w:lang w:val="fr-CA"/>
        </w:rPr>
        <w:t xml:space="preserve">. </w:t>
      </w:r>
    </w:p>
    <w:p w14:paraId="10351208" w14:textId="77777777" w:rsidR="00B97C31" w:rsidRPr="005A030C" w:rsidRDefault="00B97C31" w:rsidP="00B97C31">
      <w:pPr>
        <w:pStyle w:val="ListParagraph"/>
        <w:numPr>
          <w:ilvl w:val="1"/>
          <w:numId w:val="36"/>
        </w:numPr>
        <w:spacing w:before="120" w:after="120"/>
        <w:ind w:left="720"/>
        <w:contextualSpacing w:val="0"/>
        <w:jc w:val="left"/>
        <w:rPr>
          <w:lang w:val="fr-CA"/>
        </w:rPr>
      </w:pPr>
      <w:r w:rsidRPr="005A030C">
        <w:rPr>
          <w:lang w:val="fr-CA"/>
        </w:rPr>
        <w:t xml:space="preserve">Le modèle fera-t-il partie du traité légalement contraignant? </w:t>
      </w:r>
    </w:p>
    <w:p w14:paraId="5F017540" w14:textId="28ABCF8C" w:rsidR="00B97C31" w:rsidRDefault="00B97C31" w:rsidP="00B97C31">
      <w:pPr>
        <w:pStyle w:val="ListParagraph"/>
        <w:numPr>
          <w:ilvl w:val="0"/>
          <w:numId w:val="36"/>
        </w:numPr>
        <w:spacing w:before="120" w:after="120"/>
        <w:ind w:left="360"/>
        <w:contextualSpacing w:val="0"/>
        <w:jc w:val="left"/>
        <w:rPr>
          <w:lang w:val="fr-CA"/>
        </w:rPr>
      </w:pPr>
      <w:r w:rsidRPr="005A030C">
        <w:rPr>
          <w:lang w:val="fr-CA"/>
        </w:rPr>
        <w:t>Il faut trouver pourquoi certains fonds multilatéraux n’ont pas autant de succès que d’autres.</w:t>
      </w:r>
    </w:p>
    <w:p w14:paraId="2E414DA6" w14:textId="77777777" w:rsidR="002F4AD1" w:rsidRPr="002F4AD1" w:rsidRDefault="002F4AD1" w:rsidP="002F4AD1">
      <w:pPr>
        <w:jc w:val="center"/>
        <w:rPr>
          <w:rFonts w:eastAsia="Malgun Gothic" w:cstheme="majorBidi"/>
          <w:szCs w:val="22"/>
          <w:lang w:eastAsia="zh-CN"/>
        </w:rPr>
      </w:pPr>
      <w:r w:rsidRPr="002F4AD1">
        <w:rPr>
          <w:rFonts w:eastAsia="Malgun Gothic" w:cstheme="majorBidi"/>
          <w:szCs w:val="22"/>
          <w:lang w:eastAsia="zh-CN"/>
        </w:rPr>
        <w:t>__________</w:t>
      </w:r>
    </w:p>
    <w:p w14:paraId="046C4914" w14:textId="77777777" w:rsidR="00162438" w:rsidRPr="00B97C31" w:rsidRDefault="00162438" w:rsidP="004837A0">
      <w:pPr>
        <w:rPr>
          <w:rFonts w:eastAsia="Malgun Gothic" w:cstheme="majorBidi"/>
          <w:szCs w:val="22"/>
          <w:lang w:val="fr-CA" w:eastAsia="zh-CN"/>
        </w:rPr>
      </w:pPr>
    </w:p>
    <w:p w14:paraId="63A21143" w14:textId="77777777" w:rsidR="007B20D7" w:rsidRPr="009E4D45" w:rsidRDefault="007B20D7">
      <w:pPr>
        <w:jc w:val="left"/>
        <w:rPr>
          <w:rFonts w:eastAsia="Malgun Gothic" w:cstheme="majorBidi"/>
          <w:szCs w:val="22"/>
          <w:lang w:val="fr-FR" w:eastAsia="zh-CN"/>
        </w:rPr>
      </w:pPr>
    </w:p>
    <w:sectPr w:rsidR="007B20D7" w:rsidRPr="009E4D45" w:rsidSect="002F4AD1">
      <w:footnotePr>
        <w:numRestart w:val="eachSect"/>
      </w:footnotePr>
      <w:pgSz w:w="12240" w:h="15840" w:code="1"/>
      <w:pgMar w:top="1170" w:right="1440" w:bottom="1134" w:left="1440" w:header="68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87E3C" w14:textId="77777777" w:rsidR="0082001E" w:rsidRDefault="0082001E" w:rsidP="00CF1848">
      <w:r>
        <w:separator/>
      </w:r>
    </w:p>
  </w:endnote>
  <w:endnote w:type="continuationSeparator" w:id="0">
    <w:p w14:paraId="60D47671" w14:textId="77777777" w:rsidR="0082001E" w:rsidRDefault="0082001E" w:rsidP="00CF1848">
      <w:r>
        <w:continuationSeparator/>
      </w:r>
    </w:p>
  </w:endnote>
  <w:endnote w:type="continuationNotice" w:id="1">
    <w:p w14:paraId="506ADECA" w14:textId="77777777" w:rsidR="0082001E" w:rsidRDefault="00820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C98BB" w14:textId="77777777" w:rsidR="00AF2996" w:rsidRDefault="00AF2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2FBEE" w14:textId="77777777" w:rsidR="00AF2996" w:rsidRDefault="00AF2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B65F1" w14:textId="77777777" w:rsidR="00AF2996" w:rsidRDefault="00AF29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E80FE" w14:textId="77777777" w:rsidR="00AF2996" w:rsidRDefault="00AF29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B62CF" w14:textId="77777777" w:rsidR="00AF2996" w:rsidRDefault="00AF2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BDDAB" w14:textId="77777777" w:rsidR="0082001E" w:rsidRDefault="0082001E" w:rsidP="00CF1848">
      <w:r>
        <w:separator/>
      </w:r>
    </w:p>
  </w:footnote>
  <w:footnote w:type="continuationSeparator" w:id="0">
    <w:p w14:paraId="5BADE162" w14:textId="77777777" w:rsidR="0082001E" w:rsidRDefault="0082001E" w:rsidP="00CF1848">
      <w:r>
        <w:continuationSeparator/>
      </w:r>
    </w:p>
  </w:footnote>
  <w:footnote w:type="continuationNotice" w:id="1">
    <w:p w14:paraId="44DD9CCD" w14:textId="77777777" w:rsidR="0082001E" w:rsidRDefault="0082001E"/>
  </w:footnote>
  <w:footnote w:id="2">
    <w:p w14:paraId="62E09D29" w14:textId="1420020C" w:rsidR="00AF2996" w:rsidRPr="00D17A30" w:rsidRDefault="00AF2996" w:rsidP="00D17A30">
      <w:pPr>
        <w:pStyle w:val="FootnoteText"/>
        <w:ind w:firstLine="0"/>
        <w:rPr>
          <w:lang w:val="en-US"/>
        </w:rPr>
      </w:pPr>
      <w:r>
        <w:rPr>
          <w:rStyle w:val="FootnoteReference"/>
        </w:rPr>
        <w:t>*</w:t>
      </w:r>
      <w:r>
        <w:t xml:space="preserve"> </w:t>
      </w:r>
      <w:r>
        <w:rPr>
          <w:lang w:val="en-US"/>
        </w:rPr>
        <w:t>CBD/WG2020/3/1.</w:t>
      </w:r>
    </w:p>
  </w:footnote>
  <w:footnote w:id="3">
    <w:p w14:paraId="42E06307" w14:textId="5F17C812" w:rsidR="00AF2996" w:rsidRPr="009F0393" w:rsidRDefault="00AF2996" w:rsidP="00304437">
      <w:pPr>
        <w:pStyle w:val="FootnoteText"/>
        <w:spacing w:after="0"/>
        <w:ind w:firstLine="0"/>
        <w:jc w:val="left"/>
        <w:rPr>
          <w:kern w:val="18"/>
          <w:szCs w:val="18"/>
        </w:rPr>
      </w:pPr>
      <w:r w:rsidRPr="009F0393">
        <w:rPr>
          <w:rStyle w:val="FootnoteReference"/>
          <w:kern w:val="18"/>
          <w:sz w:val="18"/>
          <w:szCs w:val="18"/>
        </w:rPr>
        <w:footnoteRef/>
      </w:r>
      <w:r w:rsidRPr="009F0393">
        <w:rPr>
          <w:kern w:val="18"/>
          <w:szCs w:val="18"/>
        </w:rPr>
        <w:t xml:space="preserve">  </w:t>
      </w:r>
      <w:r>
        <w:rPr>
          <w:kern w:val="18"/>
          <w:szCs w:val="18"/>
        </w:rPr>
        <w:t>http://www.cbd.int.article/dsi-webinar-series-2020</w:t>
      </w:r>
    </w:p>
  </w:footnote>
  <w:footnote w:id="4">
    <w:p w14:paraId="52DB1C8D" w14:textId="4847B644" w:rsidR="00AF2996" w:rsidRPr="00B455AB" w:rsidRDefault="00AF2996" w:rsidP="00304437">
      <w:pPr>
        <w:pStyle w:val="FootnoteText"/>
        <w:spacing w:after="0"/>
        <w:ind w:firstLine="0"/>
        <w:rPr>
          <w:lang w:val="en-US"/>
        </w:rPr>
      </w:pPr>
      <w:r>
        <w:rPr>
          <w:rStyle w:val="FootnoteReference"/>
        </w:rPr>
        <w:footnoteRef/>
      </w:r>
      <w:r>
        <w:t xml:space="preserve">  https://www.cbd.int/dsi-gr/forum.shtml</w:t>
      </w:r>
    </w:p>
  </w:footnote>
  <w:footnote w:id="5">
    <w:p w14:paraId="7D24272F" w14:textId="10D55F98" w:rsidR="00AF2996" w:rsidRPr="00B455AB" w:rsidRDefault="00AF2996" w:rsidP="00304437">
      <w:pPr>
        <w:pStyle w:val="FootnoteText"/>
        <w:spacing w:after="0"/>
        <w:ind w:firstLine="0"/>
        <w:rPr>
          <w:lang w:val="en-US"/>
        </w:rPr>
      </w:pPr>
      <w:r>
        <w:rPr>
          <w:rStyle w:val="FootnoteReference"/>
        </w:rPr>
        <w:footnoteRef/>
      </w:r>
      <w:r>
        <w:t xml:space="preserve">  https://cbd.int/doc/notifications/2019/ntf-2019-012-abs-en.pdf/</w:t>
      </w:r>
    </w:p>
  </w:footnote>
  <w:footnote w:id="6">
    <w:p w14:paraId="1C137349" w14:textId="5EF0C2DD" w:rsidR="00AF2996" w:rsidRPr="00B455AB" w:rsidRDefault="00AF2996" w:rsidP="009B3DCB">
      <w:pPr>
        <w:pStyle w:val="FootnoteText"/>
        <w:spacing w:after="0"/>
        <w:ind w:firstLine="0"/>
        <w:rPr>
          <w:lang w:val="en-US"/>
        </w:rPr>
      </w:pPr>
      <w:r>
        <w:rPr>
          <w:rStyle w:val="FootnoteReference"/>
        </w:rPr>
        <w:footnoteRef/>
      </w:r>
      <w:r>
        <w:t xml:space="preserve"> https://cbd.int/dsi-gr/2019-2020/submissions/</w:t>
      </w:r>
    </w:p>
  </w:footnote>
  <w:footnote w:id="7">
    <w:p w14:paraId="35484F02" w14:textId="2470D01F" w:rsidR="00AF2996" w:rsidRPr="00B455AB" w:rsidRDefault="00AF2996" w:rsidP="009B3DCB">
      <w:pPr>
        <w:pStyle w:val="FootnoteText"/>
        <w:spacing w:after="0"/>
        <w:ind w:firstLine="0"/>
        <w:rPr>
          <w:lang w:val="fr-FR"/>
        </w:rPr>
      </w:pPr>
      <w:r>
        <w:rPr>
          <w:rStyle w:val="FootnoteReference"/>
        </w:rPr>
        <w:footnoteRef/>
      </w:r>
      <w:r w:rsidRPr="00B455AB">
        <w:rPr>
          <w:lang w:val="fr-FR"/>
        </w:rPr>
        <w:t xml:space="preserve"> L</w:t>
      </w:r>
      <w:proofErr w:type="gramStart"/>
      <w:r>
        <w:rPr>
          <w:lang w:val="fr-FR"/>
        </w:rPr>
        <w:t>’«</w:t>
      </w:r>
      <w:proofErr w:type="gramEnd"/>
      <w:r>
        <w:rPr>
          <w:lang w:val="fr-FR"/>
        </w:rPr>
        <w:t> étude exploratoire existante » fait référence à une étude commandée dans le cadre d’un processus intersession sur l’ISN, à savoir « Étude exploratoire existante sur l’information de séquençage numérique sur les ressources génétiques dans le contexte de la Convention sur la diversité biologique et le Protocole de Nagoya » (</w:t>
      </w:r>
      <w:r w:rsidRPr="00B455AB">
        <w:rPr>
          <w:lang w:val="fr-FR"/>
        </w:rPr>
        <w:t>CBD/DSI/AHTEG/2018/1/3</w:t>
      </w:r>
      <w:r>
        <w:rPr>
          <w:lang w:val="fr-FR"/>
        </w:rPr>
        <w:t>)</w:t>
      </w:r>
      <w:r w:rsidRPr="00B455AB">
        <w:rPr>
          <w:lang w:val="fr-FR"/>
        </w:rPr>
        <w:t>.</w:t>
      </w:r>
      <w:r>
        <w:rPr>
          <w:lang w:val="fr-FR"/>
        </w:rPr>
        <w:t xml:space="preserve"> </w:t>
      </w:r>
    </w:p>
  </w:footnote>
  <w:footnote w:id="8">
    <w:p w14:paraId="15753490" w14:textId="7D9DB2D0" w:rsidR="00AF2996" w:rsidRPr="00C77126" w:rsidRDefault="00AF2996" w:rsidP="009B3DCB">
      <w:pPr>
        <w:pStyle w:val="FootnoteText"/>
        <w:spacing w:after="0"/>
        <w:ind w:firstLine="0"/>
        <w:rPr>
          <w:lang w:val="fr-FR"/>
        </w:rPr>
      </w:pPr>
      <w:r>
        <w:rPr>
          <w:rStyle w:val="FootnoteReference"/>
        </w:rPr>
        <w:footnoteRef/>
      </w:r>
      <w:r w:rsidRPr="00B455AB">
        <w:rPr>
          <w:lang w:val="fr-FR"/>
        </w:rPr>
        <w:t xml:space="preserve"> </w:t>
      </w:r>
      <w:proofErr w:type="gramStart"/>
      <w:r>
        <w:rPr>
          <w:lang w:val="fr-FR"/>
        </w:rPr>
        <w:t>https:www.cbd.int/doc/notifications/2019/ntf-2019-096-abs-en.pdf</w:t>
      </w:r>
      <w:proofErr w:type="gramEnd"/>
    </w:p>
  </w:footnote>
  <w:footnote w:id="9">
    <w:p w14:paraId="21DEF658" w14:textId="2E2F2E80" w:rsidR="00AF2996" w:rsidRPr="00C77126" w:rsidRDefault="00AF2996" w:rsidP="009B3DCB">
      <w:pPr>
        <w:pStyle w:val="FootnoteText"/>
        <w:spacing w:after="0"/>
        <w:ind w:firstLine="0"/>
        <w:rPr>
          <w:lang w:val="fr-FR"/>
        </w:rPr>
      </w:pPr>
      <w:r>
        <w:rPr>
          <w:rStyle w:val="FootnoteReference"/>
        </w:rPr>
        <w:footnoteRef/>
      </w:r>
      <w:r w:rsidRPr="00B455AB">
        <w:rPr>
          <w:lang w:val="fr-FR"/>
        </w:rPr>
        <w:t xml:space="preserve"> </w:t>
      </w:r>
      <w:proofErr w:type="gramStart"/>
      <w:r>
        <w:rPr>
          <w:lang w:val="fr-FR"/>
        </w:rPr>
        <w:t>https:www.cbd.int/doc/notifications/2019/ntf-2019-094-abs-en.pdf</w:t>
      </w:r>
      <w:proofErr w:type="gramEnd"/>
    </w:p>
  </w:footnote>
  <w:footnote w:id="10">
    <w:p w14:paraId="2A9110F8" w14:textId="6B6664C9" w:rsidR="00AF2996" w:rsidRPr="00C77126" w:rsidRDefault="00AF2996" w:rsidP="009B3DCB">
      <w:pPr>
        <w:pStyle w:val="FootnoteText"/>
        <w:spacing w:after="0"/>
        <w:ind w:firstLine="0"/>
        <w:rPr>
          <w:lang w:val="fr-FR"/>
        </w:rPr>
      </w:pPr>
      <w:r>
        <w:rPr>
          <w:rStyle w:val="FootnoteReference"/>
        </w:rPr>
        <w:footnoteRef/>
      </w:r>
      <w:r>
        <w:rPr>
          <w:lang w:val="fr-FR"/>
        </w:rPr>
        <w:t xml:space="preserve"> https://www.cbd.int/dsi-gr/2019-2020/studies/</w:t>
      </w:r>
    </w:p>
  </w:footnote>
  <w:footnote w:id="11">
    <w:p w14:paraId="66CC9DD7" w14:textId="3C0AAA36" w:rsidR="00AF2996" w:rsidRPr="00C77126" w:rsidRDefault="00AF2996" w:rsidP="009B3DCB">
      <w:pPr>
        <w:pStyle w:val="FootnoteText"/>
        <w:spacing w:after="0"/>
        <w:ind w:firstLine="0"/>
        <w:rPr>
          <w:lang w:val="fr-FR"/>
        </w:rPr>
      </w:pPr>
      <w:r>
        <w:rPr>
          <w:rStyle w:val="FootnoteReference"/>
        </w:rPr>
        <w:footnoteRef/>
      </w:r>
      <w:r w:rsidRPr="00B455AB">
        <w:rPr>
          <w:lang w:val="fr-FR"/>
        </w:rPr>
        <w:t xml:space="preserve"> </w:t>
      </w:r>
      <w:proofErr w:type="gramStart"/>
      <w:r>
        <w:rPr>
          <w:lang w:val="fr-FR"/>
        </w:rPr>
        <w:t>https:www.cbd.int/doc/notifications/2019/ntf-2019-053-abs-en.pdf</w:t>
      </w:r>
      <w:proofErr w:type="gramEnd"/>
    </w:p>
  </w:footnote>
  <w:footnote w:id="12">
    <w:p w14:paraId="3BA875BE" w14:textId="5A54B44D" w:rsidR="00AF2996" w:rsidRPr="00C77126" w:rsidRDefault="00AF2996" w:rsidP="009B3DCB">
      <w:pPr>
        <w:pStyle w:val="FootnoteText"/>
        <w:spacing w:after="0"/>
        <w:ind w:firstLine="0"/>
        <w:rPr>
          <w:lang w:val="fr-FR"/>
        </w:rPr>
      </w:pPr>
      <w:r>
        <w:rPr>
          <w:rStyle w:val="FootnoteReference"/>
        </w:rPr>
        <w:footnoteRef/>
      </w:r>
      <w:r w:rsidRPr="00B455AB">
        <w:rPr>
          <w:lang w:val="fr-FR"/>
        </w:rPr>
        <w:t xml:space="preserve"> </w:t>
      </w:r>
      <w:proofErr w:type="gramStart"/>
      <w:r>
        <w:rPr>
          <w:lang w:val="fr-FR"/>
        </w:rPr>
        <w:t>https:www.cbd.int/doc/notifications/2019/ntf-2019-096-abs-en.pdf</w:t>
      </w:r>
      <w:proofErr w:type="gramEnd"/>
    </w:p>
  </w:footnote>
  <w:footnote w:id="13">
    <w:p w14:paraId="7F193D2B" w14:textId="1177CABB" w:rsidR="00AF2996" w:rsidRPr="00B455AB" w:rsidRDefault="00AF2996" w:rsidP="000D5579">
      <w:pPr>
        <w:pStyle w:val="FootnoteText"/>
        <w:spacing w:after="0"/>
        <w:ind w:firstLine="0"/>
        <w:rPr>
          <w:lang w:val="fr-FR"/>
        </w:rPr>
      </w:pPr>
      <w:r>
        <w:rPr>
          <w:rStyle w:val="FootnoteReference"/>
        </w:rPr>
        <w:footnoteRef/>
      </w:r>
      <w:r>
        <w:rPr>
          <w:lang w:val="fr-FR"/>
        </w:rPr>
        <w:t xml:space="preserve"> https://cbd.int/article/dsi-webinar-series-2020</w:t>
      </w:r>
    </w:p>
  </w:footnote>
  <w:footnote w:id="14">
    <w:p w14:paraId="7637B982" w14:textId="1233EFBF" w:rsidR="00AF2996" w:rsidRPr="00331DF1" w:rsidRDefault="00AF2996" w:rsidP="000D5579">
      <w:pPr>
        <w:pStyle w:val="FootnoteText"/>
        <w:spacing w:after="0"/>
        <w:ind w:firstLine="0"/>
        <w:jc w:val="left"/>
        <w:rPr>
          <w:kern w:val="18"/>
          <w:szCs w:val="18"/>
          <w:lang w:val="fr-FR"/>
        </w:rPr>
      </w:pPr>
      <w:r w:rsidRPr="00AD5FA3">
        <w:rPr>
          <w:rStyle w:val="FootnoteReference"/>
          <w:kern w:val="18"/>
          <w:sz w:val="18"/>
          <w:szCs w:val="18"/>
        </w:rPr>
        <w:footnoteRef/>
      </w:r>
      <w:r w:rsidRPr="00331DF1">
        <w:rPr>
          <w:kern w:val="18"/>
          <w:szCs w:val="18"/>
          <w:lang w:val="fr-FR"/>
        </w:rPr>
        <w:t xml:space="preserve"> </w:t>
      </w:r>
      <w:r>
        <w:rPr>
          <w:kern w:val="18"/>
          <w:szCs w:val="18"/>
          <w:lang w:val="fr-FR"/>
        </w:rPr>
        <w:t>https://cbd,int/dsi-gr/forum.shtml</w:t>
      </w:r>
    </w:p>
  </w:footnote>
  <w:footnote w:id="15">
    <w:p w14:paraId="6F9A0DF7" w14:textId="77777777" w:rsidR="00AF2996" w:rsidRPr="00C67E09" w:rsidRDefault="00AF2996" w:rsidP="00B97C31">
      <w:pPr>
        <w:pStyle w:val="FootnoteText"/>
        <w:suppressLineNumbers/>
        <w:suppressAutoHyphens/>
        <w:ind w:firstLine="0"/>
        <w:jc w:val="left"/>
        <w:rPr>
          <w:kern w:val="18"/>
          <w:lang w:val="fr-CA"/>
        </w:rPr>
      </w:pPr>
      <w:r w:rsidRPr="00366E95">
        <w:rPr>
          <w:rStyle w:val="FootnoteReference"/>
          <w:kern w:val="18"/>
          <w:lang w:val="fr-CA"/>
        </w:rPr>
        <w:footnoteRef/>
      </w:r>
      <w:r w:rsidRPr="00366E95">
        <w:rPr>
          <w:kern w:val="18"/>
          <w:vertAlign w:val="superscript"/>
          <w:lang w:val="fr-CA"/>
        </w:rPr>
        <w:t xml:space="preserve"> </w:t>
      </w:r>
      <w:r w:rsidRPr="00C67E09">
        <w:rPr>
          <w:kern w:val="18"/>
          <w:lang w:val="fr-CA"/>
        </w:rPr>
        <w:t>Conformément à la Convention sur la diversité biologique, le pays fournisseur est ci-après reconnu comme le pays d’origine de la ressource génétique ou la Partie ayant acquis la ressource génétique conformément à la Convention.</w:t>
      </w:r>
    </w:p>
  </w:footnote>
  <w:footnote w:id="16">
    <w:p w14:paraId="0416B811" w14:textId="77777777" w:rsidR="00AF2996" w:rsidRPr="00634F4C" w:rsidRDefault="00AF2996" w:rsidP="00111D81">
      <w:pPr>
        <w:pStyle w:val="FootnoteText"/>
        <w:suppressLineNumbers/>
        <w:suppressAutoHyphens/>
        <w:spacing w:after="0"/>
        <w:ind w:firstLine="0"/>
        <w:jc w:val="left"/>
        <w:rPr>
          <w:kern w:val="18"/>
          <w:lang w:val="fr-CA"/>
        </w:rPr>
      </w:pPr>
      <w:r w:rsidRPr="00FA1349">
        <w:rPr>
          <w:rStyle w:val="FootnoteReference"/>
          <w:kern w:val="18"/>
        </w:rPr>
        <w:footnoteRef/>
      </w:r>
      <w:r w:rsidRPr="00634F4C">
        <w:rPr>
          <w:kern w:val="18"/>
          <w:lang w:val="fr-CA"/>
        </w:rPr>
        <w:t xml:space="preserve"> </w:t>
      </w:r>
      <w:r>
        <w:rPr>
          <w:kern w:val="18"/>
          <w:lang w:val="fr-CA" w:eastAsia="en-CA"/>
        </w:rPr>
        <w:t>L’expert désigné par l’INSDC n’a pas pu participer à la réunion</w:t>
      </w:r>
      <w:r w:rsidRPr="00634F4C">
        <w:rPr>
          <w:kern w:val="18"/>
          <w:lang w:val="fr-CA" w:eastAsia="en-CA"/>
        </w:rPr>
        <w:t>.</w:t>
      </w:r>
    </w:p>
  </w:footnote>
  <w:footnote w:id="17">
    <w:p w14:paraId="76A0170D" w14:textId="77777777" w:rsidR="00AF2996" w:rsidRPr="00634F4C" w:rsidRDefault="00AF2996" w:rsidP="00111D81">
      <w:pPr>
        <w:pStyle w:val="FootnoteText"/>
        <w:suppressLineNumbers/>
        <w:suppressAutoHyphens/>
        <w:spacing w:after="0"/>
        <w:ind w:firstLine="0"/>
        <w:jc w:val="left"/>
        <w:rPr>
          <w:kern w:val="18"/>
          <w:lang w:val="fr-CA"/>
        </w:rPr>
      </w:pPr>
      <w:r w:rsidRPr="00634F4C">
        <w:rPr>
          <w:rStyle w:val="FootnoteReference"/>
          <w:kern w:val="18"/>
          <w:lang w:val="fr-CA"/>
        </w:rPr>
        <w:footnoteRef/>
      </w:r>
      <w:r w:rsidRPr="009560EA">
        <w:rPr>
          <w:kern w:val="18"/>
          <w:lang w:val="fr-CA"/>
        </w:rPr>
        <w:t xml:space="preserve"> Norme ST.26 de l’OMPI, « Listage des séquences de nucléotides et d’acides aminés en langage XML « (</w:t>
      </w:r>
      <w:r>
        <w:rPr>
          <w:kern w:val="18"/>
          <w:lang w:val="fr-CA"/>
        </w:rPr>
        <w:t xml:space="preserve">Langage de balisage extensible), dont la version 1,3 a été approuvée le 5 juillet 2019. </w:t>
      </w:r>
      <w:r w:rsidRPr="00AE649A">
        <w:rPr>
          <w:kern w:val="18"/>
          <w:lang w:val="fr-CA"/>
        </w:rPr>
        <w:t>La norme ST.26 de l’OMPI entr</w:t>
      </w:r>
      <w:r>
        <w:rPr>
          <w:kern w:val="18"/>
          <w:lang w:val="fr-CA"/>
        </w:rPr>
        <w:t>er</w:t>
      </w:r>
      <w:r w:rsidRPr="00AE649A">
        <w:rPr>
          <w:kern w:val="18"/>
          <w:lang w:val="fr-CA"/>
        </w:rPr>
        <w:t>a en vigueur le 1</w:t>
      </w:r>
      <w:r w:rsidRPr="00AE649A">
        <w:rPr>
          <w:kern w:val="18"/>
          <w:vertAlign w:val="superscript"/>
          <w:lang w:val="fr-CA"/>
        </w:rPr>
        <w:t>er</w:t>
      </w:r>
      <w:r w:rsidRPr="00AE649A">
        <w:rPr>
          <w:kern w:val="18"/>
          <w:lang w:val="fr-CA"/>
        </w:rPr>
        <w:t xml:space="preserve"> janvier 2022. </w:t>
      </w:r>
    </w:p>
  </w:footnote>
  <w:footnote w:id="18">
    <w:p w14:paraId="60275AB1" w14:textId="34B39E2C" w:rsidR="00AF2996" w:rsidRPr="007E2415" w:rsidRDefault="00AF2996" w:rsidP="00B97C31">
      <w:pPr>
        <w:pStyle w:val="FootnoteText"/>
        <w:ind w:firstLine="0"/>
        <w:rPr>
          <w:lang w:val="fr-CA"/>
        </w:rPr>
      </w:pPr>
      <w:r w:rsidRPr="00470D67">
        <w:rPr>
          <w:rStyle w:val="FootnoteReference"/>
          <w:sz w:val="24"/>
        </w:rPr>
        <w:footnoteRef/>
      </w:r>
      <w:r w:rsidRPr="007E2415">
        <w:rPr>
          <w:lang w:val="fr-CA"/>
        </w:rPr>
        <w:t xml:space="preserve"> </w:t>
      </w:r>
      <w:r>
        <w:rPr>
          <w:lang w:val="fr-CA"/>
        </w:rPr>
        <w:t>La liste des études et des publications consultées pour la préparation de ce sommaire est publiée sur le site Web de la Convention, au</w:t>
      </w:r>
      <w:r w:rsidRPr="007E2415">
        <w:rPr>
          <w:lang w:val="fr-CA"/>
        </w:rPr>
        <w:t xml:space="preserve"> https://www.cbd.int/article/dsi-webinar-series-2020#webinar3.</w:t>
      </w:r>
    </w:p>
  </w:footnote>
  <w:footnote w:id="19">
    <w:p w14:paraId="60CF2BB0" w14:textId="77777777" w:rsidR="00AF2996" w:rsidRPr="00266D16" w:rsidRDefault="00AF2996" w:rsidP="00B97C31">
      <w:pPr>
        <w:pStyle w:val="FootnoteText"/>
        <w:ind w:firstLine="0"/>
        <w:rPr>
          <w:lang w:val="fr-CA"/>
        </w:rPr>
      </w:pPr>
      <w:r>
        <w:rPr>
          <w:rStyle w:val="FootnoteReference"/>
        </w:rPr>
        <w:footnoteRef/>
      </w:r>
      <w:r w:rsidRPr="00266D16">
        <w:rPr>
          <w:lang w:val="fr-CA"/>
        </w:rPr>
        <w:t xml:space="preserve"> https://www.cbd.int/dsi-gr/forum.shtml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502929720"/>
      <w:placeholder>
        <w:docPart w:val="883230727F604467ACFDA857B1C2A520"/>
      </w:placeholder>
      <w:dataBinding w:prefixMappings="xmlns:ns0='http://purl.org/dc/elements/1.1/' xmlns:ns1='http://schemas.openxmlformats.org/package/2006/metadata/core-properties' " w:xpath="/ns1:coreProperties[1]/ns0:subject[1]" w:storeItemID="{6C3C8BC8-F283-45AE-878A-BAB7291924A1}"/>
      <w:text/>
    </w:sdtPr>
    <w:sdtContent>
      <w:p w14:paraId="7A801116" w14:textId="19FDAD11" w:rsidR="00AF2996" w:rsidRDefault="00AF2996">
        <w:pPr>
          <w:pStyle w:val="Header"/>
        </w:pPr>
        <w:r>
          <w:t>CBD/WG2020/3/4</w:t>
        </w:r>
      </w:p>
    </w:sdtContent>
  </w:sdt>
  <w:p w14:paraId="33E52D08" w14:textId="344C0653" w:rsidR="00AF2996" w:rsidRDefault="00AF2996" w:rsidP="00D17A30">
    <w:pPr>
      <w:pStyle w:val="Header"/>
      <w:spacing w:after="240"/>
    </w:pPr>
    <w:r>
      <w:t xml:space="preserve">Page </w:t>
    </w:r>
    <w:r>
      <w:fldChar w:fldCharType="begin"/>
    </w:r>
    <w:r>
      <w:instrText xml:space="preserve"> PAGE   \* MERGEFORMAT </w:instrText>
    </w:r>
    <w:r>
      <w:fldChar w:fldCharType="separate"/>
    </w:r>
    <w:r>
      <w:rPr>
        <w:noProof/>
      </w:rPr>
      <w:t>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90856527"/>
      <w:placeholder>
        <w:docPart w:val="88779A4884974D3989F5A95195C71FAC"/>
      </w:placeholder>
      <w:dataBinding w:prefixMappings="xmlns:ns0='http://purl.org/dc/elements/1.1/' xmlns:ns1='http://schemas.openxmlformats.org/package/2006/metadata/core-properties' " w:xpath="/ns1:coreProperties[1]/ns0:subject[1]" w:storeItemID="{6C3C8BC8-F283-45AE-878A-BAB7291924A1}"/>
      <w:text/>
    </w:sdtPr>
    <w:sdtContent>
      <w:p w14:paraId="10BBE5D6" w14:textId="77777777" w:rsidR="00AF2996" w:rsidRDefault="00AF2996" w:rsidP="00D17A30">
        <w:pPr>
          <w:pStyle w:val="Header"/>
          <w:jc w:val="right"/>
        </w:pPr>
        <w:r>
          <w:t>CBD/WG2020/3/4</w:t>
        </w:r>
      </w:p>
    </w:sdtContent>
  </w:sdt>
  <w:p w14:paraId="427CA647" w14:textId="3A113246" w:rsidR="00AF2996" w:rsidRDefault="00AF2996" w:rsidP="00D17A30">
    <w:pPr>
      <w:pStyle w:val="Header"/>
      <w:spacing w:after="240"/>
      <w:jc w:val="right"/>
    </w:pPr>
    <w:r>
      <w:t xml:space="preserve">Page </w:t>
    </w:r>
    <w:r>
      <w:fldChar w:fldCharType="begin"/>
    </w:r>
    <w:r>
      <w:instrText xml:space="preserve"> PAGE   \* MERGEFORMAT </w:instrText>
    </w:r>
    <w:r>
      <w:fldChar w:fldCharType="separate"/>
    </w:r>
    <w:r>
      <w:rPr>
        <w:noProof/>
      </w:rPr>
      <w:t>13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AF2996" w14:paraId="31D73CA2" w14:textId="77777777" w:rsidTr="004E1C0A">
      <w:tc>
        <w:tcPr>
          <w:tcW w:w="3120" w:type="dxa"/>
        </w:tcPr>
        <w:p w14:paraId="0D5F3A29" w14:textId="77777777" w:rsidR="00AF2996" w:rsidRDefault="00AF2996" w:rsidP="00045C5A">
          <w:pPr>
            <w:pStyle w:val="Header"/>
            <w:ind w:left="-115"/>
            <w:jc w:val="left"/>
            <w:rPr>
              <w:szCs w:val="22"/>
            </w:rPr>
          </w:pPr>
        </w:p>
      </w:tc>
      <w:tc>
        <w:tcPr>
          <w:tcW w:w="3120" w:type="dxa"/>
        </w:tcPr>
        <w:p w14:paraId="1946E368" w14:textId="77777777" w:rsidR="00AF2996" w:rsidRDefault="00AF2996" w:rsidP="004E1C0A">
          <w:pPr>
            <w:pStyle w:val="Header"/>
            <w:jc w:val="center"/>
            <w:rPr>
              <w:szCs w:val="22"/>
            </w:rPr>
          </w:pPr>
        </w:p>
      </w:tc>
      <w:tc>
        <w:tcPr>
          <w:tcW w:w="3120" w:type="dxa"/>
        </w:tcPr>
        <w:p w14:paraId="4F8EBC36" w14:textId="77777777" w:rsidR="00AF2996" w:rsidRDefault="00AF2996" w:rsidP="004E1C0A">
          <w:pPr>
            <w:pStyle w:val="Header"/>
            <w:ind w:right="-115"/>
            <w:jc w:val="right"/>
            <w:rPr>
              <w:szCs w:val="22"/>
            </w:rPr>
          </w:pPr>
        </w:p>
      </w:tc>
    </w:tr>
  </w:tbl>
  <w:p w14:paraId="293DE49A" w14:textId="77777777" w:rsidR="00AF2996" w:rsidRDefault="00AF29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DE170" w14:textId="77777777" w:rsidR="00AF2996" w:rsidRPr="00704524" w:rsidRDefault="00AF2996" w:rsidP="00A66393">
    <w:pPr>
      <w:pStyle w:val="Header"/>
      <w:keepLines/>
      <w:suppressLineNumbers/>
      <w:tabs>
        <w:tab w:val="clear" w:pos="4320"/>
        <w:tab w:val="clear" w:pos="8640"/>
      </w:tabs>
      <w:suppressAutoHyphens/>
      <w:jc w:val="right"/>
      <w:rPr>
        <w:noProof/>
        <w:snapToGrid w:val="0"/>
        <w:kern w:val="22"/>
      </w:rPr>
    </w:pPr>
    <w:r w:rsidRPr="006114A8">
      <w:rPr>
        <w:noProof/>
        <w:snapToGrid w:val="0"/>
        <w:kern w:val="22"/>
      </w:rPr>
      <w:t>CBD/</w:t>
    </w:r>
    <w:r>
      <w:rPr>
        <w:noProof/>
        <w:snapToGrid w:val="0"/>
        <w:kern w:val="22"/>
      </w:rPr>
      <w:t>WG2020/3/4</w:t>
    </w:r>
  </w:p>
  <w:p w14:paraId="52F22022" w14:textId="2141A45B" w:rsidR="00AF2996" w:rsidRPr="00A66393" w:rsidRDefault="00AF2996" w:rsidP="00A66393">
    <w:pPr>
      <w:pStyle w:val="Header"/>
      <w:keepLines/>
      <w:suppressLineNumbers/>
      <w:tabs>
        <w:tab w:val="clear" w:pos="4320"/>
        <w:tab w:val="clear" w:pos="8640"/>
      </w:tabs>
      <w:suppressAutoHyphens/>
      <w:spacing w:after="240"/>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Pr>
        <w:noProof/>
        <w:snapToGrid w:val="0"/>
        <w:kern w:val="22"/>
      </w:rPr>
      <w:t>10</w:t>
    </w:r>
    <w:r w:rsidRPr="00704524">
      <w:rPr>
        <w:noProof/>
        <w:snapToGrid w:val="0"/>
        <w:kern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986817551"/>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p w14:paraId="06CBF4A7" w14:textId="34FD8E99" w:rsidR="00AF2996" w:rsidRPr="00134846" w:rsidRDefault="00AF2996" w:rsidP="00534681">
        <w:pPr>
          <w:pStyle w:val="Header"/>
          <w:rPr>
            <w:lang w:val="fr-FR"/>
          </w:rPr>
        </w:pPr>
        <w:r>
          <w:rPr>
            <w:lang w:val="fr-FR"/>
          </w:rPr>
          <w:t>CBD/WG2020/3/4</w:t>
        </w:r>
      </w:p>
    </w:sdtContent>
  </w:sdt>
  <w:p w14:paraId="59756BDB" w14:textId="77777777" w:rsidR="00AF2996" w:rsidRPr="00134846" w:rsidRDefault="00AF2996">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Pr>
        <w:noProof/>
        <w:lang w:val="fr-FR"/>
      </w:rPr>
      <w:t>20</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17479879"/>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Content>
      <w:p w14:paraId="046D7AEC" w14:textId="11302FC3" w:rsidR="00AF2996" w:rsidRPr="00134846" w:rsidRDefault="00AF2996" w:rsidP="009505C9">
        <w:pPr>
          <w:pStyle w:val="Header"/>
          <w:jc w:val="right"/>
          <w:rPr>
            <w:lang w:val="fr-FR"/>
          </w:rPr>
        </w:pPr>
        <w:r>
          <w:rPr>
            <w:lang w:val="fr-FR"/>
          </w:rPr>
          <w:t>CBD/WG2020/3/4</w:t>
        </w:r>
      </w:p>
    </w:sdtContent>
  </w:sdt>
  <w:p w14:paraId="77114F6D" w14:textId="77777777" w:rsidR="00AF2996" w:rsidRPr="00134846" w:rsidRDefault="00AF2996" w:rsidP="009505C9">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Pr>
        <w:noProof/>
        <w:lang w:val="fr-FR"/>
      </w:rPr>
      <w:t>23</w:t>
    </w:r>
    <w:r>
      <w:rPr>
        <w:noProof/>
      </w:rPr>
      <w:fldChar w:fldCharType="end"/>
    </w:r>
  </w:p>
  <w:p w14:paraId="6E21026E" w14:textId="77777777" w:rsidR="00AF2996" w:rsidRPr="00134846" w:rsidRDefault="00AF2996">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A3229" w14:textId="77777777" w:rsidR="00AF2996" w:rsidRPr="00704524" w:rsidRDefault="00AF2996" w:rsidP="00A66393">
    <w:pPr>
      <w:pStyle w:val="Header"/>
      <w:keepLines/>
      <w:suppressLineNumbers/>
      <w:tabs>
        <w:tab w:val="clear" w:pos="4320"/>
        <w:tab w:val="clear" w:pos="8640"/>
      </w:tabs>
      <w:suppressAutoHyphens/>
      <w:jc w:val="right"/>
      <w:rPr>
        <w:noProof/>
        <w:snapToGrid w:val="0"/>
        <w:kern w:val="22"/>
      </w:rPr>
    </w:pPr>
    <w:r w:rsidRPr="006114A8">
      <w:rPr>
        <w:noProof/>
        <w:snapToGrid w:val="0"/>
        <w:kern w:val="22"/>
      </w:rPr>
      <w:t>CBD/</w:t>
    </w:r>
    <w:r>
      <w:rPr>
        <w:noProof/>
        <w:snapToGrid w:val="0"/>
        <w:kern w:val="22"/>
      </w:rPr>
      <w:t>WG2020/3/4</w:t>
    </w:r>
  </w:p>
  <w:p w14:paraId="6C40E430" w14:textId="54BFD3FF" w:rsidR="00AF2996" w:rsidRPr="00A66393" w:rsidRDefault="00AF2996" w:rsidP="00A66393">
    <w:pPr>
      <w:pStyle w:val="Header"/>
      <w:keepLines/>
      <w:suppressLineNumbers/>
      <w:tabs>
        <w:tab w:val="clear" w:pos="4320"/>
        <w:tab w:val="clear" w:pos="8640"/>
      </w:tabs>
      <w:suppressAutoHyphens/>
      <w:spacing w:after="240"/>
      <w:jc w:val="right"/>
      <w:rPr>
        <w:noProof/>
        <w:snapToGrid w:val="0"/>
        <w:kern w:val="22"/>
      </w:rPr>
    </w:pPr>
    <w:r w:rsidRPr="00704524">
      <w:rPr>
        <w:noProof/>
        <w:snapToGrid w:val="0"/>
        <w:kern w:val="22"/>
      </w:rPr>
      <w:t xml:space="preserve">Page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Pr>
        <w:noProof/>
        <w:snapToGrid w:val="0"/>
        <w:kern w:val="22"/>
      </w:rPr>
      <w:t>22</w:t>
    </w:r>
    <w:r w:rsidRPr="00704524">
      <w:rPr>
        <w:noProof/>
        <w:snapToGrid w:val="0"/>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75633"/>
    <w:multiLevelType w:val="hybridMultilevel"/>
    <w:tmpl w:val="9FDC495C"/>
    <w:lvl w:ilvl="0" w:tplc="53A8CCA6">
      <w:start w:val="1"/>
      <w:numFmt w:val="upperRoman"/>
      <w:lvlText w:val="%1."/>
      <w:lvlJc w:val="left"/>
      <w:pPr>
        <w:ind w:left="2705"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70C82"/>
    <w:multiLevelType w:val="hybridMultilevel"/>
    <w:tmpl w:val="F1109892"/>
    <w:lvl w:ilvl="0" w:tplc="AF4A16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656C"/>
    <w:multiLevelType w:val="hybridMultilevel"/>
    <w:tmpl w:val="7F1A8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1AED"/>
    <w:multiLevelType w:val="hybridMultilevel"/>
    <w:tmpl w:val="9CA875A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A75AAB"/>
    <w:multiLevelType w:val="hybridMultilevel"/>
    <w:tmpl w:val="27425318"/>
    <w:lvl w:ilvl="0" w:tplc="3086D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73280B"/>
    <w:multiLevelType w:val="hybridMultilevel"/>
    <w:tmpl w:val="9E26A22E"/>
    <w:lvl w:ilvl="0" w:tplc="6A4C5086">
      <w:start w:val="1"/>
      <w:numFmt w:val="decimal"/>
      <w:lvlText w:val="%1."/>
      <w:lvlJc w:val="left"/>
      <w:pPr>
        <w:ind w:left="720" w:hanging="360"/>
      </w:pPr>
      <w:rPr>
        <w:rFonts w:ascii="Times New Roman" w:hAnsi="Times New Roman" w:hint="default"/>
      </w:rPr>
    </w:lvl>
    <w:lvl w:ilvl="1" w:tplc="39E6B296">
      <w:start w:val="1"/>
      <w:numFmt w:val="lowerLetter"/>
      <w:lvlText w:val="%2)"/>
      <w:lvlJc w:val="left"/>
      <w:pPr>
        <w:ind w:left="1440" w:hanging="360"/>
      </w:pPr>
      <w:rPr>
        <w:rFonts w:ascii="Times New Roman" w:eastAsia="Times New Roman" w:hAnsi="Times New Roman" w:cstheme="majorBidi"/>
      </w:rPr>
    </w:lvl>
    <w:lvl w:ilvl="2" w:tplc="0409001B">
      <w:start w:val="1"/>
      <w:numFmt w:val="lowerRoman"/>
      <w:lvlText w:val="%3."/>
      <w:lvlJc w:val="right"/>
      <w:pPr>
        <w:ind w:left="2160" w:hanging="180"/>
      </w:pPr>
    </w:lvl>
    <w:lvl w:ilvl="3" w:tplc="7A80EC3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B61F7"/>
    <w:multiLevelType w:val="hybridMultilevel"/>
    <w:tmpl w:val="7B26D25E"/>
    <w:lvl w:ilvl="0" w:tplc="C972CFD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218F336C"/>
    <w:multiLevelType w:val="multilevel"/>
    <w:tmpl w:val="C8A040E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eastAsia="Times New Roman" w:hAnsi="Times New Roman" w:cs="Times New Roman"/>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1B42F3C"/>
    <w:multiLevelType w:val="hybridMultilevel"/>
    <w:tmpl w:val="9496C732"/>
    <w:lvl w:ilvl="0" w:tplc="6A4C5086">
      <w:start w:val="1"/>
      <w:numFmt w:val="decimal"/>
      <w:lvlText w:val="%1."/>
      <w:lvlJc w:val="left"/>
      <w:pPr>
        <w:ind w:left="720" w:hanging="360"/>
      </w:pPr>
      <w:rPr>
        <w:rFonts w:ascii="Times New Roman" w:hAnsi="Times New Roman"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116DF"/>
    <w:multiLevelType w:val="hybridMultilevel"/>
    <w:tmpl w:val="21262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29F36A3"/>
    <w:multiLevelType w:val="hybridMultilevel"/>
    <w:tmpl w:val="FFFFFFFF"/>
    <w:lvl w:ilvl="0" w:tplc="B59E230C">
      <w:start w:val="1"/>
      <w:numFmt w:val="lowerLetter"/>
      <w:lvlText w:val="(%1)"/>
      <w:lvlJc w:val="left"/>
      <w:pPr>
        <w:ind w:left="720" w:hanging="360"/>
      </w:pPr>
    </w:lvl>
    <w:lvl w:ilvl="1" w:tplc="FEBC1C08">
      <w:start w:val="1"/>
      <w:numFmt w:val="lowerLetter"/>
      <w:lvlText w:val="%2."/>
      <w:lvlJc w:val="left"/>
      <w:pPr>
        <w:ind w:left="1440" w:hanging="360"/>
      </w:pPr>
    </w:lvl>
    <w:lvl w:ilvl="2" w:tplc="D7102D74">
      <w:start w:val="1"/>
      <w:numFmt w:val="lowerRoman"/>
      <w:lvlText w:val="%3."/>
      <w:lvlJc w:val="right"/>
      <w:pPr>
        <w:ind w:left="2160" w:hanging="180"/>
      </w:pPr>
    </w:lvl>
    <w:lvl w:ilvl="3" w:tplc="238E6128">
      <w:start w:val="1"/>
      <w:numFmt w:val="decimal"/>
      <w:lvlText w:val="%4."/>
      <w:lvlJc w:val="left"/>
      <w:pPr>
        <w:ind w:left="2880" w:hanging="360"/>
      </w:pPr>
    </w:lvl>
    <w:lvl w:ilvl="4" w:tplc="A7889B7E">
      <w:start w:val="1"/>
      <w:numFmt w:val="lowerLetter"/>
      <w:lvlText w:val="%5."/>
      <w:lvlJc w:val="left"/>
      <w:pPr>
        <w:ind w:left="3600" w:hanging="360"/>
      </w:pPr>
    </w:lvl>
    <w:lvl w:ilvl="5" w:tplc="C46AB01A">
      <w:start w:val="1"/>
      <w:numFmt w:val="lowerRoman"/>
      <w:lvlText w:val="%6."/>
      <w:lvlJc w:val="right"/>
      <w:pPr>
        <w:ind w:left="4320" w:hanging="180"/>
      </w:pPr>
    </w:lvl>
    <w:lvl w:ilvl="6" w:tplc="5AC6D978">
      <w:start w:val="1"/>
      <w:numFmt w:val="decimal"/>
      <w:lvlText w:val="%7."/>
      <w:lvlJc w:val="left"/>
      <w:pPr>
        <w:ind w:left="5040" w:hanging="360"/>
      </w:pPr>
    </w:lvl>
    <w:lvl w:ilvl="7" w:tplc="78689FFC">
      <w:start w:val="1"/>
      <w:numFmt w:val="lowerLetter"/>
      <w:lvlText w:val="%8."/>
      <w:lvlJc w:val="left"/>
      <w:pPr>
        <w:ind w:left="5760" w:hanging="360"/>
      </w:pPr>
    </w:lvl>
    <w:lvl w:ilvl="8" w:tplc="01A2250E">
      <w:start w:val="1"/>
      <w:numFmt w:val="lowerRoman"/>
      <w:lvlText w:val="%9."/>
      <w:lvlJc w:val="right"/>
      <w:pPr>
        <w:ind w:left="6480" w:hanging="180"/>
      </w:pPr>
    </w:lvl>
  </w:abstractNum>
  <w:abstractNum w:abstractNumId="15" w15:restartNumberingAfterBreak="0">
    <w:nsid w:val="34D629A6"/>
    <w:multiLevelType w:val="hybridMultilevel"/>
    <w:tmpl w:val="5A26E5F0"/>
    <w:lvl w:ilvl="0" w:tplc="D332D33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136DF"/>
    <w:multiLevelType w:val="multilevel"/>
    <w:tmpl w:val="6BB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1561D"/>
    <w:multiLevelType w:val="multilevel"/>
    <w:tmpl w:val="B47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8E76ED"/>
    <w:multiLevelType w:val="hybridMultilevel"/>
    <w:tmpl w:val="92A668B6"/>
    <w:lvl w:ilvl="0" w:tplc="75666D14">
      <w:start w:val="1"/>
      <w:numFmt w:val="lowerLetter"/>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4D4812"/>
    <w:multiLevelType w:val="hybridMultilevel"/>
    <w:tmpl w:val="F7FC06BE"/>
    <w:lvl w:ilvl="0" w:tplc="50B82578">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FB6EF4"/>
    <w:multiLevelType w:val="hybridMultilevel"/>
    <w:tmpl w:val="3C0055F2"/>
    <w:lvl w:ilvl="0" w:tplc="AFB8A2D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442B4"/>
    <w:multiLevelType w:val="multilevel"/>
    <w:tmpl w:val="75BC2ED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F6464D9"/>
    <w:multiLevelType w:val="multilevel"/>
    <w:tmpl w:val="7EFE4CD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eastAsia="Times New Roman" w:hAnsi="Times New Roman" w:cs="Times New Roman"/>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E41CC2"/>
    <w:multiLevelType w:val="hybridMultilevel"/>
    <w:tmpl w:val="EB0E22E8"/>
    <w:lvl w:ilvl="0" w:tplc="AF4A169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166859"/>
    <w:multiLevelType w:val="hybridMultilevel"/>
    <w:tmpl w:val="E49003CE"/>
    <w:lvl w:ilvl="0" w:tplc="6A4C5086">
      <w:start w:val="1"/>
      <w:numFmt w:val="decimal"/>
      <w:lvlText w:val="%1."/>
      <w:lvlJc w:val="left"/>
      <w:pPr>
        <w:ind w:left="720" w:hanging="360"/>
      </w:pPr>
      <w:rPr>
        <w:rFonts w:ascii="Times New Roman" w:hAnsi="Times New Roman" w:hint="default"/>
      </w:r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4206D"/>
    <w:multiLevelType w:val="hybridMultilevel"/>
    <w:tmpl w:val="8CAC2340"/>
    <w:lvl w:ilvl="0" w:tplc="D382A4A6">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950AF"/>
    <w:multiLevelType w:val="hybridMultilevel"/>
    <w:tmpl w:val="9348BCAC"/>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A10970"/>
    <w:multiLevelType w:val="hybridMultilevel"/>
    <w:tmpl w:val="7CEA7E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FF1126"/>
    <w:multiLevelType w:val="hybridMultilevel"/>
    <w:tmpl w:val="F6B41390"/>
    <w:lvl w:ilvl="0" w:tplc="E4B8122C">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55F38A2"/>
    <w:multiLevelType w:val="hybridMultilevel"/>
    <w:tmpl w:val="4DF87E2A"/>
    <w:lvl w:ilvl="0" w:tplc="6FDCD0F2">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C83E2B"/>
    <w:multiLevelType w:val="hybridMultilevel"/>
    <w:tmpl w:val="771626E4"/>
    <w:lvl w:ilvl="0" w:tplc="C11CCCB4">
      <w:start w:val="1"/>
      <w:numFmt w:val="decimal"/>
      <w:lvlText w:val="%1."/>
      <w:lvlJc w:val="left"/>
      <w:pPr>
        <w:ind w:left="1080" w:hanging="360"/>
      </w:pPr>
      <w:rPr>
        <w:rFonts w:hint="default"/>
        <w:i/>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4D0D65"/>
    <w:multiLevelType w:val="hybridMultilevel"/>
    <w:tmpl w:val="6F8A9534"/>
    <w:lvl w:ilvl="0" w:tplc="97482F58">
      <w:start w:val="1"/>
      <w:numFmt w:val="decimal"/>
      <w:lvlText w:val="%1."/>
      <w:lvlJc w:val="left"/>
      <w:pPr>
        <w:ind w:left="1440" w:hanging="360"/>
      </w:pPr>
      <w:rPr>
        <w:sz w:val="22"/>
        <w:szCs w:val="22"/>
      </w:rPr>
    </w:lvl>
    <w:lvl w:ilvl="1" w:tplc="504873FA">
      <w:start w:val="1"/>
      <w:numFmt w:val="lowerLetter"/>
      <w:lvlText w:val="%2)"/>
      <w:lvlJc w:val="left"/>
      <w:pPr>
        <w:ind w:left="2160" w:hanging="360"/>
      </w:pPr>
      <w:rPr>
        <w:rFonts w:ascii="Times New Roman" w:eastAsia="Malgun Gothic" w:hAnsi="Times New Roman" w:cstheme="maj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D343CA7"/>
    <w:multiLevelType w:val="hybridMultilevel"/>
    <w:tmpl w:val="44827E90"/>
    <w:lvl w:ilvl="0" w:tplc="6A4C5086">
      <w:start w:val="1"/>
      <w:numFmt w:val="decimal"/>
      <w:lvlText w:val="%1."/>
      <w:lvlJc w:val="left"/>
      <w:pPr>
        <w:ind w:left="720" w:hanging="360"/>
      </w:pPr>
      <w:rPr>
        <w:rFonts w:ascii="Times New Roman" w:hAnsi="Times New Roman" w:hint="default"/>
      </w:rPr>
    </w:lvl>
    <w:lvl w:ilvl="1" w:tplc="E222F346">
      <w:start w:val="1"/>
      <w:numFmt w:val="lowerLetter"/>
      <w:lvlText w:val="%2)"/>
      <w:lvlJc w:val="left"/>
      <w:pPr>
        <w:ind w:left="1440" w:hanging="360"/>
      </w:pPr>
      <w:rPr>
        <w:rFonts w:ascii="Times New Roman" w:eastAsia="Times New Roman" w:hAnsi="Times New Roman" w:cstheme="maj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53463"/>
    <w:multiLevelType w:val="hybridMultilevel"/>
    <w:tmpl w:val="9348BCAC"/>
    <w:lvl w:ilvl="0" w:tplc="6A4C508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353A9"/>
    <w:multiLevelType w:val="multilevel"/>
    <w:tmpl w:val="84EA9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0A1AD1"/>
    <w:multiLevelType w:val="hybridMultilevel"/>
    <w:tmpl w:val="0BBEF4AA"/>
    <w:lvl w:ilvl="0" w:tplc="62E203FA">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E549FE"/>
    <w:multiLevelType w:val="hybridMultilevel"/>
    <w:tmpl w:val="9F8E9C7C"/>
    <w:lvl w:ilvl="0" w:tplc="C11CCCB4">
      <w:start w:val="1"/>
      <w:numFmt w:val="decimal"/>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72647C"/>
    <w:multiLevelType w:val="hybridMultilevel"/>
    <w:tmpl w:val="6D445426"/>
    <w:lvl w:ilvl="0" w:tplc="FFFFFFFF">
      <w:start w:val="1"/>
      <w:numFmt w:val="lowerLetter"/>
      <w:lvlText w:val="(%1)"/>
      <w:lvlJc w:val="lef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9"/>
  </w:num>
  <w:num w:numId="4">
    <w:abstractNumId w:val="23"/>
  </w:num>
  <w:num w:numId="5">
    <w:abstractNumId w:val="21"/>
  </w:num>
  <w:num w:numId="6">
    <w:abstractNumId w:val="1"/>
  </w:num>
  <w:num w:numId="7">
    <w:abstractNumId w:val="6"/>
  </w:num>
  <w:num w:numId="8">
    <w:abstractNumId w:val="19"/>
    <w:lvlOverride w:ilvl="0">
      <w:startOverride w:val="1"/>
    </w:lvlOverride>
  </w:num>
  <w:num w:numId="9">
    <w:abstractNumId w:val="37"/>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29"/>
  </w:num>
  <w:num w:numId="15">
    <w:abstractNumId w:val="27"/>
  </w:num>
  <w:num w:numId="16">
    <w:abstractNumId w:val="2"/>
  </w:num>
  <w:num w:numId="17">
    <w:abstractNumId w:val="40"/>
  </w:num>
  <w:num w:numId="18">
    <w:abstractNumId w:val="42"/>
  </w:num>
  <w:num w:numId="19">
    <w:abstractNumId w:val="5"/>
  </w:num>
  <w:num w:numId="20">
    <w:abstractNumId w:val="35"/>
  </w:num>
  <w:num w:numId="21">
    <w:abstractNumId w:val="4"/>
  </w:num>
  <w:num w:numId="22">
    <w:abstractNumId w:val="33"/>
  </w:num>
  <w:num w:numId="23">
    <w:abstractNumId w:val="9"/>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0"/>
  </w:num>
  <w:num w:numId="27">
    <w:abstractNumId w:val="11"/>
  </w:num>
  <w:num w:numId="28">
    <w:abstractNumId w:val="8"/>
  </w:num>
  <w:num w:numId="29">
    <w:abstractNumId w:val="0"/>
  </w:num>
  <w:num w:numId="30">
    <w:abstractNumId w:val="12"/>
  </w:num>
  <w:num w:numId="31">
    <w:abstractNumId w:val="43"/>
  </w:num>
  <w:num w:numId="32">
    <w:abstractNumId w:val="34"/>
  </w:num>
  <w:num w:numId="33">
    <w:abstractNumId w:val="16"/>
  </w:num>
  <w:num w:numId="34">
    <w:abstractNumId w:val="39"/>
  </w:num>
  <w:num w:numId="35">
    <w:abstractNumId w:val="17"/>
  </w:num>
  <w:num w:numId="36">
    <w:abstractNumId w:val="22"/>
  </w:num>
  <w:num w:numId="37">
    <w:abstractNumId w:val="41"/>
  </w:num>
  <w:num w:numId="38">
    <w:abstractNumId w:val="26"/>
  </w:num>
  <w:num w:numId="39">
    <w:abstractNumId w:val="7"/>
  </w:num>
  <w:num w:numId="40">
    <w:abstractNumId w:val="38"/>
  </w:num>
  <w:num w:numId="41">
    <w:abstractNumId w:val="31"/>
  </w:num>
  <w:num w:numId="42">
    <w:abstractNumId w:val="14"/>
  </w:num>
  <w:num w:numId="43">
    <w:abstractNumId w:val="20"/>
  </w:num>
  <w:num w:numId="44">
    <w:abstractNumId w:val="30"/>
  </w:num>
  <w:num w:numId="45">
    <w:abstractNumId w:val="36"/>
  </w:num>
  <w:num w:numId="46">
    <w:abstractNumId w:val="23"/>
  </w:num>
  <w:num w:numId="47">
    <w:abstractNumId w:val="25"/>
  </w:num>
  <w:num w:numId="48">
    <w:abstractNumId w:val="3"/>
  </w:num>
  <w:num w:numId="49">
    <w:abstractNumId w:val="44"/>
  </w:num>
  <w:num w:numId="50">
    <w:abstractNumId w:val="18"/>
  </w:num>
  <w:num w:numId="51">
    <w:abstractNumId w:val="32"/>
  </w:num>
  <w:num w:numId="52">
    <w:abstractNumId w:val="28"/>
  </w:num>
  <w:num w:numId="5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4E1"/>
    <w:rsid w:val="00003E6E"/>
    <w:rsid w:val="000058DD"/>
    <w:rsid w:val="00006AB2"/>
    <w:rsid w:val="00011110"/>
    <w:rsid w:val="00011941"/>
    <w:rsid w:val="00011B11"/>
    <w:rsid w:val="00012E4B"/>
    <w:rsid w:val="00012FC6"/>
    <w:rsid w:val="00014D38"/>
    <w:rsid w:val="00016C45"/>
    <w:rsid w:val="0002140E"/>
    <w:rsid w:val="0002274D"/>
    <w:rsid w:val="00027918"/>
    <w:rsid w:val="000307AB"/>
    <w:rsid w:val="00032189"/>
    <w:rsid w:val="00035143"/>
    <w:rsid w:val="000355FD"/>
    <w:rsid w:val="00035D22"/>
    <w:rsid w:val="000369B5"/>
    <w:rsid w:val="0003E282"/>
    <w:rsid w:val="00042676"/>
    <w:rsid w:val="000433F5"/>
    <w:rsid w:val="0004428B"/>
    <w:rsid w:val="00045C3F"/>
    <w:rsid w:val="00045C5A"/>
    <w:rsid w:val="0005114D"/>
    <w:rsid w:val="0005135D"/>
    <w:rsid w:val="000513FE"/>
    <w:rsid w:val="000514DC"/>
    <w:rsid w:val="00051F28"/>
    <w:rsid w:val="00055287"/>
    <w:rsid w:val="000553B0"/>
    <w:rsid w:val="00056968"/>
    <w:rsid w:val="00057390"/>
    <w:rsid w:val="00057508"/>
    <w:rsid w:val="00060B88"/>
    <w:rsid w:val="0006521A"/>
    <w:rsid w:val="0006677B"/>
    <w:rsid w:val="000672FF"/>
    <w:rsid w:val="0007146F"/>
    <w:rsid w:val="0007171B"/>
    <w:rsid w:val="000770FA"/>
    <w:rsid w:val="00077A3E"/>
    <w:rsid w:val="00081D33"/>
    <w:rsid w:val="00082E35"/>
    <w:rsid w:val="000834E0"/>
    <w:rsid w:val="00084262"/>
    <w:rsid w:val="0008649C"/>
    <w:rsid w:val="0008EA67"/>
    <w:rsid w:val="000903A3"/>
    <w:rsid w:val="0009059E"/>
    <w:rsid w:val="000934A4"/>
    <w:rsid w:val="00095AB4"/>
    <w:rsid w:val="0009632F"/>
    <w:rsid w:val="00096624"/>
    <w:rsid w:val="00096929"/>
    <w:rsid w:val="00097E96"/>
    <w:rsid w:val="000A03EC"/>
    <w:rsid w:val="000A1B51"/>
    <w:rsid w:val="000A442A"/>
    <w:rsid w:val="000A4720"/>
    <w:rsid w:val="000A5290"/>
    <w:rsid w:val="000A63C7"/>
    <w:rsid w:val="000B0186"/>
    <w:rsid w:val="000B080A"/>
    <w:rsid w:val="000B0F29"/>
    <w:rsid w:val="000B3B01"/>
    <w:rsid w:val="000B5C7B"/>
    <w:rsid w:val="000B63E7"/>
    <w:rsid w:val="000B6AF2"/>
    <w:rsid w:val="000C1359"/>
    <w:rsid w:val="000C23D9"/>
    <w:rsid w:val="000C2A18"/>
    <w:rsid w:val="000C5761"/>
    <w:rsid w:val="000C5A66"/>
    <w:rsid w:val="000C7268"/>
    <w:rsid w:val="000D1133"/>
    <w:rsid w:val="000D382E"/>
    <w:rsid w:val="000D5579"/>
    <w:rsid w:val="000D6C3A"/>
    <w:rsid w:val="000D6ED1"/>
    <w:rsid w:val="000DA5A7"/>
    <w:rsid w:val="000E0804"/>
    <w:rsid w:val="000E0856"/>
    <w:rsid w:val="000E15E3"/>
    <w:rsid w:val="000E16EB"/>
    <w:rsid w:val="000E1A27"/>
    <w:rsid w:val="000E1E62"/>
    <w:rsid w:val="000E202B"/>
    <w:rsid w:val="000E281B"/>
    <w:rsid w:val="000E2E54"/>
    <w:rsid w:val="000E3098"/>
    <w:rsid w:val="000E673A"/>
    <w:rsid w:val="000E73A0"/>
    <w:rsid w:val="000F0E9D"/>
    <w:rsid w:val="000F0FF9"/>
    <w:rsid w:val="000F1606"/>
    <w:rsid w:val="000F26D9"/>
    <w:rsid w:val="000F74F5"/>
    <w:rsid w:val="000F7CFA"/>
    <w:rsid w:val="0010018B"/>
    <w:rsid w:val="00101CF0"/>
    <w:rsid w:val="001025D9"/>
    <w:rsid w:val="001028CA"/>
    <w:rsid w:val="00103228"/>
    <w:rsid w:val="001033CF"/>
    <w:rsid w:val="00105372"/>
    <w:rsid w:val="00107D86"/>
    <w:rsid w:val="00111D81"/>
    <w:rsid w:val="00114176"/>
    <w:rsid w:val="001142A2"/>
    <w:rsid w:val="001145E2"/>
    <w:rsid w:val="00114EF0"/>
    <w:rsid w:val="001154B2"/>
    <w:rsid w:val="00121BA2"/>
    <w:rsid w:val="0012468A"/>
    <w:rsid w:val="00124A33"/>
    <w:rsid w:val="00125B3A"/>
    <w:rsid w:val="00125F7C"/>
    <w:rsid w:val="001262BD"/>
    <w:rsid w:val="001312AD"/>
    <w:rsid w:val="00131E7A"/>
    <w:rsid w:val="001336D4"/>
    <w:rsid w:val="00134034"/>
    <w:rsid w:val="0013448C"/>
    <w:rsid w:val="00134846"/>
    <w:rsid w:val="00134E19"/>
    <w:rsid w:val="00134F37"/>
    <w:rsid w:val="0013525E"/>
    <w:rsid w:val="00136C8A"/>
    <w:rsid w:val="00136CCD"/>
    <w:rsid w:val="00142D63"/>
    <w:rsid w:val="00142E78"/>
    <w:rsid w:val="0014469B"/>
    <w:rsid w:val="00145BA9"/>
    <w:rsid w:val="001515E5"/>
    <w:rsid w:val="001524F4"/>
    <w:rsid w:val="00152EB0"/>
    <w:rsid w:val="001537BC"/>
    <w:rsid w:val="00153816"/>
    <w:rsid w:val="00157131"/>
    <w:rsid w:val="00157786"/>
    <w:rsid w:val="00157AC6"/>
    <w:rsid w:val="00157D57"/>
    <w:rsid w:val="00162438"/>
    <w:rsid w:val="00162A92"/>
    <w:rsid w:val="001642DF"/>
    <w:rsid w:val="0016455A"/>
    <w:rsid w:val="00164C1E"/>
    <w:rsid w:val="001671F8"/>
    <w:rsid w:val="00167DA5"/>
    <w:rsid w:val="00172AF6"/>
    <w:rsid w:val="0017368A"/>
    <w:rsid w:val="00174A9B"/>
    <w:rsid w:val="00174D60"/>
    <w:rsid w:val="00176B0A"/>
    <w:rsid w:val="00176CEE"/>
    <w:rsid w:val="00177FAF"/>
    <w:rsid w:val="0018179E"/>
    <w:rsid w:val="00181F77"/>
    <w:rsid w:val="00184859"/>
    <w:rsid w:val="001849EA"/>
    <w:rsid w:val="001861C3"/>
    <w:rsid w:val="001862C0"/>
    <w:rsid w:val="00186DD8"/>
    <w:rsid w:val="00187A92"/>
    <w:rsid w:val="00190BB5"/>
    <w:rsid w:val="0019296F"/>
    <w:rsid w:val="00193EF8"/>
    <w:rsid w:val="001943B0"/>
    <w:rsid w:val="0019614C"/>
    <w:rsid w:val="001A1F45"/>
    <w:rsid w:val="001A3EED"/>
    <w:rsid w:val="001A4988"/>
    <w:rsid w:val="001A59E5"/>
    <w:rsid w:val="001A7258"/>
    <w:rsid w:val="001A7A23"/>
    <w:rsid w:val="001B08D6"/>
    <w:rsid w:val="001B0D53"/>
    <w:rsid w:val="001B13FE"/>
    <w:rsid w:val="001B24EC"/>
    <w:rsid w:val="001B3622"/>
    <w:rsid w:val="001B3DE6"/>
    <w:rsid w:val="001B7667"/>
    <w:rsid w:val="001C1125"/>
    <w:rsid w:val="001C1753"/>
    <w:rsid w:val="001C457C"/>
    <w:rsid w:val="001D133C"/>
    <w:rsid w:val="001D2C64"/>
    <w:rsid w:val="001D6190"/>
    <w:rsid w:val="001D699B"/>
    <w:rsid w:val="001E02F5"/>
    <w:rsid w:val="001E37B6"/>
    <w:rsid w:val="001E391A"/>
    <w:rsid w:val="001E7E6C"/>
    <w:rsid w:val="001F0B72"/>
    <w:rsid w:val="001F356E"/>
    <w:rsid w:val="001F5EC1"/>
    <w:rsid w:val="001F5EF7"/>
    <w:rsid w:val="001F658E"/>
    <w:rsid w:val="001F789A"/>
    <w:rsid w:val="001F78FE"/>
    <w:rsid w:val="001F7F1C"/>
    <w:rsid w:val="002016DC"/>
    <w:rsid w:val="00201836"/>
    <w:rsid w:val="00204568"/>
    <w:rsid w:val="002051E7"/>
    <w:rsid w:val="00205662"/>
    <w:rsid w:val="00205F41"/>
    <w:rsid w:val="00206AF5"/>
    <w:rsid w:val="00210024"/>
    <w:rsid w:val="00211B08"/>
    <w:rsid w:val="00212032"/>
    <w:rsid w:val="0021377B"/>
    <w:rsid w:val="002143B8"/>
    <w:rsid w:val="00217FF4"/>
    <w:rsid w:val="00220322"/>
    <w:rsid w:val="0022063E"/>
    <w:rsid w:val="002226AE"/>
    <w:rsid w:val="00223C05"/>
    <w:rsid w:val="00224695"/>
    <w:rsid w:val="00224D0E"/>
    <w:rsid w:val="00225DA7"/>
    <w:rsid w:val="00227440"/>
    <w:rsid w:val="002275F6"/>
    <w:rsid w:val="002308DA"/>
    <w:rsid w:val="00230BEA"/>
    <w:rsid w:val="00230E8A"/>
    <w:rsid w:val="00231BFF"/>
    <w:rsid w:val="002337CC"/>
    <w:rsid w:val="00233EE9"/>
    <w:rsid w:val="00234B99"/>
    <w:rsid w:val="00234CF9"/>
    <w:rsid w:val="00235207"/>
    <w:rsid w:val="0023750F"/>
    <w:rsid w:val="00244B8D"/>
    <w:rsid w:val="002451D0"/>
    <w:rsid w:val="00245631"/>
    <w:rsid w:val="00245D58"/>
    <w:rsid w:val="00246AAF"/>
    <w:rsid w:val="00247882"/>
    <w:rsid w:val="00250881"/>
    <w:rsid w:val="0025367E"/>
    <w:rsid w:val="00253928"/>
    <w:rsid w:val="00255538"/>
    <w:rsid w:val="00261846"/>
    <w:rsid w:val="00261E39"/>
    <w:rsid w:val="002628E1"/>
    <w:rsid w:val="002637C8"/>
    <w:rsid w:val="0026469C"/>
    <w:rsid w:val="00265F3B"/>
    <w:rsid w:val="002728B6"/>
    <w:rsid w:val="0027444D"/>
    <w:rsid w:val="00274991"/>
    <w:rsid w:val="00275BB2"/>
    <w:rsid w:val="00276B87"/>
    <w:rsid w:val="00277E6C"/>
    <w:rsid w:val="00280A68"/>
    <w:rsid w:val="0028476F"/>
    <w:rsid w:val="00285787"/>
    <w:rsid w:val="00285FA9"/>
    <w:rsid w:val="00286319"/>
    <w:rsid w:val="00286507"/>
    <w:rsid w:val="002866C3"/>
    <w:rsid w:val="0029202F"/>
    <w:rsid w:val="00295FB1"/>
    <w:rsid w:val="002962D6"/>
    <w:rsid w:val="00296490"/>
    <w:rsid w:val="002A070C"/>
    <w:rsid w:val="002A1E59"/>
    <w:rsid w:val="002A2C93"/>
    <w:rsid w:val="002A3999"/>
    <w:rsid w:val="002A41FD"/>
    <w:rsid w:val="002A5D8E"/>
    <w:rsid w:val="002A71ED"/>
    <w:rsid w:val="002B3748"/>
    <w:rsid w:val="002B4C9F"/>
    <w:rsid w:val="002B722A"/>
    <w:rsid w:val="002C1A1B"/>
    <w:rsid w:val="002C4D05"/>
    <w:rsid w:val="002C74A6"/>
    <w:rsid w:val="002D254F"/>
    <w:rsid w:val="002D30EE"/>
    <w:rsid w:val="002D3863"/>
    <w:rsid w:val="002D5309"/>
    <w:rsid w:val="002D76C5"/>
    <w:rsid w:val="002D7B10"/>
    <w:rsid w:val="002E01C2"/>
    <w:rsid w:val="002E1138"/>
    <w:rsid w:val="002E1F0B"/>
    <w:rsid w:val="002E5C9F"/>
    <w:rsid w:val="002E6BDA"/>
    <w:rsid w:val="002E70FE"/>
    <w:rsid w:val="002F086E"/>
    <w:rsid w:val="002F17BB"/>
    <w:rsid w:val="002F3091"/>
    <w:rsid w:val="002F3C54"/>
    <w:rsid w:val="002F4278"/>
    <w:rsid w:val="002F49B0"/>
    <w:rsid w:val="002F4AD1"/>
    <w:rsid w:val="002F72B1"/>
    <w:rsid w:val="002FFB98"/>
    <w:rsid w:val="003009AE"/>
    <w:rsid w:val="00300D69"/>
    <w:rsid w:val="00300F44"/>
    <w:rsid w:val="0030169D"/>
    <w:rsid w:val="00303A30"/>
    <w:rsid w:val="00304437"/>
    <w:rsid w:val="00304451"/>
    <w:rsid w:val="003060EB"/>
    <w:rsid w:val="0030636F"/>
    <w:rsid w:val="0031262A"/>
    <w:rsid w:val="00312D5E"/>
    <w:rsid w:val="003148B1"/>
    <w:rsid w:val="003153EB"/>
    <w:rsid w:val="003157B1"/>
    <w:rsid w:val="00317D2D"/>
    <w:rsid w:val="00317DF2"/>
    <w:rsid w:val="00321985"/>
    <w:rsid w:val="00324CDF"/>
    <w:rsid w:val="003267FF"/>
    <w:rsid w:val="00326996"/>
    <w:rsid w:val="00330FA4"/>
    <w:rsid w:val="00331DF1"/>
    <w:rsid w:val="00334E58"/>
    <w:rsid w:val="003369F6"/>
    <w:rsid w:val="00340BAD"/>
    <w:rsid w:val="00346280"/>
    <w:rsid w:val="003467FF"/>
    <w:rsid w:val="00346FA4"/>
    <w:rsid w:val="00351205"/>
    <w:rsid w:val="003526CF"/>
    <w:rsid w:val="003532A3"/>
    <w:rsid w:val="003537E3"/>
    <w:rsid w:val="00353F67"/>
    <w:rsid w:val="003550B7"/>
    <w:rsid w:val="00361044"/>
    <w:rsid w:val="00361AFA"/>
    <w:rsid w:val="003629BD"/>
    <w:rsid w:val="00362DBF"/>
    <w:rsid w:val="003632D6"/>
    <w:rsid w:val="0036592A"/>
    <w:rsid w:val="00367805"/>
    <w:rsid w:val="00367DDD"/>
    <w:rsid w:val="00372F74"/>
    <w:rsid w:val="00373203"/>
    <w:rsid w:val="00374242"/>
    <w:rsid w:val="00374674"/>
    <w:rsid w:val="00374B74"/>
    <w:rsid w:val="00375065"/>
    <w:rsid w:val="00376C3F"/>
    <w:rsid w:val="00377538"/>
    <w:rsid w:val="003775EA"/>
    <w:rsid w:val="003777AB"/>
    <w:rsid w:val="00377A47"/>
    <w:rsid w:val="00382A4C"/>
    <w:rsid w:val="00385AD4"/>
    <w:rsid w:val="0038C471"/>
    <w:rsid w:val="00392704"/>
    <w:rsid w:val="00395E0B"/>
    <w:rsid w:val="00395E88"/>
    <w:rsid w:val="0039741D"/>
    <w:rsid w:val="00397BBC"/>
    <w:rsid w:val="003A145F"/>
    <w:rsid w:val="003A1BAD"/>
    <w:rsid w:val="003A1DFE"/>
    <w:rsid w:val="003A3E99"/>
    <w:rsid w:val="003A4279"/>
    <w:rsid w:val="003A43CC"/>
    <w:rsid w:val="003B356B"/>
    <w:rsid w:val="003B477F"/>
    <w:rsid w:val="003B600C"/>
    <w:rsid w:val="003C658A"/>
    <w:rsid w:val="003C7F62"/>
    <w:rsid w:val="003D4015"/>
    <w:rsid w:val="003D455E"/>
    <w:rsid w:val="003D47A0"/>
    <w:rsid w:val="003D50C7"/>
    <w:rsid w:val="003D5B9A"/>
    <w:rsid w:val="003D5E35"/>
    <w:rsid w:val="003D6087"/>
    <w:rsid w:val="003D71B6"/>
    <w:rsid w:val="003D762D"/>
    <w:rsid w:val="003E1162"/>
    <w:rsid w:val="003E176A"/>
    <w:rsid w:val="003E2420"/>
    <w:rsid w:val="003E480F"/>
    <w:rsid w:val="003E4864"/>
    <w:rsid w:val="003E4F46"/>
    <w:rsid w:val="003E6E22"/>
    <w:rsid w:val="003E71F2"/>
    <w:rsid w:val="003E7B31"/>
    <w:rsid w:val="003F18F7"/>
    <w:rsid w:val="003F374A"/>
    <w:rsid w:val="003F7224"/>
    <w:rsid w:val="00400A9B"/>
    <w:rsid w:val="00400D79"/>
    <w:rsid w:val="0040398C"/>
    <w:rsid w:val="00410318"/>
    <w:rsid w:val="00410E86"/>
    <w:rsid w:val="004123BC"/>
    <w:rsid w:val="0041249D"/>
    <w:rsid w:val="004124E8"/>
    <w:rsid w:val="004131AB"/>
    <w:rsid w:val="004134A0"/>
    <w:rsid w:val="00414E77"/>
    <w:rsid w:val="0041545F"/>
    <w:rsid w:val="00416F0D"/>
    <w:rsid w:val="00420BAA"/>
    <w:rsid w:val="00421971"/>
    <w:rsid w:val="00422719"/>
    <w:rsid w:val="00422CE7"/>
    <w:rsid w:val="0042401A"/>
    <w:rsid w:val="00425A98"/>
    <w:rsid w:val="00425D46"/>
    <w:rsid w:val="004263BD"/>
    <w:rsid w:val="0042663B"/>
    <w:rsid w:val="0042766B"/>
    <w:rsid w:val="00427D21"/>
    <w:rsid w:val="004301B3"/>
    <w:rsid w:val="00430FB3"/>
    <w:rsid w:val="00437527"/>
    <w:rsid w:val="004379B0"/>
    <w:rsid w:val="004425DA"/>
    <w:rsid w:val="004426B5"/>
    <w:rsid w:val="0044368A"/>
    <w:rsid w:val="004439F8"/>
    <w:rsid w:val="0044793D"/>
    <w:rsid w:val="00451570"/>
    <w:rsid w:val="004534CC"/>
    <w:rsid w:val="00455AEA"/>
    <w:rsid w:val="004560F2"/>
    <w:rsid w:val="00456812"/>
    <w:rsid w:val="00456C68"/>
    <w:rsid w:val="00461036"/>
    <w:rsid w:val="004613F1"/>
    <w:rsid w:val="00461ACB"/>
    <w:rsid w:val="0046282F"/>
    <w:rsid w:val="00462B10"/>
    <w:rsid w:val="004644C2"/>
    <w:rsid w:val="00467220"/>
    <w:rsid w:val="00467DBC"/>
    <w:rsid w:val="00467F9C"/>
    <w:rsid w:val="00470D67"/>
    <w:rsid w:val="00471869"/>
    <w:rsid w:val="00474CC6"/>
    <w:rsid w:val="004752C5"/>
    <w:rsid w:val="00480A13"/>
    <w:rsid w:val="00480E4A"/>
    <w:rsid w:val="004823B1"/>
    <w:rsid w:val="004837A0"/>
    <w:rsid w:val="0048471A"/>
    <w:rsid w:val="00485AAE"/>
    <w:rsid w:val="00490328"/>
    <w:rsid w:val="00490391"/>
    <w:rsid w:val="00490854"/>
    <w:rsid w:val="00490D47"/>
    <w:rsid w:val="00493049"/>
    <w:rsid w:val="004950FC"/>
    <w:rsid w:val="004A08D6"/>
    <w:rsid w:val="004A0A9C"/>
    <w:rsid w:val="004A1C20"/>
    <w:rsid w:val="004A2008"/>
    <w:rsid w:val="004A2122"/>
    <w:rsid w:val="004A465C"/>
    <w:rsid w:val="004A4BFC"/>
    <w:rsid w:val="004A6AD5"/>
    <w:rsid w:val="004B10D5"/>
    <w:rsid w:val="004B397C"/>
    <w:rsid w:val="004B4157"/>
    <w:rsid w:val="004B4AFD"/>
    <w:rsid w:val="004B5E15"/>
    <w:rsid w:val="004B6AA2"/>
    <w:rsid w:val="004B7F03"/>
    <w:rsid w:val="004C0167"/>
    <w:rsid w:val="004C2BF2"/>
    <w:rsid w:val="004C357D"/>
    <w:rsid w:val="004C5B74"/>
    <w:rsid w:val="004D08B2"/>
    <w:rsid w:val="004D131D"/>
    <w:rsid w:val="004D243C"/>
    <w:rsid w:val="004D3595"/>
    <w:rsid w:val="004D5A2B"/>
    <w:rsid w:val="004D6C78"/>
    <w:rsid w:val="004D6EC2"/>
    <w:rsid w:val="004D74AD"/>
    <w:rsid w:val="004E061D"/>
    <w:rsid w:val="004E10A1"/>
    <w:rsid w:val="004E1B01"/>
    <w:rsid w:val="004E1C0A"/>
    <w:rsid w:val="004E2227"/>
    <w:rsid w:val="004E3161"/>
    <w:rsid w:val="004E4782"/>
    <w:rsid w:val="004E5C7A"/>
    <w:rsid w:val="004E5EA8"/>
    <w:rsid w:val="004F0472"/>
    <w:rsid w:val="004F10C5"/>
    <w:rsid w:val="004F20A0"/>
    <w:rsid w:val="004F28C3"/>
    <w:rsid w:val="004F416E"/>
    <w:rsid w:val="004F66D6"/>
    <w:rsid w:val="004F6921"/>
    <w:rsid w:val="004F7CE2"/>
    <w:rsid w:val="005020AB"/>
    <w:rsid w:val="00502919"/>
    <w:rsid w:val="005050A4"/>
    <w:rsid w:val="005067B4"/>
    <w:rsid w:val="00507918"/>
    <w:rsid w:val="00512AA1"/>
    <w:rsid w:val="00516551"/>
    <w:rsid w:val="00521BC3"/>
    <w:rsid w:val="0052495C"/>
    <w:rsid w:val="0052628E"/>
    <w:rsid w:val="00526706"/>
    <w:rsid w:val="00526780"/>
    <w:rsid w:val="00526B58"/>
    <w:rsid w:val="00530078"/>
    <w:rsid w:val="00531542"/>
    <w:rsid w:val="00531AE8"/>
    <w:rsid w:val="00532D5E"/>
    <w:rsid w:val="00533755"/>
    <w:rsid w:val="00534681"/>
    <w:rsid w:val="005361DD"/>
    <w:rsid w:val="00537A5B"/>
    <w:rsid w:val="00542918"/>
    <w:rsid w:val="00544276"/>
    <w:rsid w:val="005445B3"/>
    <w:rsid w:val="00544A87"/>
    <w:rsid w:val="00544F94"/>
    <w:rsid w:val="005472E7"/>
    <w:rsid w:val="0054740A"/>
    <w:rsid w:val="0055684B"/>
    <w:rsid w:val="00557484"/>
    <w:rsid w:val="005624A3"/>
    <w:rsid w:val="00562EB2"/>
    <w:rsid w:val="00563442"/>
    <w:rsid w:val="00564F62"/>
    <w:rsid w:val="00565B42"/>
    <w:rsid w:val="00566A1B"/>
    <w:rsid w:val="00573C4C"/>
    <w:rsid w:val="00574500"/>
    <w:rsid w:val="0057628D"/>
    <w:rsid w:val="00581ADB"/>
    <w:rsid w:val="0058360C"/>
    <w:rsid w:val="00583901"/>
    <w:rsid w:val="00584954"/>
    <w:rsid w:val="00585E3E"/>
    <w:rsid w:val="005866C0"/>
    <w:rsid w:val="00586F43"/>
    <w:rsid w:val="00593CDF"/>
    <w:rsid w:val="005960EE"/>
    <w:rsid w:val="00596F58"/>
    <w:rsid w:val="00597F03"/>
    <w:rsid w:val="005A371F"/>
    <w:rsid w:val="005A4E15"/>
    <w:rsid w:val="005A5F4D"/>
    <w:rsid w:val="005A75F6"/>
    <w:rsid w:val="005B081A"/>
    <w:rsid w:val="005B101E"/>
    <w:rsid w:val="005B23B0"/>
    <w:rsid w:val="005B3934"/>
    <w:rsid w:val="005B403D"/>
    <w:rsid w:val="005B410A"/>
    <w:rsid w:val="005B4E97"/>
    <w:rsid w:val="005B7221"/>
    <w:rsid w:val="005C0045"/>
    <w:rsid w:val="005C0E8A"/>
    <w:rsid w:val="005C3888"/>
    <w:rsid w:val="005C4CE6"/>
    <w:rsid w:val="005D17E2"/>
    <w:rsid w:val="005D31C1"/>
    <w:rsid w:val="005D399E"/>
    <w:rsid w:val="005D430D"/>
    <w:rsid w:val="005D6185"/>
    <w:rsid w:val="005E0132"/>
    <w:rsid w:val="005E0E7A"/>
    <w:rsid w:val="005E4D2D"/>
    <w:rsid w:val="005E5539"/>
    <w:rsid w:val="005E5E4F"/>
    <w:rsid w:val="005E5FCE"/>
    <w:rsid w:val="005E65A9"/>
    <w:rsid w:val="005E7724"/>
    <w:rsid w:val="005E77B7"/>
    <w:rsid w:val="005E7C6F"/>
    <w:rsid w:val="005F0104"/>
    <w:rsid w:val="005F0572"/>
    <w:rsid w:val="005F50E0"/>
    <w:rsid w:val="005F65C7"/>
    <w:rsid w:val="005F65DB"/>
    <w:rsid w:val="005F690D"/>
    <w:rsid w:val="005F7628"/>
    <w:rsid w:val="00600E5C"/>
    <w:rsid w:val="00601E62"/>
    <w:rsid w:val="00602638"/>
    <w:rsid w:val="00602F79"/>
    <w:rsid w:val="0060584A"/>
    <w:rsid w:val="00606770"/>
    <w:rsid w:val="00607F22"/>
    <w:rsid w:val="006114F9"/>
    <w:rsid w:val="006122BA"/>
    <w:rsid w:val="00614AA8"/>
    <w:rsid w:val="00616901"/>
    <w:rsid w:val="0061698D"/>
    <w:rsid w:val="00621056"/>
    <w:rsid w:val="00621928"/>
    <w:rsid w:val="006230A2"/>
    <w:rsid w:val="00623B0A"/>
    <w:rsid w:val="0062780E"/>
    <w:rsid w:val="00636195"/>
    <w:rsid w:val="00636355"/>
    <w:rsid w:val="00637D6B"/>
    <w:rsid w:val="00640082"/>
    <w:rsid w:val="00640240"/>
    <w:rsid w:val="00640A15"/>
    <w:rsid w:val="00640B21"/>
    <w:rsid w:val="006433A9"/>
    <w:rsid w:val="00646F7E"/>
    <w:rsid w:val="00647061"/>
    <w:rsid w:val="006503CC"/>
    <w:rsid w:val="006517E5"/>
    <w:rsid w:val="00652C51"/>
    <w:rsid w:val="00654030"/>
    <w:rsid w:val="00654205"/>
    <w:rsid w:val="0065424E"/>
    <w:rsid w:val="00654F0F"/>
    <w:rsid w:val="006550AD"/>
    <w:rsid w:val="006571F9"/>
    <w:rsid w:val="00660BE0"/>
    <w:rsid w:val="006650B5"/>
    <w:rsid w:val="00665C42"/>
    <w:rsid w:val="00666487"/>
    <w:rsid w:val="00667899"/>
    <w:rsid w:val="0067187C"/>
    <w:rsid w:val="006729ED"/>
    <w:rsid w:val="00672C16"/>
    <w:rsid w:val="00673B50"/>
    <w:rsid w:val="0067592E"/>
    <w:rsid w:val="006814D8"/>
    <w:rsid w:val="006818EA"/>
    <w:rsid w:val="00681D64"/>
    <w:rsid w:val="00681D8C"/>
    <w:rsid w:val="00681F2E"/>
    <w:rsid w:val="0068621D"/>
    <w:rsid w:val="00687961"/>
    <w:rsid w:val="0069018B"/>
    <w:rsid w:val="00692C78"/>
    <w:rsid w:val="0069434B"/>
    <w:rsid w:val="00695201"/>
    <w:rsid w:val="00697070"/>
    <w:rsid w:val="00697942"/>
    <w:rsid w:val="006A1DAA"/>
    <w:rsid w:val="006A5AD4"/>
    <w:rsid w:val="006B2290"/>
    <w:rsid w:val="006B5892"/>
    <w:rsid w:val="006B5BF0"/>
    <w:rsid w:val="006B6655"/>
    <w:rsid w:val="006B7795"/>
    <w:rsid w:val="006B7D3D"/>
    <w:rsid w:val="006C0299"/>
    <w:rsid w:val="006C0A60"/>
    <w:rsid w:val="006C1B3D"/>
    <w:rsid w:val="006C1FA6"/>
    <w:rsid w:val="006C3C89"/>
    <w:rsid w:val="006C583D"/>
    <w:rsid w:val="006C632C"/>
    <w:rsid w:val="006C76DE"/>
    <w:rsid w:val="006C7D9B"/>
    <w:rsid w:val="006D0183"/>
    <w:rsid w:val="006D0CFE"/>
    <w:rsid w:val="006D2295"/>
    <w:rsid w:val="006D51F1"/>
    <w:rsid w:val="006D5F34"/>
    <w:rsid w:val="006D7B8E"/>
    <w:rsid w:val="006D7F94"/>
    <w:rsid w:val="006E21E0"/>
    <w:rsid w:val="006E2893"/>
    <w:rsid w:val="006E2BA4"/>
    <w:rsid w:val="006E6ECA"/>
    <w:rsid w:val="006E6F5E"/>
    <w:rsid w:val="006F15C4"/>
    <w:rsid w:val="006F2943"/>
    <w:rsid w:val="006F30B5"/>
    <w:rsid w:val="006F4D14"/>
    <w:rsid w:val="006F4FE1"/>
    <w:rsid w:val="006F6A09"/>
    <w:rsid w:val="006F6A74"/>
    <w:rsid w:val="00700063"/>
    <w:rsid w:val="007001EB"/>
    <w:rsid w:val="00702B63"/>
    <w:rsid w:val="0070463F"/>
    <w:rsid w:val="0070567C"/>
    <w:rsid w:val="007116D3"/>
    <w:rsid w:val="007127CF"/>
    <w:rsid w:val="00712A79"/>
    <w:rsid w:val="00712D7B"/>
    <w:rsid w:val="00715B08"/>
    <w:rsid w:val="00716338"/>
    <w:rsid w:val="00716ABF"/>
    <w:rsid w:val="00716C54"/>
    <w:rsid w:val="00717D88"/>
    <w:rsid w:val="007204E2"/>
    <w:rsid w:val="007219B6"/>
    <w:rsid w:val="007219D1"/>
    <w:rsid w:val="00724B85"/>
    <w:rsid w:val="00726F51"/>
    <w:rsid w:val="00731D55"/>
    <w:rsid w:val="0073369A"/>
    <w:rsid w:val="0073531A"/>
    <w:rsid w:val="007360EA"/>
    <w:rsid w:val="00740734"/>
    <w:rsid w:val="0074317F"/>
    <w:rsid w:val="007452C6"/>
    <w:rsid w:val="00746518"/>
    <w:rsid w:val="007471A4"/>
    <w:rsid w:val="007504D0"/>
    <w:rsid w:val="00750EDA"/>
    <w:rsid w:val="007515D9"/>
    <w:rsid w:val="007526C7"/>
    <w:rsid w:val="00753834"/>
    <w:rsid w:val="007566CD"/>
    <w:rsid w:val="00756B8F"/>
    <w:rsid w:val="00756C5D"/>
    <w:rsid w:val="00760330"/>
    <w:rsid w:val="00760516"/>
    <w:rsid w:val="00760737"/>
    <w:rsid w:val="00760B14"/>
    <w:rsid w:val="00761046"/>
    <w:rsid w:val="007638C3"/>
    <w:rsid w:val="00763FE0"/>
    <w:rsid w:val="00764197"/>
    <w:rsid w:val="0076502A"/>
    <w:rsid w:val="00771A7E"/>
    <w:rsid w:val="0077250B"/>
    <w:rsid w:val="007749B3"/>
    <w:rsid w:val="00777B13"/>
    <w:rsid w:val="0078027A"/>
    <w:rsid w:val="00784324"/>
    <w:rsid w:val="007852F0"/>
    <w:rsid w:val="00786056"/>
    <w:rsid w:val="007876AE"/>
    <w:rsid w:val="00787770"/>
    <w:rsid w:val="00787D9F"/>
    <w:rsid w:val="0079392C"/>
    <w:rsid w:val="007942D3"/>
    <w:rsid w:val="0079588F"/>
    <w:rsid w:val="00796308"/>
    <w:rsid w:val="00796F51"/>
    <w:rsid w:val="007A1287"/>
    <w:rsid w:val="007A13BC"/>
    <w:rsid w:val="007A19EA"/>
    <w:rsid w:val="007A29BC"/>
    <w:rsid w:val="007A5625"/>
    <w:rsid w:val="007A71BD"/>
    <w:rsid w:val="007B1B9E"/>
    <w:rsid w:val="007B2099"/>
    <w:rsid w:val="007B20D7"/>
    <w:rsid w:val="007B27EB"/>
    <w:rsid w:val="007B3A70"/>
    <w:rsid w:val="007B6C09"/>
    <w:rsid w:val="007B7741"/>
    <w:rsid w:val="007C02F7"/>
    <w:rsid w:val="007C1A76"/>
    <w:rsid w:val="007C293A"/>
    <w:rsid w:val="007C401D"/>
    <w:rsid w:val="007C4774"/>
    <w:rsid w:val="007C50E1"/>
    <w:rsid w:val="007C7777"/>
    <w:rsid w:val="007D08EF"/>
    <w:rsid w:val="007D0CDE"/>
    <w:rsid w:val="007D1A92"/>
    <w:rsid w:val="007D67B8"/>
    <w:rsid w:val="007D6B49"/>
    <w:rsid w:val="007E09DA"/>
    <w:rsid w:val="007E0DCB"/>
    <w:rsid w:val="007E2EC3"/>
    <w:rsid w:val="007E4F65"/>
    <w:rsid w:val="007E6D3F"/>
    <w:rsid w:val="007F1562"/>
    <w:rsid w:val="007F2131"/>
    <w:rsid w:val="007F2C69"/>
    <w:rsid w:val="007F5470"/>
    <w:rsid w:val="007F6939"/>
    <w:rsid w:val="007F7727"/>
    <w:rsid w:val="00800BEC"/>
    <w:rsid w:val="008011A4"/>
    <w:rsid w:val="00805CFC"/>
    <w:rsid w:val="008065CB"/>
    <w:rsid w:val="00806B98"/>
    <w:rsid w:val="0080792D"/>
    <w:rsid w:val="00810A55"/>
    <w:rsid w:val="00810C04"/>
    <w:rsid w:val="00812502"/>
    <w:rsid w:val="008128C4"/>
    <w:rsid w:val="00813DAA"/>
    <w:rsid w:val="00815248"/>
    <w:rsid w:val="008163E1"/>
    <w:rsid w:val="008178B6"/>
    <w:rsid w:val="0081795B"/>
    <w:rsid w:val="0082001E"/>
    <w:rsid w:val="00825BFB"/>
    <w:rsid w:val="00826184"/>
    <w:rsid w:val="00827747"/>
    <w:rsid w:val="0082799D"/>
    <w:rsid w:val="00832418"/>
    <w:rsid w:val="008359D8"/>
    <w:rsid w:val="00840902"/>
    <w:rsid w:val="00841042"/>
    <w:rsid w:val="0084318D"/>
    <w:rsid w:val="00845582"/>
    <w:rsid w:val="00845A8E"/>
    <w:rsid w:val="00845E01"/>
    <w:rsid w:val="00846B21"/>
    <w:rsid w:val="008523F1"/>
    <w:rsid w:val="008555D5"/>
    <w:rsid w:val="008557B0"/>
    <w:rsid w:val="00855C6D"/>
    <w:rsid w:val="008606C9"/>
    <w:rsid w:val="00862D54"/>
    <w:rsid w:val="00863400"/>
    <w:rsid w:val="00865B74"/>
    <w:rsid w:val="008665F3"/>
    <w:rsid w:val="00867F71"/>
    <w:rsid w:val="00870319"/>
    <w:rsid w:val="0087262F"/>
    <w:rsid w:val="00874ED2"/>
    <w:rsid w:val="0087708E"/>
    <w:rsid w:val="00880085"/>
    <w:rsid w:val="00880256"/>
    <w:rsid w:val="00884A8D"/>
    <w:rsid w:val="00884C3D"/>
    <w:rsid w:val="00885FE3"/>
    <w:rsid w:val="0088621D"/>
    <w:rsid w:val="00886B7D"/>
    <w:rsid w:val="00887244"/>
    <w:rsid w:val="0089311F"/>
    <w:rsid w:val="00893126"/>
    <w:rsid w:val="00894A2A"/>
    <w:rsid w:val="008951CC"/>
    <w:rsid w:val="00895E99"/>
    <w:rsid w:val="008974F0"/>
    <w:rsid w:val="008A1BB6"/>
    <w:rsid w:val="008B012A"/>
    <w:rsid w:val="008B04C5"/>
    <w:rsid w:val="008B08C6"/>
    <w:rsid w:val="008B2C6E"/>
    <w:rsid w:val="008B4071"/>
    <w:rsid w:val="008B44FE"/>
    <w:rsid w:val="008B600A"/>
    <w:rsid w:val="008B67B7"/>
    <w:rsid w:val="008B6B78"/>
    <w:rsid w:val="008C379A"/>
    <w:rsid w:val="008C53C4"/>
    <w:rsid w:val="008C6619"/>
    <w:rsid w:val="008C7DFC"/>
    <w:rsid w:val="008D17B5"/>
    <w:rsid w:val="008D1FF8"/>
    <w:rsid w:val="008D2894"/>
    <w:rsid w:val="008D31B0"/>
    <w:rsid w:val="008D367B"/>
    <w:rsid w:val="008D4C2C"/>
    <w:rsid w:val="008D5E7D"/>
    <w:rsid w:val="008D631B"/>
    <w:rsid w:val="008E3C9F"/>
    <w:rsid w:val="008E7DE3"/>
    <w:rsid w:val="008F12B1"/>
    <w:rsid w:val="008F7F70"/>
    <w:rsid w:val="009020CE"/>
    <w:rsid w:val="00903B30"/>
    <w:rsid w:val="00903FEE"/>
    <w:rsid w:val="0090407F"/>
    <w:rsid w:val="0090553D"/>
    <w:rsid w:val="009065E4"/>
    <w:rsid w:val="00906E17"/>
    <w:rsid w:val="00907F13"/>
    <w:rsid w:val="009122FC"/>
    <w:rsid w:val="009156E7"/>
    <w:rsid w:val="009158E7"/>
    <w:rsid w:val="00915A3E"/>
    <w:rsid w:val="00915DE2"/>
    <w:rsid w:val="009168F5"/>
    <w:rsid w:val="009179E2"/>
    <w:rsid w:val="00920509"/>
    <w:rsid w:val="00926D09"/>
    <w:rsid w:val="009271B8"/>
    <w:rsid w:val="00930BA1"/>
    <w:rsid w:val="00930EAF"/>
    <w:rsid w:val="0093169E"/>
    <w:rsid w:val="00934DAB"/>
    <w:rsid w:val="00935399"/>
    <w:rsid w:val="00935E9E"/>
    <w:rsid w:val="00937C71"/>
    <w:rsid w:val="00937FD4"/>
    <w:rsid w:val="00945123"/>
    <w:rsid w:val="0094661C"/>
    <w:rsid w:val="009505C9"/>
    <w:rsid w:val="00950752"/>
    <w:rsid w:val="00950D2F"/>
    <w:rsid w:val="00952372"/>
    <w:rsid w:val="00952BA3"/>
    <w:rsid w:val="00953AF9"/>
    <w:rsid w:val="0096008E"/>
    <w:rsid w:val="00962071"/>
    <w:rsid w:val="009634D8"/>
    <w:rsid w:val="00964D80"/>
    <w:rsid w:val="00966424"/>
    <w:rsid w:val="00966433"/>
    <w:rsid w:val="0097041B"/>
    <w:rsid w:val="009710A1"/>
    <w:rsid w:val="00971EF4"/>
    <w:rsid w:val="009737DA"/>
    <w:rsid w:val="00974E7B"/>
    <w:rsid w:val="00976A2F"/>
    <w:rsid w:val="009817E2"/>
    <w:rsid w:val="00981AED"/>
    <w:rsid w:val="00982FBE"/>
    <w:rsid w:val="00991753"/>
    <w:rsid w:val="009929BD"/>
    <w:rsid w:val="009952CD"/>
    <w:rsid w:val="00996AC5"/>
    <w:rsid w:val="00996E9E"/>
    <w:rsid w:val="009A1C1D"/>
    <w:rsid w:val="009A23DE"/>
    <w:rsid w:val="009A3C61"/>
    <w:rsid w:val="009A5AD0"/>
    <w:rsid w:val="009A6B5B"/>
    <w:rsid w:val="009B218F"/>
    <w:rsid w:val="009B3DCB"/>
    <w:rsid w:val="009B46FD"/>
    <w:rsid w:val="009C0DC5"/>
    <w:rsid w:val="009C2DE6"/>
    <w:rsid w:val="009C3E17"/>
    <w:rsid w:val="009C4BD3"/>
    <w:rsid w:val="009C57C6"/>
    <w:rsid w:val="009C6296"/>
    <w:rsid w:val="009D36E7"/>
    <w:rsid w:val="009D4B98"/>
    <w:rsid w:val="009D685E"/>
    <w:rsid w:val="009E2B7F"/>
    <w:rsid w:val="009E4687"/>
    <w:rsid w:val="009E4D45"/>
    <w:rsid w:val="009E6CE2"/>
    <w:rsid w:val="009E7EFB"/>
    <w:rsid w:val="009F0AC5"/>
    <w:rsid w:val="009F228B"/>
    <w:rsid w:val="009F2A73"/>
    <w:rsid w:val="009F6734"/>
    <w:rsid w:val="009F78C3"/>
    <w:rsid w:val="00A01196"/>
    <w:rsid w:val="00A05636"/>
    <w:rsid w:val="00A108E6"/>
    <w:rsid w:val="00A11974"/>
    <w:rsid w:val="00A14875"/>
    <w:rsid w:val="00A2080F"/>
    <w:rsid w:val="00A20E5B"/>
    <w:rsid w:val="00A22728"/>
    <w:rsid w:val="00A24087"/>
    <w:rsid w:val="00A240AF"/>
    <w:rsid w:val="00A240C6"/>
    <w:rsid w:val="00A251CC"/>
    <w:rsid w:val="00A26A73"/>
    <w:rsid w:val="00A273F8"/>
    <w:rsid w:val="00A310C3"/>
    <w:rsid w:val="00A32AC6"/>
    <w:rsid w:val="00A35032"/>
    <w:rsid w:val="00A364B7"/>
    <w:rsid w:val="00A36895"/>
    <w:rsid w:val="00A414DD"/>
    <w:rsid w:val="00A43EE7"/>
    <w:rsid w:val="00A509B4"/>
    <w:rsid w:val="00A526EE"/>
    <w:rsid w:val="00A5374F"/>
    <w:rsid w:val="00A53F1C"/>
    <w:rsid w:val="00A547E5"/>
    <w:rsid w:val="00A563D9"/>
    <w:rsid w:val="00A56A3F"/>
    <w:rsid w:val="00A6163A"/>
    <w:rsid w:val="00A63CE8"/>
    <w:rsid w:val="00A6584E"/>
    <w:rsid w:val="00A65B75"/>
    <w:rsid w:val="00A66393"/>
    <w:rsid w:val="00A72527"/>
    <w:rsid w:val="00A75328"/>
    <w:rsid w:val="00A75F5D"/>
    <w:rsid w:val="00A7618A"/>
    <w:rsid w:val="00A76632"/>
    <w:rsid w:val="00A7696E"/>
    <w:rsid w:val="00A76DDD"/>
    <w:rsid w:val="00A80EBA"/>
    <w:rsid w:val="00A81AB4"/>
    <w:rsid w:val="00A83124"/>
    <w:rsid w:val="00A90324"/>
    <w:rsid w:val="00A9056B"/>
    <w:rsid w:val="00A90CE7"/>
    <w:rsid w:val="00A94129"/>
    <w:rsid w:val="00A952A9"/>
    <w:rsid w:val="00A95E55"/>
    <w:rsid w:val="00AA25B0"/>
    <w:rsid w:val="00AA3DC4"/>
    <w:rsid w:val="00AA6697"/>
    <w:rsid w:val="00AA6F92"/>
    <w:rsid w:val="00AB54E9"/>
    <w:rsid w:val="00AB6798"/>
    <w:rsid w:val="00AB6934"/>
    <w:rsid w:val="00AB6AE8"/>
    <w:rsid w:val="00AB6B10"/>
    <w:rsid w:val="00AC0656"/>
    <w:rsid w:val="00AC2F63"/>
    <w:rsid w:val="00AC4552"/>
    <w:rsid w:val="00AC4D76"/>
    <w:rsid w:val="00AC4F60"/>
    <w:rsid w:val="00AC60FF"/>
    <w:rsid w:val="00AC7934"/>
    <w:rsid w:val="00AD116A"/>
    <w:rsid w:val="00AD291C"/>
    <w:rsid w:val="00AD4B7C"/>
    <w:rsid w:val="00AD6845"/>
    <w:rsid w:val="00AD7A82"/>
    <w:rsid w:val="00AE00CA"/>
    <w:rsid w:val="00AE04DA"/>
    <w:rsid w:val="00AE0F83"/>
    <w:rsid w:val="00AE1100"/>
    <w:rsid w:val="00AE2976"/>
    <w:rsid w:val="00AE4181"/>
    <w:rsid w:val="00AE4A5D"/>
    <w:rsid w:val="00AE50A4"/>
    <w:rsid w:val="00AE5566"/>
    <w:rsid w:val="00AF2996"/>
    <w:rsid w:val="00AF2ACF"/>
    <w:rsid w:val="00AF42DE"/>
    <w:rsid w:val="00AF4D49"/>
    <w:rsid w:val="00AF56CB"/>
    <w:rsid w:val="00AF76D3"/>
    <w:rsid w:val="00AF7831"/>
    <w:rsid w:val="00AF7F8B"/>
    <w:rsid w:val="00B00551"/>
    <w:rsid w:val="00B01CCF"/>
    <w:rsid w:val="00B035FD"/>
    <w:rsid w:val="00B063AB"/>
    <w:rsid w:val="00B1094A"/>
    <w:rsid w:val="00B133E5"/>
    <w:rsid w:val="00B16A24"/>
    <w:rsid w:val="00B16ACA"/>
    <w:rsid w:val="00B178F5"/>
    <w:rsid w:val="00B21F67"/>
    <w:rsid w:val="00B22629"/>
    <w:rsid w:val="00B23DBF"/>
    <w:rsid w:val="00B254DC"/>
    <w:rsid w:val="00B26058"/>
    <w:rsid w:val="00B26CF6"/>
    <w:rsid w:val="00B2B917"/>
    <w:rsid w:val="00B3369F"/>
    <w:rsid w:val="00B33723"/>
    <w:rsid w:val="00B369F4"/>
    <w:rsid w:val="00B3737E"/>
    <w:rsid w:val="00B4039E"/>
    <w:rsid w:val="00B40A0B"/>
    <w:rsid w:val="00B41E58"/>
    <w:rsid w:val="00B421E4"/>
    <w:rsid w:val="00B43AA4"/>
    <w:rsid w:val="00B455AB"/>
    <w:rsid w:val="00B5011F"/>
    <w:rsid w:val="00B54B09"/>
    <w:rsid w:val="00B54ED8"/>
    <w:rsid w:val="00B55090"/>
    <w:rsid w:val="00B56E7C"/>
    <w:rsid w:val="00B573C2"/>
    <w:rsid w:val="00B5774F"/>
    <w:rsid w:val="00B57C73"/>
    <w:rsid w:val="00B60226"/>
    <w:rsid w:val="00B618C4"/>
    <w:rsid w:val="00B61949"/>
    <w:rsid w:val="00B657B5"/>
    <w:rsid w:val="00B65D04"/>
    <w:rsid w:val="00B662BE"/>
    <w:rsid w:val="00B66418"/>
    <w:rsid w:val="00B70704"/>
    <w:rsid w:val="00B7082A"/>
    <w:rsid w:val="00B72B9E"/>
    <w:rsid w:val="00B75B4C"/>
    <w:rsid w:val="00B77847"/>
    <w:rsid w:val="00B80F7D"/>
    <w:rsid w:val="00B81204"/>
    <w:rsid w:val="00B820EF"/>
    <w:rsid w:val="00B83349"/>
    <w:rsid w:val="00B845F1"/>
    <w:rsid w:val="00B86521"/>
    <w:rsid w:val="00B87205"/>
    <w:rsid w:val="00B9015B"/>
    <w:rsid w:val="00B920E8"/>
    <w:rsid w:val="00B94E6C"/>
    <w:rsid w:val="00B95916"/>
    <w:rsid w:val="00B96AA7"/>
    <w:rsid w:val="00B96F51"/>
    <w:rsid w:val="00B97263"/>
    <w:rsid w:val="00B97C31"/>
    <w:rsid w:val="00BA07C5"/>
    <w:rsid w:val="00BA1705"/>
    <w:rsid w:val="00BA30EC"/>
    <w:rsid w:val="00BA4E24"/>
    <w:rsid w:val="00BA5743"/>
    <w:rsid w:val="00BA587C"/>
    <w:rsid w:val="00BA5D2E"/>
    <w:rsid w:val="00BB0B5C"/>
    <w:rsid w:val="00BB14BE"/>
    <w:rsid w:val="00BB2F6F"/>
    <w:rsid w:val="00BB4606"/>
    <w:rsid w:val="00BB63B1"/>
    <w:rsid w:val="00BB6698"/>
    <w:rsid w:val="00BB6A43"/>
    <w:rsid w:val="00BC0291"/>
    <w:rsid w:val="00BC068E"/>
    <w:rsid w:val="00BC07C6"/>
    <w:rsid w:val="00BC205D"/>
    <w:rsid w:val="00BC4781"/>
    <w:rsid w:val="00BC48D8"/>
    <w:rsid w:val="00BC4E3D"/>
    <w:rsid w:val="00BC51E9"/>
    <w:rsid w:val="00BC7F3A"/>
    <w:rsid w:val="00BD07D5"/>
    <w:rsid w:val="00BD1410"/>
    <w:rsid w:val="00BD41B6"/>
    <w:rsid w:val="00BD4934"/>
    <w:rsid w:val="00BD60C7"/>
    <w:rsid w:val="00BE2A21"/>
    <w:rsid w:val="00BE2DAA"/>
    <w:rsid w:val="00BE3C65"/>
    <w:rsid w:val="00BE4176"/>
    <w:rsid w:val="00BE5049"/>
    <w:rsid w:val="00BE53A6"/>
    <w:rsid w:val="00BE714F"/>
    <w:rsid w:val="00BF1FF8"/>
    <w:rsid w:val="00BF238C"/>
    <w:rsid w:val="00BF267A"/>
    <w:rsid w:val="00BF656B"/>
    <w:rsid w:val="00BF6D21"/>
    <w:rsid w:val="00BF7DBE"/>
    <w:rsid w:val="00C0043B"/>
    <w:rsid w:val="00C00612"/>
    <w:rsid w:val="00C07609"/>
    <w:rsid w:val="00C07D41"/>
    <w:rsid w:val="00C10B9E"/>
    <w:rsid w:val="00C10EB2"/>
    <w:rsid w:val="00C11C34"/>
    <w:rsid w:val="00C1252D"/>
    <w:rsid w:val="00C13368"/>
    <w:rsid w:val="00C13642"/>
    <w:rsid w:val="00C14949"/>
    <w:rsid w:val="00C16F92"/>
    <w:rsid w:val="00C17A67"/>
    <w:rsid w:val="00C220E7"/>
    <w:rsid w:val="00C22853"/>
    <w:rsid w:val="00C23D2F"/>
    <w:rsid w:val="00C24110"/>
    <w:rsid w:val="00C26398"/>
    <w:rsid w:val="00C27433"/>
    <w:rsid w:val="00C33483"/>
    <w:rsid w:val="00C41539"/>
    <w:rsid w:val="00C4176B"/>
    <w:rsid w:val="00C43BAE"/>
    <w:rsid w:val="00C443BD"/>
    <w:rsid w:val="00C451C5"/>
    <w:rsid w:val="00C45206"/>
    <w:rsid w:val="00C45A55"/>
    <w:rsid w:val="00C53074"/>
    <w:rsid w:val="00C536C5"/>
    <w:rsid w:val="00C544B7"/>
    <w:rsid w:val="00C554B5"/>
    <w:rsid w:val="00C56E18"/>
    <w:rsid w:val="00C56F45"/>
    <w:rsid w:val="00C5C543"/>
    <w:rsid w:val="00C60C4C"/>
    <w:rsid w:val="00C61492"/>
    <w:rsid w:val="00C6363B"/>
    <w:rsid w:val="00C63AF6"/>
    <w:rsid w:val="00C63C44"/>
    <w:rsid w:val="00C66516"/>
    <w:rsid w:val="00C6656F"/>
    <w:rsid w:val="00C72C53"/>
    <w:rsid w:val="00C735DC"/>
    <w:rsid w:val="00C744EA"/>
    <w:rsid w:val="00C74DAF"/>
    <w:rsid w:val="00C750A3"/>
    <w:rsid w:val="00C7637E"/>
    <w:rsid w:val="00C77126"/>
    <w:rsid w:val="00C77DFC"/>
    <w:rsid w:val="00C8019D"/>
    <w:rsid w:val="00C81CC8"/>
    <w:rsid w:val="00C835B9"/>
    <w:rsid w:val="00C86271"/>
    <w:rsid w:val="00C86CBC"/>
    <w:rsid w:val="00C9161D"/>
    <w:rsid w:val="00C91A0C"/>
    <w:rsid w:val="00C923F0"/>
    <w:rsid w:val="00C92D1B"/>
    <w:rsid w:val="00C92D43"/>
    <w:rsid w:val="00C94529"/>
    <w:rsid w:val="00C94C6C"/>
    <w:rsid w:val="00C961AD"/>
    <w:rsid w:val="00C964D5"/>
    <w:rsid w:val="00CA0153"/>
    <w:rsid w:val="00CA0C1D"/>
    <w:rsid w:val="00CA0CEB"/>
    <w:rsid w:val="00CA118F"/>
    <w:rsid w:val="00CA1F7E"/>
    <w:rsid w:val="00CA369F"/>
    <w:rsid w:val="00CA544B"/>
    <w:rsid w:val="00CA5AA0"/>
    <w:rsid w:val="00CA6096"/>
    <w:rsid w:val="00CA655F"/>
    <w:rsid w:val="00CA65BE"/>
    <w:rsid w:val="00CB428C"/>
    <w:rsid w:val="00CB539C"/>
    <w:rsid w:val="00CB6E76"/>
    <w:rsid w:val="00CB7660"/>
    <w:rsid w:val="00CC1069"/>
    <w:rsid w:val="00CC2046"/>
    <w:rsid w:val="00CC30C4"/>
    <w:rsid w:val="00CC35BF"/>
    <w:rsid w:val="00CC7BCC"/>
    <w:rsid w:val="00CD2DA1"/>
    <w:rsid w:val="00CD2E75"/>
    <w:rsid w:val="00CD38B1"/>
    <w:rsid w:val="00CD4ABB"/>
    <w:rsid w:val="00CD4EE0"/>
    <w:rsid w:val="00CD6E22"/>
    <w:rsid w:val="00CE07AE"/>
    <w:rsid w:val="00CE0FE0"/>
    <w:rsid w:val="00CE14B0"/>
    <w:rsid w:val="00CE190A"/>
    <w:rsid w:val="00CE1BA3"/>
    <w:rsid w:val="00CE61A1"/>
    <w:rsid w:val="00CE634C"/>
    <w:rsid w:val="00CF0F6A"/>
    <w:rsid w:val="00CF1848"/>
    <w:rsid w:val="00CF2801"/>
    <w:rsid w:val="00CF54D5"/>
    <w:rsid w:val="00CF5B4C"/>
    <w:rsid w:val="00CF5C7C"/>
    <w:rsid w:val="00CF70AA"/>
    <w:rsid w:val="00D00BCC"/>
    <w:rsid w:val="00D01542"/>
    <w:rsid w:val="00D04744"/>
    <w:rsid w:val="00D059D2"/>
    <w:rsid w:val="00D10E04"/>
    <w:rsid w:val="00D114FB"/>
    <w:rsid w:val="00D12044"/>
    <w:rsid w:val="00D128F0"/>
    <w:rsid w:val="00D14203"/>
    <w:rsid w:val="00D14AF7"/>
    <w:rsid w:val="00D14E6D"/>
    <w:rsid w:val="00D15837"/>
    <w:rsid w:val="00D17A30"/>
    <w:rsid w:val="00D17D62"/>
    <w:rsid w:val="00D20674"/>
    <w:rsid w:val="00D22559"/>
    <w:rsid w:val="00D2363F"/>
    <w:rsid w:val="00D237F6"/>
    <w:rsid w:val="00D23A6F"/>
    <w:rsid w:val="00D25EA0"/>
    <w:rsid w:val="00D30F4D"/>
    <w:rsid w:val="00D33EFC"/>
    <w:rsid w:val="00D34CAD"/>
    <w:rsid w:val="00D3652C"/>
    <w:rsid w:val="00D37069"/>
    <w:rsid w:val="00D3761A"/>
    <w:rsid w:val="00D3775B"/>
    <w:rsid w:val="00D4088E"/>
    <w:rsid w:val="00D40DBC"/>
    <w:rsid w:val="00D40E9A"/>
    <w:rsid w:val="00D415FB"/>
    <w:rsid w:val="00D417BE"/>
    <w:rsid w:val="00D41F1E"/>
    <w:rsid w:val="00D4379B"/>
    <w:rsid w:val="00D441B7"/>
    <w:rsid w:val="00D458A5"/>
    <w:rsid w:val="00D53E79"/>
    <w:rsid w:val="00D54A44"/>
    <w:rsid w:val="00D55957"/>
    <w:rsid w:val="00D5672C"/>
    <w:rsid w:val="00D56CE9"/>
    <w:rsid w:val="00D60661"/>
    <w:rsid w:val="00D64270"/>
    <w:rsid w:val="00D6496F"/>
    <w:rsid w:val="00D65525"/>
    <w:rsid w:val="00D667A3"/>
    <w:rsid w:val="00D66AC0"/>
    <w:rsid w:val="00D67797"/>
    <w:rsid w:val="00D67A07"/>
    <w:rsid w:val="00D70CA4"/>
    <w:rsid w:val="00D71E30"/>
    <w:rsid w:val="00D761B7"/>
    <w:rsid w:val="00D76A18"/>
    <w:rsid w:val="00D80849"/>
    <w:rsid w:val="00D813D5"/>
    <w:rsid w:val="00D82E8F"/>
    <w:rsid w:val="00D8330E"/>
    <w:rsid w:val="00D83734"/>
    <w:rsid w:val="00D841E2"/>
    <w:rsid w:val="00D87EE3"/>
    <w:rsid w:val="00D911D8"/>
    <w:rsid w:val="00D92B0C"/>
    <w:rsid w:val="00D934DC"/>
    <w:rsid w:val="00D94922"/>
    <w:rsid w:val="00D94953"/>
    <w:rsid w:val="00D95043"/>
    <w:rsid w:val="00D95914"/>
    <w:rsid w:val="00D966DF"/>
    <w:rsid w:val="00D96A84"/>
    <w:rsid w:val="00D96BDB"/>
    <w:rsid w:val="00DA2A6D"/>
    <w:rsid w:val="00DB0FF0"/>
    <w:rsid w:val="00DB252D"/>
    <w:rsid w:val="00DB4319"/>
    <w:rsid w:val="00DC26B8"/>
    <w:rsid w:val="00DC3F8A"/>
    <w:rsid w:val="00DC4A80"/>
    <w:rsid w:val="00DC4C2D"/>
    <w:rsid w:val="00DC62A0"/>
    <w:rsid w:val="00DD05C9"/>
    <w:rsid w:val="00DD09FA"/>
    <w:rsid w:val="00DD0CD5"/>
    <w:rsid w:val="00DD0DC0"/>
    <w:rsid w:val="00DD118C"/>
    <w:rsid w:val="00DD4323"/>
    <w:rsid w:val="00DD454B"/>
    <w:rsid w:val="00DD6D40"/>
    <w:rsid w:val="00DD7AA3"/>
    <w:rsid w:val="00DD7F1C"/>
    <w:rsid w:val="00DE106E"/>
    <w:rsid w:val="00DE1AD2"/>
    <w:rsid w:val="00DE239A"/>
    <w:rsid w:val="00DE27ED"/>
    <w:rsid w:val="00DE2C71"/>
    <w:rsid w:val="00DE4DA0"/>
    <w:rsid w:val="00DE4F3A"/>
    <w:rsid w:val="00DF02E1"/>
    <w:rsid w:val="00DF0328"/>
    <w:rsid w:val="00DF1194"/>
    <w:rsid w:val="00DF17DA"/>
    <w:rsid w:val="00DF3304"/>
    <w:rsid w:val="00DF50C6"/>
    <w:rsid w:val="00DF68F6"/>
    <w:rsid w:val="00E02CEA"/>
    <w:rsid w:val="00E02D10"/>
    <w:rsid w:val="00E032B8"/>
    <w:rsid w:val="00E04BF3"/>
    <w:rsid w:val="00E05B4E"/>
    <w:rsid w:val="00E10E82"/>
    <w:rsid w:val="00E1177C"/>
    <w:rsid w:val="00E138C8"/>
    <w:rsid w:val="00E1391D"/>
    <w:rsid w:val="00E13D1D"/>
    <w:rsid w:val="00E1469F"/>
    <w:rsid w:val="00E14CA7"/>
    <w:rsid w:val="00E14E43"/>
    <w:rsid w:val="00E167F4"/>
    <w:rsid w:val="00E206E8"/>
    <w:rsid w:val="00E23DB4"/>
    <w:rsid w:val="00E23E37"/>
    <w:rsid w:val="00E24B9B"/>
    <w:rsid w:val="00E2522F"/>
    <w:rsid w:val="00E25881"/>
    <w:rsid w:val="00E263C1"/>
    <w:rsid w:val="00E264B7"/>
    <w:rsid w:val="00E2659B"/>
    <w:rsid w:val="00E31B6E"/>
    <w:rsid w:val="00E33B14"/>
    <w:rsid w:val="00E34054"/>
    <w:rsid w:val="00E34FF0"/>
    <w:rsid w:val="00E353BE"/>
    <w:rsid w:val="00E356F0"/>
    <w:rsid w:val="00E3598D"/>
    <w:rsid w:val="00E41444"/>
    <w:rsid w:val="00E4202C"/>
    <w:rsid w:val="00E42DCB"/>
    <w:rsid w:val="00E44A0F"/>
    <w:rsid w:val="00E46C57"/>
    <w:rsid w:val="00E54B93"/>
    <w:rsid w:val="00E576B4"/>
    <w:rsid w:val="00E62812"/>
    <w:rsid w:val="00E62A31"/>
    <w:rsid w:val="00E6413D"/>
    <w:rsid w:val="00E66235"/>
    <w:rsid w:val="00E66394"/>
    <w:rsid w:val="00E70347"/>
    <w:rsid w:val="00E710F0"/>
    <w:rsid w:val="00E732F6"/>
    <w:rsid w:val="00E73580"/>
    <w:rsid w:val="00E73992"/>
    <w:rsid w:val="00E74A77"/>
    <w:rsid w:val="00E75FAF"/>
    <w:rsid w:val="00E77F2D"/>
    <w:rsid w:val="00E81EE6"/>
    <w:rsid w:val="00E830B7"/>
    <w:rsid w:val="00E83C24"/>
    <w:rsid w:val="00E91217"/>
    <w:rsid w:val="00E9318D"/>
    <w:rsid w:val="00E93676"/>
    <w:rsid w:val="00E949E7"/>
    <w:rsid w:val="00E95F48"/>
    <w:rsid w:val="00E97435"/>
    <w:rsid w:val="00E979C2"/>
    <w:rsid w:val="00EA13D4"/>
    <w:rsid w:val="00EB0414"/>
    <w:rsid w:val="00EB04E3"/>
    <w:rsid w:val="00EB0635"/>
    <w:rsid w:val="00EB1485"/>
    <w:rsid w:val="00EB5012"/>
    <w:rsid w:val="00EB5996"/>
    <w:rsid w:val="00EB7A3E"/>
    <w:rsid w:val="00EC1203"/>
    <w:rsid w:val="00EC1422"/>
    <w:rsid w:val="00EC15AF"/>
    <w:rsid w:val="00EC22BE"/>
    <w:rsid w:val="00EC7049"/>
    <w:rsid w:val="00EC7AC0"/>
    <w:rsid w:val="00EC7D06"/>
    <w:rsid w:val="00ED1E2C"/>
    <w:rsid w:val="00ED1F47"/>
    <w:rsid w:val="00ED2BF0"/>
    <w:rsid w:val="00ED2F44"/>
    <w:rsid w:val="00ED49B1"/>
    <w:rsid w:val="00ED4ADD"/>
    <w:rsid w:val="00ED6416"/>
    <w:rsid w:val="00EE01FC"/>
    <w:rsid w:val="00EE17C3"/>
    <w:rsid w:val="00EE234A"/>
    <w:rsid w:val="00EE609A"/>
    <w:rsid w:val="00EF2266"/>
    <w:rsid w:val="00EF4E1E"/>
    <w:rsid w:val="00EF4F1D"/>
    <w:rsid w:val="00EF5608"/>
    <w:rsid w:val="00EF6BF9"/>
    <w:rsid w:val="00EF6C67"/>
    <w:rsid w:val="00EF72CB"/>
    <w:rsid w:val="00F00292"/>
    <w:rsid w:val="00F00C2F"/>
    <w:rsid w:val="00F0131F"/>
    <w:rsid w:val="00F016B1"/>
    <w:rsid w:val="00F03689"/>
    <w:rsid w:val="00F05079"/>
    <w:rsid w:val="00F11432"/>
    <w:rsid w:val="00F14B9E"/>
    <w:rsid w:val="00F1528E"/>
    <w:rsid w:val="00F16A05"/>
    <w:rsid w:val="00F16DD1"/>
    <w:rsid w:val="00F206D4"/>
    <w:rsid w:val="00F219B0"/>
    <w:rsid w:val="00F21FF2"/>
    <w:rsid w:val="00F26741"/>
    <w:rsid w:val="00F26941"/>
    <w:rsid w:val="00F33270"/>
    <w:rsid w:val="00F34616"/>
    <w:rsid w:val="00F34A70"/>
    <w:rsid w:val="00F370AF"/>
    <w:rsid w:val="00F376E2"/>
    <w:rsid w:val="00F3776D"/>
    <w:rsid w:val="00F405E3"/>
    <w:rsid w:val="00F41948"/>
    <w:rsid w:val="00F41C51"/>
    <w:rsid w:val="00F4228F"/>
    <w:rsid w:val="00F426A3"/>
    <w:rsid w:val="00F42953"/>
    <w:rsid w:val="00F462AC"/>
    <w:rsid w:val="00F51CE8"/>
    <w:rsid w:val="00F51F16"/>
    <w:rsid w:val="00F52F3C"/>
    <w:rsid w:val="00F530D3"/>
    <w:rsid w:val="00F53193"/>
    <w:rsid w:val="00F5353E"/>
    <w:rsid w:val="00F5357E"/>
    <w:rsid w:val="00F628EB"/>
    <w:rsid w:val="00F63575"/>
    <w:rsid w:val="00F64247"/>
    <w:rsid w:val="00F6586C"/>
    <w:rsid w:val="00F66F82"/>
    <w:rsid w:val="00F67A9E"/>
    <w:rsid w:val="00F70FB3"/>
    <w:rsid w:val="00F7333C"/>
    <w:rsid w:val="00F750FE"/>
    <w:rsid w:val="00F80C45"/>
    <w:rsid w:val="00F816C4"/>
    <w:rsid w:val="00F8301B"/>
    <w:rsid w:val="00F83AFC"/>
    <w:rsid w:val="00F85ABE"/>
    <w:rsid w:val="00F860D0"/>
    <w:rsid w:val="00F868A4"/>
    <w:rsid w:val="00F87D94"/>
    <w:rsid w:val="00F90C3F"/>
    <w:rsid w:val="00F94774"/>
    <w:rsid w:val="00F95011"/>
    <w:rsid w:val="00F9CEAA"/>
    <w:rsid w:val="00FA308A"/>
    <w:rsid w:val="00FA4EBB"/>
    <w:rsid w:val="00FA4F53"/>
    <w:rsid w:val="00FA53A8"/>
    <w:rsid w:val="00FA663B"/>
    <w:rsid w:val="00FB6056"/>
    <w:rsid w:val="00FB7427"/>
    <w:rsid w:val="00FB7BD3"/>
    <w:rsid w:val="00FB7F02"/>
    <w:rsid w:val="00FC0382"/>
    <w:rsid w:val="00FC36DE"/>
    <w:rsid w:val="00FC53DB"/>
    <w:rsid w:val="00FC66AE"/>
    <w:rsid w:val="00FD08C5"/>
    <w:rsid w:val="00FD197F"/>
    <w:rsid w:val="00FD244F"/>
    <w:rsid w:val="00FD6382"/>
    <w:rsid w:val="00FD7755"/>
    <w:rsid w:val="00FE0114"/>
    <w:rsid w:val="00FE1174"/>
    <w:rsid w:val="00FE3F6E"/>
    <w:rsid w:val="00FE6190"/>
    <w:rsid w:val="00FE6F21"/>
    <w:rsid w:val="00FE7E8B"/>
    <w:rsid w:val="00FF5091"/>
    <w:rsid w:val="00FF74BA"/>
    <w:rsid w:val="0126ABE7"/>
    <w:rsid w:val="01476B52"/>
    <w:rsid w:val="015AF5E3"/>
    <w:rsid w:val="01717792"/>
    <w:rsid w:val="017950DD"/>
    <w:rsid w:val="01B07A81"/>
    <w:rsid w:val="01C33FFA"/>
    <w:rsid w:val="01F81D1F"/>
    <w:rsid w:val="0210A862"/>
    <w:rsid w:val="026B24AB"/>
    <w:rsid w:val="0277C303"/>
    <w:rsid w:val="029B7FB6"/>
    <w:rsid w:val="02E7ABB7"/>
    <w:rsid w:val="02F3FE4E"/>
    <w:rsid w:val="037560E1"/>
    <w:rsid w:val="0377DB55"/>
    <w:rsid w:val="03FB03DF"/>
    <w:rsid w:val="03FF5182"/>
    <w:rsid w:val="04125C87"/>
    <w:rsid w:val="0430BADC"/>
    <w:rsid w:val="04534908"/>
    <w:rsid w:val="0454023E"/>
    <w:rsid w:val="046A3174"/>
    <w:rsid w:val="04753F4F"/>
    <w:rsid w:val="048FD620"/>
    <w:rsid w:val="049E67D8"/>
    <w:rsid w:val="04AF32AF"/>
    <w:rsid w:val="04B7E783"/>
    <w:rsid w:val="04BF2837"/>
    <w:rsid w:val="04C72F8A"/>
    <w:rsid w:val="04F44CC2"/>
    <w:rsid w:val="050893B1"/>
    <w:rsid w:val="050E5241"/>
    <w:rsid w:val="05662AB4"/>
    <w:rsid w:val="056A94EE"/>
    <w:rsid w:val="05777E1A"/>
    <w:rsid w:val="058BBF06"/>
    <w:rsid w:val="05B8BC88"/>
    <w:rsid w:val="05BE486C"/>
    <w:rsid w:val="05DF9F61"/>
    <w:rsid w:val="05F90D0B"/>
    <w:rsid w:val="06404CE6"/>
    <w:rsid w:val="0650FEC3"/>
    <w:rsid w:val="068D62D1"/>
    <w:rsid w:val="0692FE90"/>
    <w:rsid w:val="06AE77B9"/>
    <w:rsid w:val="06B3C119"/>
    <w:rsid w:val="06B719F1"/>
    <w:rsid w:val="06C676AB"/>
    <w:rsid w:val="06CD2D88"/>
    <w:rsid w:val="06D055BD"/>
    <w:rsid w:val="06EE5668"/>
    <w:rsid w:val="06FEFCC1"/>
    <w:rsid w:val="070E0263"/>
    <w:rsid w:val="0739F42A"/>
    <w:rsid w:val="074CDD58"/>
    <w:rsid w:val="07669209"/>
    <w:rsid w:val="07773B75"/>
    <w:rsid w:val="0796140A"/>
    <w:rsid w:val="07B1E1EC"/>
    <w:rsid w:val="07B897DF"/>
    <w:rsid w:val="0808B9A0"/>
    <w:rsid w:val="080D04A6"/>
    <w:rsid w:val="0823D65D"/>
    <w:rsid w:val="0836BA14"/>
    <w:rsid w:val="0838D939"/>
    <w:rsid w:val="08487383"/>
    <w:rsid w:val="086F2F24"/>
    <w:rsid w:val="0870D89F"/>
    <w:rsid w:val="0872DAB5"/>
    <w:rsid w:val="08881F81"/>
    <w:rsid w:val="0891176C"/>
    <w:rsid w:val="08BDB402"/>
    <w:rsid w:val="08CA9EE5"/>
    <w:rsid w:val="08CBFD0E"/>
    <w:rsid w:val="08CFD409"/>
    <w:rsid w:val="08E207C6"/>
    <w:rsid w:val="08F630B9"/>
    <w:rsid w:val="098EABF4"/>
    <w:rsid w:val="09FA06AB"/>
    <w:rsid w:val="0A0CCBD5"/>
    <w:rsid w:val="0A15069D"/>
    <w:rsid w:val="0A3B8A43"/>
    <w:rsid w:val="0A45A325"/>
    <w:rsid w:val="0A561A05"/>
    <w:rsid w:val="0A57A845"/>
    <w:rsid w:val="0A693FEB"/>
    <w:rsid w:val="0A7A6264"/>
    <w:rsid w:val="0A8EF5B7"/>
    <w:rsid w:val="0A97D067"/>
    <w:rsid w:val="0AB3129B"/>
    <w:rsid w:val="0ABA0094"/>
    <w:rsid w:val="0ABDE678"/>
    <w:rsid w:val="0AC66A2B"/>
    <w:rsid w:val="0ACE135A"/>
    <w:rsid w:val="0AE84A00"/>
    <w:rsid w:val="0AFA22EA"/>
    <w:rsid w:val="0B011774"/>
    <w:rsid w:val="0B1EB177"/>
    <w:rsid w:val="0B239486"/>
    <w:rsid w:val="0B3B9127"/>
    <w:rsid w:val="0B3CF273"/>
    <w:rsid w:val="0B445319"/>
    <w:rsid w:val="0B555554"/>
    <w:rsid w:val="0B84A11E"/>
    <w:rsid w:val="0BB3845F"/>
    <w:rsid w:val="0BB3A8C5"/>
    <w:rsid w:val="0BB4CBEE"/>
    <w:rsid w:val="0BF0DB0E"/>
    <w:rsid w:val="0BF8DE94"/>
    <w:rsid w:val="0C154EFD"/>
    <w:rsid w:val="0C1A60A1"/>
    <w:rsid w:val="0C257A68"/>
    <w:rsid w:val="0C3845DD"/>
    <w:rsid w:val="0C68B5B3"/>
    <w:rsid w:val="0C7AFFAC"/>
    <w:rsid w:val="0C85AD1E"/>
    <w:rsid w:val="0C8E6E60"/>
    <w:rsid w:val="0C9808B0"/>
    <w:rsid w:val="0CA14F8C"/>
    <w:rsid w:val="0CBB0580"/>
    <w:rsid w:val="0CCA30C1"/>
    <w:rsid w:val="0CD5C217"/>
    <w:rsid w:val="0CF1EB31"/>
    <w:rsid w:val="0CFC5CB0"/>
    <w:rsid w:val="0D5765C9"/>
    <w:rsid w:val="0D589834"/>
    <w:rsid w:val="0D61E6DE"/>
    <w:rsid w:val="0D81205E"/>
    <w:rsid w:val="0D88A717"/>
    <w:rsid w:val="0D963973"/>
    <w:rsid w:val="0DABDECD"/>
    <w:rsid w:val="0DC1E29C"/>
    <w:rsid w:val="0DC2B5EE"/>
    <w:rsid w:val="0DC4C8CB"/>
    <w:rsid w:val="0DD23061"/>
    <w:rsid w:val="0DD28112"/>
    <w:rsid w:val="0E079390"/>
    <w:rsid w:val="0E335735"/>
    <w:rsid w:val="0E3A2C5E"/>
    <w:rsid w:val="0E80CB1C"/>
    <w:rsid w:val="0E8407A9"/>
    <w:rsid w:val="0E90F0E8"/>
    <w:rsid w:val="0ED04B82"/>
    <w:rsid w:val="0ED338F1"/>
    <w:rsid w:val="0EDD560C"/>
    <w:rsid w:val="0EEEA3C3"/>
    <w:rsid w:val="0EFF1805"/>
    <w:rsid w:val="0F307F56"/>
    <w:rsid w:val="0F5E64ED"/>
    <w:rsid w:val="0F6DA770"/>
    <w:rsid w:val="0F6FE69F"/>
    <w:rsid w:val="0F795EA8"/>
    <w:rsid w:val="0F7990FF"/>
    <w:rsid w:val="10105178"/>
    <w:rsid w:val="10436D42"/>
    <w:rsid w:val="1049AB20"/>
    <w:rsid w:val="107CDA6F"/>
    <w:rsid w:val="108B8A79"/>
    <w:rsid w:val="1091BB4B"/>
    <w:rsid w:val="109283AA"/>
    <w:rsid w:val="1094A697"/>
    <w:rsid w:val="1095420F"/>
    <w:rsid w:val="10B1DE94"/>
    <w:rsid w:val="10C8028E"/>
    <w:rsid w:val="111BFE7D"/>
    <w:rsid w:val="1125730A"/>
    <w:rsid w:val="1126E9F9"/>
    <w:rsid w:val="113CCD7D"/>
    <w:rsid w:val="1155F66F"/>
    <w:rsid w:val="116D8331"/>
    <w:rsid w:val="1180A9DE"/>
    <w:rsid w:val="120018A9"/>
    <w:rsid w:val="122DD01D"/>
    <w:rsid w:val="124DC550"/>
    <w:rsid w:val="12971A7C"/>
    <w:rsid w:val="12D69C41"/>
    <w:rsid w:val="130C29DF"/>
    <w:rsid w:val="1311D3EA"/>
    <w:rsid w:val="1351DEFE"/>
    <w:rsid w:val="1386EC47"/>
    <w:rsid w:val="139362F7"/>
    <w:rsid w:val="139B0DEC"/>
    <w:rsid w:val="13AD465B"/>
    <w:rsid w:val="13ADDAC0"/>
    <w:rsid w:val="13D78156"/>
    <w:rsid w:val="13F67598"/>
    <w:rsid w:val="1400EB36"/>
    <w:rsid w:val="14166A81"/>
    <w:rsid w:val="143D1CF3"/>
    <w:rsid w:val="1442153C"/>
    <w:rsid w:val="1453C032"/>
    <w:rsid w:val="1460550B"/>
    <w:rsid w:val="146E52C5"/>
    <w:rsid w:val="14CB9C47"/>
    <w:rsid w:val="14EB355F"/>
    <w:rsid w:val="1501F921"/>
    <w:rsid w:val="15179C79"/>
    <w:rsid w:val="15397347"/>
    <w:rsid w:val="1544EC2F"/>
    <w:rsid w:val="154BA93A"/>
    <w:rsid w:val="157D5736"/>
    <w:rsid w:val="158269DF"/>
    <w:rsid w:val="15899293"/>
    <w:rsid w:val="1598FAAC"/>
    <w:rsid w:val="15B48CA2"/>
    <w:rsid w:val="15B9DC3D"/>
    <w:rsid w:val="1600991F"/>
    <w:rsid w:val="1612A851"/>
    <w:rsid w:val="16234CAB"/>
    <w:rsid w:val="163341F1"/>
    <w:rsid w:val="1638A1DD"/>
    <w:rsid w:val="167A9490"/>
    <w:rsid w:val="16B4D350"/>
    <w:rsid w:val="16EC0A5A"/>
    <w:rsid w:val="1700E123"/>
    <w:rsid w:val="170983D8"/>
    <w:rsid w:val="175B0973"/>
    <w:rsid w:val="177AC393"/>
    <w:rsid w:val="178C906A"/>
    <w:rsid w:val="17DA2E75"/>
    <w:rsid w:val="17E7E2AF"/>
    <w:rsid w:val="17EBF564"/>
    <w:rsid w:val="17F4E7C5"/>
    <w:rsid w:val="181CCEB4"/>
    <w:rsid w:val="181F3FDA"/>
    <w:rsid w:val="183ACD32"/>
    <w:rsid w:val="183EF255"/>
    <w:rsid w:val="18423857"/>
    <w:rsid w:val="1858044B"/>
    <w:rsid w:val="186FC4D3"/>
    <w:rsid w:val="18753411"/>
    <w:rsid w:val="187E30E1"/>
    <w:rsid w:val="18896E52"/>
    <w:rsid w:val="18DDB7C2"/>
    <w:rsid w:val="18F5E0D9"/>
    <w:rsid w:val="1961AB08"/>
    <w:rsid w:val="196831CE"/>
    <w:rsid w:val="19AF5258"/>
    <w:rsid w:val="19B08D25"/>
    <w:rsid w:val="19D537BD"/>
    <w:rsid w:val="1A143638"/>
    <w:rsid w:val="1A1B1F1E"/>
    <w:rsid w:val="1A22DF9A"/>
    <w:rsid w:val="1A25C4FC"/>
    <w:rsid w:val="1A32AC06"/>
    <w:rsid w:val="1A3D2C99"/>
    <w:rsid w:val="1A4DDAC8"/>
    <w:rsid w:val="1A97EF6A"/>
    <w:rsid w:val="1AB59D0B"/>
    <w:rsid w:val="1AB99601"/>
    <w:rsid w:val="1ABBCFD9"/>
    <w:rsid w:val="1ABC4669"/>
    <w:rsid w:val="1ACF9DD9"/>
    <w:rsid w:val="1AD40A42"/>
    <w:rsid w:val="1AD5B779"/>
    <w:rsid w:val="1AE5E8D7"/>
    <w:rsid w:val="1B1EAD48"/>
    <w:rsid w:val="1B3DD733"/>
    <w:rsid w:val="1B465C80"/>
    <w:rsid w:val="1B4A81D8"/>
    <w:rsid w:val="1B554F6F"/>
    <w:rsid w:val="1B628A70"/>
    <w:rsid w:val="1B7452D8"/>
    <w:rsid w:val="1B957CF0"/>
    <w:rsid w:val="1BCB6C77"/>
    <w:rsid w:val="1BD65514"/>
    <w:rsid w:val="1C009980"/>
    <w:rsid w:val="1C29B539"/>
    <w:rsid w:val="1C4EB035"/>
    <w:rsid w:val="1C50700B"/>
    <w:rsid w:val="1C5D6E99"/>
    <w:rsid w:val="1C740B41"/>
    <w:rsid w:val="1CA12265"/>
    <w:rsid w:val="1CA3EAA0"/>
    <w:rsid w:val="1CB4BC84"/>
    <w:rsid w:val="1CC112DF"/>
    <w:rsid w:val="1CCF7B78"/>
    <w:rsid w:val="1CE8287D"/>
    <w:rsid w:val="1CF6BD73"/>
    <w:rsid w:val="1D093642"/>
    <w:rsid w:val="1D11C97B"/>
    <w:rsid w:val="1D1C5003"/>
    <w:rsid w:val="1D4990D8"/>
    <w:rsid w:val="1D5A805C"/>
    <w:rsid w:val="1D5C8E2D"/>
    <w:rsid w:val="1D69F3A5"/>
    <w:rsid w:val="1D9C5156"/>
    <w:rsid w:val="1DB3810D"/>
    <w:rsid w:val="1DB4B32E"/>
    <w:rsid w:val="1DBB9FD6"/>
    <w:rsid w:val="1DBBD2A7"/>
    <w:rsid w:val="1DFBD1EE"/>
    <w:rsid w:val="1E0ECF96"/>
    <w:rsid w:val="1E2B1DF1"/>
    <w:rsid w:val="1E3967B1"/>
    <w:rsid w:val="1E3A5248"/>
    <w:rsid w:val="1E4ADAAF"/>
    <w:rsid w:val="1E5AE376"/>
    <w:rsid w:val="1E671261"/>
    <w:rsid w:val="1E67C979"/>
    <w:rsid w:val="1E797309"/>
    <w:rsid w:val="1E7BD319"/>
    <w:rsid w:val="1E868115"/>
    <w:rsid w:val="1E8AB7F5"/>
    <w:rsid w:val="1E945D44"/>
    <w:rsid w:val="1ED8996A"/>
    <w:rsid w:val="1EF650BD"/>
    <w:rsid w:val="1F0AB337"/>
    <w:rsid w:val="1F0B7D60"/>
    <w:rsid w:val="1F4B06D6"/>
    <w:rsid w:val="1F6F807B"/>
    <w:rsid w:val="1F76283A"/>
    <w:rsid w:val="1F98AD75"/>
    <w:rsid w:val="1FAF6CE0"/>
    <w:rsid w:val="1FB7F700"/>
    <w:rsid w:val="1FBB9687"/>
    <w:rsid w:val="1FEF9910"/>
    <w:rsid w:val="20466B8A"/>
    <w:rsid w:val="208E63B1"/>
    <w:rsid w:val="209E3F6A"/>
    <w:rsid w:val="20C02E14"/>
    <w:rsid w:val="20C4482A"/>
    <w:rsid w:val="20DE8655"/>
    <w:rsid w:val="2131D9B2"/>
    <w:rsid w:val="2136FFFE"/>
    <w:rsid w:val="21435623"/>
    <w:rsid w:val="214F66AB"/>
    <w:rsid w:val="21560010"/>
    <w:rsid w:val="217B5CA4"/>
    <w:rsid w:val="21959C55"/>
    <w:rsid w:val="21BFBC9C"/>
    <w:rsid w:val="21DE19E6"/>
    <w:rsid w:val="21F64624"/>
    <w:rsid w:val="220D4277"/>
    <w:rsid w:val="2221EDFE"/>
    <w:rsid w:val="223741BD"/>
    <w:rsid w:val="22415D17"/>
    <w:rsid w:val="2246238F"/>
    <w:rsid w:val="22488BD7"/>
    <w:rsid w:val="22624CAE"/>
    <w:rsid w:val="2281F571"/>
    <w:rsid w:val="228ABC9A"/>
    <w:rsid w:val="22BD2C70"/>
    <w:rsid w:val="22BD9D02"/>
    <w:rsid w:val="22C2AD8A"/>
    <w:rsid w:val="22CE4CBD"/>
    <w:rsid w:val="22DD3D7C"/>
    <w:rsid w:val="22F19C19"/>
    <w:rsid w:val="2322918D"/>
    <w:rsid w:val="23274ABD"/>
    <w:rsid w:val="2327A943"/>
    <w:rsid w:val="233F90CA"/>
    <w:rsid w:val="23860560"/>
    <w:rsid w:val="238F5EAF"/>
    <w:rsid w:val="23C955D9"/>
    <w:rsid w:val="23C9E121"/>
    <w:rsid w:val="23DC0C33"/>
    <w:rsid w:val="23E0E7A5"/>
    <w:rsid w:val="240069FE"/>
    <w:rsid w:val="240A96BB"/>
    <w:rsid w:val="2427B943"/>
    <w:rsid w:val="242D0BDB"/>
    <w:rsid w:val="243F960B"/>
    <w:rsid w:val="24485A40"/>
    <w:rsid w:val="246B0792"/>
    <w:rsid w:val="246E0DE2"/>
    <w:rsid w:val="247EB002"/>
    <w:rsid w:val="2482DA0E"/>
    <w:rsid w:val="2488C2D6"/>
    <w:rsid w:val="248DD283"/>
    <w:rsid w:val="248E5D7B"/>
    <w:rsid w:val="24C2BC29"/>
    <w:rsid w:val="24CA06A4"/>
    <w:rsid w:val="24F1274E"/>
    <w:rsid w:val="25155601"/>
    <w:rsid w:val="254C9DEE"/>
    <w:rsid w:val="257E6EEE"/>
    <w:rsid w:val="25849146"/>
    <w:rsid w:val="258D3EBF"/>
    <w:rsid w:val="2596ADC2"/>
    <w:rsid w:val="25A3A51B"/>
    <w:rsid w:val="25EA3A39"/>
    <w:rsid w:val="26012D16"/>
    <w:rsid w:val="260B1132"/>
    <w:rsid w:val="261CBDDD"/>
    <w:rsid w:val="2634F27E"/>
    <w:rsid w:val="264A678A"/>
    <w:rsid w:val="265E7F38"/>
    <w:rsid w:val="26848E0D"/>
    <w:rsid w:val="268D9E43"/>
    <w:rsid w:val="269434C7"/>
    <w:rsid w:val="269D8BF9"/>
    <w:rsid w:val="26E790C0"/>
    <w:rsid w:val="26FCB176"/>
    <w:rsid w:val="26FD20A1"/>
    <w:rsid w:val="26FDFFAF"/>
    <w:rsid w:val="271DC887"/>
    <w:rsid w:val="272AF28A"/>
    <w:rsid w:val="273DF263"/>
    <w:rsid w:val="2741B668"/>
    <w:rsid w:val="27534508"/>
    <w:rsid w:val="276B1252"/>
    <w:rsid w:val="276CB78A"/>
    <w:rsid w:val="27E92214"/>
    <w:rsid w:val="282781AB"/>
    <w:rsid w:val="282988A3"/>
    <w:rsid w:val="28378E07"/>
    <w:rsid w:val="285FBA99"/>
    <w:rsid w:val="288E6BE2"/>
    <w:rsid w:val="289CCD61"/>
    <w:rsid w:val="28BCAAF5"/>
    <w:rsid w:val="28C9E58D"/>
    <w:rsid w:val="28D35A1A"/>
    <w:rsid w:val="28DDD50D"/>
    <w:rsid w:val="28F52D92"/>
    <w:rsid w:val="2934E321"/>
    <w:rsid w:val="29485205"/>
    <w:rsid w:val="29666413"/>
    <w:rsid w:val="2969A83B"/>
    <w:rsid w:val="29782C4C"/>
    <w:rsid w:val="2988BBB3"/>
    <w:rsid w:val="298F772A"/>
    <w:rsid w:val="29A95210"/>
    <w:rsid w:val="29B2DEC4"/>
    <w:rsid w:val="2A008DC0"/>
    <w:rsid w:val="2A142691"/>
    <w:rsid w:val="2A30809A"/>
    <w:rsid w:val="2A6B9B2A"/>
    <w:rsid w:val="2A859604"/>
    <w:rsid w:val="2A9F7FB3"/>
    <w:rsid w:val="2AA67798"/>
    <w:rsid w:val="2AB78239"/>
    <w:rsid w:val="2AB78539"/>
    <w:rsid w:val="2AB7E137"/>
    <w:rsid w:val="2ACB29F9"/>
    <w:rsid w:val="2AEEF963"/>
    <w:rsid w:val="2B03F7F3"/>
    <w:rsid w:val="2B3E4251"/>
    <w:rsid w:val="2B4139B2"/>
    <w:rsid w:val="2B4362A0"/>
    <w:rsid w:val="2B484ED1"/>
    <w:rsid w:val="2B50497A"/>
    <w:rsid w:val="2B51CCF4"/>
    <w:rsid w:val="2B5FA334"/>
    <w:rsid w:val="2B90A373"/>
    <w:rsid w:val="2B999662"/>
    <w:rsid w:val="2B9C980D"/>
    <w:rsid w:val="2BA2E9E6"/>
    <w:rsid w:val="2BA8C0F4"/>
    <w:rsid w:val="2BAD28C6"/>
    <w:rsid w:val="2BAEBD50"/>
    <w:rsid w:val="2BBF5022"/>
    <w:rsid w:val="2BD5CB10"/>
    <w:rsid w:val="2BEA361C"/>
    <w:rsid w:val="2C1C663B"/>
    <w:rsid w:val="2C1F5B93"/>
    <w:rsid w:val="2C5C6CB8"/>
    <w:rsid w:val="2C68286C"/>
    <w:rsid w:val="2C8DBD64"/>
    <w:rsid w:val="2CDF5F0E"/>
    <w:rsid w:val="2CE3344E"/>
    <w:rsid w:val="2CF5C844"/>
    <w:rsid w:val="2D2292F5"/>
    <w:rsid w:val="2D30A565"/>
    <w:rsid w:val="2D4FC348"/>
    <w:rsid w:val="2D5AAE8C"/>
    <w:rsid w:val="2D908AA8"/>
    <w:rsid w:val="2D9D6578"/>
    <w:rsid w:val="2DACE57A"/>
    <w:rsid w:val="2DAF2E97"/>
    <w:rsid w:val="2DD95F48"/>
    <w:rsid w:val="2DF9A4EC"/>
    <w:rsid w:val="2E29BC54"/>
    <w:rsid w:val="2E314ED0"/>
    <w:rsid w:val="2E31D58C"/>
    <w:rsid w:val="2E3414A8"/>
    <w:rsid w:val="2E350B9D"/>
    <w:rsid w:val="2EA0F18E"/>
    <w:rsid w:val="2EAA6D7B"/>
    <w:rsid w:val="2EE0D074"/>
    <w:rsid w:val="2EECB60E"/>
    <w:rsid w:val="2F01CF6B"/>
    <w:rsid w:val="2F146DEA"/>
    <w:rsid w:val="2F302800"/>
    <w:rsid w:val="2F3D8052"/>
    <w:rsid w:val="2F3E9E41"/>
    <w:rsid w:val="2F6413DF"/>
    <w:rsid w:val="2F742739"/>
    <w:rsid w:val="2F76E418"/>
    <w:rsid w:val="2F839530"/>
    <w:rsid w:val="2FAC5B21"/>
    <w:rsid w:val="2FC1EA74"/>
    <w:rsid w:val="2FC46FD3"/>
    <w:rsid w:val="2FCD1F31"/>
    <w:rsid w:val="2FE7EC38"/>
    <w:rsid w:val="2FFCDEB4"/>
    <w:rsid w:val="3007EC54"/>
    <w:rsid w:val="3014A550"/>
    <w:rsid w:val="3019EB7B"/>
    <w:rsid w:val="30228723"/>
    <w:rsid w:val="3053B822"/>
    <w:rsid w:val="3054ED93"/>
    <w:rsid w:val="30614440"/>
    <w:rsid w:val="3061C1AA"/>
    <w:rsid w:val="307E9E78"/>
    <w:rsid w:val="3097CA00"/>
    <w:rsid w:val="309E4DCE"/>
    <w:rsid w:val="30C3505E"/>
    <w:rsid w:val="30E3D2A4"/>
    <w:rsid w:val="30FA0603"/>
    <w:rsid w:val="30FEE3F5"/>
    <w:rsid w:val="312D4669"/>
    <w:rsid w:val="316493DB"/>
    <w:rsid w:val="3176DBFD"/>
    <w:rsid w:val="317C231C"/>
    <w:rsid w:val="3186E1E8"/>
    <w:rsid w:val="319B3394"/>
    <w:rsid w:val="31A0C197"/>
    <w:rsid w:val="31BA8EEB"/>
    <w:rsid w:val="3209123E"/>
    <w:rsid w:val="3212E79B"/>
    <w:rsid w:val="32365478"/>
    <w:rsid w:val="324F531F"/>
    <w:rsid w:val="325134BE"/>
    <w:rsid w:val="3296362F"/>
    <w:rsid w:val="329BA363"/>
    <w:rsid w:val="32A2DB7E"/>
    <w:rsid w:val="32AE7BD0"/>
    <w:rsid w:val="32DDC00A"/>
    <w:rsid w:val="32EEF10F"/>
    <w:rsid w:val="32FA0805"/>
    <w:rsid w:val="3300720E"/>
    <w:rsid w:val="33081275"/>
    <w:rsid w:val="331BFC87"/>
    <w:rsid w:val="331D35A8"/>
    <w:rsid w:val="3360B9E0"/>
    <w:rsid w:val="336A5BEB"/>
    <w:rsid w:val="33C6D6D1"/>
    <w:rsid w:val="33ED313E"/>
    <w:rsid w:val="33FA7573"/>
    <w:rsid w:val="340B445A"/>
    <w:rsid w:val="34371B1F"/>
    <w:rsid w:val="343E1FCE"/>
    <w:rsid w:val="34528D9B"/>
    <w:rsid w:val="345C12B2"/>
    <w:rsid w:val="345F0CE5"/>
    <w:rsid w:val="34702B82"/>
    <w:rsid w:val="34A6B574"/>
    <w:rsid w:val="34AB98EF"/>
    <w:rsid w:val="34B3C3DE"/>
    <w:rsid w:val="351CAE7C"/>
    <w:rsid w:val="3530C852"/>
    <w:rsid w:val="354A99E0"/>
    <w:rsid w:val="355B6112"/>
    <w:rsid w:val="3576FD05"/>
    <w:rsid w:val="357D2169"/>
    <w:rsid w:val="357F799E"/>
    <w:rsid w:val="35945C56"/>
    <w:rsid w:val="3599B040"/>
    <w:rsid w:val="35A23FB2"/>
    <w:rsid w:val="35BB8977"/>
    <w:rsid w:val="35C69C33"/>
    <w:rsid w:val="35C9A6B8"/>
    <w:rsid w:val="35CE7D14"/>
    <w:rsid w:val="360BCCC6"/>
    <w:rsid w:val="362F6F69"/>
    <w:rsid w:val="3651FEB3"/>
    <w:rsid w:val="365C4961"/>
    <w:rsid w:val="365F1B42"/>
    <w:rsid w:val="3675A155"/>
    <w:rsid w:val="368D2F98"/>
    <w:rsid w:val="368D706F"/>
    <w:rsid w:val="3697257C"/>
    <w:rsid w:val="36A1FEC6"/>
    <w:rsid w:val="36A27724"/>
    <w:rsid w:val="36BBFDCF"/>
    <w:rsid w:val="3705E700"/>
    <w:rsid w:val="371070A5"/>
    <w:rsid w:val="3736DEBC"/>
    <w:rsid w:val="3740CFFF"/>
    <w:rsid w:val="3741DF46"/>
    <w:rsid w:val="37493416"/>
    <w:rsid w:val="37539818"/>
    <w:rsid w:val="378F32FA"/>
    <w:rsid w:val="3799CACC"/>
    <w:rsid w:val="37A8EFD6"/>
    <w:rsid w:val="37FB3E3C"/>
    <w:rsid w:val="37FD53CA"/>
    <w:rsid w:val="382C128B"/>
    <w:rsid w:val="384592FB"/>
    <w:rsid w:val="388A1BD7"/>
    <w:rsid w:val="38937294"/>
    <w:rsid w:val="38E5F9E4"/>
    <w:rsid w:val="392FF293"/>
    <w:rsid w:val="39436D88"/>
    <w:rsid w:val="39450D05"/>
    <w:rsid w:val="3948537C"/>
    <w:rsid w:val="394BFF90"/>
    <w:rsid w:val="395C236A"/>
    <w:rsid w:val="396D7F35"/>
    <w:rsid w:val="397562B2"/>
    <w:rsid w:val="39A90AD1"/>
    <w:rsid w:val="39C1AEB4"/>
    <w:rsid w:val="39C3F3EF"/>
    <w:rsid w:val="39C82989"/>
    <w:rsid w:val="3A0F50E4"/>
    <w:rsid w:val="3A1652B0"/>
    <w:rsid w:val="3A20A56E"/>
    <w:rsid w:val="3A231A5F"/>
    <w:rsid w:val="3A2BD8DC"/>
    <w:rsid w:val="3A3082F8"/>
    <w:rsid w:val="3A4FBA6B"/>
    <w:rsid w:val="3A56AF12"/>
    <w:rsid w:val="3A625ACA"/>
    <w:rsid w:val="3A6421E4"/>
    <w:rsid w:val="3A7562BB"/>
    <w:rsid w:val="3A814555"/>
    <w:rsid w:val="3AB05DDC"/>
    <w:rsid w:val="3AC6158C"/>
    <w:rsid w:val="3AC8D728"/>
    <w:rsid w:val="3AD59389"/>
    <w:rsid w:val="3AE7CFF1"/>
    <w:rsid w:val="3B507097"/>
    <w:rsid w:val="3B53DA5E"/>
    <w:rsid w:val="3B6A9BA2"/>
    <w:rsid w:val="3BA43C6C"/>
    <w:rsid w:val="3BCB1356"/>
    <w:rsid w:val="3BD0DB51"/>
    <w:rsid w:val="3BD0FE00"/>
    <w:rsid w:val="3BE2D9F2"/>
    <w:rsid w:val="3BF5809C"/>
    <w:rsid w:val="3C138BA6"/>
    <w:rsid w:val="3C143E1F"/>
    <w:rsid w:val="3C14FDD0"/>
    <w:rsid w:val="3C2EAFCC"/>
    <w:rsid w:val="3C43F549"/>
    <w:rsid w:val="3C46D96E"/>
    <w:rsid w:val="3C487172"/>
    <w:rsid w:val="3C51A7AF"/>
    <w:rsid w:val="3C520B56"/>
    <w:rsid w:val="3C7C1CF9"/>
    <w:rsid w:val="3C8677EB"/>
    <w:rsid w:val="3CA4FA5F"/>
    <w:rsid w:val="3CAC69C8"/>
    <w:rsid w:val="3CBFDD00"/>
    <w:rsid w:val="3CC44E5C"/>
    <w:rsid w:val="3CCA170B"/>
    <w:rsid w:val="3CDE41C1"/>
    <w:rsid w:val="3CDE7E52"/>
    <w:rsid w:val="3CFCBEA3"/>
    <w:rsid w:val="3D145C0C"/>
    <w:rsid w:val="3D3C4E7E"/>
    <w:rsid w:val="3D74851C"/>
    <w:rsid w:val="3D7F0CC5"/>
    <w:rsid w:val="3D91D86C"/>
    <w:rsid w:val="3D9B79B3"/>
    <w:rsid w:val="3DB6B311"/>
    <w:rsid w:val="3DBE1D8B"/>
    <w:rsid w:val="3DD7CFF0"/>
    <w:rsid w:val="3DEEA600"/>
    <w:rsid w:val="3DF1C2BC"/>
    <w:rsid w:val="3DFBC27A"/>
    <w:rsid w:val="3E4C5E99"/>
    <w:rsid w:val="3E6F4C0D"/>
    <w:rsid w:val="3E80AB5C"/>
    <w:rsid w:val="3E8D97F3"/>
    <w:rsid w:val="3E97ACA7"/>
    <w:rsid w:val="3ED64251"/>
    <w:rsid w:val="3EE792F7"/>
    <w:rsid w:val="3EEAB783"/>
    <w:rsid w:val="3EEF0F53"/>
    <w:rsid w:val="3EF75DBF"/>
    <w:rsid w:val="3F0A077B"/>
    <w:rsid w:val="3F149079"/>
    <w:rsid w:val="3F203112"/>
    <w:rsid w:val="3F2BDEFF"/>
    <w:rsid w:val="3F2D2880"/>
    <w:rsid w:val="3F2FFB04"/>
    <w:rsid w:val="3F4777B0"/>
    <w:rsid w:val="3F6D2AE1"/>
    <w:rsid w:val="3F871A6A"/>
    <w:rsid w:val="3F87818F"/>
    <w:rsid w:val="3FB8353B"/>
    <w:rsid w:val="3FC797B4"/>
    <w:rsid w:val="3FCE7131"/>
    <w:rsid w:val="3FE0F8A3"/>
    <w:rsid w:val="3FF60641"/>
    <w:rsid w:val="4007CE8D"/>
    <w:rsid w:val="400A4BAA"/>
    <w:rsid w:val="40111B9F"/>
    <w:rsid w:val="4014449C"/>
    <w:rsid w:val="403A3E84"/>
    <w:rsid w:val="40609F53"/>
    <w:rsid w:val="40676ED7"/>
    <w:rsid w:val="4093BA96"/>
    <w:rsid w:val="40A19B38"/>
    <w:rsid w:val="40A19D77"/>
    <w:rsid w:val="40B2B672"/>
    <w:rsid w:val="40C5A487"/>
    <w:rsid w:val="40CC89D2"/>
    <w:rsid w:val="40D2C5DA"/>
    <w:rsid w:val="40E0B85B"/>
    <w:rsid w:val="40E96A1C"/>
    <w:rsid w:val="40EE675D"/>
    <w:rsid w:val="4101E3F4"/>
    <w:rsid w:val="410DB5DD"/>
    <w:rsid w:val="4167B0E1"/>
    <w:rsid w:val="418D8E25"/>
    <w:rsid w:val="4194ED4D"/>
    <w:rsid w:val="41B1945F"/>
    <w:rsid w:val="41E71DCD"/>
    <w:rsid w:val="4204B203"/>
    <w:rsid w:val="4207E436"/>
    <w:rsid w:val="420929DC"/>
    <w:rsid w:val="4210ED3F"/>
    <w:rsid w:val="42334B3C"/>
    <w:rsid w:val="42407B72"/>
    <w:rsid w:val="42521B76"/>
    <w:rsid w:val="42558F25"/>
    <w:rsid w:val="42707C02"/>
    <w:rsid w:val="42981896"/>
    <w:rsid w:val="42A1ED6F"/>
    <w:rsid w:val="42E687B5"/>
    <w:rsid w:val="432EC4AF"/>
    <w:rsid w:val="433A32B2"/>
    <w:rsid w:val="436AB9D7"/>
    <w:rsid w:val="4378726A"/>
    <w:rsid w:val="43D214A5"/>
    <w:rsid w:val="43EB61F1"/>
    <w:rsid w:val="440ACE4B"/>
    <w:rsid w:val="44345F81"/>
    <w:rsid w:val="443B127E"/>
    <w:rsid w:val="445AF2B2"/>
    <w:rsid w:val="447FA633"/>
    <w:rsid w:val="449E4495"/>
    <w:rsid w:val="44C19517"/>
    <w:rsid w:val="44D634E9"/>
    <w:rsid w:val="44E08453"/>
    <w:rsid w:val="44E3E3EB"/>
    <w:rsid w:val="44F1544B"/>
    <w:rsid w:val="452A3426"/>
    <w:rsid w:val="45302FED"/>
    <w:rsid w:val="4556E2C9"/>
    <w:rsid w:val="4568E053"/>
    <w:rsid w:val="456CADF7"/>
    <w:rsid w:val="45870225"/>
    <w:rsid w:val="4589BC38"/>
    <w:rsid w:val="4594A82D"/>
    <w:rsid w:val="45ACA19A"/>
    <w:rsid w:val="45BC2CBA"/>
    <w:rsid w:val="45C7FB43"/>
    <w:rsid w:val="46251B5E"/>
    <w:rsid w:val="4657979D"/>
    <w:rsid w:val="466EEA35"/>
    <w:rsid w:val="4671BFEA"/>
    <w:rsid w:val="4697E514"/>
    <w:rsid w:val="469AD472"/>
    <w:rsid w:val="46F943E7"/>
    <w:rsid w:val="4713E3FC"/>
    <w:rsid w:val="471776C3"/>
    <w:rsid w:val="47246FB7"/>
    <w:rsid w:val="4733F9CB"/>
    <w:rsid w:val="47572F78"/>
    <w:rsid w:val="476EAACA"/>
    <w:rsid w:val="477EBDC9"/>
    <w:rsid w:val="47964E9A"/>
    <w:rsid w:val="479AEE34"/>
    <w:rsid w:val="47A0D3A3"/>
    <w:rsid w:val="47A49894"/>
    <w:rsid w:val="47B7CB23"/>
    <w:rsid w:val="47C8460B"/>
    <w:rsid w:val="48088E4F"/>
    <w:rsid w:val="48104524"/>
    <w:rsid w:val="4816B3BD"/>
    <w:rsid w:val="483BB538"/>
    <w:rsid w:val="4848267C"/>
    <w:rsid w:val="48676C08"/>
    <w:rsid w:val="48730CA1"/>
    <w:rsid w:val="48B6AD62"/>
    <w:rsid w:val="48C00672"/>
    <w:rsid w:val="48C671D6"/>
    <w:rsid w:val="48D74E1A"/>
    <w:rsid w:val="49007B6D"/>
    <w:rsid w:val="4956B921"/>
    <w:rsid w:val="49771595"/>
    <w:rsid w:val="49A104F4"/>
    <w:rsid w:val="49C2A889"/>
    <w:rsid w:val="49C6D522"/>
    <w:rsid w:val="49E2F291"/>
    <w:rsid w:val="49FC192C"/>
    <w:rsid w:val="4A02D9DB"/>
    <w:rsid w:val="4A0FEDC5"/>
    <w:rsid w:val="4A320D25"/>
    <w:rsid w:val="4A3CEF48"/>
    <w:rsid w:val="4A4E9448"/>
    <w:rsid w:val="4A5D2D5B"/>
    <w:rsid w:val="4A6A6451"/>
    <w:rsid w:val="4A8B78CD"/>
    <w:rsid w:val="4A8D61A2"/>
    <w:rsid w:val="4A968B9A"/>
    <w:rsid w:val="4ABF0E45"/>
    <w:rsid w:val="4AF2101B"/>
    <w:rsid w:val="4B018F6C"/>
    <w:rsid w:val="4B2F87D2"/>
    <w:rsid w:val="4B339338"/>
    <w:rsid w:val="4B746E5E"/>
    <w:rsid w:val="4BA8527D"/>
    <w:rsid w:val="4BA8BFBD"/>
    <w:rsid w:val="4BC7B5AF"/>
    <w:rsid w:val="4BCB72D4"/>
    <w:rsid w:val="4C050A0D"/>
    <w:rsid w:val="4C0EC0FC"/>
    <w:rsid w:val="4C150868"/>
    <w:rsid w:val="4C2FEB14"/>
    <w:rsid w:val="4C3776DA"/>
    <w:rsid w:val="4C393F07"/>
    <w:rsid w:val="4C474BD0"/>
    <w:rsid w:val="4C4F3994"/>
    <w:rsid w:val="4C594B7A"/>
    <w:rsid w:val="4C87B10F"/>
    <w:rsid w:val="4C8CBD50"/>
    <w:rsid w:val="4CCB5833"/>
    <w:rsid w:val="4CDA909F"/>
    <w:rsid w:val="4CED3820"/>
    <w:rsid w:val="4D2664FB"/>
    <w:rsid w:val="4D425A13"/>
    <w:rsid w:val="4D8296A1"/>
    <w:rsid w:val="4D83DF20"/>
    <w:rsid w:val="4DA989C7"/>
    <w:rsid w:val="4DAA4D04"/>
    <w:rsid w:val="4DC9C3BD"/>
    <w:rsid w:val="4DD5D38F"/>
    <w:rsid w:val="4E042EBB"/>
    <w:rsid w:val="4E0E906E"/>
    <w:rsid w:val="4E14B6B7"/>
    <w:rsid w:val="4E555347"/>
    <w:rsid w:val="4E560DFA"/>
    <w:rsid w:val="4E57D462"/>
    <w:rsid w:val="4E773993"/>
    <w:rsid w:val="4E82770E"/>
    <w:rsid w:val="4E84D0E4"/>
    <w:rsid w:val="4E92110A"/>
    <w:rsid w:val="4EB0E594"/>
    <w:rsid w:val="4EB28097"/>
    <w:rsid w:val="4EFECF9F"/>
    <w:rsid w:val="4F007804"/>
    <w:rsid w:val="4F2FBB33"/>
    <w:rsid w:val="4F40A2A8"/>
    <w:rsid w:val="4F530275"/>
    <w:rsid w:val="4F69F031"/>
    <w:rsid w:val="4F714AA9"/>
    <w:rsid w:val="4FA0C463"/>
    <w:rsid w:val="4FB7BEB7"/>
    <w:rsid w:val="4FDF9196"/>
    <w:rsid w:val="4FEE924F"/>
    <w:rsid w:val="4FFA786D"/>
    <w:rsid w:val="50021BDA"/>
    <w:rsid w:val="5017B8A0"/>
    <w:rsid w:val="502F11FC"/>
    <w:rsid w:val="502FE4DE"/>
    <w:rsid w:val="504011A4"/>
    <w:rsid w:val="504ADB4E"/>
    <w:rsid w:val="504BA80F"/>
    <w:rsid w:val="50828ACF"/>
    <w:rsid w:val="50B96C8D"/>
    <w:rsid w:val="50BB3633"/>
    <w:rsid w:val="50DAAE12"/>
    <w:rsid w:val="50E3D039"/>
    <w:rsid w:val="50EF7B7F"/>
    <w:rsid w:val="50F0274F"/>
    <w:rsid w:val="50F0D23B"/>
    <w:rsid w:val="513321C5"/>
    <w:rsid w:val="5133DB27"/>
    <w:rsid w:val="515097EE"/>
    <w:rsid w:val="516148B2"/>
    <w:rsid w:val="5177FE4F"/>
    <w:rsid w:val="51AB1117"/>
    <w:rsid w:val="51B37B66"/>
    <w:rsid w:val="51B42C2E"/>
    <w:rsid w:val="51BC9CDE"/>
    <w:rsid w:val="51BF6C6D"/>
    <w:rsid w:val="51C1D1D5"/>
    <w:rsid w:val="51EB1A8E"/>
    <w:rsid w:val="522B6173"/>
    <w:rsid w:val="52436094"/>
    <w:rsid w:val="5259A62D"/>
    <w:rsid w:val="525F0319"/>
    <w:rsid w:val="527DBE27"/>
    <w:rsid w:val="5290B448"/>
    <w:rsid w:val="52AE1728"/>
    <w:rsid w:val="52D5AB37"/>
    <w:rsid w:val="52DD33A1"/>
    <w:rsid w:val="52DD3AB6"/>
    <w:rsid w:val="53140646"/>
    <w:rsid w:val="531A6FA3"/>
    <w:rsid w:val="534D2FD4"/>
    <w:rsid w:val="534EC76F"/>
    <w:rsid w:val="534EF4BB"/>
    <w:rsid w:val="5352FBAA"/>
    <w:rsid w:val="538DF341"/>
    <w:rsid w:val="53B4877B"/>
    <w:rsid w:val="53D84084"/>
    <w:rsid w:val="53DC4E31"/>
    <w:rsid w:val="53F7DDE2"/>
    <w:rsid w:val="53F8D3C7"/>
    <w:rsid w:val="542C2A75"/>
    <w:rsid w:val="543D70B1"/>
    <w:rsid w:val="5448A837"/>
    <w:rsid w:val="5448BCF7"/>
    <w:rsid w:val="54822313"/>
    <w:rsid w:val="54D94E31"/>
    <w:rsid w:val="54E7385A"/>
    <w:rsid w:val="54EF368B"/>
    <w:rsid w:val="5524D0EF"/>
    <w:rsid w:val="555837D5"/>
    <w:rsid w:val="55655A36"/>
    <w:rsid w:val="556DA6AE"/>
    <w:rsid w:val="5580C976"/>
    <w:rsid w:val="55859AC3"/>
    <w:rsid w:val="55910334"/>
    <w:rsid w:val="55C131DD"/>
    <w:rsid w:val="5613DC48"/>
    <w:rsid w:val="5630379F"/>
    <w:rsid w:val="564BA844"/>
    <w:rsid w:val="564E51F7"/>
    <w:rsid w:val="5685B730"/>
    <w:rsid w:val="5688861D"/>
    <w:rsid w:val="56F7F628"/>
    <w:rsid w:val="56F82547"/>
    <w:rsid w:val="57027537"/>
    <w:rsid w:val="57090490"/>
    <w:rsid w:val="5717A698"/>
    <w:rsid w:val="571CAC0D"/>
    <w:rsid w:val="572051D9"/>
    <w:rsid w:val="57216B24"/>
    <w:rsid w:val="57447149"/>
    <w:rsid w:val="57853B6C"/>
    <w:rsid w:val="57868CCF"/>
    <w:rsid w:val="57953BA2"/>
    <w:rsid w:val="57B0A4C4"/>
    <w:rsid w:val="57B4C873"/>
    <w:rsid w:val="57B92841"/>
    <w:rsid w:val="57BF39AA"/>
    <w:rsid w:val="57D5B9BF"/>
    <w:rsid w:val="57F9A1C4"/>
    <w:rsid w:val="5805D9E5"/>
    <w:rsid w:val="5807C78B"/>
    <w:rsid w:val="5815F860"/>
    <w:rsid w:val="5818715D"/>
    <w:rsid w:val="58656DA8"/>
    <w:rsid w:val="5868B86E"/>
    <w:rsid w:val="588C7FC3"/>
    <w:rsid w:val="58B19B36"/>
    <w:rsid w:val="58B4C194"/>
    <w:rsid w:val="58CAAA2D"/>
    <w:rsid w:val="58D1FC2B"/>
    <w:rsid w:val="58E95D26"/>
    <w:rsid w:val="58E9C2C7"/>
    <w:rsid w:val="5904CFCB"/>
    <w:rsid w:val="5913CAF1"/>
    <w:rsid w:val="5947BA5D"/>
    <w:rsid w:val="594B45AF"/>
    <w:rsid w:val="595875A4"/>
    <w:rsid w:val="596BEC97"/>
    <w:rsid w:val="59743C68"/>
    <w:rsid w:val="5990AA5E"/>
    <w:rsid w:val="59993F92"/>
    <w:rsid w:val="59A24244"/>
    <w:rsid w:val="59AB80DD"/>
    <w:rsid w:val="59C20370"/>
    <w:rsid w:val="59D48603"/>
    <w:rsid w:val="59ED0CDC"/>
    <w:rsid w:val="5A33D881"/>
    <w:rsid w:val="5A56715E"/>
    <w:rsid w:val="5A68D369"/>
    <w:rsid w:val="5A6F5490"/>
    <w:rsid w:val="5A874DFD"/>
    <w:rsid w:val="5AB2F551"/>
    <w:rsid w:val="5AC1B4E2"/>
    <w:rsid w:val="5AC92856"/>
    <w:rsid w:val="5ACD5CD4"/>
    <w:rsid w:val="5ADDBF01"/>
    <w:rsid w:val="5B0BD429"/>
    <w:rsid w:val="5B12165F"/>
    <w:rsid w:val="5B19CAFC"/>
    <w:rsid w:val="5B291BE3"/>
    <w:rsid w:val="5B311513"/>
    <w:rsid w:val="5B3934C9"/>
    <w:rsid w:val="5B39EDD7"/>
    <w:rsid w:val="5B3B406F"/>
    <w:rsid w:val="5B481DAC"/>
    <w:rsid w:val="5B7ED13C"/>
    <w:rsid w:val="5B923F41"/>
    <w:rsid w:val="5B97AF57"/>
    <w:rsid w:val="5B9DC606"/>
    <w:rsid w:val="5BB83B54"/>
    <w:rsid w:val="5BDC75B3"/>
    <w:rsid w:val="5BFDE969"/>
    <w:rsid w:val="5C0E8715"/>
    <w:rsid w:val="5C0F30E6"/>
    <w:rsid w:val="5C25DB98"/>
    <w:rsid w:val="5C31A294"/>
    <w:rsid w:val="5C5601C7"/>
    <w:rsid w:val="5CB6D45F"/>
    <w:rsid w:val="5CB9953E"/>
    <w:rsid w:val="5CB9C9B7"/>
    <w:rsid w:val="5CC68770"/>
    <w:rsid w:val="5CCD2BD8"/>
    <w:rsid w:val="5CDC0D1A"/>
    <w:rsid w:val="5CE42437"/>
    <w:rsid w:val="5D186360"/>
    <w:rsid w:val="5D1DA1E6"/>
    <w:rsid w:val="5D1E8B9A"/>
    <w:rsid w:val="5D346969"/>
    <w:rsid w:val="5D4DC63D"/>
    <w:rsid w:val="5D5091B6"/>
    <w:rsid w:val="5DBAE88D"/>
    <w:rsid w:val="5DC85E54"/>
    <w:rsid w:val="5E3756C5"/>
    <w:rsid w:val="5E7129F2"/>
    <w:rsid w:val="5E93F9AF"/>
    <w:rsid w:val="5EA52B2D"/>
    <w:rsid w:val="5EB433C1"/>
    <w:rsid w:val="5ED95267"/>
    <w:rsid w:val="5EE31E63"/>
    <w:rsid w:val="5EF77F8D"/>
    <w:rsid w:val="5EF888E1"/>
    <w:rsid w:val="5EFC0E1D"/>
    <w:rsid w:val="5EFC7EAE"/>
    <w:rsid w:val="5F032F34"/>
    <w:rsid w:val="5F03DADC"/>
    <w:rsid w:val="5F124A2F"/>
    <w:rsid w:val="5F26EFB3"/>
    <w:rsid w:val="5F28EBBA"/>
    <w:rsid w:val="5F29193F"/>
    <w:rsid w:val="5F2D0DBD"/>
    <w:rsid w:val="5F4796A3"/>
    <w:rsid w:val="5F5217D2"/>
    <w:rsid w:val="5F8B203E"/>
    <w:rsid w:val="5F98E8B3"/>
    <w:rsid w:val="5FB5F273"/>
    <w:rsid w:val="5FBA0786"/>
    <w:rsid w:val="5FC1CD19"/>
    <w:rsid w:val="600202A1"/>
    <w:rsid w:val="60075C6B"/>
    <w:rsid w:val="6007D968"/>
    <w:rsid w:val="6009F78D"/>
    <w:rsid w:val="601D3072"/>
    <w:rsid w:val="602FD580"/>
    <w:rsid w:val="603E0B9F"/>
    <w:rsid w:val="60562343"/>
    <w:rsid w:val="6056527E"/>
    <w:rsid w:val="60654FDF"/>
    <w:rsid w:val="60824E48"/>
    <w:rsid w:val="609CDC7E"/>
    <w:rsid w:val="609D3713"/>
    <w:rsid w:val="60C139DB"/>
    <w:rsid w:val="60FD1B46"/>
    <w:rsid w:val="61064D72"/>
    <w:rsid w:val="61179E42"/>
    <w:rsid w:val="6157C473"/>
    <w:rsid w:val="618BE532"/>
    <w:rsid w:val="61968EFB"/>
    <w:rsid w:val="619D3D81"/>
    <w:rsid w:val="619FFF5F"/>
    <w:rsid w:val="61D40B03"/>
    <w:rsid w:val="61DFADFA"/>
    <w:rsid w:val="61E82F04"/>
    <w:rsid w:val="6203F650"/>
    <w:rsid w:val="620D1023"/>
    <w:rsid w:val="621197B5"/>
    <w:rsid w:val="6240D94F"/>
    <w:rsid w:val="6265E125"/>
    <w:rsid w:val="62750BC2"/>
    <w:rsid w:val="62A21DD3"/>
    <w:rsid w:val="62E1536D"/>
    <w:rsid w:val="63280F1C"/>
    <w:rsid w:val="63476321"/>
    <w:rsid w:val="63495B6B"/>
    <w:rsid w:val="635C61B1"/>
    <w:rsid w:val="6391FCAA"/>
    <w:rsid w:val="63CC72A9"/>
    <w:rsid w:val="6432CE62"/>
    <w:rsid w:val="643DEE34"/>
    <w:rsid w:val="645FCBE4"/>
    <w:rsid w:val="6466EBC5"/>
    <w:rsid w:val="6480C3FF"/>
    <w:rsid w:val="6482C411"/>
    <w:rsid w:val="649BE342"/>
    <w:rsid w:val="64A8F993"/>
    <w:rsid w:val="64A9D6C5"/>
    <w:rsid w:val="64B89D4C"/>
    <w:rsid w:val="64F220BA"/>
    <w:rsid w:val="64F7AFF4"/>
    <w:rsid w:val="64FD8877"/>
    <w:rsid w:val="6501805E"/>
    <w:rsid w:val="6512E5D6"/>
    <w:rsid w:val="6516E1E1"/>
    <w:rsid w:val="651D9F17"/>
    <w:rsid w:val="65630346"/>
    <w:rsid w:val="65645974"/>
    <w:rsid w:val="65709EBE"/>
    <w:rsid w:val="659AA542"/>
    <w:rsid w:val="659E3756"/>
    <w:rsid w:val="65D52A88"/>
    <w:rsid w:val="65DDB410"/>
    <w:rsid w:val="65F2849A"/>
    <w:rsid w:val="65F6869D"/>
    <w:rsid w:val="65FC96B0"/>
    <w:rsid w:val="66753CC8"/>
    <w:rsid w:val="668519E9"/>
    <w:rsid w:val="66A4529B"/>
    <w:rsid w:val="66BE2B4F"/>
    <w:rsid w:val="66BF45A6"/>
    <w:rsid w:val="66C2F095"/>
    <w:rsid w:val="66C7332C"/>
    <w:rsid w:val="66E13FFC"/>
    <w:rsid w:val="66E4246C"/>
    <w:rsid w:val="6705923D"/>
    <w:rsid w:val="671156A2"/>
    <w:rsid w:val="67178132"/>
    <w:rsid w:val="6734BACE"/>
    <w:rsid w:val="67521110"/>
    <w:rsid w:val="6756EE46"/>
    <w:rsid w:val="676099CF"/>
    <w:rsid w:val="676C9AB9"/>
    <w:rsid w:val="67B3151E"/>
    <w:rsid w:val="67D03D59"/>
    <w:rsid w:val="67DB2C0C"/>
    <w:rsid w:val="67E4B05E"/>
    <w:rsid w:val="67E9DA54"/>
    <w:rsid w:val="680BFF58"/>
    <w:rsid w:val="681D117D"/>
    <w:rsid w:val="68304911"/>
    <w:rsid w:val="6830A398"/>
    <w:rsid w:val="688245F4"/>
    <w:rsid w:val="688923BD"/>
    <w:rsid w:val="68AA37CD"/>
    <w:rsid w:val="68BB0C48"/>
    <w:rsid w:val="68C6DB75"/>
    <w:rsid w:val="68CAA6B2"/>
    <w:rsid w:val="690AC8B5"/>
    <w:rsid w:val="690AEEB9"/>
    <w:rsid w:val="69115F57"/>
    <w:rsid w:val="69147275"/>
    <w:rsid w:val="69355D52"/>
    <w:rsid w:val="69429C5F"/>
    <w:rsid w:val="6943AE90"/>
    <w:rsid w:val="698D75FA"/>
    <w:rsid w:val="69A00015"/>
    <w:rsid w:val="69A619CC"/>
    <w:rsid w:val="6A21A446"/>
    <w:rsid w:val="6A474B1F"/>
    <w:rsid w:val="6A4F38A5"/>
    <w:rsid w:val="6A520DF7"/>
    <w:rsid w:val="6A79AA75"/>
    <w:rsid w:val="6A93A2E5"/>
    <w:rsid w:val="6AA113C7"/>
    <w:rsid w:val="6AAE6C13"/>
    <w:rsid w:val="6ADFAF8E"/>
    <w:rsid w:val="6B042530"/>
    <w:rsid w:val="6B055936"/>
    <w:rsid w:val="6B1A5D4B"/>
    <w:rsid w:val="6B4D9B56"/>
    <w:rsid w:val="6B64535C"/>
    <w:rsid w:val="6BB9820F"/>
    <w:rsid w:val="6BD17AEC"/>
    <w:rsid w:val="6BE3F6DF"/>
    <w:rsid w:val="6BE7336A"/>
    <w:rsid w:val="6C20F550"/>
    <w:rsid w:val="6C2FDCD6"/>
    <w:rsid w:val="6C3BCE05"/>
    <w:rsid w:val="6C59FC60"/>
    <w:rsid w:val="6C8D246F"/>
    <w:rsid w:val="6CB27273"/>
    <w:rsid w:val="6CE27E0C"/>
    <w:rsid w:val="6CFA1E6A"/>
    <w:rsid w:val="6D288845"/>
    <w:rsid w:val="6D2F140A"/>
    <w:rsid w:val="6D35FC7E"/>
    <w:rsid w:val="6D4E2F33"/>
    <w:rsid w:val="6D7EEBE1"/>
    <w:rsid w:val="6D86D967"/>
    <w:rsid w:val="6D92B3CE"/>
    <w:rsid w:val="6DAEBDF8"/>
    <w:rsid w:val="6DB803E3"/>
    <w:rsid w:val="6DD9B7BA"/>
    <w:rsid w:val="6E0921C0"/>
    <w:rsid w:val="6E16E887"/>
    <w:rsid w:val="6E251D4A"/>
    <w:rsid w:val="6E29BBD6"/>
    <w:rsid w:val="6E711006"/>
    <w:rsid w:val="6E7B40DC"/>
    <w:rsid w:val="6E85481C"/>
    <w:rsid w:val="6E969055"/>
    <w:rsid w:val="6EB4B7E1"/>
    <w:rsid w:val="6EB4BEC2"/>
    <w:rsid w:val="6EBA579D"/>
    <w:rsid w:val="6EDBA68B"/>
    <w:rsid w:val="6F1D88DB"/>
    <w:rsid w:val="6F66571B"/>
    <w:rsid w:val="6F6DD26D"/>
    <w:rsid w:val="6F76DA31"/>
    <w:rsid w:val="6F7D03F3"/>
    <w:rsid w:val="6F7E1BBD"/>
    <w:rsid w:val="6F82011B"/>
    <w:rsid w:val="6FC2F0C4"/>
    <w:rsid w:val="700FBF38"/>
    <w:rsid w:val="705C46E4"/>
    <w:rsid w:val="706E8088"/>
    <w:rsid w:val="70B8A45B"/>
    <w:rsid w:val="70C70C31"/>
    <w:rsid w:val="70CF547A"/>
    <w:rsid w:val="70D4ACA8"/>
    <w:rsid w:val="70E65EBA"/>
    <w:rsid w:val="70FF6AD6"/>
    <w:rsid w:val="7116FB15"/>
    <w:rsid w:val="71190386"/>
    <w:rsid w:val="711EB4FF"/>
    <w:rsid w:val="716DB496"/>
    <w:rsid w:val="719887DF"/>
    <w:rsid w:val="719CC7A8"/>
    <w:rsid w:val="71AB8F99"/>
    <w:rsid w:val="71D47AED"/>
    <w:rsid w:val="71F5F902"/>
    <w:rsid w:val="726788CC"/>
    <w:rsid w:val="72680B16"/>
    <w:rsid w:val="726AE2CB"/>
    <w:rsid w:val="7291A9A4"/>
    <w:rsid w:val="72ACB191"/>
    <w:rsid w:val="72ADE37B"/>
    <w:rsid w:val="72B00CCB"/>
    <w:rsid w:val="72C09249"/>
    <w:rsid w:val="72DB8B17"/>
    <w:rsid w:val="7309D4BE"/>
    <w:rsid w:val="7323AFF4"/>
    <w:rsid w:val="73302BBD"/>
    <w:rsid w:val="73565391"/>
    <w:rsid w:val="735DE693"/>
    <w:rsid w:val="7372A0F8"/>
    <w:rsid w:val="737DADC4"/>
    <w:rsid w:val="73818E71"/>
    <w:rsid w:val="739D49BF"/>
    <w:rsid w:val="73E415CB"/>
    <w:rsid w:val="7403E918"/>
    <w:rsid w:val="74419186"/>
    <w:rsid w:val="745B9D4F"/>
    <w:rsid w:val="74657FFF"/>
    <w:rsid w:val="749A11CF"/>
    <w:rsid w:val="74BA1B6B"/>
    <w:rsid w:val="74D3D0F2"/>
    <w:rsid w:val="74E3305B"/>
    <w:rsid w:val="74E9B037"/>
    <w:rsid w:val="74E9FA8C"/>
    <w:rsid w:val="74ECDC4D"/>
    <w:rsid w:val="74F3BC19"/>
    <w:rsid w:val="75396429"/>
    <w:rsid w:val="75430978"/>
    <w:rsid w:val="754A8D5E"/>
    <w:rsid w:val="7553A9D4"/>
    <w:rsid w:val="7562D28B"/>
    <w:rsid w:val="75739E84"/>
    <w:rsid w:val="75802395"/>
    <w:rsid w:val="758E6A0F"/>
    <w:rsid w:val="759BB28C"/>
    <w:rsid w:val="75BA1CE3"/>
    <w:rsid w:val="75DA145B"/>
    <w:rsid w:val="75E2CA4F"/>
    <w:rsid w:val="761BDF2C"/>
    <w:rsid w:val="762588B8"/>
    <w:rsid w:val="7626EE5C"/>
    <w:rsid w:val="7639DEB9"/>
    <w:rsid w:val="7641D85E"/>
    <w:rsid w:val="765BDC73"/>
    <w:rsid w:val="766C1D13"/>
    <w:rsid w:val="7675309D"/>
    <w:rsid w:val="767552FB"/>
    <w:rsid w:val="7679F73A"/>
    <w:rsid w:val="768E2D2A"/>
    <w:rsid w:val="76A07DDE"/>
    <w:rsid w:val="76B7DFC5"/>
    <w:rsid w:val="76B946E9"/>
    <w:rsid w:val="76ED46E0"/>
    <w:rsid w:val="7715F257"/>
    <w:rsid w:val="771BF3F6"/>
    <w:rsid w:val="772B2B71"/>
    <w:rsid w:val="772E3F2B"/>
    <w:rsid w:val="7759CA00"/>
    <w:rsid w:val="7763C057"/>
    <w:rsid w:val="776574C1"/>
    <w:rsid w:val="77658ABF"/>
    <w:rsid w:val="77AE5220"/>
    <w:rsid w:val="77BA411C"/>
    <w:rsid w:val="77C58147"/>
    <w:rsid w:val="77E9ACD7"/>
    <w:rsid w:val="77ECD8C5"/>
    <w:rsid w:val="77F34CD1"/>
    <w:rsid w:val="77F51DF0"/>
    <w:rsid w:val="78091B86"/>
    <w:rsid w:val="780FE6BA"/>
    <w:rsid w:val="784E7423"/>
    <w:rsid w:val="7870EC04"/>
    <w:rsid w:val="788288D1"/>
    <w:rsid w:val="788D2F2E"/>
    <w:rsid w:val="78E7A080"/>
    <w:rsid w:val="78EB2611"/>
    <w:rsid w:val="794F753C"/>
    <w:rsid w:val="794FF7B8"/>
    <w:rsid w:val="79586E98"/>
    <w:rsid w:val="79735176"/>
    <w:rsid w:val="797CCC67"/>
    <w:rsid w:val="799F2358"/>
    <w:rsid w:val="79C342C8"/>
    <w:rsid w:val="79CD2817"/>
    <w:rsid w:val="79DA9C24"/>
    <w:rsid w:val="79E65074"/>
    <w:rsid w:val="79E85B05"/>
    <w:rsid w:val="79F0404A"/>
    <w:rsid w:val="7A123A40"/>
    <w:rsid w:val="7A3EE2C7"/>
    <w:rsid w:val="7A555B95"/>
    <w:rsid w:val="7A69BC9F"/>
    <w:rsid w:val="7A6FC733"/>
    <w:rsid w:val="7A877AE6"/>
    <w:rsid w:val="7A9DBCA1"/>
    <w:rsid w:val="7AA71C21"/>
    <w:rsid w:val="7ACE82E4"/>
    <w:rsid w:val="7AE751A9"/>
    <w:rsid w:val="7B0B3E48"/>
    <w:rsid w:val="7B275D01"/>
    <w:rsid w:val="7B289C01"/>
    <w:rsid w:val="7B3BA512"/>
    <w:rsid w:val="7B45DCCA"/>
    <w:rsid w:val="7B4B2EE3"/>
    <w:rsid w:val="7B76DE7E"/>
    <w:rsid w:val="7BB4766A"/>
    <w:rsid w:val="7BBEC4B6"/>
    <w:rsid w:val="7BDEE872"/>
    <w:rsid w:val="7BE3C827"/>
    <w:rsid w:val="7BF22D69"/>
    <w:rsid w:val="7BFD7CF3"/>
    <w:rsid w:val="7C040755"/>
    <w:rsid w:val="7C0C3919"/>
    <w:rsid w:val="7C17A7DF"/>
    <w:rsid w:val="7C1F31F1"/>
    <w:rsid w:val="7C241232"/>
    <w:rsid w:val="7C2D2B79"/>
    <w:rsid w:val="7C9104F4"/>
    <w:rsid w:val="7CBC0B77"/>
    <w:rsid w:val="7CBEF230"/>
    <w:rsid w:val="7CDCEB7B"/>
    <w:rsid w:val="7CDE5FAE"/>
    <w:rsid w:val="7CE252A5"/>
    <w:rsid w:val="7CE609AC"/>
    <w:rsid w:val="7CE77779"/>
    <w:rsid w:val="7D0AA2AB"/>
    <w:rsid w:val="7D51AF13"/>
    <w:rsid w:val="7D593DC5"/>
    <w:rsid w:val="7D87E435"/>
    <w:rsid w:val="7D8E65AD"/>
    <w:rsid w:val="7D98648A"/>
    <w:rsid w:val="7DA37CDD"/>
    <w:rsid w:val="7DBD606A"/>
    <w:rsid w:val="7DCE45B1"/>
    <w:rsid w:val="7E040527"/>
    <w:rsid w:val="7E11F80D"/>
    <w:rsid w:val="7E17F1A8"/>
    <w:rsid w:val="7E273310"/>
    <w:rsid w:val="7E3FB7DC"/>
    <w:rsid w:val="7E5E4EF3"/>
    <w:rsid w:val="7E629472"/>
    <w:rsid w:val="7E8C03DE"/>
    <w:rsid w:val="7EA9E07E"/>
    <w:rsid w:val="7EB0682D"/>
    <w:rsid w:val="7EF66C01"/>
    <w:rsid w:val="7F06A851"/>
    <w:rsid w:val="7F19A52B"/>
    <w:rsid w:val="7FA401AE"/>
    <w:rsid w:val="7FB058BB"/>
    <w:rsid w:val="7FD439AA"/>
    <w:rsid w:val="7FEC15ED"/>
    <w:rsid w:val="7FFDAC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64A5BFD4-A7C2-4994-A3AB-E7226F40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paragraph">
    <w:name w:val="paragraph"/>
    <w:basedOn w:val="Normal"/>
    <w:rsid w:val="00777B13"/>
    <w:pPr>
      <w:spacing w:before="100" w:beforeAutospacing="1" w:after="100" w:afterAutospacing="1"/>
      <w:jc w:val="left"/>
    </w:pPr>
    <w:rPr>
      <w:sz w:val="24"/>
      <w:lang w:val="en-US" w:eastAsia="zh-CN"/>
    </w:rPr>
  </w:style>
  <w:style w:type="character" w:customStyle="1" w:styleId="normaltextrun">
    <w:name w:val="normaltextrun"/>
    <w:basedOn w:val="DefaultParagraphFont"/>
    <w:rsid w:val="00777B13"/>
  </w:style>
  <w:style w:type="character" w:customStyle="1" w:styleId="eop">
    <w:name w:val="eop"/>
    <w:basedOn w:val="DefaultParagraphFont"/>
    <w:rsid w:val="00777B13"/>
  </w:style>
  <w:style w:type="paragraph" w:customStyle="1" w:styleId="Heading-plain">
    <w:name w:val="Heading-plain"/>
    <w:basedOn w:val="Normal"/>
    <w:rsid w:val="00777B13"/>
    <w:pPr>
      <w:spacing w:before="120" w:after="120"/>
      <w:jc w:val="center"/>
      <w:outlineLvl w:val="0"/>
    </w:pPr>
    <w:rPr>
      <w:i/>
      <w:iCs/>
    </w:rPr>
  </w:style>
  <w:style w:type="character" w:customStyle="1" w:styleId="UnresolvedMention1">
    <w:name w:val="Unresolved Mention1"/>
    <w:basedOn w:val="DefaultParagraphFont"/>
    <w:uiPriority w:val="99"/>
    <w:semiHidden/>
    <w:unhideWhenUsed/>
    <w:rsid w:val="00846B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007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078"/>
    <w:rPr>
      <w:rFonts w:ascii="Times New Roman" w:eastAsia="Times New Roman" w:hAnsi="Times New Roman" w:cs="Times New Roman"/>
      <w:b/>
      <w:bCs/>
      <w:sz w:val="20"/>
      <w:szCs w:val="20"/>
      <w:lang w:val="en-GB"/>
    </w:rPr>
  </w:style>
  <w:style w:type="paragraph" w:styleId="Revision">
    <w:name w:val="Revision"/>
    <w:hidden/>
    <w:uiPriority w:val="99"/>
    <w:semiHidden/>
    <w:rsid w:val="00E73580"/>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unhideWhenUsed/>
    <w:rsid w:val="00174D60"/>
    <w:rPr>
      <w:color w:val="605E5C"/>
      <w:shd w:val="clear" w:color="auto" w:fill="E1DFDD"/>
    </w:rPr>
  </w:style>
  <w:style w:type="character" w:customStyle="1" w:styleId="Mention1">
    <w:name w:val="Mention1"/>
    <w:basedOn w:val="DefaultParagraphFont"/>
    <w:uiPriority w:val="99"/>
    <w:unhideWhenUsed/>
    <w:rsid w:val="00167DA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01901">
      <w:bodyDiv w:val="1"/>
      <w:marLeft w:val="0"/>
      <w:marRight w:val="0"/>
      <w:marTop w:val="0"/>
      <w:marBottom w:val="0"/>
      <w:divBdr>
        <w:top w:val="none" w:sz="0" w:space="0" w:color="auto"/>
        <w:left w:val="none" w:sz="0" w:space="0" w:color="auto"/>
        <w:bottom w:val="none" w:sz="0" w:space="0" w:color="auto"/>
        <w:right w:val="none" w:sz="0" w:space="0" w:color="auto"/>
      </w:divBdr>
      <w:divsChild>
        <w:div w:id="17855602">
          <w:marLeft w:val="0"/>
          <w:marRight w:val="0"/>
          <w:marTop w:val="0"/>
          <w:marBottom w:val="0"/>
          <w:divBdr>
            <w:top w:val="none" w:sz="0" w:space="0" w:color="auto"/>
            <w:left w:val="none" w:sz="0" w:space="0" w:color="auto"/>
            <w:bottom w:val="none" w:sz="0" w:space="0" w:color="auto"/>
            <w:right w:val="none" w:sz="0" w:space="0" w:color="auto"/>
          </w:divBdr>
          <w:divsChild>
            <w:div w:id="950162761">
              <w:marLeft w:val="0"/>
              <w:marRight w:val="0"/>
              <w:marTop w:val="0"/>
              <w:marBottom w:val="0"/>
              <w:divBdr>
                <w:top w:val="none" w:sz="0" w:space="0" w:color="auto"/>
                <w:left w:val="none" w:sz="0" w:space="0" w:color="auto"/>
                <w:bottom w:val="none" w:sz="0" w:space="0" w:color="auto"/>
                <w:right w:val="none" w:sz="0" w:space="0" w:color="auto"/>
              </w:divBdr>
            </w:div>
            <w:div w:id="1021904454">
              <w:marLeft w:val="0"/>
              <w:marRight w:val="0"/>
              <w:marTop w:val="0"/>
              <w:marBottom w:val="0"/>
              <w:divBdr>
                <w:top w:val="none" w:sz="0" w:space="0" w:color="auto"/>
                <w:left w:val="none" w:sz="0" w:space="0" w:color="auto"/>
                <w:bottom w:val="none" w:sz="0" w:space="0" w:color="auto"/>
                <w:right w:val="none" w:sz="0" w:space="0" w:color="auto"/>
              </w:divBdr>
            </w:div>
          </w:divsChild>
        </w:div>
        <w:div w:id="18093485">
          <w:marLeft w:val="0"/>
          <w:marRight w:val="0"/>
          <w:marTop w:val="0"/>
          <w:marBottom w:val="0"/>
          <w:divBdr>
            <w:top w:val="none" w:sz="0" w:space="0" w:color="auto"/>
            <w:left w:val="none" w:sz="0" w:space="0" w:color="auto"/>
            <w:bottom w:val="none" w:sz="0" w:space="0" w:color="auto"/>
            <w:right w:val="none" w:sz="0" w:space="0" w:color="auto"/>
          </w:divBdr>
          <w:divsChild>
            <w:div w:id="511185284">
              <w:marLeft w:val="0"/>
              <w:marRight w:val="0"/>
              <w:marTop w:val="0"/>
              <w:marBottom w:val="0"/>
              <w:divBdr>
                <w:top w:val="none" w:sz="0" w:space="0" w:color="auto"/>
                <w:left w:val="none" w:sz="0" w:space="0" w:color="auto"/>
                <w:bottom w:val="none" w:sz="0" w:space="0" w:color="auto"/>
                <w:right w:val="none" w:sz="0" w:space="0" w:color="auto"/>
              </w:divBdr>
            </w:div>
          </w:divsChild>
        </w:div>
        <w:div w:id="123425253">
          <w:marLeft w:val="0"/>
          <w:marRight w:val="0"/>
          <w:marTop w:val="0"/>
          <w:marBottom w:val="0"/>
          <w:divBdr>
            <w:top w:val="none" w:sz="0" w:space="0" w:color="auto"/>
            <w:left w:val="none" w:sz="0" w:space="0" w:color="auto"/>
            <w:bottom w:val="none" w:sz="0" w:space="0" w:color="auto"/>
            <w:right w:val="none" w:sz="0" w:space="0" w:color="auto"/>
          </w:divBdr>
          <w:divsChild>
            <w:div w:id="300113474">
              <w:marLeft w:val="0"/>
              <w:marRight w:val="0"/>
              <w:marTop w:val="0"/>
              <w:marBottom w:val="0"/>
              <w:divBdr>
                <w:top w:val="none" w:sz="0" w:space="0" w:color="auto"/>
                <w:left w:val="none" w:sz="0" w:space="0" w:color="auto"/>
                <w:bottom w:val="none" w:sz="0" w:space="0" w:color="auto"/>
                <w:right w:val="none" w:sz="0" w:space="0" w:color="auto"/>
              </w:divBdr>
            </w:div>
            <w:div w:id="989938249">
              <w:marLeft w:val="0"/>
              <w:marRight w:val="0"/>
              <w:marTop w:val="0"/>
              <w:marBottom w:val="0"/>
              <w:divBdr>
                <w:top w:val="none" w:sz="0" w:space="0" w:color="auto"/>
                <w:left w:val="none" w:sz="0" w:space="0" w:color="auto"/>
                <w:bottom w:val="none" w:sz="0" w:space="0" w:color="auto"/>
                <w:right w:val="none" w:sz="0" w:space="0" w:color="auto"/>
              </w:divBdr>
            </w:div>
          </w:divsChild>
        </w:div>
        <w:div w:id="185024747">
          <w:marLeft w:val="0"/>
          <w:marRight w:val="0"/>
          <w:marTop w:val="0"/>
          <w:marBottom w:val="0"/>
          <w:divBdr>
            <w:top w:val="none" w:sz="0" w:space="0" w:color="auto"/>
            <w:left w:val="none" w:sz="0" w:space="0" w:color="auto"/>
            <w:bottom w:val="none" w:sz="0" w:space="0" w:color="auto"/>
            <w:right w:val="none" w:sz="0" w:space="0" w:color="auto"/>
          </w:divBdr>
          <w:divsChild>
            <w:div w:id="1640375231">
              <w:marLeft w:val="0"/>
              <w:marRight w:val="0"/>
              <w:marTop w:val="0"/>
              <w:marBottom w:val="0"/>
              <w:divBdr>
                <w:top w:val="none" w:sz="0" w:space="0" w:color="auto"/>
                <w:left w:val="none" w:sz="0" w:space="0" w:color="auto"/>
                <w:bottom w:val="none" w:sz="0" w:space="0" w:color="auto"/>
                <w:right w:val="none" w:sz="0" w:space="0" w:color="auto"/>
              </w:divBdr>
            </w:div>
            <w:div w:id="1798260558">
              <w:marLeft w:val="0"/>
              <w:marRight w:val="0"/>
              <w:marTop w:val="0"/>
              <w:marBottom w:val="0"/>
              <w:divBdr>
                <w:top w:val="none" w:sz="0" w:space="0" w:color="auto"/>
                <w:left w:val="none" w:sz="0" w:space="0" w:color="auto"/>
                <w:bottom w:val="none" w:sz="0" w:space="0" w:color="auto"/>
                <w:right w:val="none" w:sz="0" w:space="0" w:color="auto"/>
              </w:divBdr>
            </w:div>
          </w:divsChild>
        </w:div>
        <w:div w:id="347022143">
          <w:marLeft w:val="0"/>
          <w:marRight w:val="0"/>
          <w:marTop w:val="0"/>
          <w:marBottom w:val="0"/>
          <w:divBdr>
            <w:top w:val="none" w:sz="0" w:space="0" w:color="auto"/>
            <w:left w:val="none" w:sz="0" w:space="0" w:color="auto"/>
            <w:bottom w:val="none" w:sz="0" w:space="0" w:color="auto"/>
            <w:right w:val="none" w:sz="0" w:space="0" w:color="auto"/>
          </w:divBdr>
          <w:divsChild>
            <w:div w:id="1622686338">
              <w:marLeft w:val="0"/>
              <w:marRight w:val="0"/>
              <w:marTop w:val="0"/>
              <w:marBottom w:val="0"/>
              <w:divBdr>
                <w:top w:val="none" w:sz="0" w:space="0" w:color="auto"/>
                <w:left w:val="none" w:sz="0" w:space="0" w:color="auto"/>
                <w:bottom w:val="none" w:sz="0" w:space="0" w:color="auto"/>
                <w:right w:val="none" w:sz="0" w:space="0" w:color="auto"/>
              </w:divBdr>
            </w:div>
          </w:divsChild>
        </w:div>
        <w:div w:id="381254758">
          <w:marLeft w:val="0"/>
          <w:marRight w:val="0"/>
          <w:marTop w:val="0"/>
          <w:marBottom w:val="0"/>
          <w:divBdr>
            <w:top w:val="none" w:sz="0" w:space="0" w:color="auto"/>
            <w:left w:val="none" w:sz="0" w:space="0" w:color="auto"/>
            <w:bottom w:val="none" w:sz="0" w:space="0" w:color="auto"/>
            <w:right w:val="none" w:sz="0" w:space="0" w:color="auto"/>
          </w:divBdr>
          <w:divsChild>
            <w:div w:id="56058357">
              <w:marLeft w:val="0"/>
              <w:marRight w:val="0"/>
              <w:marTop w:val="0"/>
              <w:marBottom w:val="0"/>
              <w:divBdr>
                <w:top w:val="none" w:sz="0" w:space="0" w:color="auto"/>
                <w:left w:val="none" w:sz="0" w:space="0" w:color="auto"/>
                <w:bottom w:val="none" w:sz="0" w:space="0" w:color="auto"/>
                <w:right w:val="none" w:sz="0" w:space="0" w:color="auto"/>
              </w:divBdr>
            </w:div>
            <w:div w:id="878248483">
              <w:marLeft w:val="0"/>
              <w:marRight w:val="0"/>
              <w:marTop w:val="0"/>
              <w:marBottom w:val="0"/>
              <w:divBdr>
                <w:top w:val="none" w:sz="0" w:space="0" w:color="auto"/>
                <w:left w:val="none" w:sz="0" w:space="0" w:color="auto"/>
                <w:bottom w:val="none" w:sz="0" w:space="0" w:color="auto"/>
                <w:right w:val="none" w:sz="0" w:space="0" w:color="auto"/>
              </w:divBdr>
            </w:div>
          </w:divsChild>
        </w:div>
        <w:div w:id="400493412">
          <w:marLeft w:val="0"/>
          <w:marRight w:val="0"/>
          <w:marTop w:val="0"/>
          <w:marBottom w:val="0"/>
          <w:divBdr>
            <w:top w:val="none" w:sz="0" w:space="0" w:color="auto"/>
            <w:left w:val="none" w:sz="0" w:space="0" w:color="auto"/>
            <w:bottom w:val="none" w:sz="0" w:space="0" w:color="auto"/>
            <w:right w:val="none" w:sz="0" w:space="0" w:color="auto"/>
          </w:divBdr>
          <w:divsChild>
            <w:div w:id="363143620">
              <w:marLeft w:val="0"/>
              <w:marRight w:val="0"/>
              <w:marTop w:val="0"/>
              <w:marBottom w:val="0"/>
              <w:divBdr>
                <w:top w:val="none" w:sz="0" w:space="0" w:color="auto"/>
                <w:left w:val="none" w:sz="0" w:space="0" w:color="auto"/>
                <w:bottom w:val="none" w:sz="0" w:space="0" w:color="auto"/>
                <w:right w:val="none" w:sz="0" w:space="0" w:color="auto"/>
              </w:divBdr>
            </w:div>
            <w:div w:id="2013140070">
              <w:marLeft w:val="0"/>
              <w:marRight w:val="0"/>
              <w:marTop w:val="0"/>
              <w:marBottom w:val="0"/>
              <w:divBdr>
                <w:top w:val="none" w:sz="0" w:space="0" w:color="auto"/>
                <w:left w:val="none" w:sz="0" w:space="0" w:color="auto"/>
                <w:bottom w:val="none" w:sz="0" w:space="0" w:color="auto"/>
                <w:right w:val="none" w:sz="0" w:space="0" w:color="auto"/>
              </w:divBdr>
            </w:div>
          </w:divsChild>
        </w:div>
        <w:div w:id="447897087">
          <w:marLeft w:val="0"/>
          <w:marRight w:val="0"/>
          <w:marTop w:val="0"/>
          <w:marBottom w:val="0"/>
          <w:divBdr>
            <w:top w:val="none" w:sz="0" w:space="0" w:color="auto"/>
            <w:left w:val="none" w:sz="0" w:space="0" w:color="auto"/>
            <w:bottom w:val="none" w:sz="0" w:space="0" w:color="auto"/>
            <w:right w:val="none" w:sz="0" w:space="0" w:color="auto"/>
          </w:divBdr>
          <w:divsChild>
            <w:div w:id="1246496572">
              <w:marLeft w:val="0"/>
              <w:marRight w:val="0"/>
              <w:marTop w:val="0"/>
              <w:marBottom w:val="0"/>
              <w:divBdr>
                <w:top w:val="none" w:sz="0" w:space="0" w:color="auto"/>
                <w:left w:val="none" w:sz="0" w:space="0" w:color="auto"/>
                <w:bottom w:val="none" w:sz="0" w:space="0" w:color="auto"/>
                <w:right w:val="none" w:sz="0" w:space="0" w:color="auto"/>
              </w:divBdr>
            </w:div>
          </w:divsChild>
        </w:div>
        <w:div w:id="512645469">
          <w:marLeft w:val="0"/>
          <w:marRight w:val="0"/>
          <w:marTop w:val="0"/>
          <w:marBottom w:val="0"/>
          <w:divBdr>
            <w:top w:val="none" w:sz="0" w:space="0" w:color="auto"/>
            <w:left w:val="none" w:sz="0" w:space="0" w:color="auto"/>
            <w:bottom w:val="none" w:sz="0" w:space="0" w:color="auto"/>
            <w:right w:val="none" w:sz="0" w:space="0" w:color="auto"/>
          </w:divBdr>
          <w:divsChild>
            <w:div w:id="1296256730">
              <w:marLeft w:val="0"/>
              <w:marRight w:val="0"/>
              <w:marTop w:val="0"/>
              <w:marBottom w:val="0"/>
              <w:divBdr>
                <w:top w:val="none" w:sz="0" w:space="0" w:color="auto"/>
                <w:left w:val="none" w:sz="0" w:space="0" w:color="auto"/>
                <w:bottom w:val="none" w:sz="0" w:space="0" w:color="auto"/>
                <w:right w:val="none" w:sz="0" w:space="0" w:color="auto"/>
              </w:divBdr>
            </w:div>
          </w:divsChild>
        </w:div>
        <w:div w:id="566107279">
          <w:marLeft w:val="0"/>
          <w:marRight w:val="0"/>
          <w:marTop w:val="0"/>
          <w:marBottom w:val="0"/>
          <w:divBdr>
            <w:top w:val="none" w:sz="0" w:space="0" w:color="auto"/>
            <w:left w:val="none" w:sz="0" w:space="0" w:color="auto"/>
            <w:bottom w:val="none" w:sz="0" w:space="0" w:color="auto"/>
            <w:right w:val="none" w:sz="0" w:space="0" w:color="auto"/>
          </w:divBdr>
          <w:divsChild>
            <w:div w:id="1159885116">
              <w:marLeft w:val="0"/>
              <w:marRight w:val="0"/>
              <w:marTop w:val="0"/>
              <w:marBottom w:val="0"/>
              <w:divBdr>
                <w:top w:val="none" w:sz="0" w:space="0" w:color="auto"/>
                <w:left w:val="none" w:sz="0" w:space="0" w:color="auto"/>
                <w:bottom w:val="none" w:sz="0" w:space="0" w:color="auto"/>
                <w:right w:val="none" w:sz="0" w:space="0" w:color="auto"/>
              </w:divBdr>
            </w:div>
          </w:divsChild>
        </w:div>
        <w:div w:id="575095137">
          <w:marLeft w:val="0"/>
          <w:marRight w:val="0"/>
          <w:marTop w:val="0"/>
          <w:marBottom w:val="0"/>
          <w:divBdr>
            <w:top w:val="none" w:sz="0" w:space="0" w:color="auto"/>
            <w:left w:val="none" w:sz="0" w:space="0" w:color="auto"/>
            <w:bottom w:val="none" w:sz="0" w:space="0" w:color="auto"/>
            <w:right w:val="none" w:sz="0" w:space="0" w:color="auto"/>
          </w:divBdr>
          <w:divsChild>
            <w:div w:id="388118126">
              <w:marLeft w:val="0"/>
              <w:marRight w:val="0"/>
              <w:marTop w:val="0"/>
              <w:marBottom w:val="0"/>
              <w:divBdr>
                <w:top w:val="none" w:sz="0" w:space="0" w:color="auto"/>
                <w:left w:val="none" w:sz="0" w:space="0" w:color="auto"/>
                <w:bottom w:val="none" w:sz="0" w:space="0" w:color="auto"/>
                <w:right w:val="none" w:sz="0" w:space="0" w:color="auto"/>
              </w:divBdr>
            </w:div>
          </w:divsChild>
        </w:div>
        <w:div w:id="654994088">
          <w:marLeft w:val="0"/>
          <w:marRight w:val="0"/>
          <w:marTop w:val="0"/>
          <w:marBottom w:val="0"/>
          <w:divBdr>
            <w:top w:val="none" w:sz="0" w:space="0" w:color="auto"/>
            <w:left w:val="none" w:sz="0" w:space="0" w:color="auto"/>
            <w:bottom w:val="none" w:sz="0" w:space="0" w:color="auto"/>
            <w:right w:val="none" w:sz="0" w:space="0" w:color="auto"/>
          </w:divBdr>
          <w:divsChild>
            <w:div w:id="1577477999">
              <w:marLeft w:val="0"/>
              <w:marRight w:val="0"/>
              <w:marTop w:val="0"/>
              <w:marBottom w:val="0"/>
              <w:divBdr>
                <w:top w:val="none" w:sz="0" w:space="0" w:color="auto"/>
                <w:left w:val="none" w:sz="0" w:space="0" w:color="auto"/>
                <w:bottom w:val="none" w:sz="0" w:space="0" w:color="auto"/>
                <w:right w:val="none" w:sz="0" w:space="0" w:color="auto"/>
              </w:divBdr>
            </w:div>
          </w:divsChild>
        </w:div>
        <w:div w:id="1212958832">
          <w:marLeft w:val="0"/>
          <w:marRight w:val="0"/>
          <w:marTop w:val="0"/>
          <w:marBottom w:val="0"/>
          <w:divBdr>
            <w:top w:val="none" w:sz="0" w:space="0" w:color="auto"/>
            <w:left w:val="none" w:sz="0" w:space="0" w:color="auto"/>
            <w:bottom w:val="none" w:sz="0" w:space="0" w:color="auto"/>
            <w:right w:val="none" w:sz="0" w:space="0" w:color="auto"/>
          </w:divBdr>
          <w:divsChild>
            <w:div w:id="340084553">
              <w:marLeft w:val="0"/>
              <w:marRight w:val="0"/>
              <w:marTop w:val="0"/>
              <w:marBottom w:val="0"/>
              <w:divBdr>
                <w:top w:val="none" w:sz="0" w:space="0" w:color="auto"/>
                <w:left w:val="none" w:sz="0" w:space="0" w:color="auto"/>
                <w:bottom w:val="none" w:sz="0" w:space="0" w:color="auto"/>
                <w:right w:val="none" w:sz="0" w:space="0" w:color="auto"/>
              </w:divBdr>
            </w:div>
          </w:divsChild>
        </w:div>
        <w:div w:id="1220748225">
          <w:marLeft w:val="0"/>
          <w:marRight w:val="0"/>
          <w:marTop w:val="0"/>
          <w:marBottom w:val="0"/>
          <w:divBdr>
            <w:top w:val="none" w:sz="0" w:space="0" w:color="auto"/>
            <w:left w:val="none" w:sz="0" w:space="0" w:color="auto"/>
            <w:bottom w:val="none" w:sz="0" w:space="0" w:color="auto"/>
            <w:right w:val="none" w:sz="0" w:space="0" w:color="auto"/>
          </w:divBdr>
          <w:divsChild>
            <w:div w:id="1638491450">
              <w:marLeft w:val="0"/>
              <w:marRight w:val="0"/>
              <w:marTop w:val="0"/>
              <w:marBottom w:val="0"/>
              <w:divBdr>
                <w:top w:val="none" w:sz="0" w:space="0" w:color="auto"/>
                <w:left w:val="none" w:sz="0" w:space="0" w:color="auto"/>
                <w:bottom w:val="none" w:sz="0" w:space="0" w:color="auto"/>
                <w:right w:val="none" w:sz="0" w:space="0" w:color="auto"/>
              </w:divBdr>
            </w:div>
            <w:div w:id="2118719995">
              <w:marLeft w:val="0"/>
              <w:marRight w:val="0"/>
              <w:marTop w:val="0"/>
              <w:marBottom w:val="0"/>
              <w:divBdr>
                <w:top w:val="none" w:sz="0" w:space="0" w:color="auto"/>
                <w:left w:val="none" w:sz="0" w:space="0" w:color="auto"/>
                <w:bottom w:val="none" w:sz="0" w:space="0" w:color="auto"/>
                <w:right w:val="none" w:sz="0" w:space="0" w:color="auto"/>
              </w:divBdr>
            </w:div>
          </w:divsChild>
        </w:div>
        <w:div w:id="1285817466">
          <w:marLeft w:val="0"/>
          <w:marRight w:val="0"/>
          <w:marTop w:val="0"/>
          <w:marBottom w:val="0"/>
          <w:divBdr>
            <w:top w:val="none" w:sz="0" w:space="0" w:color="auto"/>
            <w:left w:val="none" w:sz="0" w:space="0" w:color="auto"/>
            <w:bottom w:val="none" w:sz="0" w:space="0" w:color="auto"/>
            <w:right w:val="none" w:sz="0" w:space="0" w:color="auto"/>
          </w:divBdr>
          <w:divsChild>
            <w:div w:id="900754475">
              <w:marLeft w:val="0"/>
              <w:marRight w:val="0"/>
              <w:marTop w:val="0"/>
              <w:marBottom w:val="0"/>
              <w:divBdr>
                <w:top w:val="none" w:sz="0" w:space="0" w:color="auto"/>
                <w:left w:val="none" w:sz="0" w:space="0" w:color="auto"/>
                <w:bottom w:val="none" w:sz="0" w:space="0" w:color="auto"/>
                <w:right w:val="none" w:sz="0" w:space="0" w:color="auto"/>
              </w:divBdr>
            </w:div>
            <w:div w:id="1116676213">
              <w:marLeft w:val="0"/>
              <w:marRight w:val="0"/>
              <w:marTop w:val="0"/>
              <w:marBottom w:val="0"/>
              <w:divBdr>
                <w:top w:val="none" w:sz="0" w:space="0" w:color="auto"/>
                <w:left w:val="none" w:sz="0" w:space="0" w:color="auto"/>
                <w:bottom w:val="none" w:sz="0" w:space="0" w:color="auto"/>
                <w:right w:val="none" w:sz="0" w:space="0" w:color="auto"/>
              </w:divBdr>
            </w:div>
            <w:div w:id="1452632874">
              <w:marLeft w:val="0"/>
              <w:marRight w:val="0"/>
              <w:marTop w:val="0"/>
              <w:marBottom w:val="0"/>
              <w:divBdr>
                <w:top w:val="none" w:sz="0" w:space="0" w:color="auto"/>
                <w:left w:val="none" w:sz="0" w:space="0" w:color="auto"/>
                <w:bottom w:val="none" w:sz="0" w:space="0" w:color="auto"/>
                <w:right w:val="none" w:sz="0" w:space="0" w:color="auto"/>
              </w:divBdr>
            </w:div>
          </w:divsChild>
        </w:div>
        <w:div w:id="1290553251">
          <w:marLeft w:val="0"/>
          <w:marRight w:val="0"/>
          <w:marTop w:val="0"/>
          <w:marBottom w:val="0"/>
          <w:divBdr>
            <w:top w:val="none" w:sz="0" w:space="0" w:color="auto"/>
            <w:left w:val="none" w:sz="0" w:space="0" w:color="auto"/>
            <w:bottom w:val="none" w:sz="0" w:space="0" w:color="auto"/>
            <w:right w:val="none" w:sz="0" w:space="0" w:color="auto"/>
          </w:divBdr>
          <w:divsChild>
            <w:div w:id="1734813434">
              <w:marLeft w:val="0"/>
              <w:marRight w:val="0"/>
              <w:marTop w:val="0"/>
              <w:marBottom w:val="0"/>
              <w:divBdr>
                <w:top w:val="none" w:sz="0" w:space="0" w:color="auto"/>
                <w:left w:val="none" w:sz="0" w:space="0" w:color="auto"/>
                <w:bottom w:val="none" w:sz="0" w:space="0" w:color="auto"/>
                <w:right w:val="none" w:sz="0" w:space="0" w:color="auto"/>
              </w:divBdr>
            </w:div>
          </w:divsChild>
        </w:div>
        <w:div w:id="1302072834">
          <w:marLeft w:val="0"/>
          <w:marRight w:val="0"/>
          <w:marTop w:val="0"/>
          <w:marBottom w:val="0"/>
          <w:divBdr>
            <w:top w:val="none" w:sz="0" w:space="0" w:color="auto"/>
            <w:left w:val="none" w:sz="0" w:space="0" w:color="auto"/>
            <w:bottom w:val="none" w:sz="0" w:space="0" w:color="auto"/>
            <w:right w:val="none" w:sz="0" w:space="0" w:color="auto"/>
          </w:divBdr>
          <w:divsChild>
            <w:div w:id="1594315327">
              <w:marLeft w:val="0"/>
              <w:marRight w:val="0"/>
              <w:marTop w:val="0"/>
              <w:marBottom w:val="0"/>
              <w:divBdr>
                <w:top w:val="none" w:sz="0" w:space="0" w:color="auto"/>
                <w:left w:val="none" w:sz="0" w:space="0" w:color="auto"/>
                <w:bottom w:val="none" w:sz="0" w:space="0" w:color="auto"/>
                <w:right w:val="none" w:sz="0" w:space="0" w:color="auto"/>
              </w:divBdr>
            </w:div>
          </w:divsChild>
        </w:div>
        <w:div w:id="1327787059">
          <w:marLeft w:val="0"/>
          <w:marRight w:val="0"/>
          <w:marTop w:val="0"/>
          <w:marBottom w:val="0"/>
          <w:divBdr>
            <w:top w:val="none" w:sz="0" w:space="0" w:color="auto"/>
            <w:left w:val="none" w:sz="0" w:space="0" w:color="auto"/>
            <w:bottom w:val="none" w:sz="0" w:space="0" w:color="auto"/>
            <w:right w:val="none" w:sz="0" w:space="0" w:color="auto"/>
          </w:divBdr>
          <w:divsChild>
            <w:div w:id="1503005892">
              <w:marLeft w:val="0"/>
              <w:marRight w:val="0"/>
              <w:marTop w:val="0"/>
              <w:marBottom w:val="0"/>
              <w:divBdr>
                <w:top w:val="none" w:sz="0" w:space="0" w:color="auto"/>
                <w:left w:val="none" w:sz="0" w:space="0" w:color="auto"/>
                <w:bottom w:val="none" w:sz="0" w:space="0" w:color="auto"/>
                <w:right w:val="none" w:sz="0" w:space="0" w:color="auto"/>
              </w:divBdr>
            </w:div>
          </w:divsChild>
        </w:div>
        <w:div w:id="1373455263">
          <w:marLeft w:val="0"/>
          <w:marRight w:val="0"/>
          <w:marTop w:val="0"/>
          <w:marBottom w:val="0"/>
          <w:divBdr>
            <w:top w:val="none" w:sz="0" w:space="0" w:color="auto"/>
            <w:left w:val="none" w:sz="0" w:space="0" w:color="auto"/>
            <w:bottom w:val="none" w:sz="0" w:space="0" w:color="auto"/>
            <w:right w:val="none" w:sz="0" w:space="0" w:color="auto"/>
          </w:divBdr>
          <w:divsChild>
            <w:div w:id="441532375">
              <w:marLeft w:val="0"/>
              <w:marRight w:val="0"/>
              <w:marTop w:val="0"/>
              <w:marBottom w:val="0"/>
              <w:divBdr>
                <w:top w:val="none" w:sz="0" w:space="0" w:color="auto"/>
                <w:left w:val="none" w:sz="0" w:space="0" w:color="auto"/>
                <w:bottom w:val="none" w:sz="0" w:space="0" w:color="auto"/>
                <w:right w:val="none" w:sz="0" w:space="0" w:color="auto"/>
              </w:divBdr>
            </w:div>
            <w:div w:id="752313580">
              <w:marLeft w:val="0"/>
              <w:marRight w:val="0"/>
              <w:marTop w:val="0"/>
              <w:marBottom w:val="0"/>
              <w:divBdr>
                <w:top w:val="none" w:sz="0" w:space="0" w:color="auto"/>
                <w:left w:val="none" w:sz="0" w:space="0" w:color="auto"/>
                <w:bottom w:val="none" w:sz="0" w:space="0" w:color="auto"/>
                <w:right w:val="none" w:sz="0" w:space="0" w:color="auto"/>
              </w:divBdr>
            </w:div>
          </w:divsChild>
        </w:div>
        <w:div w:id="1443652890">
          <w:marLeft w:val="0"/>
          <w:marRight w:val="0"/>
          <w:marTop w:val="0"/>
          <w:marBottom w:val="0"/>
          <w:divBdr>
            <w:top w:val="none" w:sz="0" w:space="0" w:color="auto"/>
            <w:left w:val="none" w:sz="0" w:space="0" w:color="auto"/>
            <w:bottom w:val="none" w:sz="0" w:space="0" w:color="auto"/>
            <w:right w:val="none" w:sz="0" w:space="0" w:color="auto"/>
          </w:divBdr>
          <w:divsChild>
            <w:div w:id="1047875452">
              <w:marLeft w:val="0"/>
              <w:marRight w:val="0"/>
              <w:marTop w:val="0"/>
              <w:marBottom w:val="0"/>
              <w:divBdr>
                <w:top w:val="none" w:sz="0" w:space="0" w:color="auto"/>
                <w:left w:val="none" w:sz="0" w:space="0" w:color="auto"/>
                <w:bottom w:val="none" w:sz="0" w:space="0" w:color="auto"/>
                <w:right w:val="none" w:sz="0" w:space="0" w:color="auto"/>
              </w:divBdr>
            </w:div>
          </w:divsChild>
        </w:div>
        <w:div w:id="1668092744">
          <w:marLeft w:val="0"/>
          <w:marRight w:val="0"/>
          <w:marTop w:val="0"/>
          <w:marBottom w:val="0"/>
          <w:divBdr>
            <w:top w:val="none" w:sz="0" w:space="0" w:color="auto"/>
            <w:left w:val="none" w:sz="0" w:space="0" w:color="auto"/>
            <w:bottom w:val="none" w:sz="0" w:space="0" w:color="auto"/>
            <w:right w:val="none" w:sz="0" w:space="0" w:color="auto"/>
          </w:divBdr>
          <w:divsChild>
            <w:div w:id="562446931">
              <w:marLeft w:val="0"/>
              <w:marRight w:val="0"/>
              <w:marTop w:val="0"/>
              <w:marBottom w:val="0"/>
              <w:divBdr>
                <w:top w:val="none" w:sz="0" w:space="0" w:color="auto"/>
                <w:left w:val="none" w:sz="0" w:space="0" w:color="auto"/>
                <w:bottom w:val="none" w:sz="0" w:space="0" w:color="auto"/>
                <w:right w:val="none" w:sz="0" w:space="0" w:color="auto"/>
              </w:divBdr>
            </w:div>
            <w:div w:id="1963802664">
              <w:marLeft w:val="0"/>
              <w:marRight w:val="0"/>
              <w:marTop w:val="0"/>
              <w:marBottom w:val="0"/>
              <w:divBdr>
                <w:top w:val="none" w:sz="0" w:space="0" w:color="auto"/>
                <w:left w:val="none" w:sz="0" w:space="0" w:color="auto"/>
                <w:bottom w:val="none" w:sz="0" w:space="0" w:color="auto"/>
                <w:right w:val="none" w:sz="0" w:space="0" w:color="auto"/>
              </w:divBdr>
            </w:div>
          </w:divsChild>
        </w:div>
        <w:div w:id="1762482794">
          <w:marLeft w:val="0"/>
          <w:marRight w:val="0"/>
          <w:marTop w:val="0"/>
          <w:marBottom w:val="0"/>
          <w:divBdr>
            <w:top w:val="none" w:sz="0" w:space="0" w:color="auto"/>
            <w:left w:val="none" w:sz="0" w:space="0" w:color="auto"/>
            <w:bottom w:val="none" w:sz="0" w:space="0" w:color="auto"/>
            <w:right w:val="none" w:sz="0" w:space="0" w:color="auto"/>
          </w:divBdr>
          <w:divsChild>
            <w:div w:id="1333022111">
              <w:marLeft w:val="0"/>
              <w:marRight w:val="0"/>
              <w:marTop w:val="0"/>
              <w:marBottom w:val="0"/>
              <w:divBdr>
                <w:top w:val="none" w:sz="0" w:space="0" w:color="auto"/>
                <w:left w:val="none" w:sz="0" w:space="0" w:color="auto"/>
                <w:bottom w:val="none" w:sz="0" w:space="0" w:color="auto"/>
                <w:right w:val="none" w:sz="0" w:space="0" w:color="auto"/>
              </w:divBdr>
            </w:div>
          </w:divsChild>
        </w:div>
        <w:div w:id="1784882691">
          <w:marLeft w:val="0"/>
          <w:marRight w:val="0"/>
          <w:marTop w:val="0"/>
          <w:marBottom w:val="0"/>
          <w:divBdr>
            <w:top w:val="none" w:sz="0" w:space="0" w:color="auto"/>
            <w:left w:val="none" w:sz="0" w:space="0" w:color="auto"/>
            <w:bottom w:val="none" w:sz="0" w:space="0" w:color="auto"/>
            <w:right w:val="none" w:sz="0" w:space="0" w:color="auto"/>
          </w:divBdr>
          <w:divsChild>
            <w:div w:id="628361811">
              <w:marLeft w:val="0"/>
              <w:marRight w:val="0"/>
              <w:marTop w:val="0"/>
              <w:marBottom w:val="0"/>
              <w:divBdr>
                <w:top w:val="none" w:sz="0" w:space="0" w:color="auto"/>
                <w:left w:val="none" w:sz="0" w:space="0" w:color="auto"/>
                <w:bottom w:val="none" w:sz="0" w:space="0" w:color="auto"/>
                <w:right w:val="none" w:sz="0" w:space="0" w:color="auto"/>
              </w:divBdr>
            </w:div>
            <w:div w:id="678115525">
              <w:marLeft w:val="0"/>
              <w:marRight w:val="0"/>
              <w:marTop w:val="0"/>
              <w:marBottom w:val="0"/>
              <w:divBdr>
                <w:top w:val="none" w:sz="0" w:space="0" w:color="auto"/>
                <w:left w:val="none" w:sz="0" w:space="0" w:color="auto"/>
                <w:bottom w:val="none" w:sz="0" w:space="0" w:color="auto"/>
                <w:right w:val="none" w:sz="0" w:space="0" w:color="auto"/>
              </w:divBdr>
            </w:div>
          </w:divsChild>
        </w:div>
        <w:div w:id="1827626722">
          <w:marLeft w:val="0"/>
          <w:marRight w:val="0"/>
          <w:marTop w:val="0"/>
          <w:marBottom w:val="0"/>
          <w:divBdr>
            <w:top w:val="none" w:sz="0" w:space="0" w:color="auto"/>
            <w:left w:val="none" w:sz="0" w:space="0" w:color="auto"/>
            <w:bottom w:val="none" w:sz="0" w:space="0" w:color="auto"/>
            <w:right w:val="none" w:sz="0" w:space="0" w:color="auto"/>
          </w:divBdr>
          <w:divsChild>
            <w:div w:id="356738418">
              <w:marLeft w:val="0"/>
              <w:marRight w:val="0"/>
              <w:marTop w:val="0"/>
              <w:marBottom w:val="0"/>
              <w:divBdr>
                <w:top w:val="none" w:sz="0" w:space="0" w:color="auto"/>
                <w:left w:val="none" w:sz="0" w:space="0" w:color="auto"/>
                <w:bottom w:val="none" w:sz="0" w:space="0" w:color="auto"/>
                <w:right w:val="none" w:sz="0" w:space="0" w:color="auto"/>
              </w:divBdr>
            </w:div>
            <w:div w:id="381247407">
              <w:marLeft w:val="0"/>
              <w:marRight w:val="0"/>
              <w:marTop w:val="0"/>
              <w:marBottom w:val="0"/>
              <w:divBdr>
                <w:top w:val="none" w:sz="0" w:space="0" w:color="auto"/>
                <w:left w:val="none" w:sz="0" w:space="0" w:color="auto"/>
                <w:bottom w:val="none" w:sz="0" w:space="0" w:color="auto"/>
                <w:right w:val="none" w:sz="0" w:space="0" w:color="auto"/>
              </w:divBdr>
            </w:div>
            <w:div w:id="1754738238">
              <w:marLeft w:val="0"/>
              <w:marRight w:val="0"/>
              <w:marTop w:val="0"/>
              <w:marBottom w:val="0"/>
              <w:divBdr>
                <w:top w:val="none" w:sz="0" w:space="0" w:color="auto"/>
                <w:left w:val="none" w:sz="0" w:space="0" w:color="auto"/>
                <w:bottom w:val="none" w:sz="0" w:space="0" w:color="auto"/>
                <w:right w:val="none" w:sz="0" w:space="0" w:color="auto"/>
              </w:divBdr>
            </w:div>
          </w:divsChild>
        </w:div>
        <w:div w:id="1847984132">
          <w:marLeft w:val="0"/>
          <w:marRight w:val="0"/>
          <w:marTop w:val="0"/>
          <w:marBottom w:val="0"/>
          <w:divBdr>
            <w:top w:val="none" w:sz="0" w:space="0" w:color="auto"/>
            <w:left w:val="none" w:sz="0" w:space="0" w:color="auto"/>
            <w:bottom w:val="none" w:sz="0" w:space="0" w:color="auto"/>
            <w:right w:val="none" w:sz="0" w:space="0" w:color="auto"/>
          </w:divBdr>
          <w:divsChild>
            <w:div w:id="1959871505">
              <w:marLeft w:val="0"/>
              <w:marRight w:val="0"/>
              <w:marTop w:val="0"/>
              <w:marBottom w:val="0"/>
              <w:divBdr>
                <w:top w:val="none" w:sz="0" w:space="0" w:color="auto"/>
                <w:left w:val="none" w:sz="0" w:space="0" w:color="auto"/>
                <w:bottom w:val="none" w:sz="0" w:space="0" w:color="auto"/>
                <w:right w:val="none" w:sz="0" w:space="0" w:color="auto"/>
              </w:divBdr>
            </w:div>
          </w:divsChild>
        </w:div>
        <w:div w:id="1880509573">
          <w:marLeft w:val="0"/>
          <w:marRight w:val="0"/>
          <w:marTop w:val="0"/>
          <w:marBottom w:val="0"/>
          <w:divBdr>
            <w:top w:val="none" w:sz="0" w:space="0" w:color="auto"/>
            <w:left w:val="none" w:sz="0" w:space="0" w:color="auto"/>
            <w:bottom w:val="none" w:sz="0" w:space="0" w:color="auto"/>
            <w:right w:val="none" w:sz="0" w:space="0" w:color="auto"/>
          </w:divBdr>
          <w:divsChild>
            <w:div w:id="758528366">
              <w:marLeft w:val="0"/>
              <w:marRight w:val="0"/>
              <w:marTop w:val="0"/>
              <w:marBottom w:val="0"/>
              <w:divBdr>
                <w:top w:val="none" w:sz="0" w:space="0" w:color="auto"/>
                <w:left w:val="none" w:sz="0" w:space="0" w:color="auto"/>
                <w:bottom w:val="none" w:sz="0" w:space="0" w:color="auto"/>
                <w:right w:val="none" w:sz="0" w:space="0" w:color="auto"/>
              </w:divBdr>
            </w:div>
            <w:div w:id="1196195822">
              <w:marLeft w:val="0"/>
              <w:marRight w:val="0"/>
              <w:marTop w:val="0"/>
              <w:marBottom w:val="0"/>
              <w:divBdr>
                <w:top w:val="none" w:sz="0" w:space="0" w:color="auto"/>
                <w:left w:val="none" w:sz="0" w:space="0" w:color="auto"/>
                <w:bottom w:val="none" w:sz="0" w:space="0" w:color="auto"/>
                <w:right w:val="none" w:sz="0" w:space="0" w:color="auto"/>
              </w:divBdr>
            </w:div>
          </w:divsChild>
        </w:div>
        <w:div w:id="1904636945">
          <w:marLeft w:val="0"/>
          <w:marRight w:val="0"/>
          <w:marTop w:val="0"/>
          <w:marBottom w:val="0"/>
          <w:divBdr>
            <w:top w:val="none" w:sz="0" w:space="0" w:color="auto"/>
            <w:left w:val="none" w:sz="0" w:space="0" w:color="auto"/>
            <w:bottom w:val="none" w:sz="0" w:space="0" w:color="auto"/>
            <w:right w:val="none" w:sz="0" w:space="0" w:color="auto"/>
          </w:divBdr>
          <w:divsChild>
            <w:div w:id="600574926">
              <w:marLeft w:val="0"/>
              <w:marRight w:val="0"/>
              <w:marTop w:val="0"/>
              <w:marBottom w:val="0"/>
              <w:divBdr>
                <w:top w:val="none" w:sz="0" w:space="0" w:color="auto"/>
                <w:left w:val="none" w:sz="0" w:space="0" w:color="auto"/>
                <w:bottom w:val="none" w:sz="0" w:space="0" w:color="auto"/>
                <w:right w:val="none" w:sz="0" w:space="0" w:color="auto"/>
              </w:divBdr>
            </w:div>
          </w:divsChild>
        </w:div>
        <w:div w:id="1934967274">
          <w:marLeft w:val="0"/>
          <w:marRight w:val="0"/>
          <w:marTop w:val="0"/>
          <w:marBottom w:val="0"/>
          <w:divBdr>
            <w:top w:val="none" w:sz="0" w:space="0" w:color="auto"/>
            <w:left w:val="none" w:sz="0" w:space="0" w:color="auto"/>
            <w:bottom w:val="none" w:sz="0" w:space="0" w:color="auto"/>
            <w:right w:val="none" w:sz="0" w:space="0" w:color="auto"/>
          </w:divBdr>
          <w:divsChild>
            <w:div w:id="677579646">
              <w:marLeft w:val="0"/>
              <w:marRight w:val="0"/>
              <w:marTop w:val="0"/>
              <w:marBottom w:val="0"/>
              <w:divBdr>
                <w:top w:val="none" w:sz="0" w:space="0" w:color="auto"/>
                <w:left w:val="none" w:sz="0" w:space="0" w:color="auto"/>
                <w:bottom w:val="none" w:sz="0" w:space="0" w:color="auto"/>
                <w:right w:val="none" w:sz="0" w:space="0" w:color="auto"/>
              </w:divBdr>
            </w:div>
          </w:divsChild>
        </w:div>
        <w:div w:id="1996375391">
          <w:marLeft w:val="0"/>
          <w:marRight w:val="0"/>
          <w:marTop w:val="0"/>
          <w:marBottom w:val="0"/>
          <w:divBdr>
            <w:top w:val="none" w:sz="0" w:space="0" w:color="auto"/>
            <w:left w:val="none" w:sz="0" w:space="0" w:color="auto"/>
            <w:bottom w:val="none" w:sz="0" w:space="0" w:color="auto"/>
            <w:right w:val="none" w:sz="0" w:space="0" w:color="auto"/>
          </w:divBdr>
          <w:divsChild>
            <w:div w:id="327369438">
              <w:marLeft w:val="0"/>
              <w:marRight w:val="0"/>
              <w:marTop w:val="0"/>
              <w:marBottom w:val="0"/>
              <w:divBdr>
                <w:top w:val="none" w:sz="0" w:space="0" w:color="auto"/>
                <w:left w:val="none" w:sz="0" w:space="0" w:color="auto"/>
                <w:bottom w:val="none" w:sz="0" w:space="0" w:color="auto"/>
                <w:right w:val="none" w:sz="0" w:space="0" w:color="auto"/>
              </w:divBdr>
            </w:div>
            <w:div w:id="1803692638">
              <w:marLeft w:val="0"/>
              <w:marRight w:val="0"/>
              <w:marTop w:val="0"/>
              <w:marBottom w:val="0"/>
              <w:divBdr>
                <w:top w:val="none" w:sz="0" w:space="0" w:color="auto"/>
                <w:left w:val="none" w:sz="0" w:space="0" w:color="auto"/>
                <w:bottom w:val="none" w:sz="0" w:space="0" w:color="auto"/>
                <w:right w:val="none" w:sz="0" w:space="0" w:color="auto"/>
              </w:divBdr>
            </w:div>
          </w:divsChild>
        </w:div>
        <w:div w:id="2065904174">
          <w:marLeft w:val="0"/>
          <w:marRight w:val="0"/>
          <w:marTop w:val="0"/>
          <w:marBottom w:val="0"/>
          <w:divBdr>
            <w:top w:val="none" w:sz="0" w:space="0" w:color="auto"/>
            <w:left w:val="none" w:sz="0" w:space="0" w:color="auto"/>
            <w:bottom w:val="none" w:sz="0" w:space="0" w:color="auto"/>
            <w:right w:val="none" w:sz="0" w:space="0" w:color="auto"/>
          </w:divBdr>
          <w:divsChild>
            <w:div w:id="775248932">
              <w:marLeft w:val="0"/>
              <w:marRight w:val="0"/>
              <w:marTop w:val="0"/>
              <w:marBottom w:val="0"/>
              <w:divBdr>
                <w:top w:val="none" w:sz="0" w:space="0" w:color="auto"/>
                <w:left w:val="none" w:sz="0" w:space="0" w:color="auto"/>
                <w:bottom w:val="none" w:sz="0" w:space="0" w:color="auto"/>
                <w:right w:val="none" w:sz="0" w:space="0" w:color="auto"/>
              </w:divBdr>
            </w:div>
          </w:divsChild>
        </w:div>
        <w:div w:id="2109503747">
          <w:marLeft w:val="0"/>
          <w:marRight w:val="0"/>
          <w:marTop w:val="0"/>
          <w:marBottom w:val="0"/>
          <w:divBdr>
            <w:top w:val="none" w:sz="0" w:space="0" w:color="auto"/>
            <w:left w:val="none" w:sz="0" w:space="0" w:color="auto"/>
            <w:bottom w:val="none" w:sz="0" w:space="0" w:color="auto"/>
            <w:right w:val="none" w:sz="0" w:space="0" w:color="auto"/>
          </w:divBdr>
          <w:divsChild>
            <w:div w:id="1269391813">
              <w:marLeft w:val="0"/>
              <w:marRight w:val="0"/>
              <w:marTop w:val="0"/>
              <w:marBottom w:val="0"/>
              <w:divBdr>
                <w:top w:val="none" w:sz="0" w:space="0" w:color="auto"/>
                <w:left w:val="none" w:sz="0" w:space="0" w:color="auto"/>
                <w:bottom w:val="none" w:sz="0" w:space="0" w:color="auto"/>
                <w:right w:val="none" w:sz="0" w:space="0" w:color="auto"/>
              </w:divBdr>
            </w:div>
            <w:div w:id="180303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5869">
      <w:bodyDiv w:val="1"/>
      <w:marLeft w:val="0"/>
      <w:marRight w:val="0"/>
      <w:marTop w:val="0"/>
      <w:marBottom w:val="0"/>
      <w:divBdr>
        <w:top w:val="none" w:sz="0" w:space="0" w:color="auto"/>
        <w:left w:val="none" w:sz="0" w:space="0" w:color="auto"/>
        <w:bottom w:val="none" w:sz="0" w:space="0" w:color="auto"/>
        <w:right w:val="none" w:sz="0" w:space="0" w:color="auto"/>
      </w:divBdr>
      <w:divsChild>
        <w:div w:id="404763621">
          <w:marLeft w:val="0"/>
          <w:marRight w:val="0"/>
          <w:marTop w:val="0"/>
          <w:marBottom w:val="0"/>
          <w:divBdr>
            <w:top w:val="none" w:sz="0" w:space="0" w:color="auto"/>
            <w:left w:val="none" w:sz="0" w:space="0" w:color="auto"/>
            <w:bottom w:val="none" w:sz="0" w:space="0" w:color="auto"/>
            <w:right w:val="none" w:sz="0" w:space="0" w:color="auto"/>
          </w:divBdr>
        </w:div>
        <w:div w:id="1827087252">
          <w:marLeft w:val="0"/>
          <w:marRight w:val="0"/>
          <w:marTop w:val="0"/>
          <w:marBottom w:val="0"/>
          <w:divBdr>
            <w:top w:val="none" w:sz="0" w:space="0" w:color="auto"/>
            <w:left w:val="none" w:sz="0" w:space="0" w:color="auto"/>
            <w:bottom w:val="none" w:sz="0" w:space="0" w:color="auto"/>
            <w:right w:val="none" w:sz="0" w:space="0" w:color="auto"/>
          </w:divBdr>
        </w:div>
        <w:div w:id="1872759385">
          <w:marLeft w:val="0"/>
          <w:marRight w:val="0"/>
          <w:marTop w:val="0"/>
          <w:marBottom w:val="0"/>
          <w:divBdr>
            <w:top w:val="none" w:sz="0" w:space="0" w:color="auto"/>
            <w:left w:val="none" w:sz="0" w:space="0" w:color="auto"/>
            <w:bottom w:val="none" w:sz="0" w:space="0" w:color="auto"/>
            <w:right w:val="none" w:sz="0" w:space="0" w:color="auto"/>
          </w:divBdr>
        </w:div>
        <w:div w:id="2038890648">
          <w:marLeft w:val="0"/>
          <w:marRight w:val="0"/>
          <w:marTop w:val="0"/>
          <w:marBottom w:val="0"/>
          <w:divBdr>
            <w:top w:val="none" w:sz="0" w:space="0" w:color="auto"/>
            <w:left w:val="none" w:sz="0" w:space="0" w:color="auto"/>
            <w:bottom w:val="none" w:sz="0" w:space="0" w:color="auto"/>
            <w:right w:val="none" w:sz="0" w:space="0" w:color="auto"/>
          </w:divBdr>
        </w:div>
        <w:div w:id="2091729457">
          <w:marLeft w:val="0"/>
          <w:marRight w:val="0"/>
          <w:marTop w:val="0"/>
          <w:marBottom w:val="0"/>
          <w:divBdr>
            <w:top w:val="none" w:sz="0" w:space="0" w:color="auto"/>
            <w:left w:val="none" w:sz="0" w:space="0" w:color="auto"/>
            <w:bottom w:val="none" w:sz="0" w:space="0" w:color="auto"/>
            <w:right w:val="none" w:sz="0" w:space="0" w:color="auto"/>
          </w:divBdr>
        </w:div>
      </w:divsChild>
    </w:div>
    <w:div w:id="1286812411">
      <w:bodyDiv w:val="1"/>
      <w:marLeft w:val="0"/>
      <w:marRight w:val="0"/>
      <w:marTop w:val="0"/>
      <w:marBottom w:val="0"/>
      <w:divBdr>
        <w:top w:val="none" w:sz="0" w:space="0" w:color="auto"/>
        <w:left w:val="none" w:sz="0" w:space="0" w:color="auto"/>
        <w:bottom w:val="none" w:sz="0" w:space="0" w:color="auto"/>
        <w:right w:val="none" w:sz="0" w:space="0" w:color="auto"/>
      </w:divBdr>
      <w:divsChild>
        <w:div w:id="287669226">
          <w:marLeft w:val="0"/>
          <w:marRight w:val="0"/>
          <w:marTop w:val="0"/>
          <w:marBottom w:val="0"/>
          <w:divBdr>
            <w:top w:val="none" w:sz="0" w:space="0" w:color="auto"/>
            <w:left w:val="none" w:sz="0" w:space="0" w:color="auto"/>
            <w:bottom w:val="none" w:sz="0" w:space="0" w:color="auto"/>
            <w:right w:val="none" w:sz="0" w:space="0" w:color="auto"/>
          </w:divBdr>
          <w:divsChild>
            <w:div w:id="1441141346">
              <w:marLeft w:val="0"/>
              <w:marRight w:val="0"/>
              <w:marTop w:val="0"/>
              <w:marBottom w:val="0"/>
              <w:divBdr>
                <w:top w:val="none" w:sz="0" w:space="0" w:color="auto"/>
                <w:left w:val="none" w:sz="0" w:space="0" w:color="auto"/>
                <w:bottom w:val="none" w:sz="0" w:space="0" w:color="auto"/>
                <w:right w:val="none" w:sz="0" w:space="0" w:color="auto"/>
              </w:divBdr>
            </w:div>
            <w:div w:id="1697392790">
              <w:marLeft w:val="0"/>
              <w:marRight w:val="0"/>
              <w:marTop w:val="0"/>
              <w:marBottom w:val="0"/>
              <w:divBdr>
                <w:top w:val="none" w:sz="0" w:space="0" w:color="auto"/>
                <w:left w:val="none" w:sz="0" w:space="0" w:color="auto"/>
                <w:bottom w:val="none" w:sz="0" w:space="0" w:color="auto"/>
                <w:right w:val="none" w:sz="0" w:space="0" w:color="auto"/>
              </w:divBdr>
            </w:div>
          </w:divsChild>
        </w:div>
        <w:div w:id="727873560">
          <w:marLeft w:val="0"/>
          <w:marRight w:val="0"/>
          <w:marTop w:val="0"/>
          <w:marBottom w:val="0"/>
          <w:divBdr>
            <w:top w:val="none" w:sz="0" w:space="0" w:color="auto"/>
            <w:left w:val="none" w:sz="0" w:space="0" w:color="auto"/>
            <w:bottom w:val="none" w:sz="0" w:space="0" w:color="auto"/>
            <w:right w:val="none" w:sz="0" w:space="0" w:color="auto"/>
          </w:divBdr>
          <w:divsChild>
            <w:div w:id="898978254">
              <w:marLeft w:val="0"/>
              <w:marRight w:val="0"/>
              <w:marTop w:val="0"/>
              <w:marBottom w:val="0"/>
              <w:divBdr>
                <w:top w:val="none" w:sz="0" w:space="0" w:color="auto"/>
                <w:left w:val="none" w:sz="0" w:space="0" w:color="auto"/>
                <w:bottom w:val="none" w:sz="0" w:space="0" w:color="auto"/>
                <w:right w:val="none" w:sz="0" w:space="0" w:color="auto"/>
              </w:divBdr>
            </w:div>
            <w:div w:id="1219047629">
              <w:marLeft w:val="0"/>
              <w:marRight w:val="0"/>
              <w:marTop w:val="0"/>
              <w:marBottom w:val="0"/>
              <w:divBdr>
                <w:top w:val="none" w:sz="0" w:space="0" w:color="auto"/>
                <w:left w:val="none" w:sz="0" w:space="0" w:color="auto"/>
                <w:bottom w:val="none" w:sz="0" w:space="0" w:color="auto"/>
                <w:right w:val="none" w:sz="0" w:space="0" w:color="auto"/>
              </w:divBdr>
            </w:div>
            <w:div w:id="1340541564">
              <w:marLeft w:val="0"/>
              <w:marRight w:val="0"/>
              <w:marTop w:val="0"/>
              <w:marBottom w:val="0"/>
              <w:divBdr>
                <w:top w:val="none" w:sz="0" w:space="0" w:color="auto"/>
                <w:left w:val="none" w:sz="0" w:space="0" w:color="auto"/>
                <w:bottom w:val="none" w:sz="0" w:space="0" w:color="auto"/>
                <w:right w:val="none" w:sz="0" w:space="0" w:color="auto"/>
              </w:divBdr>
            </w:div>
            <w:div w:id="1503618076">
              <w:marLeft w:val="0"/>
              <w:marRight w:val="0"/>
              <w:marTop w:val="0"/>
              <w:marBottom w:val="0"/>
              <w:divBdr>
                <w:top w:val="none" w:sz="0" w:space="0" w:color="auto"/>
                <w:left w:val="none" w:sz="0" w:space="0" w:color="auto"/>
                <w:bottom w:val="none" w:sz="0" w:space="0" w:color="auto"/>
                <w:right w:val="none" w:sz="0" w:space="0" w:color="auto"/>
              </w:divBdr>
            </w:div>
          </w:divsChild>
        </w:div>
        <w:div w:id="1809856394">
          <w:marLeft w:val="0"/>
          <w:marRight w:val="0"/>
          <w:marTop w:val="0"/>
          <w:marBottom w:val="0"/>
          <w:divBdr>
            <w:top w:val="none" w:sz="0" w:space="0" w:color="auto"/>
            <w:left w:val="none" w:sz="0" w:space="0" w:color="auto"/>
            <w:bottom w:val="none" w:sz="0" w:space="0" w:color="auto"/>
            <w:right w:val="none" w:sz="0" w:space="0" w:color="auto"/>
          </w:divBdr>
          <w:divsChild>
            <w:div w:id="56629011">
              <w:marLeft w:val="0"/>
              <w:marRight w:val="0"/>
              <w:marTop w:val="0"/>
              <w:marBottom w:val="0"/>
              <w:divBdr>
                <w:top w:val="none" w:sz="0" w:space="0" w:color="auto"/>
                <w:left w:val="none" w:sz="0" w:space="0" w:color="auto"/>
                <w:bottom w:val="none" w:sz="0" w:space="0" w:color="auto"/>
                <w:right w:val="none" w:sz="0" w:space="0" w:color="auto"/>
              </w:divBdr>
            </w:div>
            <w:div w:id="414787900">
              <w:marLeft w:val="0"/>
              <w:marRight w:val="0"/>
              <w:marTop w:val="0"/>
              <w:marBottom w:val="0"/>
              <w:divBdr>
                <w:top w:val="none" w:sz="0" w:space="0" w:color="auto"/>
                <w:left w:val="none" w:sz="0" w:space="0" w:color="auto"/>
                <w:bottom w:val="none" w:sz="0" w:space="0" w:color="auto"/>
                <w:right w:val="none" w:sz="0" w:space="0" w:color="auto"/>
              </w:divBdr>
            </w:div>
            <w:div w:id="991759393">
              <w:marLeft w:val="0"/>
              <w:marRight w:val="0"/>
              <w:marTop w:val="0"/>
              <w:marBottom w:val="0"/>
              <w:divBdr>
                <w:top w:val="none" w:sz="0" w:space="0" w:color="auto"/>
                <w:left w:val="none" w:sz="0" w:space="0" w:color="auto"/>
                <w:bottom w:val="none" w:sz="0" w:space="0" w:color="auto"/>
                <w:right w:val="none" w:sz="0" w:space="0" w:color="auto"/>
              </w:divBdr>
            </w:div>
            <w:div w:id="1152527952">
              <w:marLeft w:val="0"/>
              <w:marRight w:val="0"/>
              <w:marTop w:val="0"/>
              <w:marBottom w:val="0"/>
              <w:divBdr>
                <w:top w:val="none" w:sz="0" w:space="0" w:color="auto"/>
                <w:left w:val="none" w:sz="0" w:space="0" w:color="auto"/>
                <w:bottom w:val="none" w:sz="0" w:space="0" w:color="auto"/>
                <w:right w:val="none" w:sz="0" w:space="0" w:color="auto"/>
              </w:divBdr>
            </w:div>
            <w:div w:id="1507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7764">
      <w:bodyDiv w:val="1"/>
      <w:marLeft w:val="0"/>
      <w:marRight w:val="0"/>
      <w:marTop w:val="0"/>
      <w:marBottom w:val="0"/>
      <w:divBdr>
        <w:top w:val="none" w:sz="0" w:space="0" w:color="auto"/>
        <w:left w:val="none" w:sz="0" w:space="0" w:color="auto"/>
        <w:bottom w:val="none" w:sz="0" w:space="0" w:color="auto"/>
        <w:right w:val="none" w:sz="0" w:space="0" w:color="auto"/>
      </w:divBdr>
      <w:divsChild>
        <w:div w:id="42027477">
          <w:marLeft w:val="0"/>
          <w:marRight w:val="0"/>
          <w:marTop w:val="0"/>
          <w:marBottom w:val="0"/>
          <w:divBdr>
            <w:top w:val="none" w:sz="0" w:space="0" w:color="auto"/>
            <w:left w:val="none" w:sz="0" w:space="0" w:color="auto"/>
            <w:bottom w:val="none" w:sz="0" w:space="0" w:color="auto"/>
            <w:right w:val="none" w:sz="0" w:space="0" w:color="auto"/>
          </w:divBdr>
        </w:div>
        <w:div w:id="54401940">
          <w:marLeft w:val="0"/>
          <w:marRight w:val="0"/>
          <w:marTop w:val="0"/>
          <w:marBottom w:val="0"/>
          <w:divBdr>
            <w:top w:val="none" w:sz="0" w:space="0" w:color="auto"/>
            <w:left w:val="none" w:sz="0" w:space="0" w:color="auto"/>
            <w:bottom w:val="none" w:sz="0" w:space="0" w:color="auto"/>
            <w:right w:val="none" w:sz="0" w:space="0" w:color="auto"/>
          </w:divBdr>
        </w:div>
        <w:div w:id="88702960">
          <w:marLeft w:val="0"/>
          <w:marRight w:val="0"/>
          <w:marTop w:val="0"/>
          <w:marBottom w:val="0"/>
          <w:divBdr>
            <w:top w:val="none" w:sz="0" w:space="0" w:color="auto"/>
            <w:left w:val="none" w:sz="0" w:space="0" w:color="auto"/>
            <w:bottom w:val="none" w:sz="0" w:space="0" w:color="auto"/>
            <w:right w:val="none" w:sz="0" w:space="0" w:color="auto"/>
          </w:divBdr>
        </w:div>
        <w:div w:id="114953255">
          <w:marLeft w:val="0"/>
          <w:marRight w:val="0"/>
          <w:marTop w:val="0"/>
          <w:marBottom w:val="0"/>
          <w:divBdr>
            <w:top w:val="none" w:sz="0" w:space="0" w:color="auto"/>
            <w:left w:val="none" w:sz="0" w:space="0" w:color="auto"/>
            <w:bottom w:val="none" w:sz="0" w:space="0" w:color="auto"/>
            <w:right w:val="none" w:sz="0" w:space="0" w:color="auto"/>
          </w:divBdr>
        </w:div>
        <w:div w:id="137889096">
          <w:marLeft w:val="0"/>
          <w:marRight w:val="0"/>
          <w:marTop w:val="0"/>
          <w:marBottom w:val="0"/>
          <w:divBdr>
            <w:top w:val="none" w:sz="0" w:space="0" w:color="auto"/>
            <w:left w:val="none" w:sz="0" w:space="0" w:color="auto"/>
            <w:bottom w:val="none" w:sz="0" w:space="0" w:color="auto"/>
            <w:right w:val="none" w:sz="0" w:space="0" w:color="auto"/>
          </w:divBdr>
        </w:div>
        <w:div w:id="226650134">
          <w:marLeft w:val="0"/>
          <w:marRight w:val="0"/>
          <w:marTop w:val="0"/>
          <w:marBottom w:val="0"/>
          <w:divBdr>
            <w:top w:val="none" w:sz="0" w:space="0" w:color="auto"/>
            <w:left w:val="none" w:sz="0" w:space="0" w:color="auto"/>
            <w:bottom w:val="none" w:sz="0" w:space="0" w:color="auto"/>
            <w:right w:val="none" w:sz="0" w:space="0" w:color="auto"/>
          </w:divBdr>
        </w:div>
        <w:div w:id="249043554">
          <w:marLeft w:val="0"/>
          <w:marRight w:val="0"/>
          <w:marTop w:val="0"/>
          <w:marBottom w:val="0"/>
          <w:divBdr>
            <w:top w:val="none" w:sz="0" w:space="0" w:color="auto"/>
            <w:left w:val="none" w:sz="0" w:space="0" w:color="auto"/>
            <w:bottom w:val="none" w:sz="0" w:space="0" w:color="auto"/>
            <w:right w:val="none" w:sz="0" w:space="0" w:color="auto"/>
          </w:divBdr>
        </w:div>
        <w:div w:id="255945043">
          <w:marLeft w:val="0"/>
          <w:marRight w:val="0"/>
          <w:marTop w:val="0"/>
          <w:marBottom w:val="0"/>
          <w:divBdr>
            <w:top w:val="none" w:sz="0" w:space="0" w:color="auto"/>
            <w:left w:val="none" w:sz="0" w:space="0" w:color="auto"/>
            <w:bottom w:val="none" w:sz="0" w:space="0" w:color="auto"/>
            <w:right w:val="none" w:sz="0" w:space="0" w:color="auto"/>
          </w:divBdr>
        </w:div>
        <w:div w:id="340205549">
          <w:marLeft w:val="0"/>
          <w:marRight w:val="0"/>
          <w:marTop w:val="0"/>
          <w:marBottom w:val="0"/>
          <w:divBdr>
            <w:top w:val="none" w:sz="0" w:space="0" w:color="auto"/>
            <w:left w:val="none" w:sz="0" w:space="0" w:color="auto"/>
            <w:bottom w:val="none" w:sz="0" w:space="0" w:color="auto"/>
            <w:right w:val="none" w:sz="0" w:space="0" w:color="auto"/>
          </w:divBdr>
        </w:div>
        <w:div w:id="342124912">
          <w:marLeft w:val="0"/>
          <w:marRight w:val="0"/>
          <w:marTop w:val="0"/>
          <w:marBottom w:val="0"/>
          <w:divBdr>
            <w:top w:val="none" w:sz="0" w:space="0" w:color="auto"/>
            <w:left w:val="none" w:sz="0" w:space="0" w:color="auto"/>
            <w:bottom w:val="none" w:sz="0" w:space="0" w:color="auto"/>
            <w:right w:val="none" w:sz="0" w:space="0" w:color="auto"/>
          </w:divBdr>
        </w:div>
        <w:div w:id="365328867">
          <w:marLeft w:val="0"/>
          <w:marRight w:val="0"/>
          <w:marTop w:val="0"/>
          <w:marBottom w:val="0"/>
          <w:divBdr>
            <w:top w:val="none" w:sz="0" w:space="0" w:color="auto"/>
            <w:left w:val="none" w:sz="0" w:space="0" w:color="auto"/>
            <w:bottom w:val="none" w:sz="0" w:space="0" w:color="auto"/>
            <w:right w:val="none" w:sz="0" w:space="0" w:color="auto"/>
          </w:divBdr>
        </w:div>
        <w:div w:id="368189835">
          <w:marLeft w:val="0"/>
          <w:marRight w:val="0"/>
          <w:marTop w:val="0"/>
          <w:marBottom w:val="0"/>
          <w:divBdr>
            <w:top w:val="none" w:sz="0" w:space="0" w:color="auto"/>
            <w:left w:val="none" w:sz="0" w:space="0" w:color="auto"/>
            <w:bottom w:val="none" w:sz="0" w:space="0" w:color="auto"/>
            <w:right w:val="none" w:sz="0" w:space="0" w:color="auto"/>
          </w:divBdr>
        </w:div>
        <w:div w:id="452556928">
          <w:marLeft w:val="0"/>
          <w:marRight w:val="0"/>
          <w:marTop w:val="0"/>
          <w:marBottom w:val="0"/>
          <w:divBdr>
            <w:top w:val="none" w:sz="0" w:space="0" w:color="auto"/>
            <w:left w:val="none" w:sz="0" w:space="0" w:color="auto"/>
            <w:bottom w:val="none" w:sz="0" w:space="0" w:color="auto"/>
            <w:right w:val="none" w:sz="0" w:space="0" w:color="auto"/>
          </w:divBdr>
        </w:div>
        <w:div w:id="459107963">
          <w:marLeft w:val="0"/>
          <w:marRight w:val="0"/>
          <w:marTop w:val="0"/>
          <w:marBottom w:val="0"/>
          <w:divBdr>
            <w:top w:val="none" w:sz="0" w:space="0" w:color="auto"/>
            <w:left w:val="none" w:sz="0" w:space="0" w:color="auto"/>
            <w:bottom w:val="none" w:sz="0" w:space="0" w:color="auto"/>
            <w:right w:val="none" w:sz="0" w:space="0" w:color="auto"/>
          </w:divBdr>
        </w:div>
        <w:div w:id="519391548">
          <w:marLeft w:val="0"/>
          <w:marRight w:val="0"/>
          <w:marTop w:val="0"/>
          <w:marBottom w:val="0"/>
          <w:divBdr>
            <w:top w:val="none" w:sz="0" w:space="0" w:color="auto"/>
            <w:left w:val="none" w:sz="0" w:space="0" w:color="auto"/>
            <w:bottom w:val="none" w:sz="0" w:space="0" w:color="auto"/>
            <w:right w:val="none" w:sz="0" w:space="0" w:color="auto"/>
          </w:divBdr>
        </w:div>
        <w:div w:id="543639713">
          <w:marLeft w:val="0"/>
          <w:marRight w:val="0"/>
          <w:marTop w:val="0"/>
          <w:marBottom w:val="0"/>
          <w:divBdr>
            <w:top w:val="none" w:sz="0" w:space="0" w:color="auto"/>
            <w:left w:val="none" w:sz="0" w:space="0" w:color="auto"/>
            <w:bottom w:val="none" w:sz="0" w:space="0" w:color="auto"/>
            <w:right w:val="none" w:sz="0" w:space="0" w:color="auto"/>
          </w:divBdr>
        </w:div>
        <w:div w:id="555895821">
          <w:marLeft w:val="0"/>
          <w:marRight w:val="0"/>
          <w:marTop w:val="0"/>
          <w:marBottom w:val="0"/>
          <w:divBdr>
            <w:top w:val="none" w:sz="0" w:space="0" w:color="auto"/>
            <w:left w:val="none" w:sz="0" w:space="0" w:color="auto"/>
            <w:bottom w:val="none" w:sz="0" w:space="0" w:color="auto"/>
            <w:right w:val="none" w:sz="0" w:space="0" w:color="auto"/>
          </w:divBdr>
        </w:div>
        <w:div w:id="605699978">
          <w:marLeft w:val="0"/>
          <w:marRight w:val="0"/>
          <w:marTop w:val="0"/>
          <w:marBottom w:val="0"/>
          <w:divBdr>
            <w:top w:val="none" w:sz="0" w:space="0" w:color="auto"/>
            <w:left w:val="none" w:sz="0" w:space="0" w:color="auto"/>
            <w:bottom w:val="none" w:sz="0" w:space="0" w:color="auto"/>
            <w:right w:val="none" w:sz="0" w:space="0" w:color="auto"/>
          </w:divBdr>
        </w:div>
        <w:div w:id="635648436">
          <w:marLeft w:val="0"/>
          <w:marRight w:val="0"/>
          <w:marTop w:val="0"/>
          <w:marBottom w:val="0"/>
          <w:divBdr>
            <w:top w:val="none" w:sz="0" w:space="0" w:color="auto"/>
            <w:left w:val="none" w:sz="0" w:space="0" w:color="auto"/>
            <w:bottom w:val="none" w:sz="0" w:space="0" w:color="auto"/>
            <w:right w:val="none" w:sz="0" w:space="0" w:color="auto"/>
          </w:divBdr>
        </w:div>
        <w:div w:id="655259187">
          <w:marLeft w:val="0"/>
          <w:marRight w:val="0"/>
          <w:marTop w:val="0"/>
          <w:marBottom w:val="0"/>
          <w:divBdr>
            <w:top w:val="none" w:sz="0" w:space="0" w:color="auto"/>
            <w:left w:val="none" w:sz="0" w:space="0" w:color="auto"/>
            <w:bottom w:val="none" w:sz="0" w:space="0" w:color="auto"/>
            <w:right w:val="none" w:sz="0" w:space="0" w:color="auto"/>
          </w:divBdr>
        </w:div>
        <w:div w:id="711878983">
          <w:marLeft w:val="0"/>
          <w:marRight w:val="0"/>
          <w:marTop w:val="0"/>
          <w:marBottom w:val="0"/>
          <w:divBdr>
            <w:top w:val="none" w:sz="0" w:space="0" w:color="auto"/>
            <w:left w:val="none" w:sz="0" w:space="0" w:color="auto"/>
            <w:bottom w:val="none" w:sz="0" w:space="0" w:color="auto"/>
            <w:right w:val="none" w:sz="0" w:space="0" w:color="auto"/>
          </w:divBdr>
        </w:div>
        <w:div w:id="759181724">
          <w:marLeft w:val="0"/>
          <w:marRight w:val="0"/>
          <w:marTop w:val="0"/>
          <w:marBottom w:val="0"/>
          <w:divBdr>
            <w:top w:val="none" w:sz="0" w:space="0" w:color="auto"/>
            <w:left w:val="none" w:sz="0" w:space="0" w:color="auto"/>
            <w:bottom w:val="none" w:sz="0" w:space="0" w:color="auto"/>
            <w:right w:val="none" w:sz="0" w:space="0" w:color="auto"/>
          </w:divBdr>
        </w:div>
        <w:div w:id="782459819">
          <w:marLeft w:val="0"/>
          <w:marRight w:val="0"/>
          <w:marTop w:val="0"/>
          <w:marBottom w:val="0"/>
          <w:divBdr>
            <w:top w:val="none" w:sz="0" w:space="0" w:color="auto"/>
            <w:left w:val="none" w:sz="0" w:space="0" w:color="auto"/>
            <w:bottom w:val="none" w:sz="0" w:space="0" w:color="auto"/>
            <w:right w:val="none" w:sz="0" w:space="0" w:color="auto"/>
          </w:divBdr>
        </w:div>
        <w:div w:id="799957865">
          <w:marLeft w:val="0"/>
          <w:marRight w:val="0"/>
          <w:marTop w:val="0"/>
          <w:marBottom w:val="0"/>
          <w:divBdr>
            <w:top w:val="none" w:sz="0" w:space="0" w:color="auto"/>
            <w:left w:val="none" w:sz="0" w:space="0" w:color="auto"/>
            <w:bottom w:val="none" w:sz="0" w:space="0" w:color="auto"/>
            <w:right w:val="none" w:sz="0" w:space="0" w:color="auto"/>
          </w:divBdr>
        </w:div>
        <w:div w:id="916591536">
          <w:marLeft w:val="0"/>
          <w:marRight w:val="0"/>
          <w:marTop w:val="0"/>
          <w:marBottom w:val="0"/>
          <w:divBdr>
            <w:top w:val="none" w:sz="0" w:space="0" w:color="auto"/>
            <w:left w:val="none" w:sz="0" w:space="0" w:color="auto"/>
            <w:bottom w:val="none" w:sz="0" w:space="0" w:color="auto"/>
            <w:right w:val="none" w:sz="0" w:space="0" w:color="auto"/>
          </w:divBdr>
        </w:div>
        <w:div w:id="1015302371">
          <w:marLeft w:val="0"/>
          <w:marRight w:val="0"/>
          <w:marTop w:val="0"/>
          <w:marBottom w:val="0"/>
          <w:divBdr>
            <w:top w:val="none" w:sz="0" w:space="0" w:color="auto"/>
            <w:left w:val="none" w:sz="0" w:space="0" w:color="auto"/>
            <w:bottom w:val="none" w:sz="0" w:space="0" w:color="auto"/>
            <w:right w:val="none" w:sz="0" w:space="0" w:color="auto"/>
          </w:divBdr>
        </w:div>
        <w:div w:id="1050033272">
          <w:marLeft w:val="0"/>
          <w:marRight w:val="0"/>
          <w:marTop w:val="0"/>
          <w:marBottom w:val="0"/>
          <w:divBdr>
            <w:top w:val="none" w:sz="0" w:space="0" w:color="auto"/>
            <w:left w:val="none" w:sz="0" w:space="0" w:color="auto"/>
            <w:bottom w:val="none" w:sz="0" w:space="0" w:color="auto"/>
            <w:right w:val="none" w:sz="0" w:space="0" w:color="auto"/>
          </w:divBdr>
        </w:div>
        <w:div w:id="1050879765">
          <w:marLeft w:val="0"/>
          <w:marRight w:val="0"/>
          <w:marTop w:val="0"/>
          <w:marBottom w:val="0"/>
          <w:divBdr>
            <w:top w:val="none" w:sz="0" w:space="0" w:color="auto"/>
            <w:left w:val="none" w:sz="0" w:space="0" w:color="auto"/>
            <w:bottom w:val="none" w:sz="0" w:space="0" w:color="auto"/>
            <w:right w:val="none" w:sz="0" w:space="0" w:color="auto"/>
          </w:divBdr>
        </w:div>
        <w:div w:id="1098525719">
          <w:marLeft w:val="0"/>
          <w:marRight w:val="0"/>
          <w:marTop w:val="0"/>
          <w:marBottom w:val="0"/>
          <w:divBdr>
            <w:top w:val="none" w:sz="0" w:space="0" w:color="auto"/>
            <w:left w:val="none" w:sz="0" w:space="0" w:color="auto"/>
            <w:bottom w:val="none" w:sz="0" w:space="0" w:color="auto"/>
            <w:right w:val="none" w:sz="0" w:space="0" w:color="auto"/>
          </w:divBdr>
        </w:div>
        <w:div w:id="1135219379">
          <w:marLeft w:val="0"/>
          <w:marRight w:val="0"/>
          <w:marTop w:val="0"/>
          <w:marBottom w:val="0"/>
          <w:divBdr>
            <w:top w:val="none" w:sz="0" w:space="0" w:color="auto"/>
            <w:left w:val="none" w:sz="0" w:space="0" w:color="auto"/>
            <w:bottom w:val="none" w:sz="0" w:space="0" w:color="auto"/>
            <w:right w:val="none" w:sz="0" w:space="0" w:color="auto"/>
          </w:divBdr>
        </w:div>
        <w:div w:id="1140804165">
          <w:marLeft w:val="0"/>
          <w:marRight w:val="0"/>
          <w:marTop w:val="0"/>
          <w:marBottom w:val="0"/>
          <w:divBdr>
            <w:top w:val="none" w:sz="0" w:space="0" w:color="auto"/>
            <w:left w:val="none" w:sz="0" w:space="0" w:color="auto"/>
            <w:bottom w:val="none" w:sz="0" w:space="0" w:color="auto"/>
            <w:right w:val="none" w:sz="0" w:space="0" w:color="auto"/>
          </w:divBdr>
        </w:div>
        <w:div w:id="1149400655">
          <w:marLeft w:val="0"/>
          <w:marRight w:val="0"/>
          <w:marTop w:val="0"/>
          <w:marBottom w:val="0"/>
          <w:divBdr>
            <w:top w:val="none" w:sz="0" w:space="0" w:color="auto"/>
            <w:left w:val="none" w:sz="0" w:space="0" w:color="auto"/>
            <w:bottom w:val="none" w:sz="0" w:space="0" w:color="auto"/>
            <w:right w:val="none" w:sz="0" w:space="0" w:color="auto"/>
          </w:divBdr>
        </w:div>
        <w:div w:id="1187718243">
          <w:marLeft w:val="0"/>
          <w:marRight w:val="0"/>
          <w:marTop w:val="0"/>
          <w:marBottom w:val="0"/>
          <w:divBdr>
            <w:top w:val="none" w:sz="0" w:space="0" w:color="auto"/>
            <w:left w:val="none" w:sz="0" w:space="0" w:color="auto"/>
            <w:bottom w:val="none" w:sz="0" w:space="0" w:color="auto"/>
            <w:right w:val="none" w:sz="0" w:space="0" w:color="auto"/>
          </w:divBdr>
        </w:div>
        <w:div w:id="1216506255">
          <w:marLeft w:val="0"/>
          <w:marRight w:val="0"/>
          <w:marTop w:val="0"/>
          <w:marBottom w:val="0"/>
          <w:divBdr>
            <w:top w:val="none" w:sz="0" w:space="0" w:color="auto"/>
            <w:left w:val="none" w:sz="0" w:space="0" w:color="auto"/>
            <w:bottom w:val="none" w:sz="0" w:space="0" w:color="auto"/>
            <w:right w:val="none" w:sz="0" w:space="0" w:color="auto"/>
          </w:divBdr>
        </w:div>
        <w:div w:id="1219442498">
          <w:marLeft w:val="0"/>
          <w:marRight w:val="0"/>
          <w:marTop w:val="0"/>
          <w:marBottom w:val="0"/>
          <w:divBdr>
            <w:top w:val="none" w:sz="0" w:space="0" w:color="auto"/>
            <w:left w:val="none" w:sz="0" w:space="0" w:color="auto"/>
            <w:bottom w:val="none" w:sz="0" w:space="0" w:color="auto"/>
            <w:right w:val="none" w:sz="0" w:space="0" w:color="auto"/>
          </w:divBdr>
        </w:div>
        <w:div w:id="1255553822">
          <w:marLeft w:val="0"/>
          <w:marRight w:val="0"/>
          <w:marTop w:val="0"/>
          <w:marBottom w:val="0"/>
          <w:divBdr>
            <w:top w:val="none" w:sz="0" w:space="0" w:color="auto"/>
            <w:left w:val="none" w:sz="0" w:space="0" w:color="auto"/>
            <w:bottom w:val="none" w:sz="0" w:space="0" w:color="auto"/>
            <w:right w:val="none" w:sz="0" w:space="0" w:color="auto"/>
          </w:divBdr>
        </w:div>
        <w:div w:id="1325090035">
          <w:marLeft w:val="0"/>
          <w:marRight w:val="0"/>
          <w:marTop w:val="0"/>
          <w:marBottom w:val="0"/>
          <w:divBdr>
            <w:top w:val="none" w:sz="0" w:space="0" w:color="auto"/>
            <w:left w:val="none" w:sz="0" w:space="0" w:color="auto"/>
            <w:bottom w:val="none" w:sz="0" w:space="0" w:color="auto"/>
            <w:right w:val="none" w:sz="0" w:space="0" w:color="auto"/>
          </w:divBdr>
        </w:div>
        <w:div w:id="1342972156">
          <w:marLeft w:val="0"/>
          <w:marRight w:val="0"/>
          <w:marTop w:val="0"/>
          <w:marBottom w:val="0"/>
          <w:divBdr>
            <w:top w:val="none" w:sz="0" w:space="0" w:color="auto"/>
            <w:left w:val="none" w:sz="0" w:space="0" w:color="auto"/>
            <w:bottom w:val="none" w:sz="0" w:space="0" w:color="auto"/>
            <w:right w:val="none" w:sz="0" w:space="0" w:color="auto"/>
          </w:divBdr>
        </w:div>
        <w:div w:id="1343972161">
          <w:marLeft w:val="0"/>
          <w:marRight w:val="0"/>
          <w:marTop w:val="0"/>
          <w:marBottom w:val="0"/>
          <w:divBdr>
            <w:top w:val="none" w:sz="0" w:space="0" w:color="auto"/>
            <w:left w:val="none" w:sz="0" w:space="0" w:color="auto"/>
            <w:bottom w:val="none" w:sz="0" w:space="0" w:color="auto"/>
            <w:right w:val="none" w:sz="0" w:space="0" w:color="auto"/>
          </w:divBdr>
        </w:div>
        <w:div w:id="1359310298">
          <w:marLeft w:val="0"/>
          <w:marRight w:val="0"/>
          <w:marTop w:val="0"/>
          <w:marBottom w:val="0"/>
          <w:divBdr>
            <w:top w:val="none" w:sz="0" w:space="0" w:color="auto"/>
            <w:left w:val="none" w:sz="0" w:space="0" w:color="auto"/>
            <w:bottom w:val="none" w:sz="0" w:space="0" w:color="auto"/>
            <w:right w:val="none" w:sz="0" w:space="0" w:color="auto"/>
          </w:divBdr>
        </w:div>
        <w:div w:id="1434744841">
          <w:marLeft w:val="0"/>
          <w:marRight w:val="0"/>
          <w:marTop w:val="0"/>
          <w:marBottom w:val="0"/>
          <w:divBdr>
            <w:top w:val="none" w:sz="0" w:space="0" w:color="auto"/>
            <w:left w:val="none" w:sz="0" w:space="0" w:color="auto"/>
            <w:bottom w:val="none" w:sz="0" w:space="0" w:color="auto"/>
            <w:right w:val="none" w:sz="0" w:space="0" w:color="auto"/>
          </w:divBdr>
        </w:div>
        <w:div w:id="1448280400">
          <w:marLeft w:val="0"/>
          <w:marRight w:val="0"/>
          <w:marTop w:val="0"/>
          <w:marBottom w:val="0"/>
          <w:divBdr>
            <w:top w:val="none" w:sz="0" w:space="0" w:color="auto"/>
            <w:left w:val="none" w:sz="0" w:space="0" w:color="auto"/>
            <w:bottom w:val="none" w:sz="0" w:space="0" w:color="auto"/>
            <w:right w:val="none" w:sz="0" w:space="0" w:color="auto"/>
          </w:divBdr>
        </w:div>
        <w:div w:id="1465657072">
          <w:marLeft w:val="0"/>
          <w:marRight w:val="0"/>
          <w:marTop w:val="0"/>
          <w:marBottom w:val="0"/>
          <w:divBdr>
            <w:top w:val="none" w:sz="0" w:space="0" w:color="auto"/>
            <w:left w:val="none" w:sz="0" w:space="0" w:color="auto"/>
            <w:bottom w:val="none" w:sz="0" w:space="0" w:color="auto"/>
            <w:right w:val="none" w:sz="0" w:space="0" w:color="auto"/>
          </w:divBdr>
        </w:div>
        <w:div w:id="1478568233">
          <w:marLeft w:val="0"/>
          <w:marRight w:val="0"/>
          <w:marTop w:val="0"/>
          <w:marBottom w:val="0"/>
          <w:divBdr>
            <w:top w:val="none" w:sz="0" w:space="0" w:color="auto"/>
            <w:left w:val="none" w:sz="0" w:space="0" w:color="auto"/>
            <w:bottom w:val="none" w:sz="0" w:space="0" w:color="auto"/>
            <w:right w:val="none" w:sz="0" w:space="0" w:color="auto"/>
          </w:divBdr>
        </w:div>
        <w:div w:id="1481145604">
          <w:marLeft w:val="0"/>
          <w:marRight w:val="0"/>
          <w:marTop w:val="0"/>
          <w:marBottom w:val="0"/>
          <w:divBdr>
            <w:top w:val="none" w:sz="0" w:space="0" w:color="auto"/>
            <w:left w:val="none" w:sz="0" w:space="0" w:color="auto"/>
            <w:bottom w:val="none" w:sz="0" w:space="0" w:color="auto"/>
            <w:right w:val="none" w:sz="0" w:space="0" w:color="auto"/>
          </w:divBdr>
        </w:div>
        <w:div w:id="1511531876">
          <w:marLeft w:val="0"/>
          <w:marRight w:val="0"/>
          <w:marTop w:val="0"/>
          <w:marBottom w:val="0"/>
          <w:divBdr>
            <w:top w:val="none" w:sz="0" w:space="0" w:color="auto"/>
            <w:left w:val="none" w:sz="0" w:space="0" w:color="auto"/>
            <w:bottom w:val="none" w:sz="0" w:space="0" w:color="auto"/>
            <w:right w:val="none" w:sz="0" w:space="0" w:color="auto"/>
          </w:divBdr>
        </w:div>
        <w:div w:id="1512908836">
          <w:marLeft w:val="0"/>
          <w:marRight w:val="0"/>
          <w:marTop w:val="0"/>
          <w:marBottom w:val="0"/>
          <w:divBdr>
            <w:top w:val="none" w:sz="0" w:space="0" w:color="auto"/>
            <w:left w:val="none" w:sz="0" w:space="0" w:color="auto"/>
            <w:bottom w:val="none" w:sz="0" w:space="0" w:color="auto"/>
            <w:right w:val="none" w:sz="0" w:space="0" w:color="auto"/>
          </w:divBdr>
        </w:div>
        <w:div w:id="1566181302">
          <w:marLeft w:val="0"/>
          <w:marRight w:val="0"/>
          <w:marTop w:val="0"/>
          <w:marBottom w:val="0"/>
          <w:divBdr>
            <w:top w:val="none" w:sz="0" w:space="0" w:color="auto"/>
            <w:left w:val="none" w:sz="0" w:space="0" w:color="auto"/>
            <w:bottom w:val="none" w:sz="0" w:space="0" w:color="auto"/>
            <w:right w:val="none" w:sz="0" w:space="0" w:color="auto"/>
          </w:divBdr>
        </w:div>
        <w:div w:id="1619213072">
          <w:marLeft w:val="0"/>
          <w:marRight w:val="0"/>
          <w:marTop w:val="0"/>
          <w:marBottom w:val="0"/>
          <w:divBdr>
            <w:top w:val="none" w:sz="0" w:space="0" w:color="auto"/>
            <w:left w:val="none" w:sz="0" w:space="0" w:color="auto"/>
            <w:bottom w:val="none" w:sz="0" w:space="0" w:color="auto"/>
            <w:right w:val="none" w:sz="0" w:space="0" w:color="auto"/>
          </w:divBdr>
        </w:div>
        <w:div w:id="1657371727">
          <w:marLeft w:val="0"/>
          <w:marRight w:val="0"/>
          <w:marTop w:val="0"/>
          <w:marBottom w:val="0"/>
          <w:divBdr>
            <w:top w:val="none" w:sz="0" w:space="0" w:color="auto"/>
            <w:left w:val="none" w:sz="0" w:space="0" w:color="auto"/>
            <w:bottom w:val="none" w:sz="0" w:space="0" w:color="auto"/>
            <w:right w:val="none" w:sz="0" w:space="0" w:color="auto"/>
          </w:divBdr>
        </w:div>
        <w:div w:id="1697199456">
          <w:marLeft w:val="0"/>
          <w:marRight w:val="0"/>
          <w:marTop w:val="0"/>
          <w:marBottom w:val="0"/>
          <w:divBdr>
            <w:top w:val="none" w:sz="0" w:space="0" w:color="auto"/>
            <w:left w:val="none" w:sz="0" w:space="0" w:color="auto"/>
            <w:bottom w:val="none" w:sz="0" w:space="0" w:color="auto"/>
            <w:right w:val="none" w:sz="0" w:space="0" w:color="auto"/>
          </w:divBdr>
        </w:div>
        <w:div w:id="1746758013">
          <w:marLeft w:val="0"/>
          <w:marRight w:val="0"/>
          <w:marTop w:val="0"/>
          <w:marBottom w:val="0"/>
          <w:divBdr>
            <w:top w:val="none" w:sz="0" w:space="0" w:color="auto"/>
            <w:left w:val="none" w:sz="0" w:space="0" w:color="auto"/>
            <w:bottom w:val="none" w:sz="0" w:space="0" w:color="auto"/>
            <w:right w:val="none" w:sz="0" w:space="0" w:color="auto"/>
          </w:divBdr>
        </w:div>
        <w:div w:id="1789927156">
          <w:marLeft w:val="0"/>
          <w:marRight w:val="0"/>
          <w:marTop w:val="0"/>
          <w:marBottom w:val="0"/>
          <w:divBdr>
            <w:top w:val="none" w:sz="0" w:space="0" w:color="auto"/>
            <w:left w:val="none" w:sz="0" w:space="0" w:color="auto"/>
            <w:bottom w:val="none" w:sz="0" w:space="0" w:color="auto"/>
            <w:right w:val="none" w:sz="0" w:space="0" w:color="auto"/>
          </w:divBdr>
        </w:div>
        <w:div w:id="1796175550">
          <w:marLeft w:val="0"/>
          <w:marRight w:val="0"/>
          <w:marTop w:val="0"/>
          <w:marBottom w:val="0"/>
          <w:divBdr>
            <w:top w:val="none" w:sz="0" w:space="0" w:color="auto"/>
            <w:left w:val="none" w:sz="0" w:space="0" w:color="auto"/>
            <w:bottom w:val="none" w:sz="0" w:space="0" w:color="auto"/>
            <w:right w:val="none" w:sz="0" w:space="0" w:color="auto"/>
          </w:divBdr>
        </w:div>
        <w:div w:id="1876114977">
          <w:marLeft w:val="0"/>
          <w:marRight w:val="0"/>
          <w:marTop w:val="0"/>
          <w:marBottom w:val="0"/>
          <w:divBdr>
            <w:top w:val="none" w:sz="0" w:space="0" w:color="auto"/>
            <w:left w:val="none" w:sz="0" w:space="0" w:color="auto"/>
            <w:bottom w:val="none" w:sz="0" w:space="0" w:color="auto"/>
            <w:right w:val="none" w:sz="0" w:space="0" w:color="auto"/>
          </w:divBdr>
        </w:div>
        <w:div w:id="1893687764">
          <w:marLeft w:val="0"/>
          <w:marRight w:val="0"/>
          <w:marTop w:val="0"/>
          <w:marBottom w:val="0"/>
          <w:divBdr>
            <w:top w:val="none" w:sz="0" w:space="0" w:color="auto"/>
            <w:left w:val="none" w:sz="0" w:space="0" w:color="auto"/>
            <w:bottom w:val="none" w:sz="0" w:space="0" w:color="auto"/>
            <w:right w:val="none" w:sz="0" w:space="0" w:color="auto"/>
          </w:divBdr>
        </w:div>
        <w:div w:id="1911578883">
          <w:marLeft w:val="0"/>
          <w:marRight w:val="0"/>
          <w:marTop w:val="0"/>
          <w:marBottom w:val="0"/>
          <w:divBdr>
            <w:top w:val="none" w:sz="0" w:space="0" w:color="auto"/>
            <w:left w:val="none" w:sz="0" w:space="0" w:color="auto"/>
            <w:bottom w:val="none" w:sz="0" w:space="0" w:color="auto"/>
            <w:right w:val="none" w:sz="0" w:space="0" w:color="auto"/>
          </w:divBdr>
        </w:div>
        <w:div w:id="1966303953">
          <w:marLeft w:val="0"/>
          <w:marRight w:val="0"/>
          <w:marTop w:val="0"/>
          <w:marBottom w:val="0"/>
          <w:divBdr>
            <w:top w:val="none" w:sz="0" w:space="0" w:color="auto"/>
            <w:left w:val="none" w:sz="0" w:space="0" w:color="auto"/>
            <w:bottom w:val="none" w:sz="0" w:space="0" w:color="auto"/>
            <w:right w:val="none" w:sz="0" w:space="0" w:color="auto"/>
          </w:divBdr>
        </w:div>
        <w:div w:id="2016572481">
          <w:marLeft w:val="0"/>
          <w:marRight w:val="0"/>
          <w:marTop w:val="0"/>
          <w:marBottom w:val="0"/>
          <w:divBdr>
            <w:top w:val="none" w:sz="0" w:space="0" w:color="auto"/>
            <w:left w:val="none" w:sz="0" w:space="0" w:color="auto"/>
            <w:bottom w:val="none" w:sz="0" w:space="0" w:color="auto"/>
            <w:right w:val="none" w:sz="0" w:space="0" w:color="auto"/>
          </w:divBdr>
        </w:div>
        <w:div w:id="2129229152">
          <w:marLeft w:val="0"/>
          <w:marRight w:val="0"/>
          <w:marTop w:val="0"/>
          <w:marBottom w:val="0"/>
          <w:divBdr>
            <w:top w:val="none" w:sz="0" w:space="0" w:color="auto"/>
            <w:left w:val="none" w:sz="0" w:space="0" w:color="auto"/>
            <w:bottom w:val="none" w:sz="0" w:space="0" w:color="auto"/>
            <w:right w:val="none" w:sz="0" w:space="0" w:color="auto"/>
          </w:divBdr>
        </w:div>
        <w:div w:id="2142503912">
          <w:marLeft w:val="0"/>
          <w:marRight w:val="0"/>
          <w:marTop w:val="0"/>
          <w:marBottom w:val="0"/>
          <w:divBdr>
            <w:top w:val="none" w:sz="0" w:space="0" w:color="auto"/>
            <w:left w:val="none" w:sz="0" w:space="0" w:color="auto"/>
            <w:bottom w:val="none" w:sz="0" w:space="0" w:color="auto"/>
            <w:right w:val="none" w:sz="0" w:space="0" w:color="auto"/>
          </w:divBdr>
        </w:div>
      </w:divsChild>
    </w:div>
    <w:div w:id="2022587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16-fr.pdf"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cbd.int/doc/decisions/cop-14/cop-14-dec-20-fr.pdf" TargetMode="Externa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fr.pdf"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np-mop-03/np-mop-03-dec-12-fr.pdf"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s://www.cbd.int/doc/decisions/cop-14/cop-14-dec-20-fr.pdf"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oter" Target="footer4.xm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64E9CB66BA94041B93189F2339A7979"/>
        <w:category>
          <w:name w:val="General"/>
          <w:gallery w:val="placeholder"/>
        </w:category>
        <w:types>
          <w:type w:val="bbPlcHdr"/>
        </w:types>
        <w:behaviors>
          <w:behavior w:val="content"/>
        </w:behaviors>
        <w:guid w:val="{4367E832-5A0D-A34B-8B85-87B4A2B5B0BE}"/>
      </w:docPartPr>
      <w:docPartBody>
        <w:p w:rsidR="00CB24C6" w:rsidRDefault="00CB539C" w:rsidP="00CB539C">
          <w:pPr>
            <w:pStyle w:val="B64E9CB66BA94041B93189F2339A7979"/>
          </w:pPr>
          <w:r w:rsidRPr="00AB60F6">
            <w:rPr>
              <w:rStyle w:val="PlaceholderText"/>
            </w:rPr>
            <w:t>Click here to enter text.</w:t>
          </w:r>
        </w:p>
      </w:docPartBody>
    </w:docPart>
    <w:docPart>
      <w:docPartPr>
        <w:name w:val="883230727F604467ACFDA857B1C2A520"/>
        <w:category>
          <w:name w:val="General"/>
          <w:gallery w:val="placeholder"/>
        </w:category>
        <w:types>
          <w:type w:val="bbPlcHdr"/>
        </w:types>
        <w:behaviors>
          <w:behavior w:val="content"/>
        </w:behaviors>
        <w:guid w:val="{AA781E39-5282-49E2-A231-A99C574B2DF6}"/>
      </w:docPartPr>
      <w:docPartBody>
        <w:p w:rsidR="00823894" w:rsidRDefault="005E728B">
          <w:r w:rsidRPr="008B6D1E">
            <w:rPr>
              <w:rStyle w:val="PlaceholderText"/>
            </w:rPr>
            <w:t>[Subject]</w:t>
          </w:r>
        </w:p>
      </w:docPartBody>
    </w:docPart>
    <w:docPart>
      <w:docPartPr>
        <w:name w:val="88779A4884974D3989F5A95195C71FAC"/>
        <w:category>
          <w:name w:val="General"/>
          <w:gallery w:val="placeholder"/>
        </w:category>
        <w:types>
          <w:type w:val="bbPlcHdr"/>
        </w:types>
        <w:behaviors>
          <w:behavior w:val="content"/>
        </w:behaviors>
        <w:guid w:val="{C7666508-B355-4AD2-9233-E04E52F3919A}"/>
      </w:docPartPr>
      <w:docPartBody>
        <w:p w:rsidR="00823894" w:rsidRDefault="005E728B" w:rsidP="005E728B">
          <w:pPr>
            <w:pStyle w:val="88779A4884974D3989F5A95195C71FAC"/>
          </w:pPr>
          <w:r w:rsidRPr="008B6D1E">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42CC3"/>
    <w:rsid w:val="0007297C"/>
    <w:rsid w:val="000A3855"/>
    <w:rsid w:val="000B41BE"/>
    <w:rsid w:val="00127B23"/>
    <w:rsid w:val="001612AB"/>
    <w:rsid w:val="0017776A"/>
    <w:rsid w:val="00187F7C"/>
    <w:rsid w:val="001D0259"/>
    <w:rsid w:val="002A68E5"/>
    <w:rsid w:val="00307F64"/>
    <w:rsid w:val="00366325"/>
    <w:rsid w:val="003951EB"/>
    <w:rsid w:val="003E5912"/>
    <w:rsid w:val="004279D9"/>
    <w:rsid w:val="0046422C"/>
    <w:rsid w:val="004760CF"/>
    <w:rsid w:val="004E092F"/>
    <w:rsid w:val="00500A2B"/>
    <w:rsid w:val="00547975"/>
    <w:rsid w:val="0058288D"/>
    <w:rsid w:val="005E728B"/>
    <w:rsid w:val="00665C6B"/>
    <w:rsid w:val="006801B3"/>
    <w:rsid w:val="007263C5"/>
    <w:rsid w:val="00806E2A"/>
    <w:rsid w:val="00810A55"/>
    <w:rsid w:val="00823894"/>
    <w:rsid w:val="008653AF"/>
    <w:rsid w:val="008C6619"/>
    <w:rsid w:val="008D420E"/>
    <w:rsid w:val="008E61EF"/>
    <w:rsid w:val="0098642F"/>
    <w:rsid w:val="00A4389E"/>
    <w:rsid w:val="00A77B9F"/>
    <w:rsid w:val="00AC692D"/>
    <w:rsid w:val="00AF7BFF"/>
    <w:rsid w:val="00BD79AC"/>
    <w:rsid w:val="00C770A8"/>
    <w:rsid w:val="00C8104B"/>
    <w:rsid w:val="00CB24C6"/>
    <w:rsid w:val="00CB35C3"/>
    <w:rsid w:val="00CB539C"/>
    <w:rsid w:val="00CC6C51"/>
    <w:rsid w:val="00D15C9A"/>
    <w:rsid w:val="00D31D12"/>
    <w:rsid w:val="00D6223F"/>
    <w:rsid w:val="00E13708"/>
    <w:rsid w:val="00E835D5"/>
    <w:rsid w:val="00EB5618"/>
    <w:rsid w:val="00EF5F95"/>
    <w:rsid w:val="00F060FB"/>
    <w:rsid w:val="00F40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E728B"/>
    <w:rPr>
      <w:color w:val="808080"/>
    </w:rPr>
  </w:style>
  <w:style w:type="paragraph" w:customStyle="1" w:styleId="B64E9CB66BA94041B93189F2339A7979">
    <w:name w:val="B64E9CB66BA94041B93189F2339A7979"/>
    <w:rsid w:val="00CB539C"/>
    <w:pPr>
      <w:spacing w:after="0" w:line="240" w:lineRule="auto"/>
    </w:pPr>
    <w:rPr>
      <w:sz w:val="24"/>
      <w:szCs w:val="24"/>
      <w:lang w:val="en-CA"/>
    </w:rPr>
  </w:style>
  <w:style w:type="paragraph" w:customStyle="1" w:styleId="88779A4884974D3989F5A95195C71FAC">
    <w:name w:val="88779A4884974D3989F5A95195C71FAC"/>
    <w:rsid w:val="005E728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472F9-01CA-4AD0-BCDD-6580335C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80D4A4-E1BD-44F3-B03E-C2C730C0E493}">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22</Pages>
  <Words>10260</Words>
  <Characters>58484</Characters>
  <Application>Microsoft Office Word</Application>
  <DocSecurity>0</DocSecurity>
  <Lines>487</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information de séquençage numérique sur les ressources génétiques</vt:lpstr>
      <vt:lpstr>information de séquençage numérique sur les ressources génétiques</vt:lpstr>
    </vt:vector>
  </TitlesOfParts>
  <Company>SCBD</Company>
  <LinksUpToDate>false</LinksUpToDate>
  <CharactersWithSpaces>68607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de séquençage numérique sur les ressources génétiques</dc:title>
  <dc:subject>CBD/WG2020/3/4</dc:subject>
  <dc:creator>SCBD</dc:creator>
  <cp:keywords>Subsidiary Body on Implementation, Implementation of the Convention</cp:keywords>
  <cp:lastModifiedBy>Tatiana Zavarzina</cp:lastModifiedBy>
  <cp:revision>12</cp:revision>
  <cp:lastPrinted>2020-01-21T22:56:00Z</cp:lastPrinted>
  <dcterms:created xsi:type="dcterms:W3CDTF">2021-07-10T00:29:00Z</dcterms:created>
  <dcterms:modified xsi:type="dcterms:W3CDTF">2021-07-10T19:10:00Z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