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9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75"/>
        <w:gridCol w:w="1434"/>
        <w:gridCol w:w="7689"/>
      </w:tblGrid>
      <w:tr w:rsidR="008466F2" w:rsidRPr="00556C42" w14:paraId="7A50EC8A" w14:textId="77777777" w:rsidTr="00384174">
        <w:trPr>
          <w:trHeight w:val="769"/>
        </w:trPr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CF83A17" w14:textId="77777777" w:rsidR="008466F2" w:rsidRPr="00556C42" w:rsidRDefault="000D33BB">
            <w:pPr>
              <w:pStyle w:val="AASmallLogo"/>
            </w:pPr>
            <w:r>
              <w:rPr>
                <w:noProof/>
                <w:sz w:val="22"/>
                <w:lang w:val="ru"/>
              </w:rPr>
              <w:drawing>
                <wp:inline distT="0" distB="0" distL="0" distR="0" wp14:anchorId="35B02381" wp14:editId="414ED3B8">
                  <wp:extent cx="451127" cy="382336"/>
                  <wp:effectExtent l="0" t="0" r="0" b="0"/>
                  <wp:docPr id="1073741825" name="officeArt object" descr="Рис.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Picture 1" descr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127" cy="38233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ru"/>
              </w:rPr>
              <w:t xml:space="preserve"> 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9D96B89" w14:textId="7611427A" w:rsidR="008466F2" w:rsidRPr="00556C42" w:rsidRDefault="00264379">
            <w:pPr>
              <w:pStyle w:val="AASmallLogo"/>
            </w:pPr>
            <w:r w:rsidRPr="00360A23">
              <w:rPr>
                <w:noProof/>
                <w:lang w:eastAsia="ru-RU"/>
              </w:rPr>
              <w:drawing>
                <wp:inline distT="0" distB="0" distL="0" distR="0" wp14:anchorId="0F304B5E" wp14:editId="4AC8112A">
                  <wp:extent cx="825600" cy="386344"/>
                  <wp:effectExtent l="0" t="0" r="0" b="0"/>
                  <wp:docPr id="899098129" name="Picture 899098129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6488" cy="3961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0D33BB">
              <w:rPr>
                <w:lang w:val="ru"/>
              </w:rPr>
              <w:t xml:space="preserve"> </w:t>
            </w:r>
          </w:p>
        </w:tc>
        <w:tc>
          <w:tcPr>
            <w:tcW w:w="768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2099" w:type="dxa"/>
              <w:bottom w:w="80" w:type="dxa"/>
              <w:right w:w="80" w:type="dxa"/>
            </w:tcMar>
            <w:vAlign w:val="bottom"/>
          </w:tcPr>
          <w:p w14:paraId="74FF1EE3" w14:textId="77777777" w:rsidR="008466F2" w:rsidRPr="00556C42" w:rsidRDefault="000D33BB" w:rsidP="004A0C3B">
            <w:pPr>
              <w:pStyle w:val="ABSymbol"/>
            </w:pPr>
            <w:r>
              <w:rPr>
                <w:sz w:val="40"/>
                <w:szCs w:val="40"/>
                <w:lang w:val="ru"/>
              </w:rPr>
              <w:t>CBD</w:t>
            </w:r>
            <w:r>
              <w:rPr>
                <w:lang w:val="ru"/>
              </w:rPr>
              <w:t>/COP/17/6</w:t>
            </w:r>
          </w:p>
        </w:tc>
      </w:tr>
    </w:tbl>
    <w:p w14:paraId="0D8F5090" w14:textId="77777777" w:rsidR="008466F2" w:rsidRPr="004E5670" w:rsidRDefault="008466F2">
      <w:pPr>
        <w:pStyle w:val="Body"/>
        <w:widowControl w:val="0"/>
        <w:rPr>
          <w:sz w:val="4"/>
          <w:szCs w:val="4"/>
        </w:rPr>
      </w:pPr>
    </w:p>
    <w:p w14:paraId="4E12637A" w14:textId="77777777" w:rsidR="008466F2" w:rsidRPr="00556C42" w:rsidRDefault="008466F2">
      <w:pPr>
        <w:pStyle w:val="AISpacer"/>
      </w:pPr>
    </w:p>
    <w:tbl>
      <w:tblPr>
        <w:tblW w:w="1009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7370"/>
        <w:gridCol w:w="2728"/>
      </w:tblGrid>
      <w:tr w:rsidR="008466F2" w:rsidRPr="00556C42" w14:paraId="306C586B" w14:textId="77777777" w:rsidTr="00384174">
        <w:trPr>
          <w:trHeight w:val="1921"/>
        </w:trPr>
        <w:tc>
          <w:tcPr>
            <w:tcW w:w="7370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7F1DE2" w14:textId="4D417419" w:rsidR="008466F2" w:rsidRPr="00556C42" w:rsidRDefault="00264379">
            <w:pPr>
              <w:pStyle w:val="ACLargeLogo"/>
            </w:pPr>
            <w:r w:rsidRPr="001E2C8A">
              <w:rPr>
                <w:noProof/>
                <w:snapToGrid w:val="0"/>
                <w:kern w:val="22"/>
                <w:lang w:eastAsia="ru-RU"/>
              </w:rPr>
              <w:drawing>
                <wp:inline distT="0" distB="0" distL="0" distR="0" wp14:anchorId="630FB487" wp14:editId="6C8D89E3">
                  <wp:extent cx="2623185" cy="1077595"/>
                  <wp:effectExtent l="19050" t="0" r="5715" b="0"/>
                  <wp:docPr id="6" name="Рисунок 1" descr="CBD_logo_ru-CMYK-black [Converted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ru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3185" cy="1077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0D33BB">
              <w:rPr>
                <w:lang w:val="ru"/>
              </w:rPr>
              <w:t xml:space="preserve"> </w:t>
            </w:r>
          </w:p>
        </w:tc>
        <w:tc>
          <w:tcPr>
            <w:tcW w:w="2728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AA236B" w14:textId="77777777" w:rsidR="008466F2" w:rsidRPr="00556C42" w:rsidRDefault="000D33BB">
            <w:pPr>
              <w:pStyle w:val="AEDistrNormal"/>
            </w:pPr>
            <w:r w:rsidRPr="00264379">
              <w:rPr>
                <w:lang w:val="en-US"/>
              </w:rPr>
              <w:t xml:space="preserve">Distr.: General </w:t>
            </w:r>
          </w:p>
          <w:p w14:paraId="071DA22E" w14:textId="64F262D1" w:rsidR="008466F2" w:rsidRPr="00264379" w:rsidRDefault="000902EA">
            <w:pPr>
              <w:pStyle w:val="AEDistrNormal"/>
              <w:rPr>
                <w:lang w:val="en-US"/>
              </w:rPr>
            </w:pPr>
            <w:r w:rsidRPr="00264379">
              <w:rPr>
                <w:lang w:val="en-US"/>
              </w:rPr>
              <w:t>14 September 2026</w:t>
            </w:r>
          </w:p>
          <w:p w14:paraId="16E37E2E" w14:textId="0A963474" w:rsidR="008466F2" w:rsidRPr="00556C42" w:rsidRDefault="00264379" w:rsidP="00264379">
            <w:pPr>
              <w:pStyle w:val="AEDistrNormal"/>
            </w:pPr>
            <w:r>
              <w:rPr>
                <w:lang w:val="en-US"/>
              </w:rPr>
              <w:t>Russian</w:t>
            </w:r>
            <w:r>
              <w:rPr>
                <w:lang w:val="en-US"/>
              </w:rPr>
              <w:br/>
            </w:r>
            <w:r w:rsidR="000D33BB" w:rsidRPr="00264379">
              <w:rPr>
                <w:lang w:val="en-US"/>
              </w:rPr>
              <w:t xml:space="preserve">Original: English </w:t>
            </w:r>
          </w:p>
        </w:tc>
      </w:tr>
    </w:tbl>
    <w:p w14:paraId="4788D311" w14:textId="77777777" w:rsidR="008466F2" w:rsidRPr="00556C42" w:rsidRDefault="008466F2">
      <w:pPr>
        <w:pStyle w:val="AISpacer"/>
        <w:widowControl w:val="0"/>
      </w:pPr>
    </w:p>
    <w:p w14:paraId="671616FA" w14:textId="77777777" w:rsidR="008466F2" w:rsidRPr="00556C42" w:rsidRDefault="008466F2">
      <w:pPr>
        <w:pStyle w:val="AISpacer"/>
      </w:pPr>
    </w:p>
    <w:tbl>
      <w:tblPr>
        <w:tblW w:w="1024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094"/>
        <w:gridCol w:w="4146"/>
      </w:tblGrid>
      <w:tr w:rsidR="008466F2" w:rsidRPr="00264379" w14:paraId="41E851A8" w14:textId="77777777" w:rsidTr="00D13008">
        <w:trPr>
          <w:trHeight w:val="1531"/>
        </w:trPr>
        <w:tc>
          <w:tcPr>
            <w:tcW w:w="609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7C72EC" w14:textId="77777777" w:rsidR="008466F2" w:rsidRPr="00264379" w:rsidRDefault="000D33BB">
            <w:pPr>
              <w:pStyle w:val="AFCorN12Bold"/>
              <w:rPr>
                <w:lang w:val="ru-RU"/>
              </w:rPr>
            </w:pPr>
            <w:r>
              <w:rPr>
                <w:bCs/>
                <w:lang w:val="ru"/>
              </w:rPr>
              <w:t xml:space="preserve">Конференция Сторон </w:t>
            </w:r>
            <w:r>
              <w:rPr>
                <w:b w:val="0"/>
                <w:lang w:val="ru"/>
              </w:rPr>
              <w:br/>
            </w:r>
            <w:r>
              <w:rPr>
                <w:bCs/>
                <w:lang w:val="ru"/>
              </w:rPr>
              <w:t xml:space="preserve">Конвенции о биологическом разнообразии </w:t>
            </w:r>
          </w:p>
          <w:p w14:paraId="2251BC7A" w14:textId="77777777" w:rsidR="008466F2" w:rsidRPr="00264379" w:rsidRDefault="000D33BB">
            <w:pPr>
              <w:pStyle w:val="AFCorNBold"/>
              <w:rPr>
                <w:lang w:val="ru-RU"/>
              </w:rPr>
            </w:pPr>
            <w:r>
              <w:rPr>
                <w:bCs/>
                <w:lang w:val="ru"/>
              </w:rPr>
              <w:t xml:space="preserve">Семнадцатое совещание </w:t>
            </w:r>
          </w:p>
          <w:p w14:paraId="34B847A6" w14:textId="77777777" w:rsidR="008466F2" w:rsidRPr="00264379" w:rsidRDefault="000D33BB">
            <w:pPr>
              <w:pStyle w:val="AFCorNNormal"/>
              <w:rPr>
                <w:lang w:val="ru-RU"/>
              </w:rPr>
            </w:pPr>
            <w:r>
              <w:rPr>
                <w:lang w:val="ru"/>
              </w:rPr>
              <w:t xml:space="preserve">Ереван, </w:t>
            </w:r>
            <w:r>
              <w:rPr>
                <w:kern w:val="22"/>
                <w:lang w:val="ru"/>
              </w:rPr>
              <w:t>19–30 октября 2026 года</w:t>
            </w:r>
          </w:p>
          <w:p w14:paraId="1CA16F0B" w14:textId="02FAED5E" w:rsidR="008466F2" w:rsidRPr="00264379" w:rsidRDefault="000D33BB">
            <w:pPr>
              <w:pStyle w:val="AFCorNNormal"/>
              <w:rPr>
                <w:lang w:val="ru-RU"/>
              </w:rPr>
            </w:pPr>
            <w:r>
              <w:rPr>
                <w:lang w:val="ru"/>
              </w:rPr>
              <w:t>Пункт 11 предварительной повестки дня</w:t>
            </w:r>
            <w:r>
              <w:rPr>
                <w:rStyle w:val="FootnoteReference"/>
                <w:lang w:val="ru"/>
              </w:rPr>
              <w:footnoteReference w:customMarkFollows="1" w:id="2"/>
              <w:t>*</w:t>
            </w:r>
          </w:p>
          <w:p w14:paraId="782DB443" w14:textId="41C5E22A" w:rsidR="008466F2" w:rsidRPr="00264379" w:rsidRDefault="000D33BB" w:rsidP="004E5670">
            <w:pPr>
              <w:pStyle w:val="AFCorNBold"/>
              <w:rPr>
                <w:lang w:val="ru-RU"/>
              </w:rPr>
            </w:pPr>
            <w:r>
              <w:rPr>
                <w:bCs/>
                <w:lang w:val="ru"/>
              </w:rPr>
              <w:t>Цифровая информация о последовательностях в отношении генетических ресурсов</w:t>
            </w:r>
          </w:p>
        </w:tc>
        <w:tc>
          <w:tcPr>
            <w:tcW w:w="414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69622F" w14:textId="77777777" w:rsidR="008466F2" w:rsidRPr="00264379" w:rsidRDefault="008466F2">
            <w:pPr>
              <w:rPr>
                <w:lang w:val="ru-RU"/>
              </w:rPr>
            </w:pPr>
          </w:p>
        </w:tc>
      </w:tr>
    </w:tbl>
    <w:p w14:paraId="089176CC" w14:textId="77777777" w:rsidR="008466F2" w:rsidRPr="00264379" w:rsidRDefault="008466F2">
      <w:pPr>
        <w:pStyle w:val="AISpacer"/>
        <w:widowControl w:val="0"/>
        <w:rPr>
          <w:lang w:val="ru-RU"/>
        </w:rPr>
      </w:pPr>
    </w:p>
    <w:p w14:paraId="4F871EA4" w14:textId="2FFB7890" w:rsidR="008466F2" w:rsidRPr="00264379" w:rsidRDefault="000D33BB">
      <w:pPr>
        <w:pStyle w:val="CBDTitle"/>
        <w:rPr>
          <w:caps/>
          <w:lang w:val="ru-RU"/>
        </w:rPr>
      </w:pPr>
      <w:r>
        <w:rPr>
          <w:bCs/>
          <w:lang w:val="ru"/>
        </w:rPr>
        <w:t>Цифровая информация о последовательностях в отношении генетических ресурсов</w:t>
      </w:r>
      <w:r>
        <w:rPr>
          <w:bCs/>
          <w:caps/>
          <w:lang w:val="ru"/>
        </w:rPr>
        <w:t xml:space="preserve"> </w:t>
      </w:r>
    </w:p>
    <w:p w14:paraId="0DAF4BB4" w14:textId="77777777" w:rsidR="008466F2" w:rsidRPr="00556C42" w:rsidRDefault="000D33BB">
      <w:pPr>
        <w:pStyle w:val="CBDSubTitle"/>
      </w:pPr>
      <w:r>
        <w:rPr>
          <w:bCs/>
          <w:lang w:val="ru"/>
        </w:rPr>
        <w:t>Записка секретариата</w:t>
      </w:r>
    </w:p>
    <w:p w14:paraId="18F7EEDE" w14:textId="77777777" w:rsidR="008466F2" w:rsidRPr="00556C42" w:rsidRDefault="000D33BB">
      <w:pPr>
        <w:pStyle w:val="CBDH1"/>
      </w:pPr>
      <w:r>
        <w:rPr>
          <w:bCs/>
          <w:lang w:val="ru"/>
        </w:rPr>
        <w:t>I.</w:t>
      </w:r>
      <w:r>
        <w:rPr>
          <w:bCs/>
          <w:lang w:val="ru"/>
        </w:rPr>
        <w:tab/>
        <w:t>Введение</w:t>
      </w:r>
    </w:p>
    <w:p w14:paraId="7A937025" w14:textId="2C0CB1CF" w:rsidR="008466F2" w:rsidRPr="00264379" w:rsidRDefault="000D33BB" w:rsidP="004E5670">
      <w:pPr>
        <w:pStyle w:val="CBDNormalNumber"/>
        <w:rPr>
          <w:lang w:val="ru-RU"/>
        </w:rPr>
      </w:pPr>
      <w:r>
        <w:rPr>
          <w:lang w:val="ru"/>
        </w:rPr>
        <w:t xml:space="preserve">В своем решении </w:t>
      </w:r>
      <w:hyperlink r:id="rId14" w:history="1">
        <w:r>
          <w:rPr>
            <w:rStyle w:val="Hyperlink0"/>
            <w:rFonts w:eastAsia="Arial Unicode MS"/>
            <w:lang w:val="ru"/>
          </w:rPr>
          <w:t>16/2</w:t>
        </w:r>
      </w:hyperlink>
      <w:r>
        <w:rPr>
          <w:lang w:val="ru"/>
        </w:rPr>
        <w:t xml:space="preserve"> Конференция Сторон на своем 16-м совещании приняла условия функционирования многостороннего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ресурсов, включая </w:t>
      </w:r>
      <w:proofErr w:type="spellStart"/>
      <w:r>
        <w:rPr>
          <w:lang w:val="ru"/>
        </w:rPr>
        <w:t>Калийский</w:t>
      </w:r>
      <w:proofErr w:type="spellEnd"/>
      <w:r>
        <w:rPr>
          <w:lang w:val="ru"/>
        </w:rPr>
        <w:t xml:space="preserve"> фонд, как изложено в приложении к этому решению.</w:t>
      </w:r>
    </w:p>
    <w:p w14:paraId="05422FCF" w14:textId="6BA83128" w:rsidR="008466F2" w:rsidRPr="00264379" w:rsidRDefault="00455FC4" w:rsidP="004E5670">
      <w:pPr>
        <w:pStyle w:val="CBDNormalNumber"/>
        <w:rPr>
          <w:lang w:val="ru-RU"/>
        </w:rPr>
      </w:pPr>
      <w:r>
        <w:rPr>
          <w:lang w:val="ru"/>
        </w:rPr>
        <w:t>В том же решении был определен ряд задач, касающихся цифровой информации о последовательностях в отношении генетических ресурсов, которые надлежало выполнить до настоящего совещания Конференции Сторон. Вспомогательный орган по осуществлению на своем 7-м</w:t>
      </w:r>
      <w:r w:rsidR="000B50FD">
        <w:rPr>
          <w:lang w:val="fr-CA"/>
        </w:rPr>
        <w:t> </w:t>
      </w:r>
      <w:r>
        <w:rPr>
          <w:lang w:val="ru"/>
        </w:rPr>
        <w:t>совещании рассмотрел результаты выполнения нескольких из этих задач, содержащиеся в подготовленной секретариатом документации</w:t>
      </w:r>
      <w:r>
        <w:rPr>
          <w:vertAlign w:val="superscript"/>
          <w:lang w:val="ru"/>
        </w:rPr>
        <w:footnoteReference w:id="3"/>
      </w:r>
      <w:r w:rsidR="0077000F">
        <w:rPr>
          <w:lang w:val="ru"/>
        </w:rPr>
        <w:t>.</w:t>
      </w:r>
      <w:r>
        <w:rPr>
          <w:lang w:val="ru"/>
        </w:rPr>
        <w:t xml:space="preserve"> Впоследствии Вспомогательный орган принял рекомендацию </w:t>
      </w:r>
      <w:hyperlink r:id="rId15" w:history="1">
        <w:r>
          <w:rPr>
            <w:rStyle w:val="Hyperlink"/>
            <w:lang w:val="ru"/>
          </w:rPr>
          <w:t>7/4</w:t>
        </w:r>
      </w:hyperlink>
      <w:r>
        <w:rPr>
          <w:lang w:val="ru"/>
        </w:rPr>
        <w:t>, в которую включены элементы проекта решения для дальнейшего рассмотрения Конференцией Сторон на настоящем совещании.</w:t>
      </w:r>
    </w:p>
    <w:p w14:paraId="5730CF1F" w14:textId="5FDBCB16" w:rsidR="008466F2" w:rsidRPr="00556C42" w:rsidRDefault="00055F9D" w:rsidP="004E5670">
      <w:pPr>
        <w:pStyle w:val="CBDNormalNumber"/>
      </w:pPr>
      <w:r>
        <w:rPr>
          <w:lang w:val="ru"/>
        </w:rPr>
        <w:t>Настоящая записка посвящена задачам, результаты выполнения которых должны были быть рассмотрены Конференцией Сторон на ее настоящем совещании без их предварительного рассмотрения Вспомогательным органом. Эти задачи кратко изложены ниже.</w:t>
      </w:r>
    </w:p>
    <w:p w14:paraId="0686B793" w14:textId="5B5CFCF4" w:rsidR="008466F2" w:rsidRPr="00264379" w:rsidRDefault="000D33BB" w:rsidP="004E5670">
      <w:pPr>
        <w:pStyle w:val="CBDNormalNumber"/>
        <w:keepNext/>
        <w:rPr>
          <w:lang w:val="ru-RU"/>
        </w:rPr>
      </w:pPr>
      <w:r>
        <w:rPr>
          <w:lang w:val="ru"/>
        </w:rPr>
        <w:t>В пункте 6 решения </w:t>
      </w:r>
      <w:hyperlink r:id="rId16" w:history="1">
        <w:r>
          <w:rPr>
            <w:rStyle w:val="Hyperlink"/>
            <w:lang w:val="ru"/>
          </w:rPr>
          <w:t>16/2</w:t>
        </w:r>
      </w:hyperlink>
      <w:r>
        <w:rPr>
          <w:lang w:val="ru"/>
        </w:rPr>
        <w:t xml:space="preserve"> Конференция Сторон поручила Исполнительному секретарю при условии наличия ресурсов:</w:t>
      </w:r>
    </w:p>
    <w:p w14:paraId="793D37AC" w14:textId="7C9BBF3D" w:rsidR="008466F2" w:rsidRPr="00264379" w:rsidRDefault="000D33BB" w:rsidP="00BB063C">
      <w:pPr>
        <w:pStyle w:val="CBDNormalNumber"/>
        <w:numPr>
          <w:ilvl w:val="1"/>
          <w:numId w:val="2"/>
        </w:numPr>
        <w:ind w:left="567" w:firstLine="567"/>
        <w:rPr>
          <w:lang w:val="ru-RU"/>
        </w:rPr>
      </w:pPr>
      <w:r>
        <w:rPr>
          <w:lang w:val="ru"/>
        </w:rPr>
        <w:t xml:space="preserve">подготовить исследование по национальным и международным стандартам для идентификации малых, средних и крупных предприятий, упомянутых в пункте 3 условий функционирования многостороннего механизма, включая </w:t>
      </w:r>
      <w:proofErr w:type="spellStart"/>
      <w:r>
        <w:rPr>
          <w:lang w:val="ru"/>
        </w:rPr>
        <w:t>Калийский</w:t>
      </w:r>
      <w:proofErr w:type="spellEnd"/>
      <w:r>
        <w:rPr>
          <w:lang w:val="ru"/>
        </w:rPr>
        <w:t xml:space="preserve"> фонд, в которых оговорен размер взносов в </w:t>
      </w:r>
      <w:proofErr w:type="spellStart"/>
      <w:r>
        <w:rPr>
          <w:lang w:val="ru"/>
        </w:rPr>
        <w:t>Калийский</w:t>
      </w:r>
      <w:proofErr w:type="spellEnd"/>
      <w:r>
        <w:rPr>
          <w:lang w:val="ru"/>
        </w:rPr>
        <w:t xml:space="preserve"> фонд (подпункт 6 d));</w:t>
      </w:r>
    </w:p>
    <w:p w14:paraId="3C8DC74F" w14:textId="725608B7" w:rsidR="008466F2" w:rsidRPr="00264379" w:rsidRDefault="000D33BB" w:rsidP="00BB063C">
      <w:pPr>
        <w:pStyle w:val="CBDNormalNumber"/>
        <w:numPr>
          <w:ilvl w:val="1"/>
          <w:numId w:val="2"/>
        </w:numPr>
        <w:ind w:left="567" w:firstLine="567"/>
        <w:rPr>
          <w:lang w:val="ru-RU"/>
        </w:rPr>
      </w:pPr>
      <w:r>
        <w:rPr>
          <w:lang w:val="ru"/>
        </w:rPr>
        <w:lastRenderedPageBreak/>
        <w:t>провести исследование в отношении ставок взносов, включая последствия для</w:t>
      </w:r>
      <w:r w:rsidR="0077000F">
        <w:rPr>
          <w:lang w:val="ru"/>
        </w:rPr>
        <w:t xml:space="preserve"> </w:t>
      </w:r>
      <w:r>
        <w:rPr>
          <w:lang w:val="ru"/>
        </w:rPr>
        <w:t>получения доходов и экономической конкурентоспособности (подпункт 6 e)).</w:t>
      </w:r>
    </w:p>
    <w:p w14:paraId="2623E510" w14:textId="63BE806A" w:rsidR="008466F2" w:rsidRPr="00264379" w:rsidRDefault="000D33BB" w:rsidP="004E5670">
      <w:pPr>
        <w:pStyle w:val="CBDNormalNumber"/>
        <w:rPr>
          <w:lang w:val="ru-RU"/>
        </w:rPr>
      </w:pPr>
      <w:r>
        <w:rPr>
          <w:lang w:val="ru"/>
        </w:rPr>
        <w:t>В пункте 19 условий функционирования, приведенных в приложении к решению </w:t>
      </w:r>
      <w:hyperlink r:id="rId17" w:history="1">
        <w:r>
          <w:rPr>
            <w:rStyle w:val="Hyperlink"/>
            <w:lang w:val="ru"/>
          </w:rPr>
          <w:t>16/2</w:t>
        </w:r>
      </w:hyperlink>
      <w:r>
        <w:rPr>
          <w:lang w:val="ru"/>
        </w:rPr>
        <w:t xml:space="preserve">, Конференция Сторон учредила Специальную группу технических экспертов по методике ассигнования средств с кругом ведения, приведенным в добавлении III к приложению. В соответствии с кругом ведения этой группе было поручено разработать на основе критериев, установленных в добавлении II к приложению, методику ассигнования средств </w:t>
      </w:r>
      <w:proofErr w:type="spellStart"/>
      <w:r>
        <w:rPr>
          <w:lang w:val="ru"/>
        </w:rPr>
        <w:t>Калийского</w:t>
      </w:r>
      <w:proofErr w:type="spellEnd"/>
      <w:r>
        <w:rPr>
          <w:lang w:val="ru"/>
        </w:rPr>
        <w:t xml:space="preserve"> фонда и предоставить технические консультации и руководящие указания по остающимся и нерешенным вопросам, связанным с выделением средств. Согласно пункту 19 условий функционирования на настоящем совещании Конференция Сторон определит формулу распределения на основе итогов работы группы.</w:t>
      </w:r>
    </w:p>
    <w:p w14:paraId="4A17559A" w14:textId="5665A0E9" w:rsidR="008466F2" w:rsidRPr="00264379" w:rsidRDefault="007A399B" w:rsidP="004E5670">
      <w:pPr>
        <w:pStyle w:val="CBDNormalNumber"/>
        <w:rPr>
          <w:lang w:val="ru-RU"/>
        </w:rPr>
      </w:pPr>
      <w:r>
        <w:rPr>
          <w:lang w:val="ru"/>
        </w:rPr>
        <w:t xml:space="preserve">В соответствии с пунктом 28 условий функционирования был учрежден руководящий комитет многостороннего механизма, включая </w:t>
      </w:r>
      <w:proofErr w:type="spellStart"/>
      <w:r>
        <w:rPr>
          <w:lang w:val="ru"/>
        </w:rPr>
        <w:t>Калийский</w:t>
      </w:r>
      <w:proofErr w:type="spellEnd"/>
      <w:r>
        <w:rPr>
          <w:lang w:val="ru"/>
        </w:rPr>
        <w:t xml:space="preserve"> фонд, состав и круг ведения которого приводятся в добавлении IV к приложению. Согласно подпункту 1 c) его круга ведения в обязанности руководящего комитета входит представление докладов и рекомендаций Конференции Сторон.</w:t>
      </w:r>
    </w:p>
    <w:p w14:paraId="7C3BD706" w14:textId="4F897CD0" w:rsidR="008466F2" w:rsidRPr="00264379" w:rsidRDefault="000D33BB" w:rsidP="004E5670">
      <w:pPr>
        <w:pStyle w:val="CBDNormalNumber"/>
        <w:rPr>
          <w:lang w:val="ru-RU"/>
        </w:rPr>
      </w:pPr>
      <w:r>
        <w:rPr>
          <w:lang w:val="ru"/>
        </w:rPr>
        <w:t>В настоящей записке содержится краткий обзор результатов работы, проведенной во исполнение задач, описанных в пунктах 4–6 выше, и включает элементы проекта решения, которые дополняют элементы, разработанные Вспомогательным органом по осуществлению на его 7-м совещании и включенные в его рекомендацию 7/4. Сводные элементы проекта решения приводятся в сборнике проектов решений, содержащемся в документе CBD/COP/17/2.</w:t>
      </w:r>
    </w:p>
    <w:p w14:paraId="1EB4F878" w14:textId="6F70D489" w:rsidR="008466F2" w:rsidRPr="00264379" w:rsidRDefault="00BE49A0" w:rsidP="004E5670">
      <w:pPr>
        <w:pStyle w:val="CBDH1"/>
        <w:rPr>
          <w:lang w:val="ru-RU"/>
        </w:rPr>
      </w:pPr>
      <w:r>
        <w:rPr>
          <w:bCs/>
          <w:lang w:val="ru"/>
        </w:rPr>
        <w:t>II.</w:t>
      </w:r>
      <w:r>
        <w:rPr>
          <w:bCs/>
          <w:lang w:val="ru"/>
        </w:rPr>
        <w:tab/>
        <w:t xml:space="preserve">Исследование в отношении ставок взносов в </w:t>
      </w:r>
      <w:proofErr w:type="spellStart"/>
      <w:r>
        <w:rPr>
          <w:bCs/>
          <w:lang w:val="ru"/>
        </w:rPr>
        <w:t>Калийский</w:t>
      </w:r>
      <w:proofErr w:type="spellEnd"/>
      <w:r>
        <w:rPr>
          <w:bCs/>
          <w:lang w:val="ru"/>
        </w:rPr>
        <w:t xml:space="preserve"> фонд, а также национальных</w:t>
      </w:r>
      <w:r w:rsidR="0077000F">
        <w:rPr>
          <w:bCs/>
          <w:lang w:val="ru"/>
        </w:rPr>
        <w:t xml:space="preserve"> </w:t>
      </w:r>
      <w:r>
        <w:rPr>
          <w:bCs/>
          <w:lang w:val="ru"/>
        </w:rPr>
        <w:t>и международных стандартов для идентификации малых, средних и крупных предприятий</w:t>
      </w:r>
    </w:p>
    <w:p w14:paraId="1FACCDAA" w14:textId="2C605688" w:rsidR="008466F2" w:rsidRPr="00264379" w:rsidRDefault="008A47D1" w:rsidP="004E5670">
      <w:pPr>
        <w:pStyle w:val="CBDNormalNumber"/>
        <w:rPr>
          <w:lang w:val="ru-RU"/>
        </w:rPr>
      </w:pPr>
      <w:r>
        <w:rPr>
          <w:lang w:val="ru"/>
        </w:rPr>
        <w:t xml:space="preserve">Два исследования по вопросам уплаты взносов в </w:t>
      </w:r>
      <w:proofErr w:type="spellStart"/>
      <w:r>
        <w:rPr>
          <w:lang w:val="ru"/>
        </w:rPr>
        <w:t>Калийский</w:t>
      </w:r>
      <w:proofErr w:type="spellEnd"/>
      <w:r>
        <w:rPr>
          <w:lang w:val="ru"/>
        </w:rPr>
        <w:t xml:space="preserve"> фонд, о которых шла речь в подпунктах 6 d) и e) решения </w:t>
      </w:r>
      <w:hyperlink r:id="rId18" w:history="1">
        <w:r>
          <w:rPr>
            <w:rStyle w:val="Hyperlink"/>
            <w:lang w:val="ru"/>
          </w:rPr>
          <w:t>1</w:t>
        </w:r>
        <w:r>
          <w:rPr>
            <w:rStyle w:val="Hyperlink"/>
            <w:lang w:val="ru"/>
          </w:rPr>
          <w:t>6</w:t>
        </w:r>
        <w:r>
          <w:rPr>
            <w:rStyle w:val="Hyperlink"/>
            <w:lang w:val="ru"/>
          </w:rPr>
          <w:t>/2</w:t>
        </w:r>
      </w:hyperlink>
      <w:r>
        <w:rPr>
          <w:lang w:val="ru"/>
        </w:rPr>
        <w:t>, были объединены ввиду ограниченности ресурсов и наличия взаимосвязи между предметами исследований. В уведомлении № </w:t>
      </w:r>
      <w:hyperlink r:id="rId19" w:history="1">
        <w:r>
          <w:rPr>
            <w:rStyle w:val="Hyperlink0"/>
            <w:rFonts w:eastAsia="Arial Unicode MS"/>
            <w:lang w:val="ru"/>
          </w:rPr>
          <w:t>2024-116</w:t>
        </w:r>
      </w:hyperlink>
      <w:r>
        <w:rPr>
          <w:lang w:val="ru"/>
        </w:rPr>
        <w:t xml:space="preserve"> Сторонам, правительствам других стран, коренным народам и местным общинам, а также соответствующим организациям было предложено представить информацию о национальных, региональных или международных стандартах в отношении пороговых критериев для определения малых, средних и крупных предприятий. Полученные в ответ материалы размещены на веб-странице уведомления и были учтены при подготовке исследования. Кроме того, в уведомлении № </w:t>
      </w:r>
      <w:hyperlink r:id="rId20" w:history="1">
        <w:r>
          <w:rPr>
            <w:rStyle w:val="Hyperlink0"/>
            <w:rFonts w:eastAsia="Arial Unicode MS"/>
            <w:lang w:val="ru"/>
          </w:rPr>
          <w:t>2026-050</w:t>
        </w:r>
      </w:hyperlink>
      <w:r w:rsidR="00C379CA" w:rsidRPr="00C379CA">
        <w:rPr>
          <w:lang w:val="ru-RU"/>
        </w:rPr>
        <w:t xml:space="preserve"> </w:t>
      </w:r>
      <w:r>
        <w:rPr>
          <w:lang w:val="ru"/>
        </w:rPr>
        <w:t xml:space="preserve">Сторонам, правительствам других стран, коренным народам и местным общинам, а также соответствующим организациям было предложено принять участие в коллегиальном обзоре первого проекта исследования и представить свои замечания к 6 июля 2026 года. </w:t>
      </w:r>
    </w:p>
    <w:p w14:paraId="435AC3D5" w14:textId="2EF674A5" w:rsidR="008466F2" w:rsidRPr="00556C42" w:rsidRDefault="000D33BB" w:rsidP="004E5670">
      <w:pPr>
        <w:pStyle w:val="CBDNormalNumber"/>
        <w:keepNext/>
      </w:pPr>
      <w:r>
        <w:rPr>
          <w:lang w:val="ru"/>
        </w:rPr>
        <w:t xml:space="preserve">Оценки, представленные в исследовании, носят характер иллюстративных аналитических сценариев и не должны рассматриваться в качестве прогнозов. К числу выявленных недостатков относятся: </w:t>
      </w:r>
    </w:p>
    <w:p w14:paraId="0C178A63" w14:textId="73FE5C32" w:rsidR="008466F2" w:rsidRPr="00264379" w:rsidRDefault="00DB2258" w:rsidP="00BB063C">
      <w:pPr>
        <w:pStyle w:val="CBDNormalNumber"/>
        <w:numPr>
          <w:ilvl w:val="0"/>
          <w:numId w:val="130"/>
        </w:numPr>
        <w:ind w:left="567" w:firstLine="567"/>
        <w:rPr>
          <w:lang w:val="ru-RU"/>
        </w:rPr>
      </w:pPr>
      <w:r>
        <w:rPr>
          <w:lang w:val="ru"/>
        </w:rPr>
        <w:t>нехватка важных в коммерческом отношении данных на глобальном уровне, что может быть обусловлено различиями в степени охвата и консолидации данных в разных странах;</w:t>
      </w:r>
    </w:p>
    <w:p w14:paraId="7E24C0CB" w14:textId="0023ED98" w:rsidR="008466F2" w:rsidRPr="00264379" w:rsidRDefault="00DB2258" w:rsidP="00BB063C">
      <w:pPr>
        <w:pStyle w:val="CBDNormalNumber"/>
        <w:numPr>
          <w:ilvl w:val="0"/>
          <w:numId w:val="130"/>
        </w:numPr>
        <w:ind w:left="567" w:firstLine="567"/>
        <w:rPr>
          <w:lang w:val="ru-RU"/>
        </w:rPr>
      </w:pPr>
      <w:r>
        <w:rPr>
          <w:lang w:val="ru"/>
        </w:rPr>
        <w:t>отраслевой анализ не всегда имеет отношение к интенсивности использования цифровой информации о последовательностях в отношении генетических ресурсов в каждом конкретном секторе и на соответствующих крупных предприятиях и может не в полной мере соответствовать кодам стандартной отраслевой классификации, используемым для сбора данных;</w:t>
      </w:r>
    </w:p>
    <w:p w14:paraId="63051ADD" w14:textId="7D5E8468" w:rsidR="008466F2" w:rsidRPr="00264379" w:rsidRDefault="00FF2C73" w:rsidP="00BB063C">
      <w:pPr>
        <w:pStyle w:val="CBDNormalNumber"/>
        <w:numPr>
          <w:ilvl w:val="0"/>
          <w:numId w:val="130"/>
        </w:numPr>
        <w:ind w:left="567" w:firstLine="567"/>
        <w:rPr>
          <w:lang w:val="ru-RU"/>
        </w:rPr>
      </w:pPr>
      <w:r>
        <w:rPr>
          <w:lang w:val="ru"/>
        </w:rPr>
        <w:lastRenderedPageBreak/>
        <w:t xml:space="preserve">отсутствие данных о фактически наблюдаемом поведении участников, обусловленное тем, что </w:t>
      </w:r>
      <w:proofErr w:type="spellStart"/>
      <w:r>
        <w:rPr>
          <w:lang w:val="ru"/>
        </w:rPr>
        <w:t>Калийский</w:t>
      </w:r>
      <w:proofErr w:type="spellEnd"/>
      <w:r>
        <w:rPr>
          <w:lang w:val="ru"/>
        </w:rPr>
        <w:t xml:space="preserve"> фонд находится на начальном этапе своего функционирования, а также недостаточное число ответов на опросник консультанта для проведения статистически значимого анализа.</w:t>
      </w:r>
    </w:p>
    <w:p w14:paraId="55E47882" w14:textId="6F730AC4" w:rsidR="008466F2" w:rsidRPr="00556C42" w:rsidRDefault="000D33BB" w:rsidP="004E5670">
      <w:pPr>
        <w:pStyle w:val="CBDNormalNumber"/>
      </w:pPr>
      <w:r>
        <w:rPr>
          <w:lang w:val="ru"/>
        </w:rPr>
        <w:t xml:space="preserve">Что касается критериев отбора и пороговых значений для определения предприятий, которые, как ожидается, сделают взносы в Фонд, то было рассмотрено семь вариантов, касающихся категорий взносов, критериев прибыльности, отраслевых различий и введения критерия численности сотрудников. Вместе с тем отмечалось, что между национальными юрисдикциями существуют различия, порой весьма значительные, в отношении таких пороговых значений, которые тесно связаны с национальными условиями и соответствующими способами защиты малых и средних предприятий. Эти наблюдения были учтены в проекте решения. </w:t>
      </w:r>
    </w:p>
    <w:p w14:paraId="38F00678" w14:textId="1715BECF" w:rsidR="008466F2" w:rsidRPr="00264379" w:rsidRDefault="000D33BB" w:rsidP="004E5670">
      <w:pPr>
        <w:pStyle w:val="CBDNormalNumber"/>
        <w:rPr>
          <w:lang w:val="ru-RU"/>
        </w:rPr>
      </w:pPr>
      <w:r>
        <w:rPr>
          <w:lang w:val="ru"/>
        </w:rPr>
        <w:t xml:space="preserve">Согласно исследованию, полное соблюдение требований всеми идентифицированными предприятиями приносило бы 3,65 млрд долл. США ежегодно. Средняя оценка после корректировки с учетом степени участия различных секторов, структуры собственности предприятий и интенсивности использования цифровой информации о последовательностях в отношении генетических ресурсов (моделирующая расчет взносов на уровне продукции) составляет 929 млн долл. США ежегодно. Кроме того, степень участия, аналогичная той, что наблюдается в наиболее схожем с </w:t>
      </w:r>
      <w:proofErr w:type="spellStart"/>
      <w:r>
        <w:rPr>
          <w:lang w:val="ru"/>
        </w:rPr>
        <w:t>Калийским</w:t>
      </w:r>
      <w:proofErr w:type="spellEnd"/>
      <w:r>
        <w:rPr>
          <w:lang w:val="ru"/>
        </w:rPr>
        <w:t xml:space="preserve"> фондом финансовом механизме, а именно в Многосторонней системе доступа к генетическим ресурсам растений и распределения выгод в рамках Международного договора о генетических ресурсах растений для производства продовольствия и ведения сельского хозяйства, обеспечила бы поступление взносов в размере 5 млн долл. США ежегодно, подтверждая таким образом, что степень участия играет более важную роль в формировании доходного потенциала </w:t>
      </w:r>
      <w:proofErr w:type="spellStart"/>
      <w:r>
        <w:rPr>
          <w:lang w:val="ru"/>
        </w:rPr>
        <w:t>Калийского</w:t>
      </w:r>
      <w:proofErr w:type="spellEnd"/>
      <w:r>
        <w:rPr>
          <w:lang w:val="ru"/>
        </w:rPr>
        <w:t xml:space="preserve"> фонда, чем ставки взносов. В исследовании отмечается, что на степень участия могут влиять не только ставки взносов, но и неурегулированные вопросы в отношении структуры </w:t>
      </w:r>
      <w:proofErr w:type="spellStart"/>
      <w:r>
        <w:rPr>
          <w:lang w:val="ru"/>
        </w:rPr>
        <w:t>Калийского</w:t>
      </w:r>
      <w:proofErr w:type="spellEnd"/>
      <w:r>
        <w:rPr>
          <w:lang w:val="ru"/>
        </w:rPr>
        <w:t xml:space="preserve"> фонда, в том числе юридическая сила выдаваемых </w:t>
      </w:r>
      <w:proofErr w:type="spellStart"/>
      <w:r>
        <w:rPr>
          <w:lang w:val="ru"/>
        </w:rPr>
        <w:t>Калийским</w:t>
      </w:r>
      <w:proofErr w:type="spellEnd"/>
      <w:r>
        <w:rPr>
          <w:lang w:val="ru"/>
        </w:rPr>
        <w:t xml:space="preserve"> фондом сертификатов, информационная асимметрия в вопросах использования цифровой информации о последовательностях в отношении генетических ресурсов, а также отсутствие четкого понимания сферы охвата взносов. В исследовании подчеркивается, что изменение пороговых значений, скорее всего, не окажет серьезного воздействия на общий объем доходов, что свидетельствует об их большей значимости для структуры управления, нежели для финансовых результатов.</w:t>
      </w:r>
    </w:p>
    <w:p w14:paraId="6B34EB01" w14:textId="073D21BB" w:rsidR="008466F2" w:rsidRPr="00264379" w:rsidRDefault="00BB5EAC" w:rsidP="004E5670">
      <w:pPr>
        <w:pStyle w:val="CBDNormalNumber"/>
        <w:rPr>
          <w:lang w:val="ru-RU"/>
        </w:rPr>
      </w:pPr>
      <w:r>
        <w:rPr>
          <w:lang w:val="ru"/>
        </w:rPr>
        <w:t xml:space="preserve">Кроме того, результаты исследования показывают, что участие фармацевтического сектора и небольшого числа юрисдикций существенно сказывается на предсказуемости взносов. В связи с этим на начальных этапах </w:t>
      </w:r>
      <w:r w:rsidR="00AD749E">
        <w:rPr>
          <w:lang w:val="ru-RU"/>
        </w:rPr>
        <w:t xml:space="preserve">функционирования </w:t>
      </w:r>
      <w:r>
        <w:rPr>
          <w:lang w:val="ru"/>
        </w:rPr>
        <w:t xml:space="preserve">Фонда можно было бы рассматривать стратегию его </w:t>
      </w:r>
      <w:r w:rsidR="00AD749E">
        <w:rPr>
          <w:lang w:val="ru"/>
        </w:rPr>
        <w:t xml:space="preserve">целевого </w:t>
      </w:r>
      <w:r>
        <w:rPr>
          <w:lang w:val="ru"/>
        </w:rPr>
        <w:t xml:space="preserve">пополнения. </w:t>
      </w:r>
    </w:p>
    <w:p w14:paraId="68287527" w14:textId="3A458330" w:rsidR="008466F2" w:rsidRPr="00264379" w:rsidRDefault="000D33BB" w:rsidP="004E5670">
      <w:pPr>
        <w:pStyle w:val="CBDNormalNumber"/>
        <w:rPr>
          <w:lang w:val="ru-RU"/>
        </w:rPr>
      </w:pPr>
      <w:r>
        <w:rPr>
          <w:lang w:val="ru"/>
        </w:rPr>
        <w:t>Наконец, для пяти из семи секторов, указанных в добавлении I к приложению в решении </w:t>
      </w:r>
      <w:hyperlink r:id="rId21" w:history="1">
        <w:r>
          <w:rPr>
            <w:rStyle w:val="Hyperlink"/>
            <w:lang w:val="ru"/>
          </w:rPr>
          <w:t>1</w:t>
        </w:r>
        <w:r>
          <w:rPr>
            <w:rStyle w:val="Hyperlink"/>
            <w:lang w:val="ru"/>
          </w:rPr>
          <w:t>6</w:t>
        </w:r>
        <w:r>
          <w:rPr>
            <w:rStyle w:val="Hyperlink"/>
            <w:lang w:val="ru"/>
          </w:rPr>
          <w:t>/</w:t>
        </w:r>
        <w:r>
          <w:rPr>
            <w:rStyle w:val="Hyperlink"/>
            <w:lang w:val="ru"/>
          </w:rPr>
          <w:t>2</w:t>
        </w:r>
      </w:hyperlink>
      <w:r>
        <w:rPr>
          <w:lang w:val="ru"/>
        </w:rPr>
        <w:t xml:space="preserve">, в особенности для тех из них, которые связаны с информацией и искусственным интеллектом, распределены по всему миру и являются наукоемкими, влияние уплаты взносов в </w:t>
      </w:r>
      <w:proofErr w:type="spellStart"/>
      <w:r>
        <w:rPr>
          <w:lang w:val="ru"/>
        </w:rPr>
        <w:t>Калийский</w:t>
      </w:r>
      <w:proofErr w:type="spellEnd"/>
      <w:r>
        <w:rPr>
          <w:lang w:val="ru"/>
        </w:rPr>
        <w:t xml:space="preserve"> фонд на конкурентоспособность предприятий главным образом обусловлено различиями между предприятиями со штаб-квартирами в государствах</w:t>
      </w:r>
      <w:r w:rsidR="00AD749E">
        <w:rPr>
          <w:lang w:val="ru"/>
        </w:rPr>
        <w:t xml:space="preserve"> из числа Сторон и в государствах</w:t>
      </w:r>
      <w:r>
        <w:rPr>
          <w:lang w:val="ru"/>
        </w:rPr>
        <w:t xml:space="preserve">, не являющихся Сторонами, а также разницей в ожиданиях в связи со сделанными ими взносами в Фонд. </w:t>
      </w:r>
    </w:p>
    <w:p w14:paraId="732359AB" w14:textId="5ACA6B2C" w:rsidR="008466F2" w:rsidRPr="00556C42" w:rsidRDefault="000369E6" w:rsidP="004E5670">
      <w:pPr>
        <w:pStyle w:val="CBDNormalNumber"/>
      </w:pPr>
      <w:r>
        <w:rPr>
          <w:lang w:val="ru"/>
        </w:rPr>
        <w:t>Общий вывод исследования заключается в том, что эффективное стимулирование предприятий к участию в работе Фонда и внесению в него взносов достигается в том числ</w:t>
      </w:r>
      <w:r w:rsidR="00AD749E">
        <w:rPr>
          <w:lang w:val="ru"/>
        </w:rPr>
        <w:t>е</w:t>
      </w:r>
      <w:r>
        <w:rPr>
          <w:lang w:val="ru"/>
        </w:rPr>
        <w:t xml:space="preserve"> путем обеспечения юридической силы выдаваемого </w:t>
      </w:r>
      <w:proofErr w:type="spellStart"/>
      <w:r>
        <w:rPr>
          <w:lang w:val="ru"/>
        </w:rPr>
        <w:t>Калийским</w:t>
      </w:r>
      <w:proofErr w:type="spellEnd"/>
      <w:r>
        <w:rPr>
          <w:lang w:val="ru"/>
        </w:rPr>
        <w:t xml:space="preserve"> фондом сертификата, взаимодействия с другими международными площадками во избежание наложения обязательств по уплате взносов, уточнения понятий прямого и косвенного использования цифровой информации о последовательностях и поэтапного применения ставок взносов для стартапов. Этот вывод был учтен при подготовке проекта решения.</w:t>
      </w:r>
    </w:p>
    <w:p w14:paraId="2E33E2AB" w14:textId="6C9B1A65" w:rsidR="008466F2" w:rsidRPr="00264379" w:rsidRDefault="00474237" w:rsidP="004E5670">
      <w:pPr>
        <w:pStyle w:val="CBDNormalNumber"/>
        <w:rPr>
          <w:lang w:val="ru-RU"/>
        </w:rPr>
      </w:pPr>
      <w:r>
        <w:rPr>
          <w:lang w:val="ru"/>
        </w:rPr>
        <w:lastRenderedPageBreak/>
        <w:t>Обзор объединенного исследования представлен в документе </w:t>
      </w:r>
      <w:hyperlink r:id="rId22" w:history="1">
        <w:r>
          <w:rPr>
            <w:rStyle w:val="Hyperlink"/>
            <w:lang w:val="ru"/>
          </w:rPr>
          <w:t>CBD/COP/17/6/Add.3</w:t>
        </w:r>
      </w:hyperlink>
      <w:r>
        <w:rPr>
          <w:lang w:val="ru"/>
        </w:rPr>
        <w:t xml:space="preserve">, а полный текст исследования содержится в информационном документе. </w:t>
      </w:r>
    </w:p>
    <w:p w14:paraId="178B832E" w14:textId="155080DA" w:rsidR="008466F2" w:rsidRPr="00556C42" w:rsidRDefault="00BE49A0" w:rsidP="004E5670">
      <w:pPr>
        <w:pStyle w:val="CBDH1"/>
      </w:pPr>
      <w:r>
        <w:rPr>
          <w:bCs/>
          <w:lang w:val="ru"/>
        </w:rPr>
        <w:t>III.</w:t>
      </w:r>
      <w:r>
        <w:rPr>
          <w:bCs/>
          <w:lang w:val="ru"/>
        </w:rPr>
        <w:tab/>
        <w:t>Методика ассигнования средств</w:t>
      </w:r>
    </w:p>
    <w:p w14:paraId="5E343302" w14:textId="6AFFA901" w:rsidR="008466F2" w:rsidRPr="00264379" w:rsidRDefault="000D33BB" w:rsidP="004E5670">
      <w:pPr>
        <w:pStyle w:val="CBDNormalNumber"/>
        <w:rPr>
          <w:lang w:val="ru-RU"/>
        </w:rPr>
      </w:pPr>
      <w:r>
        <w:rPr>
          <w:lang w:val="ru"/>
        </w:rPr>
        <w:t xml:space="preserve">Методика ассигнования средств </w:t>
      </w:r>
      <w:proofErr w:type="spellStart"/>
      <w:r>
        <w:rPr>
          <w:lang w:val="ru"/>
        </w:rPr>
        <w:t>Калийского</w:t>
      </w:r>
      <w:proofErr w:type="spellEnd"/>
      <w:r>
        <w:rPr>
          <w:lang w:val="ru"/>
        </w:rPr>
        <w:t xml:space="preserve"> фонда, разработанная Специальной группы технических экспертов по методике ассигнования средств, в первую очередь подразумевает ассигнования Сторонам, но может рассматриваться также для ассигнований коренны</w:t>
      </w:r>
      <w:r w:rsidR="00470F3A">
        <w:rPr>
          <w:lang w:val="ru"/>
        </w:rPr>
        <w:t>м</w:t>
      </w:r>
      <w:r>
        <w:rPr>
          <w:lang w:val="ru"/>
        </w:rPr>
        <w:t xml:space="preserve"> народ</w:t>
      </w:r>
      <w:r w:rsidR="00470F3A">
        <w:rPr>
          <w:lang w:val="ru"/>
        </w:rPr>
        <w:t>ам</w:t>
      </w:r>
      <w:r>
        <w:rPr>
          <w:lang w:val="ru"/>
        </w:rPr>
        <w:t xml:space="preserve"> и местны</w:t>
      </w:r>
      <w:r w:rsidR="00470F3A">
        <w:rPr>
          <w:lang w:val="ru"/>
        </w:rPr>
        <w:t>м</w:t>
      </w:r>
      <w:r>
        <w:rPr>
          <w:lang w:val="ru"/>
        </w:rPr>
        <w:t xml:space="preserve"> общин</w:t>
      </w:r>
      <w:r w:rsidR="00470F3A">
        <w:rPr>
          <w:lang w:val="ru"/>
        </w:rPr>
        <w:t>ам</w:t>
      </w:r>
      <w:r>
        <w:rPr>
          <w:lang w:val="ru"/>
        </w:rPr>
        <w:t>.</w:t>
      </w:r>
    </w:p>
    <w:p w14:paraId="1395AF84" w14:textId="4EBB1D8D" w:rsidR="008466F2" w:rsidRPr="00264379" w:rsidRDefault="000D33BB" w:rsidP="004E5670">
      <w:pPr>
        <w:pStyle w:val="CBDNormalNumber"/>
        <w:keepNext/>
        <w:rPr>
          <w:lang w:val="ru-RU"/>
        </w:rPr>
      </w:pPr>
      <w:r>
        <w:rPr>
          <w:lang w:val="ru"/>
        </w:rPr>
        <w:t>Группа согласовала следующие принципы разработки методологии с целью создания основы для своей работы и информационного обеспечения дальнейшей деятельности, связанной с возможным пересмотром формулы ассигнования средств:</w:t>
      </w:r>
    </w:p>
    <w:p w14:paraId="707B21FC" w14:textId="572A3F29" w:rsidR="008466F2" w:rsidRPr="00264379" w:rsidRDefault="00DB2258" w:rsidP="00BB063C">
      <w:pPr>
        <w:pStyle w:val="CBDNormalNumber"/>
        <w:numPr>
          <w:ilvl w:val="0"/>
          <w:numId w:val="129"/>
        </w:numPr>
        <w:ind w:left="567" w:firstLine="567"/>
        <w:rPr>
          <w:lang w:val="ru-RU"/>
        </w:rPr>
      </w:pPr>
      <w:r>
        <w:rPr>
          <w:lang w:val="ru"/>
        </w:rPr>
        <w:t>справедливость, беспристрастность и результативность для обеспечения справедливого распределения ассигнований Сторон</w:t>
      </w:r>
      <w:r w:rsidR="00470F3A">
        <w:rPr>
          <w:lang w:val="ru"/>
        </w:rPr>
        <w:t>ам</w:t>
      </w:r>
      <w:r>
        <w:rPr>
          <w:lang w:val="ru"/>
        </w:rPr>
        <w:t xml:space="preserve"> из числа развивающихся стран, в частности наименее развиты</w:t>
      </w:r>
      <w:r w:rsidR="00470F3A">
        <w:rPr>
          <w:lang w:val="ru"/>
        </w:rPr>
        <w:t>м</w:t>
      </w:r>
      <w:r>
        <w:rPr>
          <w:lang w:val="ru"/>
        </w:rPr>
        <w:t xml:space="preserve"> стран</w:t>
      </w:r>
      <w:r w:rsidR="00470F3A">
        <w:rPr>
          <w:lang w:val="ru"/>
        </w:rPr>
        <w:t>ам</w:t>
      </w:r>
      <w:r>
        <w:rPr>
          <w:lang w:val="ru"/>
        </w:rPr>
        <w:t xml:space="preserve"> и малы</w:t>
      </w:r>
      <w:r w:rsidR="00470F3A">
        <w:rPr>
          <w:lang w:val="ru"/>
        </w:rPr>
        <w:t>м</w:t>
      </w:r>
      <w:r>
        <w:rPr>
          <w:lang w:val="ru"/>
        </w:rPr>
        <w:t xml:space="preserve"> островных развивающи</w:t>
      </w:r>
      <w:r w:rsidR="00470F3A">
        <w:rPr>
          <w:lang w:val="ru"/>
        </w:rPr>
        <w:t>м</w:t>
      </w:r>
      <w:r>
        <w:rPr>
          <w:lang w:val="ru"/>
        </w:rPr>
        <w:t>ся государств</w:t>
      </w:r>
      <w:r w:rsidR="00470F3A">
        <w:rPr>
          <w:lang w:val="ru"/>
        </w:rPr>
        <w:t>ам</w:t>
      </w:r>
      <w:r>
        <w:rPr>
          <w:lang w:val="ru"/>
        </w:rPr>
        <w:t>, на равной основе, а также Сторон</w:t>
      </w:r>
      <w:r w:rsidR="00470F3A">
        <w:rPr>
          <w:lang w:val="ru"/>
        </w:rPr>
        <w:t>ам</w:t>
      </w:r>
      <w:r>
        <w:rPr>
          <w:lang w:val="ru"/>
        </w:rPr>
        <w:t xml:space="preserve"> с переходной экономикой, коренны</w:t>
      </w:r>
      <w:r w:rsidR="00470F3A">
        <w:rPr>
          <w:lang w:val="ru"/>
        </w:rPr>
        <w:t>м</w:t>
      </w:r>
      <w:r>
        <w:rPr>
          <w:lang w:val="ru"/>
        </w:rPr>
        <w:t xml:space="preserve"> народ</w:t>
      </w:r>
      <w:r w:rsidR="00470F3A">
        <w:rPr>
          <w:lang w:val="ru"/>
        </w:rPr>
        <w:t>ам</w:t>
      </w:r>
      <w:r>
        <w:rPr>
          <w:lang w:val="ru"/>
        </w:rPr>
        <w:t xml:space="preserve"> и местны</w:t>
      </w:r>
      <w:r w:rsidR="00470F3A">
        <w:rPr>
          <w:lang w:val="ru"/>
        </w:rPr>
        <w:t>м</w:t>
      </w:r>
      <w:r>
        <w:rPr>
          <w:lang w:val="ru"/>
        </w:rPr>
        <w:t xml:space="preserve"> общин</w:t>
      </w:r>
      <w:r w:rsidR="00470F3A">
        <w:rPr>
          <w:lang w:val="ru"/>
        </w:rPr>
        <w:t>ам</w:t>
      </w:r>
      <w:r>
        <w:rPr>
          <w:lang w:val="ru"/>
        </w:rPr>
        <w:t>, включая женщин и молодежь в этих общинах;</w:t>
      </w:r>
    </w:p>
    <w:p w14:paraId="3ED3A1E1" w14:textId="6B63A0AC" w:rsidR="008466F2" w:rsidRPr="00264379" w:rsidRDefault="00DB2258" w:rsidP="00BB063C">
      <w:pPr>
        <w:pStyle w:val="CBDNormalNumber"/>
        <w:numPr>
          <w:ilvl w:val="0"/>
          <w:numId w:val="129"/>
        </w:numPr>
        <w:ind w:left="567" w:firstLine="567"/>
        <w:rPr>
          <w:lang w:val="ru-RU"/>
        </w:rPr>
      </w:pPr>
      <w:r>
        <w:rPr>
          <w:lang w:val="ru"/>
        </w:rPr>
        <w:t>эффективность, достигаемая путем использования доступных наборов данных и индикаторов, в частности уже принятых Конференцией Сторон с должным учетом соображений устойчивости и ответственного хранения;</w:t>
      </w:r>
    </w:p>
    <w:p w14:paraId="57F60CC7" w14:textId="0AC5DF0A" w:rsidR="008466F2" w:rsidRPr="00264379" w:rsidRDefault="00DB2258" w:rsidP="00BB063C">
      <w:pPr>
        <w:pStyle w:val="CBDNormalNumber"/>
        <w:numPr>
          <w:ilvl w:val="0"/>
          <w:numId w:val="129"/>
        </w:numPr>
        <w:ind w:left="567" w:firstLine="567"/>
        <w:rPr>
          <w:lang w:val="ru-RU"/>
        </w:rPr>
      </w:pPr>
      <w:r>
        <w:rPr>
          <w:lang w:val="ru"/>
        </w:rPr>
        <w:t>транспарентность и доверие для обеспечения открытости данных и возможности беспрепятственного ознакомления с методикой;</w:t>
      </w:r>
    </w:p>
    <w:p w14:paraId="1555188B" w14:textId="6F199732" w:rsidR="008466F2" w:rsidRPr="00264379" w:rsidRDefault="00DB2258" w:rsidP="00BB063C">
      <w:pPr>
        <w:pStyle w:val="CBDNormalNumber"/>
        <w:numPr>
          <w:ilvl w:val="0"/>
          <w:numId w:val="129"/>
        </w:numPr>
        <w:ind w:left="567" w:firstLine="567"/>
        <w:rPr>
          <w:lang w:val="ru-RU"/>
        </w:rPr>
      </w:pPr>
      <w:r>
        <w:rPr>
          <w:lang w:val="ru"/>
        </w:rPr>
        <w:t xml:space="preserve">масштабируемость и долгосрочность для учета роста и развития Фонда при дальнейшем внесении поправок и корректировок. </w:t>
      </w:r>
    </w:p>
    <w:p w14:paraId="7C9B55B3" w14:textId="65CE3F81" w:rsidR="008466F2" w:rsidRPr="00264379" w:rsidRDefault="000D33BB" w:rsidP="004E5670">
      <w:pPr>
        <w:pStyle w:val="CBDNormalNumber"/>
        <w:rPr>
          <w:lang w:val="ru-RU"/>
        </w:rPr>
      </w:pPr>
      <w:r>
        <w:rPr>
          <w:lang w:val="ru"/>
        </w:rPr>
        <w:t>Сама методика ассигнования средств основана на трех критериях, изложенных в добавлении II к приложению в решении </w:t>
      </w:r>
      <w:hyperlink r:id="rId23" w:history="1">
        <w:r>
          <w:rPr>
            <w:rStyle w:val="Hyperlink"/>
            <w:lang w:val="ru"/>
          </w:rPr>
          <w:t>16/2</w:t>
        </w:r>
      </w:hyperlink>
      <w:r>
        <w:rPr>
          <w:lang w:val="ru"/>
        </w:rPr>
        <w:t xml:space="preserve">. Группа добавила критерий для признания вклада в форме традиционных знаний, вклада коренных народов и местных общин в сохранение и устойчивое использование биоразнообразия, с тем чтобы должным образом учесть цели финансирования, описанные в пункте 18 приложения к этому решению, и вероятность того, что данная методика может применяться также для ассигнования средств коренным народам и местным общинам. В качестве первого шага в формулу была включена базовая уравнительная часть, чтобы распределить половину имеющихся средств целевого потока финансирования для Сторон поровну между всеми правительствами-получателями до применения к оставшейся половине средств формулы на основе критериев. Четыре критерия, определенные Группой, включают: a) богатство биоразнообразия; b) географическое происхождение генетических ресурсов в публичных базах данных; c) потребности в области потенциала для сохранения и устойчивого использования биоразнообразия; d) меры, касающиеся традиционных знаний и коренных народов и местных общин. Источники данных по этим критериям легко доступны на глобальном уровне, по крайней мере частично, за исключением критерия b). Поскольку некоторые источники данных пока не могут быть использованы, в формулу были включены замещающие символы в расчете на то, что данные будут внесены в формулу, как только они станут доступными. Кроме того, </w:t>
      </w:r>
      <w:r w:rsidR="00470F3A">
        <w:rPr>
          <w:lang w:val="ru"/>
        </w:rPr>
        <w:t xml:space="preserve">что касается </w:t>
      </w:r>
      <w:r>
        <w:rPr>
          <w:lang w:val="ru"/>
        </w:rPr>
        <w:t>критерия c), то существуют два раз</w:t>
      </w:r>
      <w:r w:rsidR="00470F3A">
        <w:rPr>
          <w:lang w:val="ru"/>
        </w:rPr>
        <w:t>ных</w:t>
      </w:r>
      <w:r>
        <w:rPr>
          <w:lang w:val="ru"/>
        </w:rPr>
        <w:t xml:space="preserve"> варианта: в варианте 1 используется показатель, основанный на обратной величине валового национального дохода на душу населения, с применением корректировки базового уровня равенства для малых островных развивающихся государств и наименее развитых стран, в то время как в варианте 2 страны распределяются в одну из шести категорий, соответствующих обратной шкале взносов Организации Объединенных Наций</w:t>
      </w:r>
      <w:r>
        <w:rPr>
          <w:rStyle w:val="FootnoteReference"/>
          <w:lang w:val="ru"/>
        </w:rPr>
        <w:footnoteReference w:id="4"/>
      </w:r>
      <w:r>
        <w:rPr>
          <w:lang w:val="ru"/>
        </w:rPr>
        <w:t xml:space="preserve">, причем каждой категории присваивается весовой </w:t>
      </w:r>
      <w:r>
        <w:rPr>
          <w:lang w:val="ru"/>
        </w:rPr>
        <w:lastRenderedPageBreak/>
        <w:t>коэффициент для уменьшения отклонения от среднего значения общего результата инверсии. Вариант 2 обеспечивает меньший разброс объемов средств, распределяемых между правительствами, чем вариант 1.</w:t>
      </w:r>
    </w:p>
    <w:p w14:paraId="6E339F9F" w14:textId="73A1FDBF" w:rsidR="008466F2" w:rsidRPr="00264379" w:rsidRDefault="000D33BB" w:rsidP="004E5670">
      <w:pPr>
        <w:pStyle w:val="CBDNormalNumber"/>
        <w:keepNext/>
        <w:rPr>
          <w:lang w:val="ru-RU"/>
        </w:rPr>
      </w:pPr>
      <w:r>
        <w:rPr>
          <w:lang w:val="ru"/>
        </w:rPr>
        <w:t>Кроме того, группа разработала также ряд рекомендаций по дальнейшей работе над совершенствованием нынешнего подхода, а именно:</w:t>
      </w:r>
    </w:p>
    <w:p w14:paraId="4D7F90AB" w14:textId="5529A953" w:rsidR="008466F2" w:rsidRPr="00264379" w:rsidRDefault="00DB2258" w:rsidP="00BB063C">
      <w:pPr>
        <w:pStyle w:val="CBDNormalNumber"/>
        <w:numPr>
          <w:ilvl w:val="0"/>
          <w:numId w:val="128"/>
        </w:numPr>
        <w:ind w:left="567" w:firstLine="567"/>
        <w:rPr>
          <w:lang w:val="ru-RU"/>
        </w:rPr>
      </w:pPr>
      <w:r>
        <w:rPr>
          <w:lang w:val="ru"/>
        </w:rPr>
        <w:t>в краткосрочной перспективе: необходимо обновлять источники данных по мере их появления, следует разработать программу работы по созданию индикатора для критерия b) и изучить возможности использования национальных стратегических планов действий по сохранению биологического разнообразия и национальных планов по наращиванию потенциала в качестве источников данных для ряда критериев;</w:t>
      </w:r>
    </w:p>
    <w:p w14:paraId="31DDDE58" w14:textId="16F6B979" w:rsidR="008466F2" w:rsidRPr="00264379" w:rsidRDefault="00DB2258" w:rsidP="00BB063C">
      <w:pPr>
        <w:pStyle w:val="CBDNormalNumber"/>
        <w:numPr>
          <w:ilvl w:val="0"/>
          <w:numId w:val="128"/>
        </w:numPr>
        <w:ind w:left="567" w:firstLine="567"/>
        <w:rPr>
          <w:lang w:val="ru-RU"/>
        </w:rPr>
      </w:pPr>
      <w:r>
        <w:rPr>
          <w:lang w:val="ru"/>
        </w:rPr>
        <w:t>в долгосрочной перспективе: необходимо пересматривать весовые коэффициенты критериев при появлении новых или обновленных данных, следует разработать стандарты оценки надежности всех критериев, подвергнуть формулу анализу чувствительности, рассмотреть вопросы управления данными и их хранения, а также разработать индекс рационального использования биоразнообразия, в котором будут учитываться все критерии.</w:t>
      </w:r>
    </w:p>
    <w:p w14:paraId="27A790DD" w14:textId="5DCF3121" w:rsidR="008466F2" w:rsidRPr="00264379" w:rsidRDefault="000D33BB" w:rsidP="004E5670">
      <w:pPr>
        <w:pStyle w:val="CBDNormalNumber"/>
        <w:rPr>
          <w:lang w:val="ru-RU"/>
        </w:rPr>
      </w:pPr>
      <w:r>
        <w:rPr>
          <w:lang w:val="ru"/>
        </w:rPr>
        <w:t xml:space="preserve">Разработанная группой методика ассигнования средств представлена в документе </w:t>
      </w:r>
      <w:hyperlink r:id="rId24" w:history="1">
        <w:r>
          <w:rPr>
            <w:rStyle w:val="Hyperlink"/>
            <w:lang w:val="ru"/>
          </w:rPr>
          <w:t>CBD/COP/17/6/Add.2</w:t>
        </w:r>
      </w:hyperlink>
      <w:r>
        <w:rPr>
          <w:lang w:val="ru"/>
        </w:rPr>
        <w:t xml:space="preserve"> для ее рассмотрения Конференцией Сторон.</w:t>
      </w:r>
    </w:p>
    <w:p w14:paraId="626D3F48" w14:textId="38646A88" w:rsidR="008466F2" w:rsidRPr="00556C42" w:rsidRDefault="00BE49A0" w:rsidP="004E5670">
      <w:pPr>
        <w:pStyle w:val="CBDH1"/>
      </w:pPr>
      <w:r>
        <w:rPr>
          <w:bCs/>
          <w:lang w:val="ru"/>
        </w:rPr>
        <w:t>IV.</w:t>
      </w:r>
      <w:r>
        <w:rPr>
          <w:bCs/>
          <w:lang w:val="ru"/>
        </w:rPr>
        <w:tab/>
        <w:t>Доклад руководящего комитета</w:t>
      </w:r>
    </w:p>
    <w:p w14:paraId="1421948F" w14:textId="7807DC87" w:rsidR="008466F2" w:rsidRPr="00264379" w:rsidRDefault="000D33BB" w:rsidP="004E5670">
      <w:pPr>
        <w:pStyle w:val="CBDNormalNumber"/>
        <w:rPr>
          <w:lang w:val="ru-RU"/>
        </w:rPr>
      </w:pPr>
      <w:r>
        <w:rPr>
          <w:lang w:val="ru"/>
        </w:rPr>
        <w:t xml:space="preserve">Руководящий комитет многостороннего механизма, включая </w:t>
      </w:r>
      <w:proofErr w:type="spellStart"/>
      <w:r>
        <w:rPr>
          <w:lang w:val="ru"/>
        </w:rPr>
        <w:t>Калийский</w:t>
      </w:r>
      <w:proofErr w:type="spellEnd"/>
      <w:r>
        <w:rPr>
          <w:lang w:val="ru"/>
        </w:rPr>
        <w:t xml:space="preserve"> фонд, приступил к работе после выдвижения кандидатур в его состав — процесса, старт которому был дан Исполнительным секретарем в уведомлении № </w:t>
      </w:r>
      <w:hyperlink r:id="rId25" w:history="1">
        <w:r>
          <w:rPr>
            <w:rStyle w:val="Hyperlink0"/>
            <w:rFonts w:eastAsia="Arial Unicode MS"/>
            <w:lang w:val="ru"/>
          </w:rPr>
          <w:t>2024-113</w:t>
        </w:r>
      </w:hyperlink>
      <w:r>
        <w:rPr>
          <w:lang w:val="ru"/>
        </w:rPr>
        <w:t>. Отобранные кандидатуры были утверждены Бюро Конференции Сторон, а состав Комитета был объявлен в уведомлениях № </w:t>
      </w:r>
      <w:hyperlink r:id="rId26" w:history="1">
        <w:r>
          <w:rPr>
            <w:rStyle w:val="Hyperlink0"/>
            <w:rFonts w:eastAsia="Arial Unicode MS"/>
            <w:lang w:val="ru"/>
          </w:rPr>
          <w:t>2025-043</w:t>
        </w:r>
      </w:hyperlink>
      <w:r>
        <w:rPr>
          <w:lang w:val="ru"/>
        </w:rPr>
        <w:t xml:space="preserve"> и </w:t>
      </w:r>
      <w:hyperlink r:id="rId27" w:history="1">
        <w:r>
          <w:rPr>
            <w:rStyle w:val="Hyperlink0"/>
            <w:rFonts w:eastAsia="Arial Unicode MS"/>
            <w:lang w:val="ru"/>
          </w:rPr>
          <w:t>2025-091</w:t>
        </w:r>
      </w:hyperlink>
      <w:r>
        <w:rPr>
          <w:lang w:val="ru"/>
        </w:rPr>
        <w:t xml:space="preserve">. Комитет провел четыре заседания: 16–18 июня 2025 года (в онлайновом режиме), 3–6 сентября 2025 года (в Бонне, Германия), 7–9 апреля 2026 года (в Кейптауне, Южная Африка) и 31 августа — 1 сентября 2026 года (в онлайновом режиме). Все заседания проходили под председательством </w:t>
      </w:r>
      <w:proofErr w:type="spellStart"/>
      <w:r>
        <w:rPr>
          <w:lang w:val="ru"/>
        </w:rPr>
        <w:t>Ннеки</w:t>
      </w:r>
      <w:proofErr w:type="spellEnd"/>
      <w:r>
        <w:rPr>
          <w:lang w:val="ru"/>
        </w:rPr>
        <w:t xml:space="preserve"> Николас из числа членов от Сторон и Астрид </w:t>
      </w:r>
      <w:proofErr w:type="spellStart"/>
      <w:r>
        <w:rPr>
          <w:lang w:val="ru"/>
        </w:rPr>
        <w:t>Шомакер</w:t>
      </w:r>
      <w:proofErr w:type="spellEnd"/>
      <w:r>
        <w:rPr>
          <w:lang w:val="ru"/>
        </w:rPr>
        <w:t xml:space="preserve">, представляющей партнеров из системы Организации Объединенных Наций. Все повестки дня и протоколы заседаний размещены в </w:t>
      </w:r>
      <w:r>
        <w:rPr>
          <w:rStyle w:val="Hyperlink0"/>
          <w:rFonts w:eastAsia="Arial Unicode MS"/>
          <w:color w:val="auto"/>
          <w:u w:val="none"/>
          <w:lang w:val="ru"/>
        </w:rPr>
        <w:t>специальном разделе веб-сайта секретариата</w:t>
      </w:r>
      <w:r>
        <w:rPr>
          <w:rStyle w:val="FootnoteReference"/>
          <w:lang w:val="ru"/>
        </w:rPr>
        <w:footnoteReference w:id="5"/>
      </w:r>
      <w:r w:rsidR="0077000F">
        <w:rPr>
          <w:lang w:val="ru"/>
        </w:rPr>
        <w:t>.</w:t>
      </w:r>
    </w:p>
    <w:p w14:paraId="674CFEE6" w14:textId="4E7F6FB4" w:rsidR="008466F2" w:rsidRPr="00264379" w:rsidRDefault="000D33BB" w:rsidP="004E5670">
      <w:pPr>
        <w:pStyle w:val="CBDNormalNumber"/>
        <w:rPr>
          <w:lang w:val="ru-RU"/>
        </w:rPr>
      </w:pPr>
      <w:r>
        <w:rPr>
          <w:lang w:val="ru"/>
        </w:rPr>
        <w:t>Доклад руководящего комитета представлен в виде документа </w:t>
      </w:r>
      <w:hyperlink r:id="rId28" w:history="1">
        <w:r>
          <w:rPr>
            <w:rStyle w:val="Hyperlink"/>
            <w:lang w:val="ru"/>
          </w:rPr>
          <w:t>CBD/COP/17/6/Add.1</w:t>
        </w:r>
      </w:hyperlink>
      <w:r>
        <w:rPr>
          <w:u w:val="single"/>
          <w:lang w:val="ru"/>
        </w:rPr>
        <w:t>.</w:t>
      </w:r>
      <w:r>
        <w:rPr>
          <w:lang w:val="ru"/>
        </w:rPr>
        <w:t xml:space="preserve"> </w:t>
      </w:r>
    </w:p>
    <w:p w14:paraId="0FDBAC4D" w14:textId="709CADF4" w:rsidR="008466F2" w:rsidRPr="00264379" w:rsidRDefault="005352BB" w:rsidP="004E5670">
      <w:pPr>
        <w:pStyle w:val="CBDNormalNumber"/>
        <w:rPr>
          <w:lang w:val="ru-RU"/>
        </w:rPr>
      </w:pPr>
      <w:r>
        <w:rPr>
          <w:lang w:val="ru"/>
        </w:rPr>
        <w:t xml:space="preserve">Описание организации работы руководящего комитета и секретариата многостороннего механизма приводится в разделе II доклада и включают замечания относительно их соответствующих ролей, в частности в настоящее время, когда определяются стратегическое направление работы механизма и его процедуры. В этом разделе содержится информация об открытии </w:t>
      </w:r>
      <w:proofErr w:type="spellStart"/>
      <w:r>
        <w:rPr>
          <w:lang w:val="ru"/>
        </w:rPr>
        <w:t>Калийского</w:t>
      </w:r>
      <w:proofErr w:type="spellEnd"/>
      <w:r>
        <w:rPr>
          <w:lang w:val="ru"/>
        </w:rPr>
        <w:t xml:space="preserve"> фонда и соответствующей последовательности составления и подписания документов, создания структуры управления и принятия решений после того, как Конференция Сторон постановила ввести в действие многосторонний механизм, включая </w:t>
      </w:r>
      <w:proofErr w:type="spellStart"/>
      <w:r>
        <w:rPr>
          <w:lang w:val="ru"/>
        </w:rPr>
        <w:t>Калийский</w:t>
      </w:r>
      <w:proofErr w:type="spellEnd"/>
      <w:r>
        <w:rPr>
          <w:lang w:val="ru"/>
        </w:rPr>
        <w:t xml:space="preserve"> фонд. Кроме того, в этом разделе содержатся подробные сведения о заседаниях Комитета, в том числе о сопутствующих трудностях, связанных с нехваткой ресурсов и получением виз, а также сводные данные о деятельности Фонда по сбору взносов и выделению средств.</w:t>
      </w:r>
    </w:p>
    <w:p w14:paraId="796DCB47" w14:textId="147DEFBC" w:rsidR="008466F2" w:rsidRPr="00264379" w:rsidRDefault="000D33BB" w:rsidP="004E5670">
      <w:pPr>
        <w:pStyle w:val="CBDNormalNumber"/>
        <w:keepNext/>
        <w:rPr>
          <w:lang w:val="ru-RU"/>
        </w:rPr>
      </w:pPr>
      <w:r>
        <w:rPr>
          <w:lang w:val="ru"/>
        </w:rPr>
        <w:t>Раздел III доклада посвящен деятельности Руководящего комитета и охватывает:</w:t>
      </w:r>
    </w:p>
    <w:p w14:paraId="041C63AC" w14:textId="60A43255" w:rsidR="008466F2" w:rsidRPr="00264379" w:rsidRDefault="000D33BB" w:rsidP="000336EE">
      <w:pPr>
        <w:pStyle w:val="CBDNormalNumber"/>
        <w:numPr>
          <w:ilvl w:val="1"/>
          <w:numId w:val="127"/>
        </w:numPr>
        <w:ind w:left="567" w:firstLine="567"/>
        <w:rPr>
          <w:lang w:val="ru-RU"/>
        </w:rPr>
      </w:pPr>
      <w:r>
        <w:rPr>
          <w:lang w:val="ru"/>
        </w:rPr>
        <w:t xml:space="preserve">надзор за деятельностью принимающей стороны Фонда, включая информацию о правилах процедуры и составе комитета, программном документе для секретариата многостороннего механизма, включая </w:t>
      </w:r>
      <w:proofErr w:type="spellStart"/>
      <w:r>
        <w:rPr>
          <w:lang w:val="ru"/>
        </w:rPr>
        <w:t>Калийский</w:t>
      </w:r>
      <w:proofErr w:type="spellEnd"/>
      <w:r>
        <w:rPr>
          <w:lang w:val="ru"/>
        </w:rPr>
        <w:t xml:space="preserve"> фонд, и его функциях, работе комитета по </w:t>
      </w:r>
      <w:r>
        <w:rPr>
          <w:lang w:val="ru"/>
        </w:rPr>
        <w:lastRenderedPageBreak/>
        <w:t>пересмотру круга ведения Фонда, процедуре обработки взносов в Фонд, договоренности о выделении средств в виде траншей, текущей работе над оперативным руководством и необходимости активизации внешних коммуникаций по соответствующим направлениям деятельности;</w:t>
      </w:r>
    </w:p>
    <w:p w14:paraId="50288125" w14:textId="0550EEED" w:rsidR="008466F2" w:rsidRPr="00264379" w:rsidRDefault="000D33BB" w:rsidP="000336EE">
      <w:pPr>
        <w:pStyle w:val="CBDNormalNumber"/>
        <w:numPr>
          <w:ilvl w:val="1"/>
          <w:numId w:val="127"/>
        </w:numPr>
        <w:ind w:left="567" w:firstLine="567"/>
        <w:rPr>
          <w:lang w:val="ru-RU"/>
        </w:rPr>
      </w:pPr>
      <w:r>
        <w:rPr>
          <w:lang w:val="ru"/>
        </w:rPr>
        <w:t>работу Комитета над стратегией пополнения Фонда, а также финансовые и кадровые ограничения, оказывающие влияние на работу временного секретариата, включая рекомендацию об учете потребностей секретариата в ресурсах в рамках соответствующих обсуждений вопросов бюджета</w:t>
      </w:r>
      <w:r>
        <w:rPr>
          <w:rStyle w:val="FootnoteReference"/>
          <w:lang w:val="ru"/>
        </w:rPr>
        <w:footnoteReference w:id="6"/>
      </w:r>
      <w:r>
        <w:rPr>
          <w:lang w:val="ru"/>
        </w:rPr>
        <w:t>;</w:t>
      </w:r>
    </w:p>
    <w:p w14:paraId="3CEF431B" w14:textId="60E1CA06" w:rsidR="008466F2" w:rsidRPr="00264379" w:rsidRDefault="000D33BB" w:rsidP="000336EE">
      <w:pPr>
        <w:pStyle w:val="CBDNormalNumber"/>
        <w:numPr>
          <w:ilvl w:val="1"/>
          <w:numId w:val="127"/>
        </w:numPr>
        <w:ind w:left="567" w:firstLine="567"/>
        <w:rPr>
          <w:lang w:val="ru-RU"/>
        </w:rPr>
      </w:pPr>
      <w:r>
        <w:rPr>
          <w:lang w:val="ru"/>
        </w:rPr>
        <w:t xml:space="preserve">работу Комитета по вопросам выделения средств и прямых ассигнований коренным народам и местным общинам, включая женщин и молодежь в этих общинах, руководящие указания в отношении конфиденциальной информации, коммуникационную стратегию, сертификаты Фонда, неденежные выгоды и благоприятные условия для функционирования Фонда, наряду с рядом сопутствующих рекомендаций и просьб в адрес Конференции Сторон; </w:t>
      </w:r>
    </w:p>
    <w:p w14:paraId="41EE3468" w14:textId="162BDA7F" w:rsidR="008466F2" w:rsidRPr="00264379" w:rsidRDefault="000D33BB" w:rsidP="000336EE">
      <w:pPr>
        <w:pStyle w:val="CBDNormalNumber"/>
        <w:numPr>
          <w:ilvl w:val="1"/>
          <w:numId w:val="127"/>
        </w:numPr>
        <w:ind w:left="567" w:firstLine="567"/>
        <w:rPr>
          <w:lang w:val="ru-RU"/>
        </w:rPr>
      </w:pPr>
      <w:r>
        <w:rPr>
          <w:lang w:val="ru"/>
        </w:rPr>
        <w:t>методология обзора эффективности многостороннего механизма, которая уже была рассмотрена Вспомогательным органом по осуществлению</w:t>
      </w:r>
      <w:r>
        <w:rPr>
          <w:vertAlign w:val="superscript"/>
          <w:lang w:val="ru"/>
        </w:rPr>
        <w:footnoteReference w:id="7"/>
      </w:r>
      <w:r>
        <w:rPr>
          <w:lang w:val="ru"/>
        </w:rPr>
        <w:t xml:space="preserve">, а также усилия комитета по разработке структурированного подхода к обзору процесса внедрения, накопленного опыта и эффективности многостороннего механизма, включая </w:t>
      </w:r>
      <w:proofErr w:type="spellStart"/>
      <w:r>
        <w:rPr>
          <w:lang w:val="ru"/>
        </w:rPr>
        <w:t>Калийский</w:t>
      </w:r>
      <w:proofErr w:type="spellEnd"/>
      <w:r>
        <w:rPr>
          <w:lang w:val="ru"/>
        </w:rPr>
        <w:t xml:space="preserve"> фонд, наряду с предоставлением рекомендаций Конференции Сторон.</w:t>
      </w:r>
    </w:p>
    <w:p w14:paraId="6A5D4C33" w14:textId="3D1F7E69" w:rsidR="008466F2" w:rsidRPr="00556C42" w:rsidRDefault="00BE49A0" w:rsidP="004E5670">
      <w:pPr>
        <w:pStyle w:val="CBDH1"/>
      </w:pPr>
      <w:r>
        <w:rPr>
          <w:bCs/>
          <w:lang w:val="ru"/>
        </w:rPr>
        <w:t>V.</w:t>
      </w:r>
      <w:r>
        <w:rPr>
          <w:bCs/>
          <w:lang w:val="ru"/>
        </w:rPr>
        <w:tab/>
        <w:t>Элементы проекта решения</w:t>
      </w:r>
    </w:p>
    <w:p w14:paraId="1841393D" w14:textId="25CA1D99" w:rsidR="008466F2" w:rsidRPr="00264379" w:rsidRDefault="000D33BB" w:rsidP="004E5670">
      <w:pPr>
        <w:pStyle w:val="CBDNormalNumber"/>
        <w:keepNext/>
        <w:rPr>
          <w:lang w:val="ru-RU"/>
        </w:rPr>
      </w:pPr>
      <w:r>
        <w:rPr>
          <w:lang w:val="ru"/>
        </w:rPr>
        <w:t>Конференция Сторон, возможно, пожелает рассмотреть вопрос о дополнении элементов проекта решения, содержащихся в рекомендации </w:t>
      </w:r>
      <w:hyperlink r:id="rId29" w:history="1">
        <w:r>
          <w:rPr>
            <w:rStyle w:val="Hyperlink"/>
            <w:lang w:val="ru"/>
          </w:rPr>
          <w:t>7/4</w:t>
        </w:r>
      </w:hyperlink>
      <w:r>
        <w:rPr>
          <w:lang w:val="ru"/>
        </w:rPr>
        <w:t xml:space="preserve"> Вспомогательного органа по осуществлению, и методики ассигнования средств, содержащейся в разделе II добавления к документу </w:t>
      </w:r>
      <w:hyperlink r:id="rId30" w:history="1">
        <w:r>
          <w:rPr>
            <w:rStyle w:val="Hyperlink"/>
            <w:lang w:val="ru"/>
          </w:rPr>
          <w:t>CBD/COP/17/6/Add.2</w:t>
        </w:r>
      </w:hyperlink>
      <w:r>
        <w:rPr>
          <w:lang w:val="ru"/>
        </w:rPr>
        <w:t xml:space="preserve">, следующими элементами: </w:t>
      </w:r>
    </w:p>
    <w:p w14:paraId="193DA48A" w14:textId="2F9577E2" w:rsidR="008466F2" w:rsidRPr="00264379" w:rsidRDefault="000D33BB" w:rsidP="004E5670">
      <w:pPr>
        <w:pStyle w:val="CBDNormalNoNumber"/>
        <w:keepNext/>
        <w:ind w:firstLine="567"/>
        <w:rPr>
          <w:i/>
          <w:iCs/>
          <w:lang w:val="ru-RU"/>
        </w:rPr>
      </w:pPr>
      <w:r>
        <w:rPr>
          <w:i/>
          <w:iCs/>
          <w:lang w:val="ru"/>
        </w:rPr>
        <w:t>Конференция Сторон</w:t>
      </w:r>
    </w:p>
    <w:p w14:paraId="6CDE11A1" w14:textId="0834DE23" w:rsidR="008466F2" w:rsidRPr="00264379" w:rsidRDefault="00DB2258" w:rsidP="004E5670">
      <w:pPr>
        <w:pStyle w:val="CBDNormalNoNumber"/>
        <w:ind w:firstLine="567"/>
        <w:rPr>
          <w:lang w:val="ru-RU"/>
        </w:rPr>
      </w:pPr>
      <w:r>
        <w:rPr>
          <w:lang w:val="ru"/>
        </w:rPr>
        <w:t>1.</w:t>
      </w:r>
      <w:r>
        <w:rPr>
          <w:lang w:val="ru"/>
        </w:rPr>
        <w:tab/>
      </w:r>
      <w:r>
        <w:rPr>
          <w:i/>
          <w:iCs/>
          <w:lang w:val="ru"/>
        </w:rPr>
        <w:t>выражает признательность</w:t>
      </w:r>
      <w:r>
        <w:rPr>
          <w:lang w:val="ru"/>
        </w:rPr>
        <w:t xml:space="preserve"> правительствам Германии, Норвегии и Соединенного Королевства Великобритании и Северной Ирландии, а также Европейскому союзу за их щедрую финансовую поддержку деятельности, связанной с введением в действие многостороннего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ресурсов, включая </w:t>
      </w:r>
      <w:proofErr w:type="spellStart"/>
      <w:r>
        <w:rPr>
          <w:lang w:val="ru"/>
        </w:rPr>
        <w:t>Калийский</w:t>
      </w:r>
      <w:proofErr w:type="spellEnd"/>
      <w:r>
        <w:rPr>
          <w:lang w:val="ru"/>
        </w:rPr>
        <w:t xml:space="preserve"> фонд, а также правительствам Германии и Южной Африки за проведение у себя второго и третьего заседаний руководящего комитета соответственно; </w:t>
      </w:r>
    </w:p>
    <w:p w14:paraId="1E5742FA" w14:textId="20FF78E8" w:rsidR="008466F2" w:rsidRPr="00264379" w:rsidRDefault="00D64406" w:rsidP="004E5670">
      <w:pPr>
        <w:pStyle w:val="CBDH4"/>
        <w:ind w:firstLine="0"/>
        <w:rPr>
          <w:lang w:val="ru-RU"/>
        </w:rPr>
      </w:pPr>
      <w:r>
        <w:rPr>
          <w:bCs/>
          <w:lang w:val="ru"/>
        </w:rPr>
        <w:t>I</w:t>
      </w:r>
      <w:r>
        <w:rPr>
          <w:b w:val="0"/>
          <w:lang w:val="ru"/>
        </w:rPr>
        <w:br/>
      </w:r>
      <w:r>
        <w:rPr>
          <w:bCs/>
          <w:lang w:val="ru"/>
        </w:rPr>
        <w:t xml:space="preserve">Пороговые значения и ставки взносов в </w:t>
      </w:r>
      <w:proofErr w:type="spellStart"/>
      <w:r>
        <w:rPr>
          <w:bCs/>
          <w:lang w:val="ru"/>
        </w:rPr>
        <w:t>Калийский</w:t>
      </w:r>
      <w:proofErr w:type="spellEnd"/>
      <w:r>
        <w:rPr>
          <w:bCs/>
          <w:lang w:val="ru"/>
        </w:rPr>
        <w:t xml:space="preserve"> фонд</w:t>
      </w:r>
    </w:p>
    <w:p w14:paraId="14B14378" w14:textId="597DD9FA" w:rsidR="008466F2" w:rsidRPr="00264379" w:rsidRDefault="00DB2258" w:rsidP="004E5670">
      <w:pPr>
        <w:pStyle w:val="CBDNormalNoNumber"/>
        <w:ind w:firstLine="567"/>
        <w:rPr>
          <w:lang w:val="ru-RU"/>
        </w:rPr>
      </w:pPr>
      <w:r>
        <w:rPr>
          <w:lang w:val="ru"/>
        </w:rPr>
        <w:t>2.</w:t>
      </w:r>
      <w:r>
        <w:rPr>
          <w:lang w:val="ru"/>
        </w:rPr>
        <w:tab/>
      </w:r>
      <w:r>
        <w:rPr>
          <w:i/>
          <w:iCs/>
          <w:lang w:val="ru"/>
        </w:rPr>
        <w:t>признает</w:t>
      </w:r>
      <w:r>
        <w:rPr>
          <w:lang w:val="ru"/>
        </w:rPr>
        <w:t xml:space="preserve">, что в силу национальных обстоятельств пороговые значения могут отличаться в зависимости от юрисдикции, и подтверждает, что предприятия, которые в их национальной юрисдикции попадают в категорию малых или средних предприятий, могут не делать взносы в </w:t>
      </w:r>
      <w:proofErr w:type="spellStart"/>
      <w:r>
        <w:rPr>
          <w:lang w:val="ru"/>
        </w:rPr>
        <w:t>Калийский</w:t>
      </w:r>
      <w:proofErr w:type="spellEnd"/>
      <w:r>
        <w:rPr>
          <w:lang w:val="ru"/>
        </w:rPr>
        <w:t xml:space="preserve"> фонд, хотя это приветствуется;</w:t>
      </w:r>
    </w:p>
    <w:p w14:paraId="6F76137B" w14:textId="079F5E17" w:rsidR="008466F2" w:rsidRPr="00264379" w:rsidRDefault="00DB2258" w:rsidP="004E5670">
      <w:pPr>
        <w:pStyle w:val="CBDNormalNoNumber"/>
        <w:ind w:firstLine="567"/>
        <w:rPr>
          <w:lang w:val="ru-RU"/>
        </w:rPr>
      </w:pPr>
      <w:r>
        <w:rPr>
          <w:lang w:val="ru"/>
        </w:rPr>
        <w:t>3.</w:t>
      </w:r>
      <w:r>
        <w:rPr>
          <w:lang w:val="ru"/>
        </w:rPr>
        <w:tab/>
      </w:r>
      <w:r>
        <w:rPr>
          <w:i/>
          <w:iCs/>
          <w:lang w:val="ru"/>
        </w:rPr>
        <w:t xml:space="preserve">вновь подтверждает, </w:t>
      </w:r>
      <w:r>
        <w:rPr>
          <w:lang w:val="ru"/>
        </w:rPr>
        <w:t>что ориентировочные ставки взносов ожидаются на уровне 1% от прибыли или 0,1% от выручки частных предприятий;</w:t>
      </w:r>
    </w:p>
    <w:p w14:paraId="1FD63B10" w14:textId="1A099355" w:rsidR="008466F2" w:rsidRPr="00264379" w:rsidRDefault="00DB2258" w:rsidP="004E5670">
      <w:pPr>
        <w:pStyle w:val="CBDNormalNoNumber"/>
        <w:ind w:firstLine="567"/>
        <w:rPr>
          <w:lang w:val="ru-RU"/>
        </w:rPr>
      </w:pPr>
      <w:r>
        <w:rPr>
          <w:lang w:val="ru"/>
        </w:rPr>
        <w:t>4.</w:t>
      </w:r>
      <w:r>
        <w:rPr>
          <w:lang w:val="ru"/>
        </w:rPr>
        <w:tab/>
      </w:r>
      <w:r>
        <w:rPr>
          <w:i/>
          <w:iCs/>
          <w:lang w:val="ru"/>
        </w:rPr>
        <w:t>настоятельно призывает</w:t>
      </w:r>
      <w:r>
        <w:rPr>
          <w:lang w:val="ru"/>
        </w:rPr>
        <w:t xml:space="preserve"> частные предприятия, зависящие от общедоступной цифровой информации о последовательностях в отношении генетических ресурсов, совместно использовать выгоды от ее применения путем внесения взносов в </w:t>
      </w:r>
      <w:proofErr w:type="spellStart"/>
      <w:r>
        <w:rPr>
          <w:lang w:val="ru"/>
        </w:rPr>
        <w:t>Калийский</w:t>
      </w:r>
      <w:proofErr w:type="spellEnd"/>
      <w:r>
        <w:rPr>
          <w:lang w:val="ru"/>
        </w:rPr>
        <w:t xml:space="preserve"> фонд;</w:t>
      </w:r>
    </w:p>
    <w:p w14:paraId="78A4A582" w14:textId="3BE68A1D" w:rsidR="008466F2" w:rsidRPr="00264379" w:rsidRDefault="00DB2258" w:rsidP="004E5670">
      <w:pPr>
        <w:pStyle w:val="CBDNormalNoNumber"/>
        <w:ind w:firstLine="567"/>
        <w:rPr>
          <w:lang w:val="ru-RU"/>
        </w:rPr>
      </w:pPr>
      <w:r>
        <w:rPr>
          <w:lang w:val="ru"/>
        </w:rPr>
        <w:lastRenderedPageBreak/>
        <w:t>5.</w:t>
      </w:r>
      <w:r>
        <w:rPr>
          <w:lang w:val="ru"/>
        </w:rPr>
        <w:tab/>
      </w:r>
      <w:r>
        <w:rPr>
          <w:i/>
          <w:iCs/>
          <w:lang w:val="ru"/>
        </w:rPr>
        <w:t>вновь подтверждает</w:t>
      </w:r>
      <w:r>
        <w:rPr>
          <w:lang w:val="ru"/>
        </w:rPr>
        <w:t xml:space="preserve">, что уплата взноса на уровне, указанном в пункте 3 выше, дает предприятиям право на получение сертификата </w:t>
      </w:r>
      <w:proofErr w:type="spellStart"/>
      <w:r>
        <w:rPr>
          <w:lang w:val="ru"/>
        </w:rPr>
        <w:t>Калийского</w:t>
      </w:r>
      <w:proofErr w:type="spellEnd"/>
      <w:r>
        <w:rPr>
          <w:lang w:val="ru"/>
        </w:rPr>
        <w:t xml:space="preserve"> фонда; </w:t>
      </w:r>
    </w:p>
    <w:p w14:paraId="5F6E5E1E" w14:textId="4B00DDCF" w:rsidR="008466F2" w:rsidRPr="00264379" w:rsidRDefault="00DB2258" w:rsidP="004E5670">
      <w:pPr>
        <w:pStyle w:val="CBDNormalNoNumber"/>
        <w:ind w:firstLine="567"/>
        <w:rPr>
          <w:lang w:val="ru-RU"/>
        </w:rPr>
      </w:pPr>
      <w:r>
        <w:rPr>
          <w:lang w:val="ru"/>
        </w:rPr>
        <w:t>6.</w:t>
      </w:r>
      <w:r>
        <w:rPr>
          <w:lang w:val="ru"/>
        </w:rPr>
        <w:tab/>
      </w:r>
      <w:r>
        <w:rPr>
          <w:i/>
          <w:iCs/>
          <w:lang w:val="ru"/>
        </w:rPr>
        <w:t>напоминает</w:t>
      </w:r>
      <w:r>
        <w:rPr>
          <w:lang w:val="ru"/>
        </w:rPr>
        <w:t xml:space="preserve"> Сторонам и правительствам других стран, в свете важности создания стимулов, </w:t>
      </w:r>
      <w:r w:rsidR="00CC74E3">
        <w:rPr>
          <w:lang w:val="ru"/>
        </w:rPr>
        <w:t>о чем идет речь в</w:t>
      </w:r>
      <w:r>
        <w:rPr>
          <w:lang w:val="ru"/>
        </w:rPr>
        <w:t xml:space="preserve"> исследовани</w:t>
      </w:r>
      <w:r w:rsidR="00CC74E3">
        <w:rPr>
          <w:lang w:val="ru"/>
        </w:rPr>
        <w:t>и</w:t>
      </w:r>
      <w:r>
        <w:rPr>
          <w:lang w:val="ru"/>
        </w:rPr>
        <w:t xml:space="preserve"> в отношении ставок взносов, пороговых значений и конкурентоспособности, о необходимости принятия административных, политических или законодательных мер, в зависимости от их целесообразности в национальных условиях, в целях стимулирования пользователей, находящихся под их юрисдикцией, к внесению взносов в глобальный фонд в соответствии с условиями функционирования многостороннего механизма, включая </w:t>
      </w:r>
      <w:proofErr w:type="spellStart"/>
      <w:r>
        <w:rPr>
          <w:lang w:val="ru"/>
        </w:rPr>
        <w:t>Калийский</w:t>
      </w:r>
      <w:proofErr w:type="spellEnd"/>
      <w:r>
        <w:rPr>
          <w:lang w:val="ru"/>
        </w:rPr>
        <w:t xml:space="preserve"> фонд; </w:t>
      </w:r>
    </w:p>
    <w:p w14:paraId="281D8256" w14:textId="10124201" w:rsidR="008466F2" w:rsidRPr="00264379" w:rsidRDefault="00DB2258" w:rsidP="004E5670">
      <w:pPr>
        <w:pStyle w:val="CBDNormalNoNumber"/>
        <w:ind w:firstLine="567"/>
        <w:rPr>
          <w:lang w:val="ru-RU"/>
        </w:rPr>
      </w:pPr>
      <w:r>
        <w:rPr>
          <w:lang w:val="ru"/>
        </w:rPr>
        <w:t>7.</w:t>
      </w:r>
      <w:r>
        <w:rPr>
          <w:lang w:val="ru"/>
        </w:rPr>
        <w:tab/>
      </w:r>
      <w:r>
        <w:rPr>
          <w:i/>
          <w:iCs/>
          <w:lang w:val="ru"/>
        </w:rPr>
        <w:t>поручает</w:t>
      </w:r>
      <w:r>
        <w:rPr>
          <w:lang w:val="ru"/>
        </w:rPr>
        <w:t xml:space="preserve"> Исполнительному секретарю при условии наличия ресурсов организовать проведение исследования с целью изучения сферы применения и определения понятия «прямое и косвенное использование цифровой информации о последовательностях в отношении генетических ресурсов» в контексте введения в действие многостороннего механизма, включая </w:t>
      </w:r>
      <w:proofErr w:type="spellStart"/>
      <w:r>
        <w:rPr>
          <w:lang w:val="ru"/>
        </w:rPr>
        <w:t>Калийский</w:t>
      </w:r>
      <w:proofErr w:type="spellEnd"/>
      <w:r>
        <w:rPr>
          <w:lang w:val="ru"/>
        </w:rPr>
        <w:t xml:space="preserve"> фонд, в особенности применительно к деятельности частного сектора, для рассмотрения Вспомогательным органом по осуществлению на одном из совещаний в период, предшествующий 18-му совещанию Конференции Сторон;</w:t>
      </w:r>
    </w:p>
    <w:p w14:paraId="0F1DE421" w14:textId="33815A79" w:rsidR="008466F2" w:rsidRPr="00264379" w:rsidRDefault="00DB2258" w:rsidP="004E5670">
      <w:pPr>
        <w:pStyle w:val="CBDNormalNoNumber"/>
        <w:ind w:firstLine="567"/>
        <w:rPr>
          <w:lang w:val="ru-RU"/>
        </w:rPr>
      </w:pPr>
      <w:r>
        <w:rPr>
          <w:lang w:val="ru"/>
        </w:rPr>
        <w:t>8.</w:t>
      </w:r>
      <w:r>
        <w:rPr>
          <w:lang w:val="ru"/>
        </w:rPr>
        <w:tab/>
      </w:r>
      <w:r>
        <w:rPr>
          <w:i/>
          <w:iCs/>
          <w:lang w:val="ru"/>
        </w:rPr>
        <w:t>поручает</w:t>
      </w:r>
      <w:r>
        <w:rPr>
          <w:lang w:val="ru"/>
        </w:rPr>
        <w:t xml:space="preserve"> Вспомогательному органу по осуществлению рассмотреть результаты работы, описанной в пункте 7 выше, на одном из совещаний в период до начала 18-го совещания Конференции Сторон и представить Конференции Сторон на ее 18-м совещании рекомендации относительно сферы применения и определения понятия «прямое и косвенное использование цифровой информации о последовательностях в отношении генетических ресурсов» в контексте введения в действие многостороннего механизма, включая </w:t>
      </w:r>
      <w:proofErr w:type="spellStart"/>
      <w:r>
        <w:rPr>
          <w:lang w:val="ru"/>
        </w:rPr>
        <w:t>Калийский</w:t>
      </w:r>
      <w:proofErr w:type="spellEnd"/>
      <w:r>
        <w:rPr>
          <w:lang w:val="ru"/>
        </w:rPr>
        <w:t xml:space="preserve"> фонд, в </w:t>
      </w:r>
      <w:r w:rsidR="00036EDC">
        <w:rPr>
          <w:lang w:val="ru"/>
        </w:rPr>
        <w:t xml:space="preserve">особенности </w:t>
      </w:r>
      <w:r>
        <w:rPr>
          <w:lang w:val="ru"/>
        </w:rPr>
        <w:t xml:space="preserve">применительно к деятельности частного сектора; </w:t>
      </w:r>
    </w:p>
    <w:p w14:paraId="08C57306" w14:textId="1044C93B" w:rsidR="008466F2" w:rsidRPr="00264379" w:rsidRDefault="00CC1112" w:rsidP="004E5670">
      <w:pPr>
        <w:pStyle w:val="CBDH4"/>
        <w:ind w:firstLine="0"/>
        <w:rPr>
          <w:lang w:val="ru-RU"/>
        </w:rPr>
      </w:pPr>
      <w:r>
        <w:rPr>
          <w:bCs/>
          <w:lang w:val="ru"/>
        </w:rPr>
        <w:t>II</w:t>
      </w:r>
      <w:r>
        <w:rPr>
          <w:b w:val="0"/>
          <w:lang w:val="ru"/>
        </w:rPr>
        <w:br/>
      </w:r>
      <w:r>
        <w:rPr>
          <w:bCs/>
          <w:lang w:val="ru"/>
        </w:rPr>
        <w:t>Сертификат</w:t>
      </w:r>
    </w:p>
    <w:p w14:paraId="19DA6707" w14:textId="6C0AE31F" w:rsidR="008466F2" w:rsidRPr="00264379" w:rsidRDefault="00DB2258" w:rsidP="004E5670">
      <w:pPr>
        <w:pStyle w:val="CBDNormalNoNumber"/>
        <w:ind w:firstLine="567"/>
        <w:rPr>
          <w:lang w:val="ru-RU"/>
        </w:rPr>
      </w:pPr>
      <w:r>
        <w:rPr>
          <w:lang w:val="ru"/>
        </w:rPr>
        <w:t>9.</w:t>
      </w:r>
      <w:r>
        <w:rPr>
          <w:lang w:val="ru"/>
        </w:rPr>
        <w:tab/>
      </w:r>
      <w:r>
        <w:rPr>
          <w:i/>
          <w:iCs/>
          <w:lang w:val="ru"/>
        </w:rPr>
        <w:t>признает</w:t>
      </w:r>
      <w:r>
        <w:rPr>
          <w:lang w:val="ru"/>
        </w:rPr>
        <w:t xml:space="preserve">, что сертификаты </w:t>
      </w:r>
      <w:proofErr w:type="spellStart"/>
      <w:r>
        <w:rPr>
          <w:lang w:val="ru"/>
        </w:rPr>
        <w:t>Калийского</w:t>
      </w:r>
      <w:proofErr w:type="spellEnd"/>
      <w:r>
        <w:rPr>
          <w:lang w:val="ru"/>
        </w:rPr>
        <w:t xml:space="preserve"> фонда представляют собой важный инструмент стимулирования пользователей к внесению взносов в глобальный фонд в соответствии с условиями функционирования многостороннего механизма, включая </w:t>
      </w:r>
      <w:proofErr w:type="spellStart"/>
      <w:r>
        <w:rPr>
          <w:lang w:val="ru"/>
        </w:rPr>
        <w:t>Калийский</w:t>
      </w:r>
      <w:proofErr w:type="spellEnd"/>
      <w:r>
        <w:rPr>
          <w:lang w:val="ru"/>
        </w:rPr>
        <w:t xml:space="preserve"> фонд; </w:t>
      </w:r>
    </w:p>
    <w:p w14:paraId="6AAF33B5" w14:textId="18545880" w:rsidR="008466F2" w:rsidRPr="00264379" w:rsidRDefault="00DB2258" w:rsidP="004E5670">
      <w:pPr>
        <w:pStyle w:val="CBDNormalNoNumber"/>
        <w:ind w:firstLine="567"/>
        <w:rPr>
          <w:lang w:val="ru-RU"/>
        </w:rPr>
      </w:pPr>
      <w:r>
        <w:rPr>
          <w:lang w:val="ru"/>
        </w:rPr>
        <w:t>10.</w:t>
      </w:r>
      <w:r>
        <w:rPr>
          <w:lang w:val="ru"/>
        </w:rPr>
        <w:tab/>
      </w:r>
      <w:r>
        <w:rPr>
          <w:i/>
          <w:iCs/>
          <w:lang w:val="ru"/>
        </w:rPr>
        <w:t>приветствует</w:t>
      </w:r>
      <w:r>
        <w:rPr>
          <w:lang w:val="ru"/>
        </w:rPr>
        <w:t xml:space="preserve"> работу руководящего комитета по вопросам сертификатов, в частности применительно к пунктам 15 и 26 приложения к решению 16/2 от 1 ноября 2024 года, и предлагает Комитету продолжить работу над этой темой при поддержке своего секретариата, уделяя особое внимание вопросам выдачи, юридической силы и сферы применения этих сертификатов с учетом критериев, изложенных в пунктах 9 и 10 решения </w:t>
      </w:r>
      <w:hyperlink r:id="rId31" w:history="1">
        <w:r>
          <w:rPr>
            <w:rStyle w:val="Hyperlink0"/>
            <w:rFonts w:eastAsia="Arial Unicode MS"/>
            <w:lang w:val="ru"/>
          </w:rPr>
          <w:t>15/9</w:t>
        </w:r>
      </w:hyperlink>
      <w:r>
        <w:rPr>
          <w:lang w:val="ru"/>
        </w:rPr>
        <w:t xml:space="preserve"> от 19 декабря 2022 года;</w:t>
      </w:r>
    </w:p>
    <w:p w14:paraId="5E5FA17C" w14:textId="7DD6BAA5" w:rsidR="008466F2" w:rsidRPr="00264379" w:rsidRDefault="00DB2258" w:rsidP="004E5670">
      <w:pPr>
        <w:pStyle w:val="CBDNormalNoNumber"/>
        <w:ind w:firstLine="567"/>
        <w:rPr>
          <w:lang w:val="ru-RU"/>
        </w:rPr>
      </w:pPr>
      <w:r>
        <w:rPr>
          <w:lang w:val="ru"/>
        </w:rPr>
        <w:t>11.</w:t>
      </w:r>
      <w:r>
        <w:rPr>
          <w:lang w:val="ru"/>
        </w:rPr>
        <w:tab/>
        <w:t xml:space="preserve">призывает Стороны и государства, не являющиеся Сторонами, в кратчайшие сроки создать в соответствии со своим национальным законодательством благоприятные условия, необходимые для обеспечения долгосрочного, стабильного и предсказуемого совместного использования денежных выгод, в том числе путем признания того, что от обладателя сертификата </w:t>
      </w:r>
      <w:proofErr w:type="spellStart"/>
      <w:r>
        <w:rPr>
          <w:lang w:val="ru"/>
        </w:rPr>
        <w:t>Калийского</w:t>
      </w:r>
      <w:proofErr w:type="spellEnd"/>
      <w:r>
        <w:rPr>
          <w:lang w:val="ru"/>
        </w:rPr>
        <w:t xml:space="preserve"> фонда не ожидается дальнейшее совместное использование денежных выгод от применения такой информации в рамках многостороннего механизма за тот год, к которому относится этот сертификат;</w:t>
      </w:r>
    </w:p>
    <w:p w14:paraId="15C3001F" w14:textId="3F64ABA8" w:rsidR="008466F2" w:rsidRPr="00264379" w:rsidRDefault="00DB2258">
      <w:pPr>
        <w:pStyle w:val="CBDNormalNoNumber"/>
        <w:ind w:firstLine="567"/>
        <w:rPr>
          <w:lang w:val="ru-RU"/>
        </w:rPr>
      </w:pPr>
      <w:r>
        <w:rPr>
          <w:lang w:val="ru"/>
        </w:rPr>
        <w:t>12.</w:t>
      </w:r>
      <w:r>
        <w:rPr>
          <w:lang w:val="ru"/>
        </w:rPr>
        <w:tab/>
      </w:r>
      <w:r>
        <w:rPr>
          <w:i/>
          <w:iCs/>
          <w:lang w:val="ru"/>
        </w:rPr>
        <w:t>предлагает</w:t>
      </w:r>
      <w:r>
        <w:rPr>
          <w:lang w:val="ru"/>
        </w:rPr>
        <w:t xml:space="preserve"> Сторонам представить во временный секретариат многостороннего механизма информацию о характеристиках и элементах, которыми должен обладать сертификат </w:t>
      </w:r>
      <w:proofErr w:type="spellStart"/>
      <w:r>
        <w:rPr>
          <w:lang w:val="ru"/>
        </w:rPr>
        <w:t>Калийского</w:t>
      </w:r>
      <w:proofErr w:type="spellEnd"/>
      <w:r>
        <w:rPr>
          <w:lang w:val="ru"/>
        </w:rPr>
        <w:t xml:space="preserve"> фонда для </w:t>
      </w:r>
      <w:r w:rsidR="001F56CE">
        <w:rPr>
          <w:lang w:val="ru"/>
        </w:rPr>
        <w:t xml:space="preserve">практической реализации </w:t>
      </w:r>
      <w:r>
        <w:rPr>
          <w:lang w:val="ru"/>
        </w:rPr>
        <w:t>пункта 15 приложения к решению </w:t>
      </w:r>
      <w:hyperlink r:id="rId32" w:history="1">
        <w:r>
          <w:rPr>
            <w:rStyle w:val="Hyperlink0"/>
            <w:rFonts w:eastAsia="Arial Unicode MS"/>
            <w:lang w:val="ru"/>
          </w:rPr>
          <w:t>1</w:t>
        </w:r>
        <w:r>
          <w:rPr>
            <w:rStyle w:val="Hyperlink0"/>
            <w:rFonts w:eastAsia="Arial Unicode MS"/>
            <w:lang w:val="ru"/>
          </w:rPr>
          <w:t>6</w:t>
        </w:r>
        <w:r>
          <w:rPr>
            <w:rStyle w:val="Hyperlink0"/>
            <w:rFonts w:eastAsia="Arial Unicode MS"/>
            <w:lang w:val="ru"/>
          </w:rPr>
          <w:t>/2</w:t>
        </w:r>
      </w:hyperlink>
      <w:r>
        <w:rPr>
          <w:lang w:val="ru"/>
        </w:rPr>
        <w:t>, а также о процедурах, если таковые имеются, которые будет необходимо осуществить на национальном уровне для признания таких сертификатов или придания им юридической силы</w:t>
      </w:r>
      <w:r w:rsidR="00D01488">
        <w:rPr>
          <w:lang w:val="ru"/>
        </w:rPr>
        <w:t xml:space="preserve"> с учетом требований </w:t>
      </w:r>
      <w:r>
        <w:rPr>
          <w:lang w:val="ru"/>
        </w:rPr>
        <w:t>любого соответствующего национального законодательства;</w:t>
      </w:r>
    </w:p>
    <w:p w14:paraId="74903BC7" w14:textId="7097A865" w:rsidR="00E23203" w:rsidRPr="00264379" w:rsidRDefault="00E23203" w:rsidP="00E23203">
      <w:pPr>
        <w:pStyle w:val="CBDNormalNoNumber"/>
        <w:ind w:firstLine="567"/>
        <w:rPr>
          <w:lang w:val="ru-RU"/>
        </w:rPr>
      </w:pPr>
      <w:r>
        <w:rPr>
          <w:lang w:val="ru"/>
        </w:rPr>
        <w:lastRenderedPageBreak/>
        <w:t>13.</w:t>
      </w:r>
      <w:r>
        <w:rPr>
          <w:lang w:val="ru"/>
        </w:rPr>
        <w:tab/>
      </w:r>
      <w:r>
        <w:rPr>
          <w:i/>
          <w:iCs/>
          <w:lang w:val="ru"/>
        </w:rPr>
        <w:t>поручает</w:t>
      </w:r>
      <w:r>
        <w:rPr>
          <w:lang w:val="ru"/>
        </w:rPr>
        <w:t xml:space="preserve"> Исполнительному секретарю обобщить информацию, представленную во исполнение пункта 12 выше, и направить ее руководящему комитету для сведения и учета, в том числе в его докладе для 18-го совещания Конференции Сторон;</w:t>
      </w:r>
    </w:p>
    <w:p w14:paraId="74E85237" w14:textId="6FFB28F2" w:rsidR="008466F2" w:rsidRPr="00264379" w:rsidRDefault="000D33BB" w:rsidP="004E5670">
      <w:pPr>
        <w:pStyle w:val="CBDH4"/>
        <w:rPr>
          <w:lang w:val="ru-RU"/>
        </w:rPr>
      </w:pPr>
      <w:r>
        <w:rPr>
          <w:b w:val="0"/>
          <w:lang w:val="ru"/>
        </w:rPr>
        <w:tab/>
      </w:r>
      <w:r>
        <w:rPr>
          <w:bCs/>
          <w:lang w:val="ru"/>
        </w:rPr>
        <w:t>III</w:t>
      </w:r>
      <w:r>
        <w:rPr>
          <w:b w:val="0"/>
          <w:lang w:val="ru"/>
        </w:rPr>
        <w:br/>
      </w:r>
      <w:r>
        <w:rPr>
          <w:bCs/>
          <w:lang w:val="ru"/>
        </w:rPr>
        <w:t>Методика ассигнования средств</w:t>
      </w:r>
    </w:p>
    <w:p w14:paraId="0FA70796" w14:textId="00ADFEB1" w:rsidR="008466F2" w:rsidRPr="00264379" w:rsidRDefault="00DB2258" w:rsidP="004E5670">
      <w:pPr>
        <w:pStyle w:val="CBDNormalNoNumber"/>
        <w:ind w:firstLine="567"/>
        <w:rPr>
          <w:lang w:val="ru-RU"/>
        </w:rPr>
      </w:pPr>
      <w:r>
        <w:rPr>
          <w:lang w:val="ru"/>
        </w:rPr>
        <w:t>14.</w:t>
      </w:r>
      <w:r>
        <w:rPr>
          <w:lang w:val="ru"/>
        </w:rPr>
        <w:tab/>
      </w:r>
      <w:r>
        <w:rPr>
          <w:i/>
          <w:iCs/>
          <w:lang w:val="ru"/>
        </w:rPr>
        <w:t>с признательностью приветствует</w:t>
      </w:r>
      <w:r>
        <w:rPr>
          <w:lang w:val="ru"/>
        </w:rPr>
        <w:t xml:space="preserve"> результаты работы Специальной группы технических экспертов по методике ассигнования средств, касающиеся выделения средств </w:t>
      </w:r>
      <w:proofErr w:type="spellStart"/>
      <w:r>
        <w:rPr>
          <w:lang w:val="ru"/>
        </w:rPr>
        <w:t>Калийского</w:t>
      </w:r>
      <w:proofErr w:type="spellEnd"/>
      <w:r>
        <w:rPr>
          <w:lang w:val="ru"/>
        </w:rPr>
        <w:t xml:space="preserve"> фонда</w:t>
      </w:r>
      <w:r>
        <w:rPr>
          <w:rStyle w:val="FootnoteReference"/>
          <w:lang w:val="ru"/>
        </w:rPr>
        <w:footnoteReference w:id="8"/>
      </w:r>
      <w:r>
        <w:rPr>
          <w:lang w:val="ru"/>
        </w:rPr>
        <w:t>;</w:t>
      </w:r>
    </w:p>
    <w:p w14:paraId="15DAC5DC" w14:textId="4902F27A" w:rsidR="008466F2" w:rsidRPr="00264379" w:rsidRDefault="00DB2258" w:rsidP="004E5670">
      <w:pPr>
        <w:pStyle w:val="CBDNormalNoNumber"/>
        <w:ind w:firstLine="567"/>
        <w:rPr>
          <w:lang w:val="ru-RU"/>
        </w:rPr>
      </w:pPr>
      <w:r>
        <w:rPr>
          <w:lang w:val="ru"/>
        </w:rPr>
        <w:t>15.</w:t>
      </w:r>
      <w:r>
        <w:rPr>
          <w:lang w:val="ru"/>
        </w:rPr>
        <w:tab/>
      </w:r>
      <w:r>
        <w:rPr>
          <w:i/>
          <w:iCs/>
          <w:lang w:val="ru"/>
        </w:rPr>
        <w:t>принимает</w:t>
      </w:r>
      <w:r>
        <w:rPr>
          <w:lang w:val="ru"/>
        </w:rPr>
        <w:t xml:space="preserve"> к сведению принципы разработки формулы ассигнования средств и ее будущего пересмотра, а именно: равенство, справедливость и результативность; эффективность; прозрачность и доверие; масштабируемость и долгосрочность;</w:t>
      </w:r>
    </w:p>
    <w:p w14:paraId="04E53D87" w14:textId="77385FF8" w:rsidR="008466F2" w:rsidRPr="00264379" w:rsidRDefault="00DB2258" w:rsidP="004E5670">
      <w:pPr>
        <w:pStyle w:val="CBDNormalNoNumber"/>
        <w:ind w:firstLine="567"/>
        <w:rPr>
          <w:lang w:val="ru-RU"/>
        </w:rPr>
      </w:pPr>
      <w:r>
        <w:rPr>
          <w:lang w:val="ru"/>
        </w:rPr>
        <w:t>16.</w:t>
      </w:r>
      <w:r>
        <w:rPr>
          <w:lang w:val="ru"/>
        </w:rPr>
        <w:tab/>
      </w:r>
      <w:r>
        <w:rPr>
          <w:i/>
          <w:iCs/>
          <w:lang w:val="ru"/>
        </w:rPr>
        <w:t>принимает</w:t>
      </w:r>
      <w:r>
        <w:rPr>
          <w:lang w:val="ru"/>
        </w:rPr>
        <w:t xml:space="preserve"> методику ассигнования средств </w:t>
      </w:r>
      <w:proofErr w:type="spellStart"/>
      <w:r>
        <w:rPr>
          <w:lang w:val="ru"/>
        </w:rPr>
        <w:t>Калийского</w:t>
      </w:r>
      <w:proofErr w:type="spellEnd"/>
      <w:r>
        <w:rPr>
          <w:lang w:val="ru"/>
        </w:rPr>
        <w:t xml:space="preserve"> фонда, содержащуюся в приложении I</w:t>
      </w:r>
      <w:r>
        <w:rPr>
          <w:rStyle w:val="FootnoteReference"/>
          <w:lang w:val="ru"/>
        </w:rPr>
        <w:footnoteReference w:id="9"/>
      </w:r>
      <w:r>
        <w:rPr>
          <w:lang w:val="ru"/>
        </w:rPr>
        <w:t>, в целях расчета размера ассигнований правительствам;</w:t>
      </w:r>
    </w:p>
    <w:p w14:paraId="697604C9" w14:textId="26CF59E5" w:rsidR="008466F2" w:rsidRPr="00264379" w:rsidRDefault="00DB2258" w:rsidP="004E5670">
      <w:pPr>
        <w:pStyle w:val="CBDNormalNoNumber"/>
        <w:ind w:firstLine="567"/>
        <w:rPr>
          <w:lang w:val="ru-RU"/>
        </w:rPr>
      </w:pPr>
      <w:r>
        <w:rPr>
          <w:lang w:val="ru"/>
        </w:rPr>
        <w:t>17.</w:t>
      </w:r>
      <w:r>
        <w:rPr>
          <w:lang w:val="ru"/>
        </w:rPr>
        <w:tab/>
      </w:r>
      <w:r>
        <w:rPr>
          <w:i/>
          <w:iCs/>
          <w:lang w:val="ru"/>
        </w:rPr>
        <w:t>принимает также</w:t>
      </w:r>
      <w:r>
        <w:rPr>
          <w:lang w:val="ru"/>
        </w:rPr>
        <w:t xml:space="preserve"> на временной основе по рекомендации руководящего комитета многостороннего механизма, включая </w:t>
      </w:r>
      <w:proofErr w:type="spellStart"/>
      <w:r>
        <w:rPr>
          <w:lang w:val="ru"/>
        </w:rPr>
        <w:t>Калийский</w:t>
      </w:r>
      <w:proofErr w:type="spellEnd"/>
      <w:r>
        <w:rPr>
          <w:lang w:val="ru"/>
        </w:rPr>
        <w:t xml:space="preserve"> фонд, ту же методику расчета ассигнований средств коренным народам и местным общинам; </w:t>
      </w:r>
    </w:p>
    <w:p w14:paraId="6FA27B51" w14:textId="6D68635B" w:rsidR="008466F2" w:rsidRPr="00264379" w:rsidRDefault="00DB2258" w:rsidP="004E5670">
      <w:pPr>
        <w:pStyle w:val="CBDNormalNoNumber"/>
        <w:keepNext/>
        <w:ind w:firstLine="567"/>
        <w:rPr>
          <w:lang w:val="ru-RU"/>
        </w:rPr>
      </w:pPr>
      <w:r>
        <w:rPr>
          <w:lang w:val="ru"/>
        </w:rPr>
        <w:t>18.</w:t>
      </w:r>
      <w:r>
        <w:rPr>
          <w:lang w:val="ru"/>
        </w:rPr>
        <w:tab/>
      </w:r>
      <w:r>
        <w:rPr>
          <w:i/>
          <w:iCs/>
          <w:lang w:val="ru"/>
        </w:rPr>
        <w:t>предлагает</w:t>
      </w:r>
      <w:r>
        <w:rPr>
          <w:lang w:val="ru"/>
        </w:rPr>
        <w:t xml:space="preserve"> руководящему комитету:</w:t>
      </w:r>
    </w:p>
    <w:p w14:paraId="4761CCA2" w14:textId="74955A4D" w:rsidR="008466F2" w:rsidRPr="00264379" w:rsidRDefault="00694EDC" w:rsidP="004E5670">
      <w:pPr>
        <w:pStyle w:val="CBDNormalNoNumber"/>
        <w:ind w:firstLine="567"/>
        <w:rPr>
          <w:lang w:val="ru-RU"/>
        </w:rPr>
      </w:pPr>
      <w:r>
        <w:rPr>
          <w:lang w:val="ru"/>
        </w:rPr>
        <w:t>a)</w:t>
      </w:r>
      <w:r>
        <w:rPr>
          <w:lang w:val="ru"/>
        </w:rPr>
        <w:tab/>
        <w:t xml:space="preserve">быть в курсе появления новых или обновленных данных, в частности тех, которые используются в качестве индикаторов для </w:t>
      </w:r>
      <w:proofErr w:type="spellStart"/>
      <w:r>
        <w:rPr>
          <w:lang w:val="ru"/>
        </w:rPr>
        <w:t>Куньминско</w:t>
      </w:r>
      <w:proofErr w:type="spellEnd"/>
      <w:r>
        <w:rPr>
          <w:lang w:val="ru"/>
        </w:rPr>
        <w:t>-Монреальской глобальной рамочной программы в области биоразнообразия</w:t>
      </w:r>
      <w:r>
        <w:rPr>
          <w:rStyle w:val="FootnoteReference"/>
          <w:lang w:val="ru"/>
        </w:rPr>
        <w:footnoteReference w:id="10"/>
      </w:r>
      <w:r>
        <w:rPr>
          <w:lang w:val="ru"/>
        </w:rPr>
        <w:t>, в целях применения методики ассигнования средств;</w:t>
      </w:r>
      <w:r>
        <w:rPr>
          <w:i/>
          <w:iCs/>
          <w:lang w:val="ru"/>
        </w:rPr>
        <w:t xml:space="preserve"> </w:t>
      </w:r>
    </w:p>
    <w:p w14:paraId="0DF44696" w14:textId="20B62792" w:rsidR="008466F2" w:rsidRPr="00264379" w:rsidRDefault="00694EDC" w:rsidP="004E5670">
      <w:pPr>
        <w:pStyle w:val="CBDNormalNoNumber"/>
        <w:ind w:firstLine="567"/>
        <w:rPr>
          <w:lang w:val="ru-RU"/>
        </w:rPr>
      </w:pPr>
      <w:r>
        <w:rPr>
          <w:lang w:val="ru"/>
        </w:rPr>
        <w:t>b)</w:t>
      </w:r>
      <w:r>
        <w:rPr>
          <w:lang w:val="ru"/>
        </w:rPr>
        <w:tab/>
        <w:t>продолжать работу по совершенствованию методики расчета ассигнований коренным народам и местным общинам;</w:t>
      </w:r>
    </w:p>
    <w:p w14:paraId="6F4492E6" w14:textId="121D3152" w:rsidR="008466F2" w:rsidRPr="00264379" w:rsidRDefault="00694EDC" w:rsidP="004E5670">
      <w:pPr>
        <w:pStyle w:val="CBDNormalNoNumber"/>
        <w:ind w:firstLine="567"/>
        <w:rPr>
          <w:lang w:val="ru-RU"/>
        </w:rPr>
      </w:pPr>
      <w:r>
        <w:rPr>
          <w:lang w:val="ru"/>
        </w:rPr>
        <w:t>c)</w:t>
      </w:r>
      <w:r>
        <w:rPr>
          <w:lang w:val="ru"/>
        </w:rPr>
        <w:tab/>
        <w:t>включить в свой доклад для 18-го совещания Конференции Сторон информацию о своей работе, касающейся подпунктов 18</w:t>
      </w:r>
      <w:r w:rsidR="000C703A">
        <w:rPr>
          <w:lang w:val="fr-CA"/>
        </w:rPr>
        <w:t> </w:t>
      </w:r>
      <w:r>
        <w:rPr>
          <w:lang w:val="ru"/>
        </w:rPr>
        <w:t>a) и b) выше;</w:t>
      </w:r>
    </w:p>
    <w:p w14:paraId="34C47A6A" w14:textId="6AE3AFB9" w:rsidR="008466F2" w:rsidRPr="00264379" w:rsidRDefault="00694EDC" w:rsidP="004E5670">
      <w:pPr>
        <w:pStyle w:val="CBDNormalNoNumber"/>
        <w:ind w:firstLine="567"/>
        <w:rPr>
          <w:lang w:val="ru-RU"/>
        </w:rPr>
      </w:pPr>
      <w:r>
        <w:rPr>
          <w:lang w:val="ru"/>
        </w:rPr>
        <w:t>19.</w:t>
      </w:r>
      <w:r>
        <w:rPr>
          <w:lang w:val="ru"/>
        </w:rPr>
        <w:tab/>
      </w:r>
      <w:r>
        <w:rPr>
          <w:i/>
          <w:iCs/>
          <w:lang w:val="ru"/>
        </w:rPr>
        <w:t>поручает</w:t>
      </w:r>
      <w:r>
        <w:rPr>
          <w:lang w:val="ru"/>
        </w:rPr>
        <w:t xml:space="preserve"> Исполнительному секретарю при условии наличия ресурсов организовать подготовку доклада о потенциальных источниках данных для индикатора по критерию b) методики ассигнования средств </w:t>
      </w:r>
      <w:proofErr w:type="spellStart"/>
      <w:r>
        <w:rPr>
          <w:lang w:val="ru"/>
        </w:rPr>
        <w:t>Калийского</w:t>
      </w:r>
      <w:proofErr w:type="spellEnd"/>
      <w:r>
        <w:rPr>
          <w:lang w:val="ru"/>
        </w:rPr>
        <w:t xml:space="preserve"> фонда, касающемуся географического происхождения генетических ресурсов, из которых была получена цифровая информации о последовательностях в отношении генетических ресурсов, находящаяся в базе данных, или наиболее подходящего ему эквивалента, а также о хранителе этого индикатора, с целью применения данного индикатора в методике ассигнования средств при учете потенциальных взаимосвязей с другими критериями формулы, для рассмотрения Вспомогательным органом по осуществлению на одном из его совещаний до 18-го совещания Конференции Сторон;</w:t>
      </w:r>
    </w:p>
    <w:p w14:paraId="70990DE5" w14:textId="54FB3707" w:rsidR="008466F2" w:rsidRPr="00264379" w:rsidRDefault="00E23203" w:rsidP="004E5670">
      <w:pPr>
        <w:pStyle w:val="CBDNormalNoNumber"/>
        <w:ind w:firstLine="567"/>
        <w:rPr>
          <w:lang w:val="ru-RU"/>
        </w:rPr>
      </w:pPr>
      <w:r>
        <w:rPr>
          <w:lang w:val="ru"/>
        </w:rPr>
        <w:t>20.</w:t>
      </w:r>
      <w:r>
        <w:rPr>
          <w:lang w:val="ru"/>
        </w:rPr>
        <w:tab/>
      </w:r>
      <w:r>
        <w:rPr>
          <w:i/>
          <w:iCs/>
          <w:lang w:val="ru"/>
        </w:rPr>
        <w:t>поручает</w:t>
      </w:r>
      <w:r>
        <w:rPr>
          <w:lang w:val="ru"/>
        </w:rPr>
        <w:t xml:space="preserve"> Вспомогательному органу по осуществлению рассмотреть результаты работы, описанной в пункте 19 выше, на одном из его совещаний до 18-го совещания Конференции Сторон и рекомендовать Конференции Сторон на ее 18-м совещании варианты источников данных для критерия b) методики ассигнования средств;</w:t>
      </w:r>
    </w:p>
    <w:p w14:paraId="3AB6FEC8" w14:textId="3EE36A46" w:rsidR="008466F2" w:rsidRPr="00264379" w:rsidRDefault="006A42AE" w:rsidP="004E5670">
      <w:pPr>
        <w:pStyle w:val="CBDH4"/>
        <w:ind w:firstLine="0"/>
        <w:rPr>
          <w:lang w:val="ru-RU"/>
        </w:rPr>
      </w:pPr>
      <w:r>
        <w:rPr>
          <w:bCs/>
          <w:lang w:val="ru"/>
        </w:rPr>
        <w:t>IV</w:t>
      </w:r>
      <w:r>
        <w:rPr>
          <w:b w:val="0"/>
          <w:lang w:val="ru"/>
        </w:rPr>
        <w:br/>
      </w:r>
      <w:r>
        <w:rPr>
          <w:bCs/>
          <w:lang w:val="ru"/>
        </w:rPr>
        <w:t xml:space="preserve">Руководящий комитет многостороннего механизма, включая </w:t>
      </w:r>
      <w:proofErr w:type="spellStart"/>
      <w:r>
        <w:rPr>
          <w:bCs/>
          <w:lang w:val="ru"/>
        </w:rPr>
        <w:t>Калийский</w:t>
      </w:r>
      <w:proofErr w:type="spellEnd"/>
      <w:r>
        <w:rPr>
          <w:bCs/>
          <w:lang w:val="ru"/>
        </w:rPr>
        <w:t xml:space="preserve"> фонд</w:t>
      </w:r>
    </w:p>
    <w:p w14:paraId="19590A69" w14:textId="3A83EE7F" w:rsidR="008466F2" w:rsidRPr="00264379" w:rsidRDefault="00694EDC" w:rsidP="004E5670">
      <w:pPr>
        <w:pStyle w:val="CBDNormalNoNumber"/>
        <w:ind w:firstLine="567"/>
        <w:rPr>
          <w:lang w:val="ru-RU"/>
        </w:rPr>
      </w:pPr>
      <w:r>
        <w:rPr>
          <w:lang w:val="ru"/>
        </w:rPr>
        <w:t>21.</w:t>
      </w:r>
      <w:r>
        <w:rPr>
          <w:lang w:val="ru"/>
        </w:rPr>
        <w:tab/>
      </w:r>
      <w:r>
        <w:rPr>
          <w:i/>
          <w:iCs/>
          <w:lang w:val="ru"/>
        </w:rPr>
        <w:t>с удовлетворением принимает</w:t>
      </w:r>
      <w:r>
        <w:rPr>
          <w:lang w:val="ru"/>
        </w:rPr>
        <w:t xml:space="preserve"> </w:t>
      </w:r>
      <w:r>
        <w:rPr>
          <w:i/>
          <w:iCs/>
          <w:lang w:val="ru"/>
        </w:rPr>
        <w:t>к сведению</w:t>
      </w:r>
      <w:r>
        <w:rPr>
          <w:lang w:val="ru"/>
        </w:rPr>
        <w:t xml:space="preserve"> доклад руководящего комитета многостороннего механизма совместного использования выгод на справедливой и равной </w:t>
      </w:r>
      <w:r>
        <w:rPr>
          <w:lang w:val="ru"/>
        </w:rPr>
        <w:lastRenderedPageBreak/>
        <w:t xml:space="preserve">основе от применения цифровой информации о последовательностях в отношении генетических ресурсов, включая </w:t>
      </w:r>
      <w:proofErr w:type="spellStart"/>
      <w:r>
        <w:rPr>
          <w:lang w:val="ru"/>
        </w:rPr>
        <w:t>Калийский</w:t>
      </w:r>
      <w:proofErr w:type="spellEnd"/>
      <w:r>
        <w:rPr>
          <w:lang w:val="ru"/>
        </w:rPr>
        <w:t xml:space="preserve"> фонд</w:t>
      </w:r>
      <w:r>
        <w:rPr>
          <w:rStyle w:val="FootnoteReference"/>
          <w:lang w:val="ru"/>
        </w:rPr>
        <w:footnoteReference w:id="11"/>
      </w:r>
      <w:r>
        <w:rPr>
          <w:lang w:val="ru"/>
        </w:rPr>
        <w:t>;</w:t>
      </w:r>
    </w:p>
    <w:p w14:paraId="07F12A20" w14:textId="10166522" w:rsidR="008466F2" w:rsidRPr="00264379" w:rsidRDefault="00694EDC" w:rsidP="004E5670">
      <w:pPr>
        <w:pStyle w:val="CBDNormalNoNumber"/>
        <w:ind w:firstLine="567"/>
        <w:rPr>
          <w:lang w:val="ru-RU"/>
        </w:rPr>
      </w:pPr>
      <w:r>
        <w:rPr>
          <w:lang w:val="ru"/>
        </w:rPr>
        <w:t>22.</w:t>
      </w:r>
      <w:r>
        <w:rPr>
          <w:lang w:val="ru"/>
        </w:rPr>
        <w:tab/>
      </w:r>
      <w:r>
        <w:rPr>
          <w:i/>
          <w:iCs/>
          <w:lang w:val="ru"/>
        </w:rPr>
        <w:t>утверждает</w:t>
      </w:r>
      <w:r>
        <w:rPr>
          <w:lang w:val="ru"/>
        </w:rPr>
        <w:t xml:space="preserve"> правило 11 правил процедуры руководящего комитета многостороннего механизма, включая </w:t>
      </w:r>
      <w:proofErr w:type="spellStart"/>
      <w:r>
        <w:rPr>
          <w:lang w:val="ru"/>
        </w:rPr>
        <w:t>Калийский</w:t>
      </w:r>
      <w:proofErr w:type="spellEnd"/>
      <w:r>
        <w:rPr>
          <w:lang w:val="ru"/>
        </w:rPr>
        <w:t xml:space="preserve"> фонд, о членах и их заместителях, содержащееся в приложении II;</w:t>
      </w:r>
    </w:p>
    <w:p w14:paraId="49E9C825" w14:textId="77C136C6" w:rsidR="008466F2" w:rsidRPr="00264379" w:rsidRDefault="00694EDC" w:rsidP="004E5670">
      <w:pPr>
        <w:pStyle w:val="CBDNormalNoNumber"/>
        <w:ind w:firstLine="567"/>
        <w:rPr>
          <w:lang w:val="ru-RU"/>
        </w:rPr>
      </w:pPr>
      <w:r>
        <w:rPr>
          <w:lang w:val="ru"/>
        </w:rPr>
        <w:t>23.</w:t>
      </w:r>
      <w:r>
        <w:rPr>
          <w:lang w:val="ru"/>
        </w:rPr>
        <w:tab/>
      </w:r>
      <w:r>
        <w:rPr>
          <w:i/>
          <w:iCs/>
          <w:lang w:val="ru"/>
        </w:rPr>
        <w:t>приветствует</w:t>
      </w:r>
      <w:r>
        <w:rPr>
          <w:lang w:val="ru"/>
        </w:rPr>
        <w:t xml:space="preserve"> работу руководящего комитета над структурированным подходом к деятельности по осуществлению и предлагает ему продолжить эти усилия, сформировать фактологическую базу для первого обзора многостороннего механизма, включая результаты, выводы и уроки, извлеченные из применения структурированного подхода, и включить полученные результаты в доклад и рекомендации руководящего комитета для 18-го совещания Конференции Сторон;</w:t>
      </w:r>
    </w:p>
    <w:p w14:paraId="28B007F6" w14:textId="781B4018" w:rsidR="008466F2" w:rsidRPr="00264379" w:rsidRDefault="00694EDC" w:rsidP="004E5670">
      <w:pPr>
        <w:pStyle w:val="CBDNormalNoNumber"/>
        <w:keepNext/>
        <w:ind w:firstLine="567"/>
        <w:rPr>
          <w:lang w:val="ru-RU"/>
        </w:rPr>
      </w:pPr>
      <w:r>
        <w:rPr>
          <w:lang w:val="ru"/>
        </w:rPr>
        <w:t>24.</w:t>
      </w:r>
      <w:r>
        <w:rPr>
          <w:lang w:val="ru"/>
        </w:rPr>
        <w:tab/>
      </w:r>
      <w:r>
        <w:rPr>
          <w:i/>
          <w:iCs/>
          <w:lang w:val="ru"/>
        </w:rPr>
        <w:t xml:space="preserve">поручает </w:t>
      </w:r>
      <w:r>
        <w:rPr>
          <w:lang w:val="ru"/>
        </w:rPr>
        <w:t xml:space="preserve">Исполнительному секретарю при условии наличия ресурсов: </w:t>
      </w:r>
    </w:p>
    <w:p w14:paraId="042E3E04" w14:textId="60464546" w:rsidR="008466F2" w:rsidRPr="00264379" w:rsidRDefault="00694EDC" w:rsidP="004E5670">
      <w:pPr>
        <w:pStyle w:val="CBDNormalNoNumber"/>
        <w:ind w:firstLine="567"/>
        <w:rPr>
          <w:lang w:val="ru-RU"/>
        </w:rPr>
      </w:pPr>
      <w:r>
        <w:rPr>
          <w:lang w:val="ru"/>
        </w:rPr>
        <w:t>a)</w:t>
      </w:r>
      <w:r>
        <w:rPr>
          <w:lang w:val="ru"/>
        </w:rPr>
        <w:tab/>
        <w:t xml:space="preserve">организовать с методической помощью руководящего комитета проведение исследования по вопросу о нынешнем положении дел в отношении совместного использования неденежных выгод всеми пользователями цифровой информации о последовательностях в отношении генетических ресурсов, чтобы таким образом, среди прочего, установить: пробелы в вопросах получения доступа к такой цифровой информации о последовательностях, ее использования и создания; пути проведения самооценки потребностей в области создания потенциала; методы мониторинга неденежных выгод и представления отчетности о них; примеры успешного предоставления адресных неденежных выгод, в том числе через сеть региональных и субрегиональных центров поддержки научно-технического сотрудничества; способы включения взносов в форме неденежных выгод из многостороннего механизма в процесс представления отчетности в рамках механизма мониторинга </w:t>
      </w:r>
      <w:proofErr w:type="spellStart"/>
      <w:r>
        <w:rPr>
          <w:lang w:val="ru"/>
        </w:rPr>
        <w:t>Куньминско</w:t>
      </w:r>
      <w:proofErr w:type="spellEnd"/>
      <w:r>
        <w:rPr>
          <w:lang w:val="ru"/>
        </w:rPr>
        <w:t>-Монреальской глобальной рамочной программы в области биоразнообразия; механизм посредничества для многостороннего механизма, предусмотренный в пункте 8 приложения к решению </w:t>
      </w:r>
      <w:hyperlink r:id="rId33" w:history="1">
        <w:r>
          <w:rPr>
            <w:rStyle w:val="Hyperlink0"/>
            <w:rFonts w:eastAsia="Arial Unicode MS"/>
            <w:lang w:val="ru"/>
          </w:rPr>
          <w:t>16/2</w:t>
        </w:r>
      </w:hyperlink>
      <w:r>
        <w:rPr>
          <w:lang w:val="ru"/>
        </w:rPr>
        <w:t xml:space="preserve">; рекомендации для руководящего комитета по вопросам дальнейшего введения в действие; </w:t>
      </w:r>
    </w:p>
    <w:p w14:paraId="142B7F9D" w14:textId="02DC68B9" w:rsidR="008466F2" w:rsidRPr="00264379" w:rsidRDefault="009C3C1F" w:rsidP="004E5670">
      <w:pPr>
        <w:pStyle w:val="CBDNormalNumber"/>
        <w:numPr>
          <w:ilvl w:val="0"/>
          <w:numId w:val="0"/>
        </w:numPr>
        <w:ind w:left="567" w:firstLine="567"/>
        <w:rPr>
          <w:lang w:val="ru-RU"/>
        </w:rPr>
      </w:pPr>
      <w:r>
        <w:rPr>
          <w:lang w:val="ru"/>
        </w:rPr>
        <w:t>b)</w:t>
      </w:r>
      <w:r>
        <w:rPr>
          <w:lang w:val="ru"/>
        </w:rPr>
        <w:tab/>
        <w:t>представить Руководящему комитету результаты работы, описанной в подпункте 24 a) выше, для сведения и учета, в том числе в его докладе для 18-го совещания Конференции Сторон.</w:t>
      </w:r>
    </w:p>
    <w:p w14:paraId="2ADCFA6E" w14:textId="6C9311F5" w:rsidR="008466F2" w:rsidRPr="00264379" w:rsidRDefault="00D81DDD" w:rsidP="004E5670">
      <w:pPr>
        <w:pStyle w:val="CBDDesicionAnnex"/>
        <w:rPr>
          <w:b w:val="0"/>
          <w:sz w:val="22"/>
          <w:szCs w:val="20"/>
          <w:lang w:val="ru-RU"/>
        </w:rPr>
      </w:pPr>
      <w:r>
        <w:rPr>
          <w:b w:val="0"/>
          <w:bCs w:val="0"/>
          <w:sz w:val="22"/>
          <w:szCs w:val="20"/>
          <w:lang w:val="ru"/>
        </w:rPr>
        <w:t>...</w:t>
      </w:r>
    </w:p>
    <w:p w14:paraId="28234E74" w14:textId="3115F8C4" w:rsidR="008466F2" w:rsidRPr="00264379" w:rsidRDefault="000D33BB" w:rsidP="004E5670">
      <w:pPr>
        <w:pStyle w:val="CBDDesicionAnnex"/>
        <w:rPr>
          <w:lang w:val="ru-RU"/>
        </w:rPr>
      </w:pPr>
      <w:r>
        <w:rPr>
          <w:lang w:val="ru"/>
        </w:rPr>
        <w:t xml:space="preserve">Приложение II </w:t>
      </w:r>
      <w:r>
        <w:rPr>
          <w:b w:val="0"/>
          <w:bCs w:val="0"/>
          <w:lang w:val="ru"/>
        </w:rPr>
        <w:br/>
      </w:r>
      <w:r>
        <w:rPr>
          <w:lang w:val="ru"/>
        </w:rPr>
        <w:t xml:space="preserve">Правило 11 правил процедуры руководящего комитета многостороннего механизма совместного использования выгод на справедливой и равной основе от применения цифровой информации о последовательностях в отношении генетических ресурсов, включая </w:t>
      </w:r>
      <w:proofErr w:type="spellStart"/>
      <w:r>
        <w:rPr>
          <w:lang w:val="ru"/>
        </w:rPr>
        <w:t>Калийский</w:t>
      </w:r>
      <w:proofErr w:type="spellEnd"/>
      <w:r>
        <w:rPr>
          <w:lang w:val="ru"/>
        </w:rPr>
        <w:t xml:space="preserve"> фонд, о членах и их заместителях</w:t>
      </w:r>
    </w:p>
    <w:p w14:paraId="6D857D4C" w14:textId="32F540DC" w:rsidR="008466F2" w:rsidRPr="00264379" w:rsidRDefault="001B015D" w:rsidP="004E5670">
      <w:pPr>
        <w:pStyle w:val="CBDNormalNoNumber"/>
        <w:rPr>
          <w:lang w:val="ru-RU"/>
        </w:rPr>
      </w:pPr>
      <w:r>
        <w:rPr>
          <w:lang w:val="ru"/>
        </w:rPr>
        <w:t>1.</w:t>
      </w:r>
      <w:r>
        <w:rPr>
          <w:lang w:val="ru"/>
        </w:rPr>
        <w:tab/>
        <w:t xml:space="preserve">По истечении первого двухгодичного срока полномочий члены, наблюдатели и их заместители исполняют свои обязанности в течение четырех лет, что составляет полный срок полномочий. По завершении 17-го совещания Конференции Сторон: </w:t>
      </w:r>
    </w:p>
    <w:p w14:paraId="3524BF8D" w14:textId="5CAA2FF6" w:rsidR="008466F2" w:rsidRPr="00264379" w:rsidRDefault="00A717A5" w:rsidP="004E5670">
      <w:pPr>
        <w:pStyle w:val="CBDNormalNoNumber"/>
        <w:ind w:firstLine="567"/>
        <w:rPr>
          <w:lang w:val="ru-RU"/>
        </w:rPr>
      </w:pPr>
      <w:r>
        <w:rPr>
          <w:lang w:val="ru"/>
        </w:rPr>
        <w:t>a)</w:t>
      </w:r>
      <w:r>
        <w:rPr>
          <w:lang w:val="ru"/>
        </w:rPr>
        <w:tab/>
        <w:t xml:space="preserve">пять членов от Сторон, по одному от каждого региона, будут отобраны для выполнения обязанностей на половину срока полномочий, а 10 членов от Сторон будут отобраны на полный срок полномочий; </w:t>
      </w:r>
    </w:p>
    <w:p w14:paraId="5DD55046" w14:textId="07FED766" w:rsidR="008466F2" w:rsidRPr="00264379" w:rsidRDefault="00A717A5" w:rsidP="004E5670">
      <w:pPr>
        <w:pStyle w:val="CBDNormalNoNumber"/>
        <w:ind w:firstLine="567"/>
        <w:rPr>
          <w:lang w:val="ru-RU"/>
        </w:rPr>
      </w:pPr>
      <w:r>
        <w:rPr>
          <w:lang w:val="ru"/>
        </w:rPr>
        <w:lastRenderedPageBreak/>
        <w:t>b)</w:t>
      </w:r>
      <w:r>
        <w:rPr>
          <w:lang w:val="ru"/>
        </w:rPr>
        <w:tab/>
        <w:t xml:space="preserve">три члена от коренных народов и местных общин будут отобраны для выполнения обязанностей на половину срока полномочий, а четыре члена от коренных народов и местных общин будут отобраны на полный срок полномочий; </w:t>
      </w:r>
    </w:p>
    <w:p w14:paraId="5B757547" w14:textId="7EE557F5" w:rsidR="008466F2" w:rsidRPr="00264379" w:rsidRDefault="00A717A5" w:rsidP="004E5670">
      <w:pPr>
        <w:pStyle w:val="CBDNormalNoNumber"/>
        <w:ind w:firstLine="567"/>
        <w:rPr>
          <w:lang w:val="ru-RU"/>
        </w:rPr>
      </w:pPr>
      <w:r>
        <w:rPr>
          <w:lang w:val="ru"/>
        </w:rPr>
        <w:t>c)</w:t>
      </w:r>
      <w:r>
        <w:rPr>
          <w:lang w:val="ru"/>
        </w:rPr>
        <w:tab/>
        <w:t>три наблюдателя, по одному от каждой категории, указанной в пункте 5</w:t>
      </w:r>
      <w:r w:rsidR="000C703A">
        <w:rPr>
          <w:lang w:val="fr-CA"/>
        </w:rPr>
        <w:t> </w:t>
      </w:r>
      <w:r>
        <w:rPr>
          <w:lang w:val="ru"/>
        </w:rPr>
        <w:t>b) добавления IV к приложению в решении</w:t>
      </w:r>
      <w:r w:rsidR="000C703A">
        <w:rPr>
          <w:lang w:val="fr-CA"/>
        </w:rPr>
        <w:t xml:space="preserve"> </w:t>
      </w:r>
      <w:hyperlink r:id="rId34" w:history="1">
        <w:r>
          <w:rPr>
            <w:rStyle w:val="Hyperlink"/>
            <w:lang w:val="ru"/>
          </w:rPr>
          <w:t>16/2</w:t>
        </w:r>
      </w:hyperlink>
      <w:r>
        <w:rPr>
          <w:lang w:val="ru"/>
        </w:rPr>
        <w:t xml:space="preserve"> от 1 ноября 2024 года, будут отобраны для выполнения обязанностей на половину срока полномочий, а три наблюдателя будут отобраны на полный срок полномочий.</w:t>
      </w:r>
      <w:r w:rsidR="0077000F">
        <w:rPr>
          <w:lang w:val="ru"/>
        </w:rPr>
        <w:t xml:space="preserve"> </w:t>
      </w:r>
      <w:r>
        <w:rPr>
          <w:lang w:val="ru"/>
        </w:rPr>
        <w:t xml:space="preserve">В дальнейшем каждый раз члены и наблюдатели будут отбираться на полный срок полномочий. </w:t>
      </w:r>
    </w:p>
    <w:p w14:paraId="44211B8E" w14:textId="6FBACA4D" w:rsidR="008466F2" w:rsidRPr="00264379" w:rsidRDefault="00764477" w:rsidP="004E5670">
      <w:pPr>
        <w:pStyle w:val="CBDNormalNumber"/>
        <w:numPr>
          <w:ilvl w:val="0"/>
          <w:numId w:val="108"/>
        </w:numPr>
        <w:rPr>
          <w:lang w:val="ru-RU"/>
        </w:rPr>
      </w:pPr>
      <w:r>
        <w:rPr>
          <w:lang w:val="ru"/>
        </w:rPr>
        <w:t>2.</w:t>
      </w:r>
      <w:r>
        <w:rPr>
          <w:lang w:val="ru"/>
        </w:rPr>
        <w:tab/>
        <w:t xml:space="preserve">Сроки полномочий начинаются 1 апреля года, следующего за очередным совещанием Конференции Сторон, и заканчиваются 31 марта через два или четыре года соответственно. </w:t>
      </w:r>
    </w:p>
    <w:p w14:paraId="452AEC9B" w14:textId="116D3058" w:rsidR="008466F2" w:rsidRPr="00264379" w:rsidRDefault="00764477" w:rsidP="004E5670">
      <w:pPr>
        <w:pStyle w:val="CBDNormalNumber"/>
        <w:numPr>
          <w:ilvl w:val="0"/>
          <w:numId w:val="108"/>
        </w:numPr>
        <w:rPr>
          <w:lang w:val="ru-RU"/>
        </w:rPr>
      </w:pPr>
      <w:r>
        <w:rPr>
          <w:lang w:val="ru"/>
        </w:rPr>
        <w:t>3.</w:t>
      </w:r>
      <w:r>
        <w:rPr>
          <w:lang w:val="ru"/>
        </w:rPr>
        <w:tab/>
        <w:t>В случае если один из членов, наблюдателей или заместителей не может выполнять обязанности в течение всего установленного срока полномочий, то в качестве потенциального кандидата на замещение этого члена, наблюдателя или заместителя на оставшуюся часть срока полномочий выдвигается представитель от той же Стороны или группы.</w:t>
      </w:r>
      <w:r w:rsidR="0077000F">
        <w:rPr>
          <w:lang w:val="ru"/>
        </w:rPr>
        <w:t xml:space="preserve"> </w:t>
      </w:r>
      <w:r>
        <w:rPr>
          <w:lang w:val="ru"/>
        </w:rPr>
        <w:t xml:space="preserve">Кандидатура такого замещающего лица рассматривается в консультации с его или ее региональной группой или организацией, в зависимости от обстоятельств, и может быть отобрана ею в качестве замены или заместителя, с учетом принципа гендерного баланса и соответствующей технической квалификации кандидата. </w:t>
      </w:r>
    </w:p>
    <w:p w14:paraId="09338ADF" w14:textId="20431433" w:rsidR="008466F2" w:rsidRPr="00264379" w:rsidRDefault="00764477" w:rsidP="00A80622">
      <w:pPr>
        <w:pStyle w:val="CBDNormalNumber"/>
        <w:numPr>
          <w:ilvl w:val="0"/>
          <w:numId w:val="108"/>
        </w:numPr>
        <w:rPr>
          <w:lang w:val="ru-RU"/>
        </w:rPr>
      </w:pPr>
      <w:r>
        <w:rPr>
          <w:lang w:val="ru"/>
        </w:rPr>
        <w:t>4.</w:t>
      </w:r>
      <w:r>
        <w:rPr>
          <w:lang w:val="ru"/>
        </w:rPr>
        <w:tab/>
        <w:t>Ни один член, наблюдатель или заместитель не может исполнять обязанности более двух сроков полномочий подряд.</w:t>
      </w:r>
    </w:p>
    <w:p w14:paraId="52D0F768" w14:textId="52A658FF" w:rsidR="008466F2" w:rsidRPr="00556C42" w:rsidRDefault="000D33BB">
      <w:pPr>
        <w:pStyle w:val="Para1"/>
        <w:tabs>
          <w:tab w:val="left" w:pos="360"/>
        </w:tabs>
        <w:ind w:left="567" w:firstLine="0"/>
        <w:jc w:val="center"/>
      </w:pPr>
      <w:r>
        <w:rPr>
          <w:lang w:val="ru"/>
        </w:rPr>
        <w:t>__________</w:t>
      </w:r>
    </w:p>
    <w:sectPr w:rsidR="008466F2" w:rsidRPr="00556C42" w:rsidSect="004E5670">
      <w:headerReference w:type="even" r:id="rId35"/>
      <w:headerReference w:type="default" r:id="rId36"/>
      <w:footerReference w:type="even" r:id="rId37"/>
      <w:footerReference w:type="default" r:id="rId38"/>
      <w:pgSz w:w="12240" w:h="15840"/>
      <w:pgMar w:top="567" w:right="1440" w:bottom="1134" w:left="1440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2FE78" w14:textId="77777777" w:rsidR="002D0D70" w:rsidRPr="00556C42" w:rsidRDefault="002D0D70">
      <w:r>
        <w:separator/>
      </w:r>
    </w:p>
  </w:endnote>
  <w:endnote w:type="continuationSeparator" w:id="0">
    <w:p w14:paraId="0E014861" w14:textId="77777777" w:rsidR="002D0D70" w:rsidRPr="00556C42" w:rsidRDefault="002D0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panose1 w:val="00000000000000000000"/>
    <w:charset w:val="00"/>
    <w:family w:val="roman"/>
    <w:notTrueType/>
    <w:pitch w:val="default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128750"/>
      <w:docPartObj>
        <w:docPartGallery w:val="Page Numbers (Top of Page)"/>
        <w:docPartUnique/>
      </w:docPartObj>
    </w:sdtPr>
    <w:sdtContent>
      <w:p w14:paraId="4B08A165" w14:textId="5BFA573A" w:rsidR="00AB3026" w:rsidRDefault="00AB3026">
        <w:pPr>
          <w:pStyle w:val="Footer"/>
        </w:pPr>
        <w:r>
          <w:rPr>
            <w:szCs w:val="20"/>
            <w:lang w:val="ru"/>
          </w:rPr>
          <w:fldChar w:fldCharType="begin"/>
        </w:r>
        <w:r>
          <w:rPr>
            <w:szCs w:val="20"/>
            <w:lang w:val="ru"/>
          </w:rPr>
          <w:instrText xml:space="preserve"> PAGE </w:instrText>
        </w:r>
        <w:r>
          <w:rPr>
            <w:szCs w:val="20"/>
            <w:lang w:val="ru"/>
          </w:rPr>
          <w:fldChar w:fldCharType="separate"/>
        </w:r>
        <w:r>
          <w:rPr>
            <w:szCs w:val="20"/>
            <w:lang w:val="ru"/>
          </w:rPr>
          <w:t>2</w:t>
        </w:r>
        <w:r>
          <w:rPr>
            <w:szCs w:val="20"/>
            <w:lang w:val="ru"/>
          </w:rPr>
          <w:fldChar w:fldCharType="end"/>
        </w:r>
        <w:r>
          <w:rPr>
            <w:szCs w:val="20"/>
            <w:lang w:val="ru"/>
          </w:rPr>
          <w:t>/</w:t>
        </w:r>
        <w:r>
          <w:rPr>
            <w:szCs w:val="20"/>
            <w:lang w:val="ru"/>
          </w:rPr>
          <w:fldChar w:fldCharType="begin"/>
        </w:r>
        <w:r>
          <w:rPr>
            <w:szCs w:val="20"/>
            <w:lang w:val="ru"/>
          </w:rPr>
          <w:instrText xml:space="preserve"> NUMPAGES  </w:instrText>
        </w:r>
        <w:r>
          <w:rPr>
            <w:szCs w:val="20"/>
            <w:lang w:val="ru"/>
          </w:rPr>
          <w:fldChar w:fldCharType="separate"/>
        </w:r>
        <w:r>
          <w:rPr>
            <w:szCs w:val="20"/>
            <w:lang w:val="ru"/>
          </w:rPr>
          <w:t>213</w:t>
        </w:r>
        <w:r>
          <w:rPr>
            <w:szCs w:val="20"/>
            <w:lang w:val="ru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5238520"/>
      <w:docPartObj>
        <w:docPartGallery w:val="Page Numbers (Top of Page)"/>
        <w:docPartUnique/>
      </w:docPartObj>
    </w:sdtPr>
    <w:sdtContent>
      <w:p w14:paraId="05AFED0E" w14:textId="7E816865" w:rsidR="00AB3026" w:rsidRDefault="00AB3026" w:rsidP="00AB3026">
        <w:pPr>
          <w:pStyle w:val="Footer"/>
          <w:jc w:val="right"/>
        </w:pPr>
        <w:r>
          <w:rPr>
            <w:szCs w:val="20"/>
            <w:lang w:val="ru"/>
          </w:rPr>
          <w:fldChar w:fldCharType="begin"/>
        </w:r>
        <w:r>
          <w:rPr>
            <w:szCs w:val="20"/>
            <w:lang w:val="ru"/>
          </w:rPr>
          <w:instrText xml:space="preserve"> PAGE </w:instrText>
        </w:r>
        <w:r>
          <w:rPr>
            <w:szCs w:val="20"/>
            <w:lang w:val="ru"/>
          </w:rPr>
          <w:fldChar w:fldCharType="separate"/>
        </w:r>
        <w:r>
          <w:rPr>
            <w:szCs w:val="20"/>
            <w:lang w:val="ru"/>
          </w:rPr>
          <w:t>2</w:t>
        </w:r>
        <w:r>
          <w:rPr>
            <w:szCs w:val="20"/>
            <w:lang w:val="ru"/>
          </w:rPr>
          <w:fldChar w:fldCharType="end"/>
        </w:r>
        <w:r>
          <w:rPr>
            <w:szCs w:val="20"/>
            <w:lang w:val="ru"/>
          </w:rPr>
          <w:t>/</w:t>
        </w:r>
        <w:r>
          <w:rPr>
            <w:szCs w:val="20"/>
            <w:lang w:val="ru"/>
          </w:rPr>
          <w:fldChar w:fldCharType="begin"/>
        </w:r>
        <w:r>
          <w:rPr>
            <w:szCs w:val="20"/>
            <w:lang w:val="ru"/>
          </w:rPr>
          <w:instrText xml:space="preserve"> NUMPAGES  </w:instrText>
        </w:r>
        <w:r>
          <w:rPr>
            <w:szCs w:val="20"/>
            <w:lang w:val="ru"/>
          </w:rPr>
          <w:fldChar w:fldCharType="separate"/>
        </w:r>
        <w:r>
          <w:rPr>
            <w:szCs w:val="20"/>
            <w:lang w:val="ru"/>
          </w:rPr>
          <w:t>213</w:t>
        </w:r>
        <w:r>
          <w:rPr>
            <w:szCs w:val="20"/>
            <w:lang w:val="ru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5333B" w14:textId="77777777" w:rsidR="002D0D70" w:rsidRPr="00556C42" w:rsidRDefault="002D0D70">
      <w:r>
        <w:separator/>
      </w:r>
    </w:p>
  </w:footnote>
  <w:footnote w:type="continuationSeparator" w:id="0">
    <w:p w14:paraId="3B0283DE" w14:textId="77777777" w:rsidR="002D0D70" w:rsidRPr="00556C42" w:rsidRDefault="002D0D70">
      <w:r>
        <w:continuationSeparator/>
      </w:r>
    </w:p>
  </w:footnote>
  <w:footnote w:type="continuationNotice" w:id="1">
    <w:p w14:paraId="41C1DA09" w14:textId="77777777" w:rsidR="002D0D70" w:rsidRPr="00556C42" w:rsidRDefault="002D0D70"/>
  </w:footnote>
  <w:footnote w:id="2">
    <w:p w14:paraId="73006DC5" w14:textId="2161D4D8" w:rsidR="00B203C2" w:rsidRPr="00264379" w:rsidRDefault="00B203C2">
      <w:pPr>
        <w:pStyle w:val="FootnoteText"/>
        <w:rPr>
          <w:lang w:val="ru-RU"/>
        </w:rPr>
      </w:pPr>
      <w:r>
        <w:rPr>
          <w:rStyle w:val="FootnoteReference"/>
          <w:lang w:val="ru"/>
        </w:rPr>
        <w:t>*</w:t>
      </w:r>
      <w:r>
        <w:rPr>
          <w:lang w:val="ru"/>
        </w:rPr>
        <w:t xml:space="preserve"> </w:t>
      </w:r>
      <w:hyperlink r:id="rId1" w:history="1">
        <w:r>
          <w:rPr>
            <w:rStyle w:val="Hyperlink"/>
            <w:lang w:val="ru"/>
          </w:rPr>
          <w:t>CBD/COP/17/1/Rev.1</w:t>
        </w:r>
      </w:hyperlink>
      <w:r>
        <w:rPr>
          <w:lang w:val="ru"/>
        </w:rPr>
        <w:t>.</w:t>
      </w:r>
    </w:p>
  </w:footnote>
  <w:footnote w:id="3">
    <w:p w14:paraId="27C449FD" w14:textId="4B866874" w:rsidR="008466F2" w:rsidRPr="00264379" w:rsidRDefault="000D33BB">
      <w:pPr>
        <w:pStyle w:val="FootnoteText"/>
        <w:rPr>
          <w:lang w:val="ru-RU"/>
        </w:rPr>
      </w:pPr>
      <w:r>
        <w:rPr>
          <w:vertAlign w:val="superscript"/>
          <w:lang w:val="ru"/>
        </w:rPr>
        <w:footnoteRef/>
      </w:r>
      <w:r>
        <w:rPr>
          <w:lang w:val="ru"/>
        </w:rPr>
        <w:t xml:space="preserve"> Более подробная информация содержится в документе </w:t>
      </w:r>
      <w:hyperlink r:id="rId2" w:history="1">
        <w:r>
          <w:rPr>
            <w:rStyle w:val="Hyperlink"/>
            <w:lang w:val="ru"/>
          </w:rPr>
          <w:t>CBD/SBI/7/5</w:t>
        </w:r>
      </w:hyperlink>
      <w:r>
        <w:rPr>
          <w:lang w:val="ru"/>
        </w:rPr>
        <w:t xml:space="preserve"> и приложениях к нему.</w:t>
      </w:r>
    </w:p>
  </w:footnote>
  <w:footnote w:id="4">
    <w:p w14:paraId="68554205" w14:textId="5B91FA39" w:rsidR="00156AA2" w:rsidRPr="000A7146" w:rsidRDefault="00156AA2">
      <w:pPr>
        <w:pStyle w:val="FootnoteText"/>
        <w:rPr>
          <w:lang w:val="en-US"/>
        </w:rPr>
      </w:pPr>
      <w:r>
        <w:rPr>
          <w:rStyle w:val="FootnoteReference"/>
          <w:lang w:val="ru"/>
        </w:rPr>
        <w:footnoteRef/>
      </w:r>
      <w:r>
        <w:rPr>
          <w:lang w:val="ru"/>
        </w:rPr>
        <w:t xml:space="preserve"> </w:t>
      </w:r>
      <w:r w:rsidR="00F33E87">
        <w:rPr>
          <w:lang w:val="ru"/>
        </w:rPr>
        <w:t>Дополнительная</w:t>
      </w:r>
      <w:r>
        <w:rPr>
          <w:lang w:val="ru"/>
        </w:rPr>
        <w:t xml:space="preserve"> </w:t>
      </w:r>
      <w:r w:rsidR="00F33E87">
        <w:rPr>
          <w:lang w:val="ru"/>
        </w:rPr>
        <w:t xml:space="preserve">информация приводится в </w:t>
      </w:r>
      <w:r>
        <w:rPr>
          <w:lang w:val="ru"/>
        </w:rPr>
        <w:t xml:space="preserve">документе Paul </w:t>
      </w:r>
      <w:proofErr w:type="spellStart"/>
      <w:r>
        <w:rPr>
          <w:lang w:val="ru"/>
        </w:rPr>
        <w:t>Oldham</w:t>
      </w:r>
      <w:proofErr w:type="spellEnd"/>
      <w:r>
        <w:rPr>
          <w:lang w:val="ru"/>
        </w:rPr>
        <w:t>, “</w:t>
      </w:r>
      <w:proofErr w:type="spellStart"/>
      <w:r>
        <w:rPr>
          <w:lang w:val="ru"/>
        </w:rPr>
        <w:t>Inverted</w:t>
      </w:r>
      <w:proofErr w:type="spellEnd"/>
      <w:r>
        <w:rPr>
          <w:lang w:val="ru"/>
        </w:rPr>
        <w:t xml:space="preserve"> UN </w:t>
      </w:r>
      <w:proofErr w:type="spellStart"/>
      <w:r>
        <w:rPr>
          <w:lang w:val="ru"/>
        </w:rPr>
        <w:t>scale</w:t>
      </w:r>
      <w:proofErr w:type="spellEnd"/>
      <w:r>
        <w:rPr>
          <w:lang w:val="ru"/>
        </w:rPr>
        <w:t xml:space="preserve"> </w:t>
      </w:r>
      <w:proofErr w:type="spellStart"/>
      <w:r>
        <w:rPr>
          <w:lang w:val="ru"/>
        </w:rPr>
        <w:t>of</w:t>
      </w:r>
      <w:proofErr w:type="spellEnd"/>
      <w:r>
        <w:rPr>
          <w:lang w:val="ru"/>
        </w:rPr>
        <w:t xml:space="preserve"> </w:t>
      </w:r>
      <w:proofErr w:type="spellStart"/>
      <w:r>
        <w:rPr>
          <w:lang w:val="ru"/>
        </w:rPr>
        <w:t>assessments</w:t>
      </w:r>
      <w:proofErr w:type="spellEnd"/>
      <w:r>
        <w:rPr>
          <w:lang w:val="ru"/>
        </w:rPr>
        <w:t xml:space="preserve"> </w:t>
      </w:r>
      <w:proofErr w:type="spellStart"/>
      <w:r>
        <w:rPr>
          <w:lang w:val="ru"/>
        </w:rPr>
        <w:t>formula</w:t>
      </w:r>
      <w:proofErr w:type="spellEnd"/>
      <w:r>
        <w:rPr>
          <w:lang w:val="ru"/>
        </w:rPr>
        <w:t xml:space="preserve"> (IUSAF): </w:t>
      </w:r>
      <w:proofErr w:type="spellStart"/>
      <w:r>
        <w:rPr>
          <w:lang w:val="ru"/>
        </w:rPr>
        <w:t>working</w:t>
      </w:r>
      <w:proofErr w:type="spellEnd"/>
      <w:r>
        <w:rPr>
          <w:lang w:val="ru"/>
        </w:rPr>
        <w:t xml:space="preserve"> </w:t>
      </w:r>
      <w:proofErr w:type="spellStart"/>
      <w:r>
        <w:rPr>
          <w:lang w:val="ru"/>
        </w:rPr>
        <w:t>paper</w:t>
      </w:r>
      <w:proofErr w:type="spellEnd"/>
      <w:r>
        <w:rPr>
          <w:lang w:val="ru"/>
        </w:rPr>
        <w:t xml:space="preserve"> </w:t>
      </w:r>
      <w:proofErr w:type="spellStart"/>
      <w:r>
        <w:rPr>
          <w:lang w:val="ru"/>
        </w:rPr>
        <w:t>on</w:t>
      </w:r>
      <w:proofErr w:type="spellEnd"/>
      <w:r>
        <w:rPr>
          <w:lang w:val="ru"/>
        </w:rPr>
        <w:t xml:space="preserve"> </w:t>
      </w:r>
      <w:proofErr w:type="spellStart"/>
      <w:r>
        <w:rPr>
          <w:lang w:val="ru"/>
        </w:rPr>
        <w:t>option</w:t>
      </w:r>
      <w:proofErr w:type="spellEnd"/>
      <w:r>
        <w:rPr>
          <w:lang w:val="ru"/>
        </w:rPr>
        <w:t xml:space="preserve"> A”, SSRN, 7 </w:t>
      </w:r>
      <w:proofErr w:type="spellStart"/>
      <w:r>
        <w:rPr>
          <w:lang w:val="ru"/>
        </w:rPr>
        <w:t>May</w:t>
      </w:r>
      <w:proofErr w:type="spellEnd"/>
      <w:r>
        <w:rPr>
          <w:lang w:val="ru"/>
        </w:rPr>
        <w:t xml:space="preserve"> 2026.</w:t>
      </w:r>
    </w:p>
  </w:footnote>
  <w:footnote w:id="5">
    <w:p w14:paraId="505EF053" w14:textId="659223F4" w:rsidR="00DB2258" w:rsidRPr="00264379" w:rsidRDefault="00DB2258">
      <w:pPr>
        <w:pStyle w:val="FootnoteText"/>
        <w:rPr>
          <w:lang w:val="ru-RU"/>
        </w:rPr>
      </w:pPr>
      <w:r>
        <w:rPr>
          <w:rStyle w:val="FootnoteReference"/>
          <w:lang w:val="ru"/>
        </w:rPr>
        <w:footnoteRef/>
      </w:r>
      <w:r>
        <w:rPr>
          <w:lang w:val="ru"/>
        </w:rPr>
        <w:t xml:space="preserve"> </w:t>
      </w:r>
      <w:hyperlink r:id="rId3" w:history="1">
        <w:r>
          <w:rPr>
            <w:rStyle w:val="Hyperlink"/>
            <w:lang w:val="ru"/>
          </w:rPr>
          <w:t>www.cbd.int/conferences/dsi-sc</w:t>
        </w:r>
      </w:hyperlink>
      <w:r>
        <w:rPr>
          <w:lang w:val="ru"/>
        </w:rPr>
        <w:t xml:space="preserve">. </w:t>
      </w:r>
    </w:p>
  </w:footnote>
  <w:footnote w:id="6">
    <w:p w14:paraId="213043A9" w14:textId="2B374953" w:rsidR="00FB2729" w:rsidRPr="00264379" w:rsidRDefault="00FB2729">
      <w:pPr>
        <w:pStyle w:val="FootnoteText"/>
        <w:rPr>
          <w:lang w:val="ru-RU"/>
        </w:rPr>
      </w:pPr>
      <w:r>
        <w:rPr>
          <w:rStyle w:val="FootnoteReference"/>
          <w:lang w:val="ru"/>
        </w:rPr>
        <w:footnoteRef/>
      </w:r>
      <w:r>
        <w:rPr>
          <w:lang w:val="ru"/>
        </w:rPr>
        <w:t xml:space="preserve"> Сведения о потребностях секретариата в ресурсах </w:t>
      </w:r>
      <w:r w:rsidR="00CC74E3">
        <w:rPr>
          <w:lang w:val="ru"/>
        </w:rPr>
        <w:t xml:space="preserve">приводятся </w:t>
      </w:r>
      <w:r>
        <w:rPr>
          <w:lang w:val="ru"/>
        </w:rPr>
        <w:t>в документе CBD/COP/17/4/Add.2.</w:t>
      </w:r>
    </w:p>
  </w:footnote>
  <w:footnote w:id="7">
    <w:p w14:paraId="1EF0A689" w14:textId="2FA72A5B" w:rsidR="008466F2" w:rsidRPr="00264379" w:rsidRDefault="000D33BB" w:rsidP="004E5670">
      <w:pPr>
        <w:pStyle w:val="CBDFootnoteText"/>
        <w:rPr>
          <w:lang w:val="ru-RU"/>
        </w:rPr>
      </w:pPr>
      <w:r>
        <w:rPr>
          <w:vertAlign w:val="superscript"/>
          <w:lang w:val="ru"/>
        </w:rPr>
        <w:footnoteRef/>
      </w:r>
      <w:r>
        <w:rPr>
          <w:lang w:val="ru"/>
        </w:rPr>
        <w:t xml:space="preserve"> См. рекомендацию </w:t>
      </w:r>
      <w:hyperlink r:id="rId4" w:history="1">
        <w:r>
          <w:rPr>
            <w:rStyle w:val="Hyperlink"/>
            <w:lang w:val="ru"/>
          </w:rPr>
          <w:t>7/4</w:t>
        </w:r>
      </w:hyperlink>
      <w:r>
        <w:rPr>
          <w:lang w:val="ru"/>
        </w:rPr>
        <w:t xml:space="preserve"> Вспомогательного органа по осуществлению.</w:t>
      </w:r>
    </w:p>
  </w:footnote>
  <w:footnote w:id="8">
    <w:p w14:paraId="28AD6F4B" w14:textId="1088B917" w:rsidR="00792F8A" w:rsidRPr="00264379" w:rsidRDefault="00792F8A">
      <w:pPr>
        <w:pStyle w:val="FootnoteText"/>
        <w:rPr>
          <w:lang w:val="ru-RU"/>
        </w:rPr>
      </w:pPr>
      <w:r>
        <w:rPr>
          <w:rStyle w:val="FootnoteReference"/>
          <w:lang w:val="ru"/>
        </w:rPr>
        <w:footnoteRef/>
      </w:r>
      <w:r>
        <w:rPr>
          <w:lang w:val="ru"/>
        </w:rPr>
        <w:t xml:space="preserve"> </w:t>
      </w:r>
      <w:hyperlink r:id="rId5" w:history="1">
        <w:r w:rsidRPr="0077000F">
          <w:rPr>
            <w:rStyle w:val="Hyperlink"/>
            <w:lang w:val="ru"/>
          </w:rPr>
          <w:t>CBD/COP/17/6/Add.2.</w:t>
        </w:r>
      </w:hyperlink>
    </w:p>
  </w:footnote>
  <w:footnote w:id="9">
    <w:p w14:paraId="40F43E5F" w14:textId="36150A27" w:rsidR="001F7ED1" w:rsidRPr="00264379" w:rsidRDefault="001F7ED1">
      <w:pPr>
        <w:pStyle w:val="FootnoteText"/>
        <w:rPr>
          <w:lang w:val="ru-RU"/>
        </w:rPr>
      </w:pPr>
      <w:r>
        <w:rPr>
          <w:rStyle w:val="FootnoteReference"/>
          <w:lang w:val="ru"/>
        </w:rPr>
        <w:footnoteRef/>
      </w:r>
      <w:r>
        <w:rPr>
          <w:lang w:val="ru"/>
        </w:rPr>
        <w:t xml:space="preserve"> См. </w:t>
      </w:r>
      <w:hyperlink r:id="rId6" w:history="1">
        <w:r>
          <w:rPr>
            <w:rStyle w:val="Hyperlink"/>
            <w:lang w:val="ru"/>
          </w:rPr>
          <w:t>COP/17/6/Add.2</w:t>
        </w:r>
      </w:hyperlink>
      <w:r>
        <w:rPr>
          <w:lang w:val="ru"/>
        </w:rPr>
        <w:t>, приложение, разд. II. Полный текст настоящего проекта решения, включая проект методики, будет включен в проект решения, содержащийся в сборнике проектов решений (CBD/COP/17/2).</w:t>
      </w:r>
    </w:p>
  </w:footnote>
  <w:footnote w:id="10">
    <w:p w14:paraId="799B5A4D" w14:textId="1BC1784B" w:rsidR="006E1C25" w:rsidRPr="00264379" w:rsidRDefault="006E1C25">
      <w:pPr>
        <w:pStyle w:val="FootnoteText"/>
        <w:rPr>
          <w:lang w:val="ru-RU"/>
        </w:rPr>
      </w:pPr>
      <w:r>
        <w:rPr>
          <w:rStyle w:val="FootnoteReference"/>
          <w:lang w:val="ru"/>
        </w:rPr>
        <w:footnoteRef/>
      </w:r>
      <w:r>
        <w:rPr>
          <w:lang w:val="ru"/>
        </w:rPr>
        <w:t xml:space="preserve"> Решение </w:t>
      </w:r>
      <w:hyperlink r:id="rId7" w:history="1">
        <w:r>
          <w:rPr>
            <w:rStyle w:val="Hyperlink"/>
            <w:lang w:val="ru"/>
          </w:rPr>
          <w:t>15/4</w:t>
        </w:r>
      </w:hyperlink>
      <w:r>
        <w:rPr>
          <w:lang w:val="ru"/>
        </w:rPr>
        <w:t>, приложение.</w:t>
      </w:r>
    </w:p>
  </w:footnote>
  <w:footnote w:id="11">
    <w:p w14:paraId="3105C11E" w14:textId="6B071586" w:rsidR="00B57731" w:rsidRPr="00264379" w:rsidRDefault="00B57731">
      <w:pPr>
        <w:pStyle w:val="FootnoteText"/>
        <w:rPr>
          <w:lang w:val="ru-RU"/>
        </w:rPr>
      </w:pPr>
      <w:r>
        <w:rPr>
          <w:rStyle w:val="FootnoteReference"/>
          <w:lang w:val="ru"/>
        </w:rPr>
        <w:footnoteRef/>
      </w:r>
      <w:r>
        <w:rPr>
          <w:lang w:val="ru"/>
        </w:rPr>
        <w:t xml:space="preserve"> </w:t>
      </w:r>
      <w:hyperlink r:id="rId8" w:history="1">
        <w:r>
          <w:rPr>
            <w:rStyle w:val="Hyperlink"/>
            <w:lang w:val="ru"/>
          </w:rPr>
          <w:t>CBD/COP/17/6/Add.1</w:t>
        </w:r>
      </w:hyperlink>
      <w:r>
        <w:rPr>
          <w:lang w:val="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548AA" w14:textId="59BE44FD" w:rsidR="008466F2" w:rsidRPr="004E5670" w:rsidRDefault="00AF63C8" w:rsidP="004E5670">
    <w:pPr>
      <w:pStyle w:val="CBDHeader"/>
      <w:spacing w:after="240"/>
    </w:pPr>
    <w:r>
      <w:rPr>
        <w:lang w:val="ru"/>
      </w:rPr>
      <w:t>CBD/COP/17/6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466E7" w14:textId="7F2ED27D" w:rsidR="008466F2" w:rsidRPr="004E5670" w:rsidRDefault="00AF63C8" w:rsidP="004E5670">
    <w:pPr>
      <w:pStyle w:val="CBDHeader"/>
      <w:spacing w:after="240"/>
      <w:jc w:val="right"/>
    </w:pPr>
    <w:r>
      <w:rPr>
        <w:lang w:val="ru"/>
      </w:rPr>
      <w:t>CBD/COP/17/6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multilevel"/>
    <w:tmpl w:val="222A08B4"/>
    <w:lvl w:ilvl="0">
      <w:start w:val="1"/>
      <w:numFmt w:val="decimal"/>
      <w:pStyle w:val="Heading1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FA0170D"/>
    <w:multiLevelType w:val="multilevel"/>
    <w:tmpl w:val="222A08B4"/>
    <w:numStyleLink w:val="ListCBD"/>
  </w:abstractNum>
  <w:abstractNum w:abstractNumId="16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18" w15:restartNumberingAfterBreak="0">
    <w:nsid w:val="159B21C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0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2039CD"/>
    <w:multiLevelType w:val="hybridMultilevel"/>
    <w:tmpl w:val="77FEE928"/>
    <w:lvl w:ilvl="0" w:tplc="EF26480C">
      <w:numFmt w:val="decimal"/>
      <w:lvlText w:val=""/>
      <w:lvlJc w:val="left"/>
      <w:pPr>
        <w:tabs>
          <w:tab w:val="num" w:pos="1494"/>
        </w:tabs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2" w15:restartNumberingAfterBreak="0">
    <w:nsid w:val="1EE3344C"/>
    <w:multiLevelType w:val="hybridMultilevel"/>
    <w:tmpl w:val="20887DC8"/>
    <w:lvl w:ilvl="0" w:tplc="04090017">
      <w:start w:val="1"/>
      <w:numFmt w:val="lowerLetter"/>
      <w:lvlText w:val="%1)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3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5" w15:restartNumberingAfterBreak="0">
    <w:nsid w:val="233C665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E5356EC"/>
    <w:multiLevelType w:val="multilevel"/>
    <w:tmpl w:val="07D269C8"/>
    <w:numStyleLink w:val="CBDHeadings"/>
  </w:abstractNum>
  <w:abstractNum w:abstractNumId="28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8E2FF3"/>
    <w:multiLevelType w:val="multilevel"/>
    <w:tmpl w:val="222A08B4"/>
    <w:numStyleLink w:val="ListCBD"/>
  </w:abstractNum>
  <w:abstractNum w:abstractNumId="31" w15:restartNumberingAfterBreak="0">
    <w:nsid w:val="3B4573B9"/>
    <w:multiLevelType w:val="hybridMultilevel"/>
    <w:tmpl w:val="C5A62254"/>
    <w:lvl w:ilvl="0" w:tplc="04090017">
      <w:start w:val="1"/>
      <w:numFmt w:val="lowerLetter"/>
      <w:lvlText w:val="%1)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3CE61093"/>
    <w:multiLevelType w:val="hybridMultilevel"/>
    <w:tmpl w:val="FD52BAE2"/>
    <w:lvl w:ilvl="0" w:tplc="04090017">
      <w:start w:val="1"/>
      <w:numFmt w:val="lowerLetter"/>
      <w:lvlText w:val="%1)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3" w15:restartNumberingAfterBreak="0">
    <w:nsid w:val="42A44168"/>
    <w:multiLevelType w:val="hybridMultilevel"/>
    <w:tmpl w:val="EDD6DF7E"/>
    <w:styleLink w:val="ImportedStyle2"/>
    <w:lvl w:ilvl="0" w:tplc="A0BE24D0">
      <w:start w:val="1"/>
      <w:numFmt w:val="decimal"/>
      <w:lvlText w:val="%1."/>
      <w:lvlJc w:val="left"/>
      <w:pPr>
        <w:tabs>
          <w:tab w:val="left" w:pos="360"/>
          <w:tab w:val="left" w:pos="567"/>
          <w:tab w:val="num" w:pos="1134"/>
          <w:tab w:val="left" w:pos="1701"/>
          <w:tab w:val="left" w:pos="2268"/>
        </w:tabs>
        <w:ind w:left="594" w:hanging="5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94834DE">
      <w:start w:val="1"/>
      <w:numFmt w:val="lowerLetter"/>
      <w:suff w:val="nothing"/>
      <w:lvlText w:val="(%2)"/>
      <w:lvlJc w:val="left"/>
      <w:pPr>
        <w:tabs>
          <w:tab w:val="left" w:pos="360"/>
          <w:tab w:val="left" w:pos="567"/>
          <w:tab w:val="left" w:pos="1134"/>
          <w:tab w:val="left" w:pos="1701"/>
          <w:tab w:val="left" w:pos="2268"/>
        </w:tabs>
        <w:ind w:left="540" w:firstLine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8800F42">
      <w:start w:val="1"/>
      <w:numFmt w:val="lowerRoman"/>
      <w:suff w:val="nothing"/>
      <w:lvlText w:val="(%3)"/>
      <w:lvlJc w:val="left"/>
      <w:pPr>
        <w:tabs>
          <w:tab w:val="left" w:pos="360"/>
          <w:tab w:val="left" w:pos="567"/>
          <w:tab w:val="left" w:pos="1134"/>
          <w:tab w:val="left" w:pos="1701"/>
          <w:tab w:val="left" w:pos="2268"/>
        </w:tabs>
        <w:ind w:left="1701" w:firstLine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E60B6D4">
      <w:start w:val="1"/>
      <w:numFmt w:val="lowerRoman"/>
      <w:suff w:val="nothing"/>
      <w:lvlText w:val="(%4)"/>
      <w:lvlJc w:val="left"/>
      <w:pPr>
        <w:tabs>
          <w:tab w:val="left" w:pos="360"/>
          <w:tab w:val="left" w:pos="567"/>
          <w:tab w:val="left" w:pos="1134"/>
          <w:tab w:val="left" w:pos="1701"/>
          <w:tab w:val="left" w:pos="2268"/>
        </w:tabs>
        <w:ind w:left="1985" w:firstLine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9367A20">
      <w:start w:val="1"/>
      <w:numFmt w:val="lowerLetter"/>
      <w:lvlText w:val="(%5)"/>
      <w:lvlJc w:val="left"/>
      <w:pPr>
        <w:tabs>
          <w:tab w:val="left" w:pos="360"/>
          <w:tab w:val="left" w:pos="567"/>
          <w:tab w:val="left" w:pos="1134"/>
          <w:tab w:val="left" w:pos="1701"/>
          <w:tab w:val="left" w:pos="2268"/>
          <w:tab w:val="num" w:pos="2808"/>
        </w:tabs>
        <w:ind w:left="2268" w:firstLine="2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A022100">
      <w:start w:val="1"/>
      <w:numFmt w:val="lowerRoman"/>
      <w:lvlText w:val="(%6)"/>
      <w:lvlJc w:val="left"/>
      <w:pPr>
        <w:tabs>
          <w:tab w:val="left" w:pos="360"/>
          <w:tab w:val="left" w:pos="567"/>
          <w:tab w:val="left" w:pos="1134"/>
          <w:tab w:val="left" w:pos="1701"/>
          <w:tab w:val="left" w:pos="2268"/>
          <w:tab w:val="num" w:pos="3240"/>
        </w:tabs>
        <w:ind w:left="2700" w:firstLine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E66375A">
      <w:start w:val="1"/>
      <w:numFmt w:val="decimal"/>
      <w:lvlText w:val="%7."/>
      <w:lvlJc w:val="left"/>
      <w:pPr>
        <w:tabs>
          <w:tab w:val="left" w:pos="360"/>
          <w:tab w:val="left" w:pos="567"/>
          <w:tab w:val="left" w:pos="1134"/>
          <w:tab w:val="left" w:pos="1701"/>
          <w:tab w:val="left" w:pos="2268"/>
          <w:tab w:val="num" w:pos="3600"/>
        </w:tabs>
        <w:ind w:left="3060" w:firstLine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D4242E">
      <w:start w:val="1"/>
      <w:numFmt w:val="lowerLetter"/>
      <w:lvlText w:val="%8."/>
      <w:lvlJc w:val="left"/>
      <w:pPr>
        <w:tabs>
          <w:tab w:val="left" w:pos="360"/>
          <w:tab w:val="left" w:pos="567"/>
          <w:tab w:val="left" w:pos="1134"/>
          <w:tab w:val="left" w:pos="1701"/>
          <w:tab w:val="left" w:pos="2268"/>
          <w:tab w:val="num" w:pos="3960"/>
        </w:tabs>
        <w:ind w:left="3420" w:firstLine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FAF4A2">
      <w:start w:val="1"/>
      <w:numFmt w:val="lowerRoman"/>
      <w:lvlText w:val="%9."/>
      <w:lvlJc w:val="left"/>
      <w:pPr>
        <w:tabs>
          <w:tab w:val="left" w:pos="360"/>
          <w:tab w:val="left" w:pos="567"/>
          <w:tab w:val="left" w:pos="1134"/>
          <w:tab w:val="left" w:pos="1701"/>
          <w:tab w:val="left" w:pos="2268"/>
          <w:tab w:val="num" w:pos="4320"/>
        </w:tabs>
        <w:ind w:left="3780" w:firstLine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45E1024C"/>
    <w:multiLevelType w:val="hybridMultilevel"/>
    <w:tmpl w:val="EDD6DF7E"/>
    <w:numStyleLink w:val="ImportedStyle2"/>
  </w:abstractNum>
  <w:abstractNum w:abstractNumId="36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E880595"/>
    <w:multiLevelType w:val="multilevel"/>
    <w:tmpl w:val="222A08B4"/>
    <w:numStyleLink w:val="ListCBD"/>
  </w:abstractNum>
  <w:abstractNum w:abstractNumId="38" w15:restartNumberingAfterBreak="0">
    <w:nsid w:val="52A66A9D"/>
    <w:multiLevelType w:val="multilevel"/>
    <w:tmpl w:val="222A08B4"/>
    <w:numStyleLink w:val="ListCBD"/>
  </w:abstractNum>
  <w:abstractNum w:abstractNumId="39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0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D943BEE"/>
    <w:multiLevelType w:val="multilevel"/>
    <w:tmpl w:val="222A08B4"/>
    <w:numStyleLink w:val="ListCBD"/>
  </w:abstractNum>
  <w:abstractNum w:abstractNumId="43" w15:restartNumberingAfterBreak="0">
    <w:nsid w:val="62940689"/>
    <w:multiLevelType w:val="multilevel"/>
    <w:tmpl w:val="07D269C8"/>
    <w:styleLink w:val="CBDHeadings"/>
    <w:lvl w:ilvl="0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4" w15:restartNumberingAfterBreak="0">
    <w:nsid w:val="67C252FA"/>
    <w:multiLevelType w:val="hybridMultilevel"/>
    <w:tmpl w:val="07D269C8"/>
    <w:numStyleLink w:val="CBDHeadings"/>
  </w:abstractNum>
  <w:abstractNum w:abstractNumId="45" w15:restartNumberingAfterBreak="0">
    <w:nsid w:val="68B70991"/>
    <w:multiLevelType w:val="multilevel"/>
    <w:tmpl w:val="222A08B4"/>
    <w:numStyleLink w:val="ListCBD"/>
  </w:abstractNum>
  <w:abstractNum w:abstractNumId="46" w15:restartNumberingAfterBreak="0">
    <w:nsid w:val="6EFE54A7"/>
    <w:multiLevelType w:val="hybridMultilevel"/>
    <w:tmpl w:val="9A8C79A0"/>
    <w:lvl w:ilvl="0" w:tplc="EF26480C">
      <w:numFmt w:val="decimal"/>
      <w:lvlText w:val=""/>
      <w:lvlJc w:val="left"/>
      <w:pPr>
        <w:tabs>
          <w:tab w:val="num" w:pos="1494"/>
        </w:tabs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7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48" w15:restartNumberingAfterBreak="0">
    <w:nsid w:val="721A24CF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49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0" w15:restartNumberingAfterBreak="0">
    <w:nsid w:val="78C44860"/>
    <w:multiLevelType w:val="hybridMultilevel"/>
    <w:tmpl w:val="4E4AF152"/>
    <w:lvl w:ilvl="0" w:tplc="A0EAE21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2014783">
    <w:abstractNumId w:val="48"/>
  </w:num>
  <w:num w:numId="2" w16cid:durableId="1484199090">
    <w:abstractNumId w:val="25"/>
  </w:num>
  <w:num w:numId="3" w16cid:durableId="558592008">
    <w:abstractNumId w:val="43"/>
  </w:num>
  <w:num w:numId="4" w16cid:durableId="1445691375">
    <w:abstractNumId w:val="44"/>
  </w:num>
  <w:num w:numId="5" w16cid:durableId="1336231419">
    <w:abstractNumId w:val="25"/>
    <w:lvlOverride w:ilvl="0">
      <w:startOverride w:val="8"/>
    </w:lvlOverride>
  </w:num>
  <w:num w:numId="6" w16cid:durableId="1867020404">
    <w:abstractNumId w:val="44"/>
    <w:lvlOverride w:ilvl="0">
      <w:startOverride w:val="2"/>
    </w:lvlOverride>
  </w:num>
  <w:num w:numId="7" w16cid:durableId="1657608058">
    <w:abstractNumId w:val="25"/>
    <w:lvlOverride w:ilvl="0">
      <w:startOverride w:val="16"/>
    </w:lvlOverride>
  </w:num>
  <w:num w:numId="8" w16cid:durableId="2114400937">
    <w:abstractNumId w:val="44"/>
    <w:lvlOverride w:ilvl="0">
      <w:startOverride w:val="3"/>
    </w:lvlOverride>
  </w:num>
  <w:num w:numId="9" w16cid:durableId="675767790">
    <w:abstractNumId w:val="25"/>
    <w:lvlOverride w:ilvl="0">
      <w:startOverride w:val="21"/>
    </w:lvlOverride>
  </w:num>
  <w:num w:numId="10" w16cid:durableId="1490711271">
    <w:abstractNumId w:val="44"/>
    <w:lvlOverride w:ilvl="0">
      <w:startOverride w:val="4"/>
    </w:lvlOverride>
  </w:num>
  <w:num w:numId="11" w16cid:durableId="2063289835">
    <w:abstractNumId w:val="25"/>
    <w:lvlOverride w:ilvl="0">
      <w:startOverride w:val="25"/>
    </w:lvlOverride>
  </w:num>
  <w:num w:numId="12" w16cid:durableId="1000504140">
    <w:abstractNumId w:val="25"/>
    <w:lvlOverride w:ilvl="0">
      <w:startOverride w:val="1"/>
    </w:lvlOverride>
  </w:num>
  <w:num w:numId="13" w16cid:durableId="458227851">
    <w:abstractNumId w:val="25"/>
    <w:lvlOverride w:ilvl="0">
      <w:startOverride w:val="1"/>
    </w:lvlOverride>
  </w:num>
  <w:num w:numId="14" w16cid:durableId="1661349740">
    <w:abstractNumId w:val="25"/>
    <w:lvlOverride w:ilvl="0">
      <w:lvl w:ilvl="0">
        <w:start w:val="1"/>
        <w:numFmt w:val="decimal"/>
        <w:lvlText w:val="%1."/>
        <w:lvlJc w:val="left"/>
        <w:pPr>
          <w:tabs>
            <w:tab w:val="num" w:pos="1134"/>
          </w:tabs>
          <w:ind w:left="567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lvlText w:val="(%2)"/>
        <w:lvlJc w:val="left"/>
        <w:pPr>
          <w:tabs>
            <w:tab w:val="left" w:pos="567"/>
            <w:tab w:val="left" w:pos="1134"/>
            <w:tab w:val="num" w:pos="1440"/>
            <w:tab w:val="left" w:pos="1701"/>
            <w:tab w:val="left" w:pos="2268"/>
          </w:tabs>
          <w:ind w:left="567" w:firstLine="56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lvlText w:val="(%3)"/>
        <w:lvlJc w:val="left"/>
        <w:pPr>
          <w:tabs>
            <w:tab w:val="left" w:pos="567"/>
            <w:tab w:val="left" w:pos="1134"/>
            <w:tab w:val="left" w:pos="1440"/>
            <w:tab w:val="left" w:pos="1701"/>
            <w:tab w:val="left" w:pos="2268"/>
            <w:tab w:val="num" w:pos="3141"/>
          </w:tabs>
          <w:ind w:left="2268" w:firstLine="30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(%4)"/>
        <w:lvlJc w:val="left"/>
        <w:pPr>
          <w:tabs>
            <w:tab w:val="left" w:pos="567"/>
            <w:tab w:val="left" w:pos="1134"/>
            <w:tab w:val="left" w:pos="1440"/>
            <w:tab w:val="left" w:pos="1701"/>
            <w:tab w:val="left" w:pos="2268"/>
            <w:tab w:val="num" w:pos="3708"/>
          </w:tabs>
          <w:ind w:left="2835" w:firstLine="30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lvlText w:val="(%5)"/>
        <w:lvlJc w:val="left"/>
        <w:pPr>
          <w:tabs>
            <w:tab w:val="left" w:pos="567"/>
            <w:tab w:val="left" w:pos="1134"/>
            <w:tab w:val="left" w:pos="1440"/>
            <w:tab w:val="left" w:pos="1701"/>
            <w:tab w:val="left" w:pos="2268"/>
            <w:tab w:val="num" w:pos="4275"/>
          </w:tabs>
          <w:ind w:left="3402" w:firstLine="30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lvlText w:val="(%6)"/>
        <w:lvlJc w:val="left"/>
        <w:pPr>
          <w:tabs>
            <w:tab w:val="left" w:pos="567"/>
            <w:tab w:val="left" w:pos="1134"/>
            <w:tab w:val="left" w:pos="1440"/>
            <w:tab w:val="left" w:pos="1701"/>
            <w:tab w:val="left" w:pos="2268"/>
            <w:tab w:val="num" w:pos="3699"/>
          </w:tabs>
          <w:ind w:left="2826" w:firstLine="51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left" w:pos="567"/>
            <w:tab w:val="left" w:pos="1134"/>
            <w:tab w:val="left" w:pos="1440"/>
            <w:tab w:val="left" w:pos="1701"/>
            <w:tab w:val="left" w:pos="2268"/>
            <w:tab w:val="num" w:pos="4059"/>
          </w:tabs>
          <w:ind w:left="3186" w:firstLine="51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left" w:pos="567"/>
            <w:tab w:val="left" w:pos="1134"/>
            <w:tab w:val="left" w:pos="1440"/>
            <w:tab w:val="left" w:pos="1701"/>
            <w:tab w:val="left" w:pos="2268"/>
            <w:tab w:val="num" w:pos="4419"/>
          </w:tabs>
          <w:ind w:left="3546" w:firstLine="51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left" w:pos="567"/>
            <w:tab w:val="left" w:pos="1134"/>
            <w:tab w:val="left" w:pos="1440"/>
            <w:tab w:val="left" w:pos="1701"/>
            <w:tab w:val="left" w:pos="2268"/>
            <w:tab w:val="num" w:pos="4779"/>
          </w:tabs>
          <w:ind w:left="3906" w:firstLine="51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 w16cid:durableId="403260501">
    <w:abstractNumId w:val="25"/>
    <w:lvlOverride w:ilvl="0">
      <w:startOverride w:val="1"/>
      <w:lvl w:ilvl="0">
        <w:start w:val="1"/>
        <w:numFmt w:val="decimal"/>
        <w:lvlText w:val="%1."/>
        <w:lvlJc w:val="left"/>
        <w:pPr>
          <w:tabs>
            <w:tab w:val="num" w:pos="1134"/>
          </w:tabs>
          <w:ind w:left="567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4"/>
      <w:lvl w:ilvl="1">
        <w:start w:val="4"/>
        <w:numFmt w:val="lowerLetter"/>
        <w:lvlText w:val="(%2)"/>
        <w:lvlJc w:val="left"/>
        <w:pPr>
          <w:tabs>
            <w:tab w:val="num" w:pos="1440"/>
          </w:tabs>
          <w:ind w:left="567" w:firstLine="56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Roman"/>
        <w:lvlText w:val="(%3)"/>
        <w:lvlJc w:val="left"/>
        <w:pPr>
          <w:tabs>
            <w:tab w:val="num" w:pos="3141"/>
          </w:tabs>
          <w:ind w:left="2268" w:firstLine="30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(%4)"/>
        <w:lvlJc w:val="left"/>
        <w:pPr>
          <w:tabs>
            <w:tab w:val="num" w:pos="3708"/>
          </w:tabs>
          <w:ind w:left="2835" w:firstLine="30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lowerLetter"/>
        <w:lvlText w:val="(%5)"/>
        <w:lvlJc w:val="left"/>
        <w:pPr>
          <w:tabs>
            <w:tab w:val="num" w:pos="4275"/>
          </w:tabs>
          <w:ind w:left="3402" w:firstLine="30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lowerRoman"/>
        <w:lvlText w:val="(%6)"/>
        <w:lvlJc w:val="left"/>
        <w:pPr>
          <w:tabs>
            <w:tab w:val="num" w:pos="3699"/>
          </w:tabs>
          <w:ind w:left="2826" w:firstLine="51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tabs>
            <w:tab w:val="num" w:pos="4059"/>
          </w:tabs>
          <w:ind w:left="3186" w:firstLine="51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tabs>
            <w:tab w:val="num" w:pos="4419"/>
          </w:tabs>
          <w:ind w:left="3546" w:firstLine="51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lowerRoman"/>
        <w:lvlText w:val="%9."/>
        <w:lvlJc w:val="left"/>
        <w:pPr>
          <w:tabs>
            <w:tab w:val="num" w:pos="4779"/>
          </w:tabs>
          <w:ind w:left="3906" w:firstLine="51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 w16cid:durableId="53161779">
    <w:abstractNumId w:val="33"/>
  </w:num>
  <w:num w:numId="17" w16cid:durableId="66534370">
    <w:abstractNumId w:val="35"/>
  </w:num>
  <w:num w:numId="18" w16cid:durableId="304049591">
    <w:abstractNumId w:val="25"/>
    <w:lvlOverride w:ilvl="0">
      <w:startOverride w:val="1"/>
      <w:lvl w:ilvl="0">
        <w:start w:val="1"/>
        <w:numFmt w:val="decimal"/>
        <w:lvlText w:val="%1."/>
        <w:lvlJc w:val="left"/>
        <w:pPr>
          <w:tabs>
            <w:tab w:val="num" w:pos="1134"/>
          </w:tabs>
          <w:ind w:left="567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lowerLetter"/>
        <w:lvlText w:val="(%2)"/>
        <w:lvlJc w:val="left"/>
        <w:pPr>
          <w:tabs>
            <w:tab w:val="num" w:pos="1440"/>
          </w:tabs>
          <w:ind w:left="567" w:firstLine="56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Roman"/>
        <w:lvlText w:val="(%3)"/>
        <w:lvlJc w:val="left"/>
        <w:pPr>
          <w:tabs>
            <w:tab w:val="num" w:pos="3141"/>
          </w:tabs>
          <w:ind w:left="2268" w:firstLine="30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(%4)"/>
        <w:lvlJc w:val="left"/>
        <w:pPr>
          <w:tabs>
            <w:tab w:val="num" w:pos="3708"/>
          </w:tabs>
          <w:ind w:left="2835" w:firstLine="30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lowerLetter"/>
        <w:lvlText w:val="(%5)"/>
        <w:lvlJc w:val="left"/>
        <w:pPr>
          <w:tabs>
            <w:tab w:val="num" w:pos="4275"/>
          </w:tabs>
          <w:ind w:left="3402" w:firstLine="30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lowerRoman"/>
        <w:lvlText w:val="(%6)"/>
        <w:lvlJc w:val="left"/>
        <w:pPr>
          <w:tabs>
            <w:tab w:val="num" w:pos="3699"/>
          </w:tabs>
          <w:ind w:left="2826" w:firstLine="51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tabs>
            <w:tab w:val="num" w:pos="4059"/>
          </w:tabs>
          <w:ind w:left="3186" w:firstLine="51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tabs>
            <w:tab w:val="num" w:pos="4419"/>
          </w:tabs>
          <w:ind w:left="3546" w:firstLine="51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lowerRoman"/>
        <w:lvlText w:val="%9."/>
        <w:lvlJc w:val="left"/>
        <w:pPr>
          <w:tabs>
            <w:tab w:val="num" w:pos="4779"/>
          </w:tabs>
          <w:ind w:left="3906" w:firstLine="51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" w16cid:durableId="1979533425">
    <w:abstractNumId w:val="25"/>
    <w:lvlOverride w:ilvl="0">
      <w:startOverride w:val="7"/>
    </w:lvlOverride>
  </w:num>
  <w:num w:numId="20" w16cid:durableId="560672902">
    <w:abstractNumId w:val="14"/>
  </w:num>
  <w:num w:numId="21" w16cid:durableId="1072390599">
    <w:abstractNumId w:val="47"/>
  </w:num>
  <w:num w:numId="22" w16cid:durableId="1933662228">
    <w:abstractNumId w:val="29"/>
  </w:num>
  <w:num w:numId="23" w16cid:durableId="1991909117">
    <w:abstractNumId w:val="11"/>
  </w:num>
  <w:num w:numId="24" w16cid:durableId="1138956019">
    <w:abstractNumId w:val="19"/>
  </w:num>
  <w:num w:numId="25" w16cid:durableId="607395260">
    <w:abstractNumId w:val="9"/>
  </w:num>
  <w:num w:numId="26" w16cid:durableId="98110136">
    <w:abstractNumId w:val="7"/>
  </w:num>
  <w:num w:numId="27" w16cid:durableId="920676582">
    <w:abstractNumId w:val="6"/>
  </w:num>
  <w:num w:numId="28" w16cid:durableId="447286378">
    <w:abstractNumId w:val="5"/>
  </w:num>
  <w:num w:numId="29" w16cid:durableId="1532258362">
    <w:abstractNumId w:val="4"/>
  </w:num>
  <w:num w:numId="30" w16cid:durableId="1587106058">
    <w:abstractNumId w:val="8"/>
  </w:num>
  <w:num w:numId="31" w16cid:durableId="1646355732">
    <w:abstractNumId w:val="3"/>
  </w:num>
  <w:num w:numId="32" w16cid:durableId="2006930253">
    <w:abstractNumId w:val="2"/>
  </w:num>
  <w:num w:numId="33" w16cid:durableId="1811677887">
    <w:abstractNumId w:val="1"/>
  </w:num>
  <w:num w:numId="34" w16cid:durableId="537353487">
    <w:abstractNumId w:val="0"/>
  </w:num>
  <w:num w:numId="35" w16cid:durableId="2069499237">
    <w:abstractNumId w:val="45"/>
  </w:num>
  <w:num w:numId="36" w16cid:durableId="158270868">
    <w:abstractNumId w:val="49"/>
  </w:num>
  <w:num w:numId="37" w16cid:durableId="159275565">
    <w:abstractNumId w:val="23"/>
  </w:num>
  <w:num w:numId="38" w16cid:durableId="271714945">
    <w:abstractNumId w:val="24"/>
  </w:num>
  <w:num w:numId="39" w16cid:durableId="1638680439">
    <w:abstractNumId w:val="45"/>
    <w:lvlOverride w:ilvl="0">
      <w:startOverride w:val="1"/>
    </w:lvlOverride>
  </w:num>
  <w:num w:numId="40" w16cid:durableId="1865050652">
    <w:abstractNumId w:val="38"/>
  </w:num>
  <w:num w:numId="41" w16cid:durableId="152986975">
    <w:abstractNumId w:val="36"/>
  </w:num>
  <w:num w:numId="42" w16cid:durableId="1295136099">
    <w:abstractNumId w:val="41"/>
  </w:num>
  <w:num w:numId="43" w16cid:durableId="80179172">
    <w:abstractNumId w:val="40"/>
  </w:num>
  <w:num w:numId="44" w16cid:durableId="206798872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771076976">
    <w:abstractNumId w:val="15"/>
  </w:num>
  <w:num w:numId="46" w16cid:durableId="939752621">
    <w:abstractNumId w:val="37"/>
  </w:num>
  <w:num w:numId="47" w16cid:durableId="915044361">
    <w:abstractNumId w:val="30"/>
  </w:num>
  <w:num w:numId="48" w16cid:durableId="855196379">
    <w:abstractNumId w:val="17"/>
  </w:num>
  <w:num w:numId="49" w16cid:durableId="146685333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801917413">
    <w:abstractNumId w:val="20"/>
  </w:num>
  <w:num w:numId="51" w16cid:durableId="708722651">
    <w:abstractNumId w:val="10"/>
  </w:num>
  <w:num w:numId="52" w16cid:durableId="213641244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96523128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48112374">
    <w:abstractNumId w:val="12"/>
  </w:num>
  <w:num w:numId="55" w16cid:durableId="1607615596">
    <w:abstractNumId w:val="26"/>
  </w:num>
  <w:num w:numId="56" w16cid:durableId="643118139">
    <w:abstractNumId w:val="26"/>
    <w:lvlOverride w:ilvl="0">
      <w:startOverride w:val="1"/>
    </w:lvlOverride>
  </w:num>
  <w:num w:numId="57" w16cid:durableId="820851909">
    <w:abstractNumId w:val="26"/>
    <w:lvlOverride w:ilvl="0">
      <w:startOverride w:val="1"/>
    </w:lvlOverride>
  </w:num>
  <w:num w:numId="58" w16cid:durableId="709648587">
    <w:abstractNumId w:val="26"/>
    <w:lvlOverride w:ilvl="0">
      <w:startOverride w:val="1"/>
    </w:lvlOverride>
  </w:num>
  <w:num w:numId="59" w16cid:durableId="1353799543">
    <w:abstractNumId w:val="28"/>
  </w:num>
  <w:num w:numId="60" w16cid:durableId="1570270110">
    <w:abstractNumId w:val="39"/>
  </w:num>
  <w:num w:numId="61" w16cid:durableId="2125995167">
    <w:abstractNumId w:val="34"/>
  </w:num>
  <w:num w:numId="62" w16cid:durableId="1627851340">
    <w:abstractNumId w:val="27"/>
  </w:num>
  <w:num w:numId="63" w16cid:durableId="1945532808">
    <w:abstractNumId w:val="16"/>
  </w:num>
  <w:num w:numId="64" w16cid:durableId="684478527">
    <w:abstractNumId w:val="0"/>
    <w:lvlOverride w:ilvl="0">
      <w:startOverride w:val="1"/>
    </w:lvlOverride>
  </w:num>
  <w:num w:numId="65" w16cid:durableId="602764451">
    <w:abstractNumId w:val="0"/>
    <w:lvlOverride w:ilvl="0">
      <w:startOverride w:val="1"/>
    </w:lvlOverride>
  </w:num>
  <w:num w:numId="66" w16cid:durableId="703213624">
    <w:abstractNumId w:val="0"/>
    <w:lvlOverride w:ilvl="0">
      <w:startOverride w:val="1"/>
    </w:lvlOverride>
  </w:num>
  <w:num w:numId="67" w16cid:durableId="906494965">
    <w:abstractNumId w:val="13"/>
  </w:num>
  <w:num w:numId="68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323945383">
    <w:abstractNumId w:val="42"/>
  </w:num>
  <w:num w:numId="71" w16cid:durableId="1884899085">
    <w:abstractNumId w:val="50"/>
  </w:num>
  <w:num w:numId="72" w16cid:durableId="363480302">
    <w:abstractNumId w:val="8"/>
  </w:num>
  <w:num w:numId="73" w16cid:durableId="335499428">
    <w:abstractNumId w:val="3"/>
  </w:num>
  <w:num w:numId="74" w16cid:durableId="38014346">
    <w:abstractNumId w:val="2"/>
  </w:num>
  <w:num w:numId="75" w16cid:durableId="667250177">
    <w:abstractNumId w:val="1"/>
  </w:num>
  <w:num w:numId="76" w16cid:durableId="1197964452">
    <w:abstractNumId w:val="0"/>
  </w:num>
  <w:num w:numId="77" w16cid:durableId="1850945348">
    <w:abstractNumId w:val="42"/>
  </w:num>
  <w:num w:numId="78" w16cid:durableId="567156266">
    <w:abstractNumId w:val="42"/>
  </w:num>
  <w:num w:numId="79" w16cid:durableId="526211128">
    <w:abstractNumId w:val="42"/>
  </w:num>
  <w:num w:numId="80" w16cid:durableId="1740012424">
    <w:abstractNumId w:val="42"/>
  </w:num>
  <w:num w:numId="81" w16cid:durableId="594824411">
    <w:abstractNumId w:val="42"/>
  </w:num>
  <w:num w:numId="82" w16cid:durableId="1588419245">
    <w:abstractNumId w:val="42"/>
  </w:num>
  <w:num w:numId="83" w16cid:durableId="129133317">
    <w:abstractNumId w:val="42"/>
  </w:num>
  <w:num w:numId="84" w16cid:durableId="1980646166">
    <w:abstractNumId w:val="42"/>
  </w:num>
  <w:num w:numId="85" w16cid:durableId="1517839889">
    <w:abstractNumId w:val="42"/>
  </w:num>
  <w:num w:numId="86" w16cid:durableId="1987776663">
    <w:abstractNumId w:val="42"/>
  </w:num>
  <w:num w:numId="87" w16cid:durableId="1153372842">
    <w:abstractNumId w:val="42"/>
  </w:num>
  <w:num w:numId="88" w16cid:durableId="557594900">
    <w:abstractNumId w:val="42"/>
  </w:num>
  <w:num w:numId="89" w16cid:durableId="1830517045">
    <w:abstractNumId w:val="42"/>
  </w:num>
  <w:num w:numId="90" w16cid:durableId="285425943">
    <w:abstractNumId w:val="42"/>
  </w:num>
  <w:num w:numId="91" w16cid:durableId="931407">
    <w:abstractNumId w:val="42"/>
  </w:num>
  <w:num w:numId="92" w16cid:durableId="414981808">
    <w:abstractNumId w:val="42"/>
  </w:num>
  <w:num w:numId="93" w16cid:durableId="1345787026">
    <w:abstractNumId w:val="42"/>
  </w:num>
  <w:num w:numId="94" w16cid:durableId="394621423">
    <w:abstractNumId w:val="42"/>
  </w:num>
  <w:num w:numId="95" w16cid:durableId="679161745">
    <w:abstractNumId w:val="42"/>
  </w:num>
  <w:num w:numId="96" w16cid:durableId="1841895288">
    <w:abstractNumId w:val="42"/>
  </w:num>
  <w:num w:numId="97" w16cid:durableId="571427128">
    <w:abstractNumId w:val="42"/>
  </w:num>
  <w:num w:numId="98" w16cid:durableId="1575776331">
    <w:abstractNumId w:val="42"/>
  </w:num>
  <w:num w:numId="99" w16cid:durableId="523252463">
    <w:abstractNumId w:val="42"/>
  </w:num>
  <w:num w:numId="100" w16cid:durableId="299070114">
    <w:abstractNumId w:val="42"/>
  </w:num>
  <w:num w:numId="101" w16cid:durableId="1162160467">
    <w:abstractNumId w:val="42"/>
  </w:num>
  <w:num w:numId="102" w16cid:durableId="1180706552">
    <w:abstractNumId w:val="42"/>
  </w:num>
  <w:num w:numId="103" w16cid:durableId="1046416959">
    <w:abstractNumId w:val="42"/>
  </w:num>
  <w:num w:numId="104" w16cid:durableId="2035375858">
    <w:abstractNumId w:val="42"/>
  </w:num>
  <w:num w:numId="105" w16cid:durableId="379676312">
    <w:abstractNumId w:val="42"/>
  </w:num>
  <w:num w:numId="106" w16cid:durableId="1266771400">
    <w:abstractNumId w:val="42"/>
  </w:num>
  <w:num w:numId="107" w16cid:durableId="2013292037">
    <w:abstractNumId w:val="21"/>
  </w:num>
  <w:num w:numId="108" w16cid:durableId="726027068">
    <w:abstractNumId w:val="46"/>
  </w:num>
  <w:num w:numId="109" w16cid:durableId="1351028577">
    <w:abstractNumId w:val="42"/>
  </w:num>
  <w:num w:numId="110" w16cid:durableId="1187064200">
    <w:abstractNumId w:val="42"/>
  </w:num>
  <w:num w:numId="111" w16cid:durableId="413280352">
    <w:abstractNumId w:val="42"/>
  </w:num>
  <w:num w:numId="112" w16cid:durableId="1385177631">
    <w:abstractNumId w:val="42"/>
  </w:num>
  <w:num w:numId="113" w16cid:durableId="1244946940">
    <w:abstractNumId w:val="42"/>
  </w:num>
  <w:num w:numId="114" w16cid:durableId="2142376741">
    <w:abstractNumId w:val="42"/>
  </w:num>
  <w:num w:numId="115" w16cid:durableId="655958117">
    <w:abstractNumId w:val="42"/>
  </w:num>
  <w:num w:numId="116" w16cid:durableId="525169366">
    <w:abstractNumId w:val="42"/>
  </w:num>
  <w:num w:numId="117" w16cid:durableId="221915942">
    <w:abstractNumId w:val="42"/>
  </w:num>
  <w:num w:numId="118" w16cid:durableId="1853374602">
    <w:abstractNumId w:val="42"/>
  </w:num>
  <w:num w:numId="119" w16cid:durableId="1281188279">
    <w:abstractNumId w:val="42"/>
  </w:num>
  <w:num w:numId="120" w16cid:durableId="946700168">
    <w:abstractNumId w:val="42"/>
  </w:num>
  <w:num w:numId="121" w16cid:durableId="807019634">
    <w:abstractNumId w:val="42"/>
  </w:num>
  <w:num w:numId="122" w16cid:durableId="197528357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 w16cid:durableId="1272208275">
    <w:abstractNumId w:val="25"/>
  </w:num>
  <w:num w:numId="124" w16cid:durableId="1558123963">
    <w:abstractNumId w:val="42"/>
  </w:num>
  <w:num w:numId="125" w16cid:durableId="239608241">
    <w:abstractNumId w:val="42"/>
  </w:num>
  <w:num w:numId="126" w16cid:durableId="1797723624">
    <w:abstractNumId w:val="25"/>
  </w:num>
  <w:num w:numId="127" w16cid:durableId="1204560342">
    <w:abstractNumId w:val="18"/>
  </w:num>
  <w:num w:numId="128" w16cid:durableId="1911311629">
    <w:abstractNumId w:val="22"/>
  </w:num>
  <w:num w:numId="129" w16cid:durableId="16393960">
    <w:abstractNumId w:val="32"/>
  </w:num>
  <w:num w:numId="130" w16cid:durableId="2126533912">
    <w:abstractNumId w:val="31"/>
  </w:num>
  <w:numIdMacAtCleanup w:val="1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6F2"/>
    <w:rsid w:val="0000533A"/>
    <w:rsid w:val="00006309"/>
    <w:rsid w:val="000109AA"/>
    <w:rsid w:val="000129B7"/>
    <w:rsid w:val="000131F3"/>
    <w:rsid w:val="000159FB"/>
    <w:rsid w:val="00020378"/>
    <w:rsid w:val="000205C2"/>
    <w:rsid w:val="00022962"/>
    <w:rsid w:val="00023017"/>
    <w:rsid w:val="0002507F"/>
    <w:rsid w:val="000267DE"/>
    <w:rsid w:val="00026856"/>
    <w:rsid w:val="00026943"/>
    <w:rsid w:val="00030664"/>
    <w:rsid w:val="00031CB7"/>
    <w:rsid w:val="000336EE"/>
    <w:rsid w:val="00033BFF"/>
    <w:rsid w:val="00035B2C"/>
    <w:rsid w:val="0003611F"/>
    <w:rsid w:val="000369E6"/>
    <w:rsid w:val="00036EDC"/>
    <w:rsid w:val="00041B03"/>
    <w:rsid w:val="00042A6A"/>
    <w:rsid w:val="0004759F"/>
    <w:rsid w:val="000516AF"/>
    <w:rsid w:val="00054570"/>
    <w:rsid w:val="00054CAC"/>
    <w:rsid w:val="00054E52"/>
    <w:rsid w:val="00055D7A"/>
    <w:rsid w:val="00055F9D"/>
    <w:rsid w:val="00062C2E"/>
    <w:rsid w:val="0006636A"/>
    <w:rsid w:val="00072D4C"/>
    <w:rsid w:val="000736EE"/>
    <w:rsid w:val="000745FB"/>
    <w:rsid w:val="00077F42"/>
    <w:rsid w:val="00077F95"/>
    <w:rsid w:val="000802B4"/>
    <w:rsid w:val="00082C28"/>
    <w:rsid w:val="00083546"/>
    <w:rsid w:val="00087433"/>
    <w:rsid w:val="00087983"/>
    <w:rsid w:val="000902EA"/>
    <w:rsid w:val="00097250"/>
    <w:rsid w:val="000978BF"/>
    <w:rsid w:val="000A1DEF"/>
    <w:rsid w:val="000A4FB4"/>
    <w:rsid w:val="000A558D"/>
    <w:rsid w:val="000A7146"/>
    <w:rsid w:val="000B033F"/>
    <w:rsid w:val="000B26FC"/>
    <w:rsid w:val="000B50FD"/>
    <w:rsid w:val="000B64B3"/>
    <w:rsid w:val="000B69C1"/>
    <w:rsid w:val="000C4286"/>
    <w:rsid w:val="000C55C9"/>
    <w:rsid w:val="000C703A"/>
    <w:rsid w:val="000D051E"/>
    <w:rsid w:val="000D33BB"/>
    <w:rsid w:val="000D4562"/>
    <w:rsid w:val="000D599C"/>
    <w:rsid w:val="000D79F0"/>
    <w:rsid w:val="000E0097"/>
    <w:rsid w:val="000E0417"/>
    <w:rsid w:val="000E0BAA"/>
    <w:rsid w:val="000E6CA2"/>
    <w:rsid w:val="000F0011"/>
    <w:rsid w:val="000F1BE8"/>
    <w:rsid w:val="000F73CF"/>
    <w:rsid w:val="00105E1B"/>
    <w:rsid w:val="001138EC"/>
    <w:rsid w:val="00115A7C"/>
    <w:rsid w:val="00115D6B"/>
    <w:rsid w:val="00115DE8"/>
    <w:rsid w:val="0012148B"/>
    <w:rsid w:val="00121EA9"/>
    <w:rsid w:val="00122142"/>
    <w:rsid w:val="0012227C"/>
    <w:rsid w:val="0013465E"/>
    <w:rsid w:val="001357EB"/>
    <w:rsid w:val="00137D0F"/>
    <w:rsid w:val="0014161A"/>
    <w:rsid w:val="00144019"/>
    <w:rsid w:val="0014589C"/>
    <w:rsid w:val="00145C64"/>
    <w:rsid w:val="0014621B"/>
    <w:rsid w:val="00146540"/>
    <w:rsid w:val="00150E12"/>
    <w:rsid w:val="001533B3"/>
    <w:rsid w:val="00155A68"/>
    <w:rsid w:val="00156467"/>
    <w:rsid w:val="00156AA2"/>
    <w:rsid w:val="00163E49"/>
    <w:rsid w:val="00165136"/>
    <w:rsid w:val="0016709D"/>
    <w:rsid w:val="001707A9"/>
    <w:rsid w:val="00170B44"/>
    <w:rsid w:val="00170D85"/>
    <w:rsid w:val="00172283"/>
    <w:rsid w:val="00173F64"/>
    <w:rsid w:val="001755A6"/>
    <w:rsid w:val="0018085C"/>
    <w:rsid w:val="00192005"/>
    <w:rsid w:val="00195FD7"/>
    <w:rsid w:val="001A4D91"/>
    <w:rsid w:val="001A51A1"/>
    <w:rsid w:val="001B015D"/>
    <w:rsid w:val="001B0C9A"/>
    <w:rsid w:val="001B2227"/>
    <w:rsid w:val="001B2761"/>
    <w:rsid w:val="001B36A9"/>
    <w:rsid w:val="001B3922"/>
    <w:rsid w:val="001B435C"/>
    <w:rsid w:val="001B66C0"/>
    <w:rsid w:val="001B6F41"/>
    <w:rsid w:val="001B6F6F"/>
    <w:rsid w:val="001C23F3"/>
    <w:rsid w:val="001C275F"/>
    <w:rsid w:val="001C4466"/>
    <w:rsid w:val="001C6C0E"/>
    <w:rsid w:val="001D02D9"/>
    <w:rsid w:val="001D0C63"/>
    <w:rsid w:val="001D1721"/>
    <w:rsid w:val="001D1998"/>
    <w:rsid w:val="001D3CEF"/>
    <w:rsid w:val="001D6674"/>
    <w:rsid w:val="001E60A5"/>
    <w:rsid w:val="001F56CE"/>
    <w:rsid w:val="001F6813"/>
    <w:rsid w:val="001F7648"/>
    <w:rsid w:val="001F7ED1"/>
    <w:rsid w:val="002002F3"/>
    <w:rsid w:val="0020045B"/>
    <w:rsid w:val="00201FFE"/>
    <w:rsid w:val="00203021"/>
    <w:rsid w:val="002146D7"/>
    <w:rsid w:val="0021522D"/>
    <w:rsid w:val="00220BF2"/>
    <w:rsid w:val="002245F1"/>
    <w:rsid w:val="0022543F"/>
    <w:rsid w:val="0022767F"/>
    <w:rsid w:val="0023240F"/>
    <w:rsid w:val="002338A7"/>
    <w:rsid w:val="00236969"/>
    <w:rsid w:val="00237375"/>
    <w:rsid w:val="002419E3"/>
    <w:rsid w:val="00242333"/>
    <w:rsid w:val="00246AB1"/>
    <w:rsid w:val="00247535"/>
    <w:rsid w:val="00251659"/>
    <w:rsid w:val="00251DA0"/>
    <w:rsid w:val="00254BAA"/>
    <w:rsid w:val="002571AF"/>
    <w:rsid w:val="002613C3"/>
    <w:rsid w:val="00264379"/>
    <w:rsid w:val="00273028"/>
    <w:rsid w:val="002749C3"/>
    <w:rsid w:val="00274BBC"/>
    <w:rsid w:val="0028322A"/>
    <w:rsid w:val="0028520A"/>
    <w:rsid w:val="00290856"/>
    <w:rsid w:val="00292702"/>
    <w:rsid w:val="002945F3"/>
    <w:rsid w:val="00296936"/>
    <w:rsid w:val="002A4B3F"/>
    <w:rsid w:val="002A6464"/>
    <w:rsid w:val="002A7D66"/>
    <w:rsid w:val="002A7DD7"/>
    <w:rsid w:val="002B50FD"/>
    <w:rsid w:val="002C0C43"/>
    <w:rsid w:val="002C1A93"/>
    <w:rsid w:val="002C1EB8"/>
    <w:rsid w:val="002C28FB"/>
    <w:rsid w:val="002C2CE9"/>
    <w:rsid w:val="002C3F73"/>
    <w:rsid w:val="002C6A9A"/>
    <w:rsid w:val="002C740F"/>
    <w:rsid w:val="002C7CAC"/>
    <w:rsid w:val="002D045B"/>
    <w:rsid w:val="002D0D70"/>
    <w:rsid w:val="002D20BC"/>
    <w:rsid w:val="002D249B"/>
    <w:rsid w:val="002D6DF0"/>
    <w:rsid w:val="002D7A28"/>
    <w:rsid w:val="002D7C12"/>
    <w:rsid w:val="002E1129"/>
    <w:rsid w:val="002E5111"/>
    <w:rsid w:val="002E5CE8"/>
    <w:rsid w:val="002F11DB"/>
    <w:rsid w:val="002F21FA"/>
    <w:rsid w:val="002F31A0"/>
    <w:rsid w:val="002F405E"/>
    <w:rsid w:val="002F5A9D"/>
    <w:rsid w:val="002F5D99"/>
    <w:rsid w:val="002F6A92"/>
    <w:rsid w:val="002F6EB9"/>
    <w:rsid w:val="002F7F4A"/>
    <w:rsid w:val="00312F2F"/>
    <w:rsid w:val="00317125"/>
    <w:rsid w:val="00317B36"/>
    <w:rsid w:val="003206D3"/>
    <w:rsid w:val="00321958"/>
    <w:rsid w:val="00323844"/>
    <w:rsid w:val="00324D04"/>
    <w:rsid w:val="00325468"/>
    <w:rsid w:val="003311E8"/>
    <w:rsid w:val="0033328B"/>
    <w:rsid w:val="003334AC"/>
    <w:rsid w:val="00333550"/>
    <w:rsid w:val="00335E41"/>
    <w:rsid w:val="00341544"/>
    <w:rsid w:val="003420FF"/>
    <w:rsid w:val="00342AA6"/>
    <w:rsid w:val="003430D2"/>
    <w:rsid w:val="00345AA1"/>
    <w:rsid w:val="00346607"/>
    <w:rsid w:val="00346FED"/>
    <w:rsid w:val="0035078A"/>
    <w:rsid w:val="00350DC7"/>
    <w:rsid w:val="00355F43"/>
    <w:rsid w:val="003561DF"/>
    <w:rsid w:val="00357E33"/>
    <w:rsid w:val="00360097"/>
    <w:rsid w:val="00360CEF"/>
    <w:rsid w:val="003634B7"/>
    <w:rsid w:val="003641B9"/>
    <w:rsid w:val="00364864"/>
    <w:rsid w:val="00365FBB"/>
    <w:rsid w:val="003709ED"/>
    <w:rsid w:val="003725A9"/>
    <w:rsid w:val="00372F0D"/>
    <w:rsid w:val="00376A97"/>
    <w:rsid w:val="00380357"/>
    <w:rsid w:val="00380945"/>
    <w:rsid w:val="003813F6"/>
    <w:rsid w:val="003832F2"/>
    <w:rsid w:val="00384174"/>
    <w:rsid w:val="0038543C"/>
    <w:rsid w:val="0038658D"/>
    <w:rsid w:val="00393923"/>
    <w:rsid w:val="003A01F2"/>
    <w:rsid w:val="003A3ECE"/>
    <w:rsid w:val="003A6B3C"/>
    <w:rsid w:val="003B19A6"/>
    <w:rsid w:val="003B23F0"/>
    <w:rsid w:val="003B5F80"/>
    <w:rsid w:val="003B7007"/>
    <w:rsid w:val="003C0BC5"/>
    <w:rsid w:val="003C17BB"/>
    <w:rsid w:val="003C1AD7"/>
    <w:rsid w:val="003C3324"/>
    <w:rsid w:val="003C5DBA"/>
    <w:rsid w:val="003C6B67"/>
    <w:rsid w:val="003D0920"/>
    <w:rsid w:val="003D103A"/>
    <w:rsid w:val="003D140E"/>
    <w:rsid w:val="003D3B9B"/>
    <w:rsid w:val="003D4551"/>
    <w:rsid w:val="003D6651"/>
    <w:rsid w:val="003E16B3"/>
    <w:rsid w:val="003E2BE8"/>
    <w:rsid w:val="003E2D9A"/>
    <w:rsid w:val="003E3A2F"/>
    <w:rsid w:val="003E3BD3"/>
    <w:rsid w:val="003E4798"/>
    <w:rsid w:val="003E692F"/>
    <w:rsid w:val="003E778C"/>
    <w:rsid w:val="003E7FDF"/>
    <w:rsid w:val="003F061B"/>
    <w:rsid w:val="003F2D41"/>
    <w:rsid w:val="003F3813"/>
    <w:rsid w:val="003F6628"/>
    <w:rsid w:val="00401536"/>
    <w:rsid w:val="00401B31"/>
    <w:rsid w:val="00401D70"/>
    <w:rsid w:val="00402634"/>
    <w:rsid w:val="0040421F"/>
    <w:rsid w:val="00404E37"/>
    <w:rsid w:val="00410866"/>
    <w:rsid w:val="00413580"/>
    <w:rsid w:val="00413EA5"/>
    <w:rsid w:val="00421B24"/>
    <w:rsid w:val="004235A6"/>
    <w:rsid w:val="00423899"/>
    <w:rsid w:val="00424088"/>
    <w:rsid w:val="00424E18"/>
    <w:rsid w:val="00433BD9"/>
    <w:rsid w:val="004343EE"/>
    <w:rsid w:val="00436BBB"/>
    <w:rsid w:val="00440FBD"/>
    <w:rsid w:val="00441C31"/>
    <w:rsid w:val="00454153"/>
    <w:rsid w:val="00454F94"/>
    <w:rsid w:val="00455FC4"/>
    <w:rsid w:val="0045615E"/>
    <w:rsid w:val="00457864"/>
    <w:rsid w:val="00460F9E"/>
    <w:rsid w:val="00461165"/>
    <w:rsid w:val="00461F0B"/>
    <w:rsid w:val="004650A6"/>
    <w:rsid w:val="00465309"/>
    <w:rsid w:val="00465AF9"/>
    <w:rsid w:val="00470F3A"/>
    <w:rsid w:val="00474237"/>
    <w:rsid w:val="00474903"/>
    <w:rsid w:val="00476F4C"/>
    <w:rsid w:val="00477608"/>
    <w:rsid w:val="004776DA"/>
    <w:rsid w:val="0048089C"/>
    <w:rsid w:val="00484ADE"/>
    <w:rsid w:val="00486799"/>
    <w:rsid w:val="00493800"/>
    <w:rsid w:val="00493861"/>
    <w:rsid w:val="00493F01"/>
    <w:rsid w:val="004957E4"/>
    <w:rsid w:val="0049636C"/>
    <w:rsid w:val="00497549"/>
    <w:rsid w:val="004A0C3B"/>
    <w:rsid w:val="004A1A92"/>
    <w:rsid w:val="004A28B2"/>
    <w:rsid w:val="004A419D"/>
    <w:rsid w:val="004A4DAE"/>
    <w:rsid w:val="004A5790"/>
    <w:rsid w:val="004A5AE4"/>
    <w:rsid w:val="004B3214"/>
    <w:rsid w:val="004B3264"/>
    <w:rsid w:val="004B4FC6"/>
    <w:rsid w:val="004B6A89"/>
    <w:rsid w:val="004C40D5"/>
    <w:rsid w:val="004D27F5"/>
    <w:rsid w:val="004D38D7"/>
    <w:rsid w:val="004D5543"/>
    <w:rsid w:val="004D6167"/>
    <w:rsid w:val="004D7AF3"/>
    <w:rsid w:val="004E26B9"/>
    <w:rsid w:val="004E298D"/>
    <w:rsid w:val="004E5670"/>
    <w:rsid w:val="004F1CE2"/>
    <w:rsid w:val="00501AD7"/>
    <w:rsid w:val="005055A8"/>
    <w:rsid w:val="0050646D"/>
    <w:rsid w:val="005076A2"/>
    <w:rsid w:val="005077D3"/>
    <w:rsid w:val="00507DC3"/>
    <w:rsid w:val="005134E3"/>
    <w:rsid w:val="005166D7"/>
    <w:rsid w:val="0051705D"/>
    <w:rsid w:val="0051724F"/>
    <w:rsid w:val="00520B62"/>
    <w:rsid w:val="005222CB"/>
    <w:rsid w:val="00525734"/>
    <w:rsid w:val="0053037B"/>
    <w:rsid w:val="00530BD4"/>
    <w:rsid w:val="00531EC7"/>
    <w:rsid w:val="005352BB"/>
    <w:rsid w:val="0054314D"/>
    <w:rsid w:val="00545E31"/>
    <w:rsid w:val="0054657C"/>
    <w:rsid w:val="005465C2"/>
    <w:rsid w:val="00550E56"/>
    <w:rsid w:val="00552EFE"/>
    <w:rsid w:val="005534B7"/>
    <w:rsid w:val="00553B6E"/>
    <w:rsid w:val="00556C42"/>
    <w:rsid w:val="0055764C"/>
    <w:rsid w:val="005621E5"/>
    <w:rsid w:val="00562D62"/>
    <w:rsid w:val="0056721F"/>
    <w:rsid w:val="0056765C"/>
    <w:rsid w:val="00570A84"/>
    <w:rsid w:val="00570B0B"/>
    <w:rsid w:val="00574064"/>
    <w:rsid w:val="00574081"/>
    <w:rsid w:val="00577647"/>
    <w:rsid w:val="0058036D"/>
    <w:rsid w:val="00580DD3"/>
    <w:rsid w:val="00581BE0"/>
    <w:rsid w:val="00582DCD"/>
    <w:rsid w:val="00582F1A"/>
    <w:rsid w:val="0058337F"/>
    <w:rsid w:val="00591EF2"/>
    <w:rsid w:val="00594662"/>
    <w:rsid w:val="00594D11"/>
    <w:rsid w:val="00595CBB"/>
    <w:rsid w:val="00595F0C"/>
    <w:rsid w:val="005A4216"/>
    <w:rsid w:val="005A47BC"/>
    <w:rsid w:val="005A61C8"/>
    <w:rsid w:val="005A7D23"/>
    <w:rsid w:val="005B0781"/>
    <w:rsid w:val="005C0F2C"/>
    <w:rsid w:val="005C3F51"/>
    <w:rsid w:val="005C557F"/>
    <w:rsid w:val="005C6986"/>
    <w:rsid w:val="005D180C"/>
    <w:rsid w:val="005D51A3"/>
    <w:rsid w:val="005E0A5C"/>
    <w:rsid w:val="005E5CBA"/>
    <w:rsid w:val="005E63DF"/>
    <w:rsid w:val="005F01BB"/>
    <w:rsid w:val="005F6477"/>
    <w:rsid w:val="005F67C9"/>
    <w:rsid w:val="005F7BCF"/>
    <w:rsid w:val="0060641D"/>
    <w:rsid w:val="006133D0"/>
    <w:rsid w:val="00613E2D"/>
    <w:rsid w:val="00616CBC"/>
    <w:rsid w:val="006243EE"/>
    <w:rsid w:val="006259DB"/>
    <w:rsid w:val="006310E3"/>
    <w:rsid w:val="006313B6"/>
    <w:rsid w:val="006406A9"/>
    <w:rsid w:val="00646818"/>
    <w:rsid w:val="00652AFB"/>
    <w:rsid w:val="00652DBE"/>
    <w:rsid w:val="00655F4F"/>
    <w:rsid w:val="00657203"/>
    <w:rsid w:val="006575A3"/>
    <w:rsid w:val="00663BDE"/>
    <w:rsid w:val="00666F0A"/>
    <w:rsid w:val="0067047B"/>
    <w:rsid w:val="0068389A"/>
    <w:rsid w:val="0068500A"/>
    <w:rsid w:val="00686CE5"/>
    <w:rsid w:val="006908AD"/>
    <w:rsid w:val="0069210A"/>
    <w:rsid w:val="006930D5"/>
    <w:rsid w:val="00694B4F"/>
    <w:rsid w:val="00694EDC"/>
    <w:rsid w:val="006959CC"/>
    <w:rsid w:val="006A42AE"/>
    <w:rsid w:val="006B05A3"/>
    <w:rsid w:val="006B21A4"/>
    <w:rsid w:val="006C0B44"/>
    <w:rsid w:val="006C2CAB"/>
    <w:rsid w:val="006D0129"/>
    <w:rsid w:val="006D1500"/>
    <w:rsid w:val="006D1CEB"/>
    <w:rsid w:val="006D2533"/>
    <w:rsid w:val="006D328E"/>
    <w:rsid w:val="006D46F5"/>
    <w:rsid w:val="006D74FB"/>
    <w:rsid w:val="006E0E90"/>
    <w:rsid w:val="006E1C25"/>
    <w:rsid w:val="006E3F4D"/>
    <w:rsid w:val="006E4E39"/>
    <w:rsid w:val="006E74AF"/>
    <w:rsid w:val="006E7AB5"/>
    <w:rsid w:val="006F4914"/>
    <w:rsid w:val="006F55C8"/>
    <w:rsid w:val="006F5A54"/>
    <w:rsid w:val="0070088B"/>
    <w:rsid w:val="00700B2B"/>
    <w:rsid w:val="00701008"/>
    <w:rsid w:val="007011B7"/>
    <w:rsid w:val="007078EA"/>
    <w:rsid w:val="0071098B"/>
    <w:rsid w:val="0071140A"/>
    <w:rsid w:val="00714E06"/>
    <w:rsid w:val="00720BFD"/>
    <w:rsid w:val="00721B0D"/>
    <w:rsid w:val="007227FD"/>
    <w:rsid w:val="007236AC"/>
    <w:rsid w:val="00725F35"/>
    <w:rsid w:val="00727EDF"/>
    <w:rsid w:val="00731E57"/>
    <w:rsid w:val="007333C1"/>
    <w:rsid w:val="00736CF7"/>
    <w:rsid w:val="007405DE"/>
    <w:rsid w:val="00740FD8"/>
    <w:rsid w:val="0074108E"/>
    <w:rsid w:val="0074241F"/>
    <w:rsid w:val="007437D0"/>
    <w:rsid w:val="00745240"/>
    <w:rsid w:val="00745440"/>
    <w:rsid w:val="00746E02"/>
    <w:rsid w:val="00747365"/>
    <w:rsid w:val="00750614"/>
    <w:rsid w:val="00750FD8"/>
    <w:rsid w:val="007511DE"/>
    <w:rsid w:val="00751988"/>
    <w:rsid w:val="00751E07"/>
    <w:rsid w:val="00752765"/>
    <w:rsid w:val="00756AE3"/>
    <w:rsid w:val="007578CA"/>
    <w:rsid w:val="007616AD"/>
    <w:rsid w:val="00762BB7"/>
    <w:rsid w:val="00764477"/>
    <w:rsid w:val="0077000F"/>
    <w:rsid w:val="007860FE"/>
    <w:rsid w:val="0078692C"/>
    <w:rsid w:val="00790614"/>
    <w:rsid w:val="00791F62"/>
    <w:rsid w:val="00792F8A"/>
    <w:rsid w:val="007935A1"/>
    <w:rsid w:val="007936B0"/>
    <w:rsid w:val="00794F3B"/>
    <w:rsid w:val="007A04BC"/>
    <w:rsid w:val="007A3640"/>
    <w:rsid w:val="007A399B"/>
    <w:rsid w:val="007A46C2"/>
    <w:rsid w:val="007A5149"/>
    <w:rsid w:val="007A5E66"/>
    <w:rsid w:val="007A66F9"/>
    <w:rsid w:val="007B0A95"/>
    <w:rsid w:val="007B4BBD"/>
    <w:rsid w:val="007C0A51"/>
    <w:rsid w:val="007C1A68"/>
    <w:rsid w:val="007C455D"/>
    <w:rsid w:val="007D2364"/>
    <w:rsid w:val="007D606D"/>
    <w:rsid w:val="007E082D"/>
    <w:rsid w:val="007E5D0C"/>
    <w:rsid w:val="007E69EE"/>
    <w:rsid w:val="007F31DF"/>
    <w:rsid w:val="007F4F69"/>
    <w:rsid w:val="007F654A"/>
    <w:rsid w:val="007F6BA9"/>
    <w:rsid w:val="007F6F33"/>
    <w:rsid w:val="00802B29"/>
    <w:rsid w:val="00804AE4"/>
    <w:rsid w:val="008051F1"/>
    <w:rsid w:val="00806469"/>
    <w:rsid w:val="00811466"/>
    <w:rsid w:val="008269B6"/>
    <w:rsid w:val="00826BB2"/>
    <w:rsid w:val="00830A62"/>
    <w:rsid w:val="00830F84"/>
    <w:rsid w:val="008336BA"/>
    <w:rsid w:val="008336BD"/>
    <w:rsid w:val="00834E03"/>
    <w:rsid w:val="00842A9A"/>
    <w:rsid w:val="0084404F"/>
    <w:rsid w:val="00845631"/>
    <w:rsid w:val="008466F2"/>
    <w:rsid w:val="008468DB"/>
    <w:rsid w:val="008469DC"/>
    <w:rsid w:val="0085026B"/>
    <w:rsid w:val="008508BE"/>
    <w:rsid w:val="00853AF1"/>
    <w:rsid w:val="008540D5"/>
    <w:rsid w:val="00854576"/>
    <w:rsid w:val="008559F8"/>
    <w:rsid w:val="00857C88"/>
    <w:rsid w:val="00862590"/>
    <w:rsid w:val="00862664"/>
    <w:rsid w:val="00862974"/>
    <w:rsid w:val="00864429"/>
    <w:rsid w:val="00870254"/>
    <w:rsid w:val="00870BC5"/>
    <w:rsid w:val="0088751B"/>
    <w:rsid w:val="008925FD"/>
    <w:rsid w:val="00892700"/>
    <w:rsid w:val="0089525B"/>
    <w:rsid w:val="00897C36"/>
    <w:rsid w:val="008A47D1"/>
    <w:rsid w:val="008A5A1F"/>
    <w:rsid w:val="008A76CD"/>
    <w:rsid w:val="008B0A80"/>
    <w:rsid w:val="008B7A2F"/>
    <w:rsid w:val="008B7D10"/>
    <w:rsid w:val="008C1A43"/>
    <w:rsid w:val="008C327C"/>
    <w:rsid w:val="008C664B"/>
    <w:rsid w:val="008C68F9"/>
    <w:rsid w:val="008D3D11"/>
    <w:rsid w:val="008D55C4"/>
    <w:rsid w:val="008D6B26"/>
    <w:rsid w:val="008E055F"/>
    <w:rsid w:val="008E1959"/>
    <w:rsid w:val="008E271C"/>
    <w:rsid w:val="008E7314"/>
    <w:rsid w:val="008F0BB1"/>
    <w:rsid w:val="008F22B7"/>
    <w:rsid w:val="008F2AE9"/>
    <w:rsid w:val="008F6676"/>
    <w:rsid w:val="00901D3A"/>
    <w:rsid w:val="00904B32"/>
    <w:rsid w:val="00904E2B"/>
    <w:rsid w:val="0090516E"/>
    <w:rsid w:val="00907AF0"/>
    <w:rsid w:val="00907C52"/>
    <w:rsid w:val="009107A5"/>
    <w:rsid w:val="00915E86"/>
    <w:rsid w:val="00916E55"/>
    <w:rsid w:val="00922925"/>
    <w:rsid w:val="00923C80"/>
    <w:rsid w:val="009275EB"/>
    <w:rsid w:val="00930BA2"/>
    <w:rsid w:val="00931EA9"/>
    <w:rsid w:val="00934B1A"/>
    <w:rsid w:val="00936475"/>
    <w:rsid w:val="00941934"/>
    <w:rsid w:val="00941CF3"/>
    <w:rsid w:val="00942440"/>
    <w:rsid w:val="00942EFC"/>
    <w:rsid w:val="00943B8B"/>
    <w:rsid w:val="009457C3"/>
    <w:rsid w:val="009462BB"/>
    <w:rsid w:val="00946EAC"/>
    <w:rsid w:val="0094773E"/>
    <w:rsid w:val="00947C89"/>
    <w:rsid w:val="00947DE7"/>
    <w:rsid w:val="00950DA6"/>
    <w:rsid w:val="00956790"/>
    <w:rsid w:val="00962274"/>
    <w:rsid w:val="00962832"/>
    <w:rsid w:val="00965267"/>
    <w:rsid w:val="00966197"/>
    <w:rsid w:val="009736D2"/>
    <w:rsid w:val="00974609"/>
    <w:rsid w:val="0098086A"/>
    <w:rsid w:val="00982ACD"/>
    <w:rsid w:val="009831A0"/>
    <w:rsid w:val="00985DFA"/>
    <w:rsid w:val="009866CF"/>
    <w:rsid w:val="009934C9"/>
    <w:rsid w:val="00993764"/>
    <w:rsid w:val="00996B62"/>
    <w:rsid w:val="00996B68"/>
    <w:rsid w:val="009B0F77"/>
    <w:rsid w:val="009B44D3"/>
    <w:rsid w:val="009B547F"/>
    <w:rsid w:val="009B664F"/>
    <w:rsid w:val="009B7DB9"/>
    <w:rsid w:val="009C0B6B"/>
    <w:rsid w:val="009C37B7"/>
    <w:rsid w:val="009C3C1F"/>
    <w:rsid w:val="009D2C2E"/>
    <w:rsid w:val="009D30E8"/>
    <w:rsid w:val="009D5012"/>
    <w:rsid w:val="009D7A7A"/>
    <w:rsid w:val="009E1580"/>
    <w:rsid w:val="009E3CAD"/>
    <w:rsid w:val="009E4B17"/>
    <w:rsid w:val="009E5202"/>
    <w:rsid w:val="009E6414"/>
    <w:rsid w:val="009E7BB5"/>
    <w:rsid w:val="009F0A0E"/>
    <w:rsid w:val="009F260F"/>
    <w:rsid w:val="009F472E"/>
    <w:rsid w:val="009F4D21"/>
    <w:rsid w:val="009F5844"/>
    <w:rsid w:val="009F6F2D"/>
    <w:rsid w:val="00A00D46"/>
    <w:rsid w:val="00A0102D"/>
    <w:rsid w:val="00A017B1"/>
    <w:rsid w:val="00A0611F"/>
    <w:rsid w:val="00A07716"/>
    <w:rsid w:val="00A164BA"/>
    <w:rsid w:val="00A16F45"/>
    <w:rsid w:val="00A17193"/>
    <w:rsid w:val="00A200BE"/>
    <w:rsid w:val="00A2025D"/>
    <w:rsid w:val="00A20324"/>
    <w:rsid w:val="00A2045A"/>
    <w:rsid w:val="00A33724"/>
    <w:rsid w:val="00A34760"/>
    <w:rsid w:val="00A35B35"/>
    <w:rsid w:val="00A40C98"/>
    <w:rsid w:val="00A414C5"/>
    <w:rsid w:val="00A41AC0"/>
    <w:rsid w:val="00A41B7E"/>
    <w:rsid w:val="00A426DC"/>
    <w:rsid w:val="00A42BBD"/>
    <w:rsid w:val="00A430F5"/>
    <w:rsid w:val="00A43401"/>
    <w:rsid w:val="00A436C9"/>
    <w:rsid w:val="00A43AD3"/>
    <w:rsid w:val="00A4535C"/>
    <w:rsid w:val="00A453FB"/>
    <w:rsid w:val="00A46EA5"/>
    <w:rsid w:val="00A472E0"/>
    <w:rsid w:val="00A540B3"/>
    <w:rsid w:val="00A62E49"/>
    <w:rsid w:val="00A6669B"/>
    <w:rsid w:val="00A717A5"/>
    <w:rsid w:val="00A75C93"/>
    <w:rsid w:val="00A76292"/>
    <w:rsid w:val="00A80622"/>
    <w:rsid w:val="00A81123"/>
    <w:rsid w:val="00A81345"/>
    <w:rsid w:val="00A82719"/>
    <w:rsid w:val="00A8625B"/>
    <w:rsid w:val="00A87BBC"/>
    <w:rsid w:val="00A96C04"/>
    <w:rsid w:val="00AA3B31"/>
    <w:rsid w:val="00AB3026"/>
    <w:rsid w:val="00AC0EC4"/>
    <w:rsid w:val="00AC3D33"/>
    <w:rsid w:val="00AC410A"/>
    <w:rsid w:val="00AC4D87"/>
    <w:rsid w:val="00AD028F"/>
    <w:rsid w:val="00AD099F"/>
    <w:rsid w:val="00AD11D3"/>
    <w:rsid w:val="00AD2B1A"/>
    <w:rsid w:val="00AD2E90"/>
    <w:rsid w:val="00AD4D4A"/>
    <w:rsid w:val="00AD749E"/>
    <w:rsid w:val="00AE27EF"/>
    <w:rsid w:val="00AE3B0A"/>
    <w:rsid w:val="00AF339A"/>
    <w:rsid w:val="00AF5C09"/>
    <w:rsid w:val="00AF63C8"/>
    <w:rsid w:val="00B0111D"/>
    <w:rsid w:val="00B01521"/>
    <w:rsid w:val="00B01E73"/>
    <w:rsid w:val="00B0281E"/>
    <w:rsid w:val="00B05839"/>
    <w:rsid w:val="00B05BCB"/>
    <w:rsid w:val="00B06755"/>
    <w:rsid w:val="00B10B66"/>
    <w:rsid w:val="00B11B97"/>
    <w:rsid w:val="00B120C0"/>
    <w:rsid w:val="00B1236D"/>
    <w:rsid w:val="00B13301"/>
    <w:rsid w:val="00B203C2"/>
    <w:rsid w:val="00B20778"/>
    <w:rsid w:val="00B22459"/>
    <w:rsid w:val="00B23E95"/>
    <w:rsid w:val="00B25E92"/>
    <w:rsid w:val="00B43A33"/>
    <w:rsid w:val="00B45CEF"/>
    <w:rsid w:val="00B51162"/>
    <w:rsid w:val="00B55A5A"/>
    <w:rsid w:val="00B57731"/>
    <w:rsid w:val="00B5792B"/>
    <w:rsid w:val="00B63A0D"/>
    <w:rsid w:val="00B66205"/>
    <w:rsid w:val="00B760BE"/>
    <w:rsid w:val="00B76AC3"/>
    <w:rsid w:val="00B80E60"/>
    <w:rsid w:val="00B816C0"/>
    <w:rsid w:val="00B82ED4"/>
    <w:rsid w:val="00B876C8"/>
    <w:rsid w:val="00B90515"/>
    <w:rsid w:val="00B92C33"/>
    <w:rsid w:val="00B93935"/>
    <w:rsid w:val="00B93D94"/>
    <w:rsid w:val="00B964AA"/>
    <w:rsid w:val="00BA1966"/>
    <w:rsid w:val="00BA6452"/>
    <w:rsid w:val="00BB063C"/>
    <w:rsid w:val="00BB3BB1"/>
    <w:rsid w:val="00BB5EAC"/>
    <w:rsid w:val="00BC4093"/>
    <w:rsid w:val="00BC4C6F"/>
    <w:rsid w:val="00BC630D"/>
    <w:rsid w:val="00BC6CD2"/>
    <w:rsid w:val="00BC70D2"/>
    <w:rsid w:val="00BD04E8"/>
    <w:rsid w:val="00BD0628"/>
    <w:rsid w:val="00BD1CE1"/>
    <w:rsid w:val="00BD25CB"/>
    <w:rsid w:val="00BD48A0"/>
    <w:rsid w:val="00BE2DD1"/>
    <w:rsid w:val="00BE49A0"/>
    <w:rsid w:val="00BE5688"/>
    <w:rsid w:val="00BF26C8"/>
    <w:rsid w:val="00BF3139"/>
    <w:rsid w:val="00BF3BAA"/>
    <w:rsid w:val="00BF3D0A"/>
    <w:rsid w:val="00BF67CA"/>
    <w:rsid w:val="00C0114E"/>
    <w:rsid w:val="00C066FA"/>
    <w:rsid w:val="00C121DE"/>
    <w:rsid w:val="00C13E23"/>
    <w:rsid w:val="00C16A1D"/>
    <w:rsid w:val="00C1734B"/>
    <w:rsid w:val="00C21B73"/>
    <w:rsid w:val="00C26601"/>
    <w:rsid w:val="00C27340"/>
    <w:rsid w:val="00C30937"/>
    <w:rsid w:val="00C341C7"/>
    <w:rsid w:val="00C35EB1"/>
    <w:rsid w:val="00C36441"/>
    <w:rsid w:val="00C379CA"/>
    <w:rsid w:val="00C41C0D"/>
    <w:rsid w:val="00C43B7B"/>
    <w:rsid w:val="00C44508"/>
    <w:rsid w:val="00C473F7"/>
    <w:rsid w:val="00C51988"/>
    <w:rsid w:val="00C56015"/>
    <w:rsid w:val="00C618AF"/>
    <w:rsid w:val="00C62263"/>
    <w:rsid w:val="00C62566"/>
    <w:rsid w:val="00C64B63"/>
    <w:rsid w:val="00C65114"/>
    <w:rsid w:val="00C700FA"/>
    <w:rsid w:val="00C70813"/>
    <w:rsid w:val="00C74579"/>
    <w:rsid w:val="00C7460E"/>
    <w:rsid w:val="00C820A4"/>
    <w:rsid w:val="00C82402"/>
    <w:rsid w:val="00C87F9E"/>
    <w:rsid w:val="00C91E24"/>
    <w:rsid w:val="00C95A93"/>
    <w:rsid w:val="00C95AF7"/>
    <w:rsid w:val="00C96A12"/>
    <w:rsid w:val="00CA2AD3"/>
    <w:rsid w:val="00CB05AE"/>
    <w:rsid w:val="00CB4065"/>
    <w:rsid w:val="00CB5CFD"/>
    <w:rsid w:val="00CC1112"/>
    <w:rsid w:val="00CC48DA"/>
    <w:rsid w:val="00CC74E3"/>
    <w:rsid w:val="00CD00E8"/>
    <w:rsid w:val="00CD1F0A"/>
    <w:rsid w:val="00CD5181"/>
    <w:rsid w:val="00CD5547"/>
    <w:rsid w:val="00CD588E"/>
    <w:rsid w:val="00CE2AE0"/>
    <w:rsid w:val="00CE390D"/>
    <w:rsid w:val="00CE6D59"/>
    <w:rsid w:val="00CE78EB"/>
    <w:rsid w:val="00CF2A6D"/>
    <w:rsid w:val="00CF3871"/>
    <w:rsid w:val="00CF3BEB"/>
    <w:rsid w:val="00CF3D9C"/>
    <w:rsid w:val="00D01488"/>
    <w:rsid w:val="00D01CCA"/>
    <w:rsid w:val="00D0659D"/>
    <w:rsid w:val="00D12432"/>
    <w:rsid w:val="00D13008"/>
    <w:rsid w:val="00D132F1"/>
    <w:rsid w:val="00D17DF9"/>
    <w:rsid w:val="00D2018B"/>
    <w:rsid w:val="00D21A96"/>
    <w:rsid w:val="00D23308"/>
    <w:rsid w:val="00D24E75"/>
    <w:rsid w:val="00D253FB"/>
    <w:rsid w:val="00D31197"/>
    <w:rsid w:val="00D31A06"/>
    <w:rsid w:val="00D31F11"/>
    <w:rsid w:val="00D44CBD"/>
    <w:rsid w:val="00D45084"/>
    <w:rsid w:val="00D47022"/>
    <w:rsid w:val="00D5348D"/>
    <w:rsid w:val="00D64406"/>
    <w:rsid w:val="00D64C2C"/>
    <w:rsid w:val="00D665CB"/>
    <w:rsid w:val="00D66815"/>
    <w:rsid w:val="00D673D0"/>
    <w:rsid w:val="00D67B4D"/>
    <w:rsid w:val="00D72306"/>
    <w:rsid w:val="00D74C49"/>
    <w:rsid w:val="00D76A02"/>
    <w:rsid w:val="00D80A62"/>
    <w:rsid w:val="00D81DDD"/>
    <w:rsid w:val="00D84291"/>
    <w:rsid w:val="00D84546"/>
    <w:rsid w:val="00D87A63"/>
    <w:rsid w:val="00D9344E"/>
    <w:rsid w:val="00DA0E42"/>
    <w:rsid w:val="00DA1868"/>
    <w:rsid w:val="00DA78EA"/>
    <w:rsid w:val="00DB2258"/>
    <w:rsid w:val="00DB395E"/>
    <w:rsid w:val="00DB3A29"/>
    <w:rsid w:val="00DB40AE"/>
    <w:rsid w:val="00DB6D74"/>
    <w:rsid w:val="00DC1A57"/>
    <w:rsid w:val="00DC27C2"/>
    <w:rsid w:val="00DD09EC"/>
    <w:rsid w:val="00DD1CC9"/>
    <w:rsid w:val="00DD59F0"/>
    <w:rsid w:val="00DE35AB"/>
    <w:rsid w:val="00DE455A"/>
    <w:rsid w:val="00DF115D"/>
    <w:rsid w:val="00DF11BE"/>
    <w:rsid w:val="00DF11E0"/>
    <w:rsid w:val="00DF22ED"/>
    <w:rsid w:val="00DF3EC4"/>
    <w:rsid w:val="00E00052"/>
    <w:rsid w:val="00E00CA1"/>
    <w:rsid w:val="00E013E5"/>
    <w:rsid w:val="00E027A0"/>
    <w:rsid w:val="00E146B6"/>
    <w:rsid w:val="00E1777C"/>
    <w:rsid w:val="00E23203"/>
    <w:rsid w:val="00E2358B"/>
    <w:rsid w:val="00E253B1"/>
    <w:rsid w:val="00E255C1"/>
    <w:rsid w:val="00E42836"/>
    <w:rsid w:val="00E45091"/>
    <w:rsid w:val="00E50EF5"/>
    <w:rsid w:val="00E533CB"/>
    <w:rsid w:val="00E5481D"/>
    <w:rsid w:val="00E54869"/>
    <w:rsid w:val="00E566E9"/>
    <w:rsid w:val="00E56CFA"/>
    <w:rsid w:val="00E57214"/>
    <w:rsid w:val="00E73831"/>
    <w:rsid w:val="00E779E8"/>
    <w:rsid w:val="00E900E1"/>
    <w:rsid w:val="00E920DD"/>
    <w:rsid w:val="00E960B4"/>
    <w:rsid w:val="00EA2EF6"/>
    <w:rsid w:val="00EA7619"/>
    <w:rsid w:val="00EB0411"/>
    <w:rsid w:val="00EB12D9"/>
    <w:rsid w:val="00EB2A8C"/>
    <w:rsid w:val="00EB523C"/>
    <w:rsid w:val="00EB5726"/>
    <w:rsid w:val="00EB6DB9"/>
    <w:rsid w:val="00EC290F"/>
    <w:rsid w:val="00EC3B2C"/>
    <w:rsid w:val="00EC3C2D"/>
    <w:rsid w:val="00EC3E1F"/>
    <w:rsid w:val="00EC788E"/>
    <w:rsid w:val="00ED268F"/>
    <w:rsid w:val="00ED46B3"/>
    <w:rsid w:val="00ED6F9E"/>
    <w:rsid w:val="00EE38AF"/>
    <w:rsid w:val="00EE4C33"/>
    <w:rsid w:val="00EE55AE"/>
    <w:rsid w:val="00EE5DE9"/>
    <w:rsid w:val="00EE6314"/>
    <w:rsid w:val="00EF5A71"/>
    <w:rsid w:val="00F0177C"/>
    <w:rsid w:val="00F06DA3"/>
    <w:rsid w:val="00F11257"/>
    <w:rsid w:val="00F15CF4"/>
    <w:rsid w:val="00F2058A"/>
    <w:rsid w:val="00F21D4B"/>
    <w:rsid w:val="00F22142"/>
    <w:rsid w:val="00F25463"/>
    <w:rsid w:val="00F268D6"/>
    <w:rsid w:val="00F271DE"/>
    <w:rsid w:val="00F304AA"/>
    <w:rsid w:val="00F326C5"/>
    <w:rsid w:val="00F33E87"/>
    <w:rsid w:val="00F33E88"/>
    <w:rsid w:val="00F33F83"/>
    <w:rsid w:val="00F40342"/>
    <w:rsid w:val="00F4430C"/>
    <w:rsid w:val="00F4448E"/>
    <w:rsid w:val="00F45B91"/>
    <w:rsid w:val="00F47CE0"/>
    <w:rsid w:val="00F5129E"/>
    <w:rsid w:val="00F56A35"/>
    <w:rsid w:val="00F56C8A"/>
    <w:rsid w:val="00F60160"/>
    <w:rsid w:val="00F60ACC"/>
    <w:rsid w:val="00F64E60"/>
    <w:rsid w:val="00F654F9"/>
    <w:rsid w:val="00F65584"/>
    <w:rsid w:val="00F66E8A"/>
    <w:rsid w:val="00F72B3F"/>
    <w:rsid w:val="00F752AA"/>
    <w:rsid w:val="00F81B3A"/>
    <w:rsid w:val="00F93DFA"/>
    <w:rsid w:val="00FA1FB1"/>
    <w:rsid w:val="00FA2758"/>
    <w:rsid w:val="00FA3D48"/>
    <w:rsid w:val="00FA4DEB"/>
    <w:rsid w:val="00FA69D2"/>
    <w:rsid w:val="00FB2729"/>
    <w:rsid w:val="00FB3472"/>
    <w:rsid w:val="00FB518C"/>
    <w:rsid w:val="00FB6EF6"/>
    <w:rsid w:val="00FC06E0"/>
    <w:rsid w:val="00FC19DC"/>
    <w:rsid w:val="00FC2DA8"/>
    <w:rsid w:val="00FC5490"/>
    <w:rsid w:val="00FD33E1"/>
    <w:rsid w:val="00FD45C2"/>
    <w:rsid w:val="00FD52ED"/>
    <w:rsid w:val="00FE192B"/>
    <w:rsid w:val="00FE4B2D"/>
    <w:rsid w:val="00FE4FC9"/>
    <w:rsid w:val="00FE690A"/>
    <w:rsid w:val="00FF2C73"/>
    <w:rsid w:val="00FF5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A6E1FF"/>
  <w15:docId w15:val="{D5C1E332-C110-4BC0-B14D-9FAFF364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6C4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rFonts w:eastAsia="SimSun"/>
      <w:sz w:val="22"/>
      <w:szCs w:val="22"/>
      <w:bdr w:val="none" w:sz="0" w:space="0" w:color="auto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556C42"/>
    <w:pPr>
      <w:keepNext/>
      <w:keepLines/>
      <w:numPr>
        <w:numId w:val="7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556C42"/>
    <w:pPr>
      <w:keepNext/>
      <w:keepLines/>
      <w:tabs>
        <w:tab w:val="num" w:pos="567"/>
      </w:tabs>
      <w:spacing w:before="120" w:after="120"/>
      <w:ind w:left="567" w:hanging="567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556C42"/>
    <w:pPr>
      <w:keepNext/>
      <w:keepLines/>
      <w:tabs>
        <w:tab w:val="num" w:pos="567"/>
      </w:tabs>
      <w:spacing w:before="120" w:after="120"/>
      <w:ind w:left="567" w:hanging="567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556C42"/>
    <w:pPr>
      <w:keepNext/>
      <w:tabs>
        <w:tab w:val="num" w:pos="567"/>
      </w:tabs>
      <w:spacing w:before="120" w:after="120"/>
      <w:ind w:left="567" w:hanging="567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556C42"/>
    <w:pPr>
      <w:keepNext/>
      <w:tabs>
        <w:tab w:val="num" w:pos="567"/>
      </w:tabs>
      <w:spacing w:before="120" w:after="120"/>
      <w:ind w:left="567" w:hanging="567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556C42"/>
    <w:pPr>
      <w:keepNext/>
      <w:keepLines/>
      <w:numPr>
        <w:ilvl w:val="5"/>
        <w:numId w:val="2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556C42"/>
    <w:pPr>
      <w:keepNext/>
      <w:keepLines/>
      <w:widowControl w:val="0"/>
      <w:numPr>
        <w:ilvl w:val="6"/>
        <w:numId w:val="2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556C42"/>
    <w:pPr>
      <w:keepNext/>
      <w:keepLines/>
      <w:widowControl w:val="0"/>
      <w:numPr>
        <w:ilvl w:val="7"/>
        <w:numId w:val="21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556C42"/>
    <w:pPr>
      <w:keepNext/>
      <w:widowControl w:val="0"/>
      <w:numPr>
        <w:ilvl w:val="8"/>
        <w:numId w:val="21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6C42"/>
    <w:rPr>
      <w:rFonts w:ascii="Times New Roman" w:hAnsi="Times New Roman"/>
      <w:color w:val="0000FF" w:themeColor="hyperlink"/>
      <w:u w:val="single"/>
      <w:lang w:val="en-GB"/>
    </w:rPr>
  </w:style>
  <w:style w:type="paragraph" w:styleId="Header">
    <w:name w:val="header"/>
    <w:basedOn w:val="Normal"/>
    <w:link w:val="HeaderChar"/>
    <w:rsid w:val="00556C42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paragraph" w:styleId="Footer">
    <w:name w:val="footer"/>
    <w:basedOn w:val="Normal"/>
    <w:link w:val="FooterChar"/>
    <w:uiPriority w:val="99"/>
    <w:rsid w:val="00556C42"/>
    <w:pPr>
      <w:tabs>
        <w:tab w:val="center" w:pos="4680"/>
        <w:tab w:val="right" w:pos="9360"/>
      </w:tabs>
    </w:pPr>
    <w:rPr>
      <w:sz w:val="2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:lang w:val="en-GB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eastAsia="Times New Roman"/>
      <w:color w:val="000000"/>
      <w:sz w:val="22"/>
      <w:szCs w:val="22"/>
      <w:u w:color="000000"/>
      <w:lang w:val="en-GB"/>
      <w14:textOutline w14:w="0" w14:cap="flat" w14:cmpd="sng" w14:algn="ctr">
        <w14:noFill/>
        <w14:prstDash w14:val="solid"/>
        <w14:bevel/>
      </w14:textOutline>
    </w:rPr>
  </w:style>
  <w:style w:type="paragraph" w:customStyle="1" w:styleId="AASmallLogo">
    <w:name w:val="AA_SmallLogo"/>
    <w:basedOn w:val="AEDistrNormal"/>
    <w:unhideWhenUsed/>
    <w:rsid w:val="00556C42"/>
    <w:pPr>
      <w:spacing w:before="40"/>
    </w:pPr>
    <w:rPr>
      <w:sz w:val="4"/>
    </w:rPr>
  </w:style>
  <w:style w:type="paragraph" w:customStyle="1" w:styleId="ABSymbol">
    <w:name w:val="AB_Symbol"/>
    <w:basedOn w:val="Normal"/>
    <w:qFormat/>
    <w:rsid w:val="00556C42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AISpacer">
    <w:name w:val="AI_Spacer"/>
    <w:next w:val="Normal"/>
    <w:unhideWhenUsed/>
    <w:qFormat/>
    <w:rsid w:val="00556C4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SimSun"/>
      <w:sz w:val="2"/>
      <w:szCs w:val="22"/>
      <w:bdr w:val="none" w:sz="0" w:space="0" w:color="auto"/>
      <w:lang w:val="en-GB"/>
    </w:rPr>
  </w:style>
  <w:style w:type="paragraph" w:customStyle="1" w:styleId="ACLargeLogo">
    <w:name w:val="AC_LargeLogo"/>
    <w:basedOn w:val="AFCorNNormal"/>
    <w:next w:val="AISpacer"/>
    <w:unhideWhenUsed/>
    <w:rsid w:val="00556C42"/>
    <w:pPr>
      <w:spacing w:before="120"/>
      <w:contextualSpacing/>
    </w:pPr>
    <w:rPr>
      <w:sz w:val="8"/>
    </w:rPr>
  </w:style>
  <w:style w:type="paragraph" w:customStyle="1" w:styleId="AEDistrNormal">
    <w:name w:val="AE_DistrNormal"/>
    <w:basedOn w:val="Normal"/>
    <w:unhideWhenUsed/>
    <w:rsid w:val="00556C42"/>
    <w:pPr>
      <w:jc w:val="left"/>
    </w:pPr>
  </w:style>
  <w:style w:type="paragraph" w:customStyle="1" w:styleId="AEDistrNormal6pt">
    <w:name w:val="AE_DistrNormal6pt"/>
    <w:basedOn w:val="AEDistrNormal"/>
    <w:next w:val="AFCorNNormal"/>
    <w:unhideWhenUsed/>
    <w:qFormat/>
    <w:rsid w:val="00556C42"/>
    <w:pPr>
      <w:spacing w:before="120"/>
    </w:pPr>
  </w:style>
  <w:style w:type="paragraph" w:customStyle="1" w:styleId="AFCorNNormal">
    <w:name w:val="AF_CorNNormal"/>
    <w:basedOn w:val="Normal"/>
    <w:unhideWhenUsed/>
    <w:rsid w:val="00556C42"/>
    <w:pPr>
      <w:jc w:val="left"/>
    </w:pPr>
  </w:style>
  <w:style w:type="paragraph" w:customStyle="1" w:styleId="AFCorN12Bold">
    <w:name w:val="AF_CorN12Bold"/>
    <w:basedOn w:val="AFCorNNormal"/>
    <w:next w:val="AFCorNNormal"/>
    <w:unhideWhenUsed/>
    <w:qFormat/>
    <w:rsid w:val="00556C42"/>
    <w:rPr>
      <w:b/>
      <w:sz w:val="24"/>
    </w:rPr>
  </w:style>
  <w:style w:type="paragraph" w:customStyle="1" w:styleId="AFCorNBold">
    <w:name w:val="AF_CorNBold"/>
    <w:basedOn w:val="AFCorNNormal"/>
    <w:next w:val="AFCorNNormal"/>
    <w:unhideWhenUsed/>
    <w:qFormat/>
    <w:rsid w:val="00556C42"/>
    <w:rPr>
      <w:b/>
    </w:rPr>
  </w:style>
  <w:style w:type="paragraph" w:customStyle="1" w:styleId="CBDTitle">
    <w:name w:val="CBD_Title"/>
    <w:basedOn w:val="CBDNormal"/>
    <w:next w:val="CBDSubTitle"/>
    <w:qFormat/>
    <w:rsid w:val="00556C42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CBDSubTitle">
    <w:name w:val="CBD_SubTitle"/>
    <w:basedOn w:val="CBDNormal"/>
    <w:qFormat/>
    <w:rsid w:val="00556C42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H1">
    <w:name w:val="CBD_H1"/>
    <w:basedOn w:val="CBDNormal"/>
    <w:qFormat/>
    <w:rsid w:val="00556C42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NormalNumber">
    <w:name w:val="CBD_Normal_Number"/>
    <w:basedOn w:val="CBDNormal"/>
    <w:qFormat/>
    <w:rsid w:val="00556C42"/>
    <w:pPr>
      <w:numPr>
        <w:numId w:val="70"/>
      </w:numPr>
      <w:tabs>
        <w:tab w:val="left" w:pos="3969"/>
      </w:tabs>
      <w:spacing w:before="120" w:after="120"/>
    </w:pPr>
  </w:style>
  <w:style w:type="numbering" w:customStyle="1" w:styleId="ListCBD">
    <w:name w:val="ListCBD"/>
    <w:basedOn w:val="NoList"/>
    <w:uiPriority w:val="99"/>
    <w:rsid w:val="00556C42"/>
    <w:pPr>
      <w:numPr>
        <w:numId w:val="1"/>
      </w:numPr>
    </w:pPr>
  </w:style>
  <w:style w:type="character" w:customStyle="1" w:styleId="Hyperlink0">
    <w:name w:val="Hyperlink.0"/>
    <w:basedOn w:val="Hyperlink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0000FF"/>
      <w:u w:val="single" w:color="0000FF"/>
      <w:lang w:val="en-GB"/>
    </w:rPr>
  </w:style>
  <w:style w:type="paragraph" w:styleId="FootnoteText">
    <w:name w:val="footnote text"/>
    <w:basedOn w:val="Normal"/>
    <w:link w:val="FootnoteTextChar"/>
    <w:unhideWhenUsed/>
    <w:rsid w:val="00556C42"/>
    <w:pPr>
      <w:jc w:val="left"/>
    </w:pPr>
    <w:rPr>
      <w:sz w:val="18"/>
      <w:szCs w:val="20"/>
    </w:r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lang w:val="en-GB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Heading2"/>
    <w:pPr>
      <w:keepNext/>
      <w:keepLines/>
      <w:tabs>
        <w:tab w:val="left" w:pos="567"/>
        <w:tab w:val="left" w:pos="1134"/>
        <w:tab w:val="left" w:pos="1701"/>
        <w:tab w:val="left" w:pos="2268"/>
      </w:tabs>
      <w:spacing w:before="240" w:after="120"/>
      <w:outlineLvl w:val="2"/>
    </w:pPr>
    <w:rPr>
      <w:rFonts w:cs="Arial Unicode MS"/>
      <w:b/>
      <w:bCs/>
      <w:color w:val="000000"/>
      <w:kern w:val="2"/>
      <w:sz w:val="28"/>
      <w:szCs w:val="28"/>
      <w:u w:color="000000"/>
      <w:lang w:val="en-GB"/>
      <w14:textOutline w14:w="0" w14:cap="flat" w14:cmpd="sng" w14:algn="ctr">
        <w14:noFill/>
        <w14:prstDash w14:val="solid"/>
        <w14:bevel/>
      </w14:textOutline>
    </w:rPr>
  </w:style>
  <w:style w:type="numbering" w:customStyle="1" w:styleId="CBDHeadings">
    <w:name w:val="CBD_Headings"/>
    <w:basedOn w:val="ListCBD"/>
    <w:uiPriority w:val="99"/>
    <w:rsid w:val="00556C42"/>
    <w:pPr>
      <w:numPr>
        <w:numId w:val="3"/>
      </w:numPr>
    </w:pPr>
  </w:style>
  <w:style w:type="character" w:customStyle="1" w:styleId="Hyperlink1">
    <w:name w:val="Hyperlink.1"/>
    <w:basedOn w:val="Hyperlink0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000000"/>
      <w:u w:val="single" w:color="000000"/>
      <w:lang w:val="en-GB"/>
    </w:rPr>
  </w:style>
  <w:style w:type="paragraph" w:customStyle="1" w:styleId="CBDAnnex">
    <w:name w:val="CBD_Annex"/>
    <w:basedOn w:val="CBDNormal"/>
    <w:next w:val="CBDTitle"/>
    <w:qFormat/>
    <w:rsid w:val="00556C42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Para1">
    <w:name w:val="Para1"/>
    <w:pPr>
      <w:tabs>
        <w:tab w:val="left" w:pos="567"/>
        <w:tab w:val="left" w:pos="1134"/>
        <w:tab w:val="left" w:pos="1701"/>
        <w:tab w:val="left" w:pos="2268"/>
      </w:tabs>
      <w:spacing w:before="120" w:after="120"/>
      <w:ind w:firstLine="567"/>
      <w:jc w:val="both"/>
    </w:pPr>
    <w:rPr>
      <w:rFonts w:cs="Arial Unicode MS"/>
      <w:color w:val="000000"/>
      <w:sz w:val="22"/>
      <w:szCs w:val="22"/>
      <w:u w:color="000000"/>
      <w:lang w:val="en-GB"/>
    </w:rPr>
  </w:style>
  <w:style w:type="paragraph" w:customStyle="1" w:styleId="CBDTableNormal">
    <w:name w:val="CBD_TableNormal"/>
    <w:basedOn w:val="CBDNormal"/>
    <w:qFormat/>
    <w:rsid w:val="00556C42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556C42"/>
    <w:pPr>
      <w:keepNext/>
      <w:keepLines/>
      <w:spacing w:before="120" w:after="60"/>
      <w:ind w:left="567"/>
      <w:jc w:val="left"/>
    </w:pPr>
    <w:rPr>
      <w:b/>
    </w:rPr>
  </w:style>
  <w:style w:type="numbering" w:customStyle="1" w:styleId="ImportedStyle2">
    <w:name w:val="Imported Style 2"/>
    <w:pPr>
      <w:numPr>
        <w:numId w:val="16"/>
      </w:numPr>
    </w:pPr>
  </w:style>
  <w:style w:type="paragraph" w:customStyle="1" w:styleId="CBDFootnoteText">
    <w:name w:val="CBD_Footnote_Text"/>
    <w:basedOn w:val="CBDNormal"/>
    <w:qFormat/>
    <w:rsid w:val="00556C42"/>
    <w:pPr>
      <w:jc w:val="left"/>
    </w:pPr>
    <w:rPr>
      <w:sz w:val="18"/>
    </w:rPr>
  </w:style>
  <w:style w:type="paragraph" w:customStyle="1" w:styleId="CBDNormalNoNumber">
    <w:name w:val="CBD_Normal_NoNumber"/>
    <w:basedOn w:val="CBDNormal"/>
    <w:qFormat/>
    <w:rsid w:val="00556C42"/>
    <w:pPr>
      <w:spacing w:after="120"/>
      <w:ind w:left="567"/>
    </w:pPr>
  </w:style>
  <w:style w:type="paragraph" w:styleId="CommentText">
    <w:name w:val="annotation text"/>
    <w:basedOn w:val="Normal"/>
    <w:link w:val="CommentTextChar"/>
    <w:uiPriority w:val="99"/>
    <w:rsid w:val="00556C4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6C42"/>
    <w:rPr>
      <w:rFonts w:eastAsia="SimSun"/>
      <w:bdr w:val="none" w:sz="0" w:space="0" w:color="auto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556C42"/>
    <w:rPr>
      <w:sz w:val="16"/>
      <w:szCs w:val="16"/>
      <w:lang w:val="en-GB"/>
    </w:rPr>
  </w:style>
  <w:style w:type="paragraph" w:styleId="Revision">
    <w:name w:val="Revision"/>
    <w:hidden/>
    <w:uiPriority w:val="99"/>
    <w:semiHidden/>
    <w:rsid w:val="00556C4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Simplified Arabic" w:eastAsia="Times New Roman" w:hAnsi="Simplified Arabic" w:cs="Simplified Arabic"/>
      <w:noProof/>
      <w:sz w:val="24"/>
      <w:szCs w:val="24"/>
      <w:bdr w:val="none" w:sz="0" w:space="0" w:color="aut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6C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6C42"/>
    <w:rPr>
      <w:rFonts w:eastAsia="SimSun"/>
      <w:b/>
      <w:bCs/>
      <w:bdr w:val="none" w:sz="0" w:space="0" w:color="auto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A3640"/>
    <w:rPr>
      <w:color w:val="605E5C"/>
      <w:shd w:val="clear" w:color="auto" w:fill="E1DFDD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556C42"/>
    <w:rPr>
      <w:vertAlign w:val="superscript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556C42"/>
    <w:rPr>
      <w:rFonts w:eastAsiaTheme="majorEastAsia" w:cstheme="majorBidi"/>
      <w:b/>
      <w:bCs/>
      <w:kern w:val="2"/>
      <w:sz w:val="28"/>
      <w:szCs w:val="32"/>
      <w:bdr w:val="none" w:sz="0" w:space="0" w:color="auto"/>
      <w:lang w:val="en-GB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rsid w:val="00556C42"/>
    <w:rPr>
      <w:rFonts w:eastAsiaTheme="majorEastAsia"/>
      <w:b/>
      <w:bCs/>
      <w:sz w:val="22"/>
      <w:szCs w:val="22"/>
      <w:bdr w:val="none" w:sz="0" w:space="0" w:color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556C42"/>
    <w:rPr>
      <w:rFonts w:eastAsiaTheme="majorEastAsia"/>
      <w:b/>
      <w:bCs/>
      <w:sz w:val="22"/>
      <w:szCs w:val="22"/>
      <w:bdr w:val="none" w:sz="0" w:space="0" w:color="auto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556C42"/>
    <w:rPr>
      <w:rFonts w:eastAsiaTheme="majorEastAsia"/>
      <w:i/>
      <w:iCs/>
      <w:sz w:val="22"/>
      <w:szCs w:val="22"/>
      <w:bdr w:val="none" w:sz="0" w:space="0" w:color="auto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556C42"/>
    <w:rPr>
      <w:rFonts w:eastAsia="SimSun"/>
      <w:bCs/>
      <w:sz w:val="24"/>
      <w:szCs w:val="22"/>
      <w:bdr w:val="none" w:sz="0" w:space="0" w:color="auto"/>
      <w:lang w:val="en-GB"/>
    </w:rPr>
  </w:style>
  <w:style w:type="character" w:customStyle="1" w:styleId="Heading7Char">
    <w:name w:val="Heading 7 Char"/>
    <w:basedOn w:val="DefaultParagraphFont"/>
    <w:link w:val="Heading7"/>
    <w:semiHidden/>
    <w:rsid w:val="00556C42"/>
    <w:rPr>
      <w:rFonts w:eastAsia="SimSun"/>
      <w:b/>
      <w:snapToGrid w:val="0"/>
      <w:sz w:val="22"/>
      <w:szCs w:val="22"/>
      <w:u w:val="single"/>
      <w:bdr w:val="none" w:sz="0" w:space="0" w:color="auto"/>
      <w:lang w:val="en-GB"/>
    </w:rPr>
  </w:style>
  <w:style w:type="character" w:customStyle="1" w:styleId="Heading8Char">
    <w:name w:val="Heading 8 Char"/>
    <w:basedOn w:val="DefaultParagraphFont"/>
    <w:link w:val="Heading8"/>
    <w:semiHidden/>
    <w:rsid w:val="00556C42"/>
    <w:rPr>
      <w:rFonts w:eastAsia="SimSun"/>
      <w:b/>
      <w:snapToGrid w:val="0"/>
      <w:sz w:val="22"/>
      <w:szCs w:val="22"/>
      <w:u w:val="single"/>
      <w:bdr w:val="none" w:sz="0" w:space="0" w:color="auto"/>
      <w:lang w:val="en-GB"/>
    </w:rPr>
  </w:style>
  <w:style w:type="character" w:customStyle="1" w:styleId="Heading9Char">
    <w:name w:val="Heading 9 Char"/>
    <w:basedOn w:val="DefaultParagraphFont"/>
    <w:link w:val="Heading9"/>
    <w:semiHidden/>
    <w:rsid w:val="00556C42"/>
    <w:rPr>
      <w:rFonts w:eastAsia="SimSun"/>
      <w:snapToGrid w:val="0"/>
      <w:sz w:val="22"/>
      <w:szCs w:val="22"/>
      <w:u w:val="single"/>
      <w:bdr w:val="none" w:sz="0" w:space="0" w:color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556C42"/>
    <w:rPr>
      <w:rFonts w:ascii="Times New Roman Bold" w:eastAsiaTheme="majorEastAsia" w:hAnsi="Times New Roman Bold" w:cstheme="majorBidi"/>
      <w:b/>
      <w:sz w:val="24"/>
      <w:szCs w:val="26"/>
      <w:bdr w:val="none" w:sz="0" w:space="0" w:color="auto"/>
      <w:lang w:val="en-GB"/>
    </w:rPr>
  </w:style>
  <w:style w:type="paragraph" w:customStyle="1" w:styleId="DarkList-Accent31">
    <w:name w:val="Dark List - Accent 31"/>
    <w:hidden/>
    <w:uiPriority w:val="99"/>
    <w:semiHidden/>
    <w:rsid w:val="00556C4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SimSun"/>
      <w:sz w:val="22"/>
      <w:szCs w:val="22"/>
      <w:bdr w:val="none" w:sz="0" w:space="0" w:color="auto"/>
      <w:lang w:val="en-GB" w:eastAsia="en-GB"/>
    </w:rPr>
  </w:style>
  <w:style w:type="paragraph" w:customStyle="1" w:styleId="Footnote">
    <w:name w:val="Footnote"/>
    <w:basedOn w:val="FootnoteText"/>
    <w:semiHidden/>
    <w:qFormat/>
    <w:rsid w:val="00556C42"/>
    <w:rPr>
      <w:szCs w:val="18"/>
    </w:rPr>
  </w:style>
  <w:style w:type="character" w:customStyle="1" w:styleId="HeaderChar">
    <w:name w:val="Header Char"/>
    <w:basedOn w:val="DefaultParagraphFont"/>
    <w:link w:val="Header"/>
    <w:rsid w:val="00556C42"/>
    <w:rPr>
      <w:rFonts w:eastAsia="SimSun"/>
      <w:szCs w:val="22"/>
      <w:bdr w:val="none" w:sz="0" w:space="0" w:color="auto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556C42"/>
    <w:rPr>
      <w:rFonts w:eastAsia="SimSun"/>
      <w:szCs w:val="22"/>
      <w:bdr w:val="none" w:sz="0" w:space="0" w:color="auto"/>
      <w:lang w:val="en-GB"/>
    </w:rPr>
  </w:style>
  <w:style w:type="paragraph" w:customStyle="1" w:styleId="Annex">
    <w:name w:val="Annex"/>
    <w:basedOn w:val="Normal"/>
    <w:semiHidden/>
    <w:qFormat/>
    <w:rsid w:val="00556C42"/>
    <w:pPr>
      <w:spacing w:after="240"/>
    </w:pPr>
    <w:rPr>
      <w:b/>
      <w:sz w:val="28"/>
    </w:rPr>
  </w:style>
  <w:style w:type="character" w:customStyle="1" w:styleId="FootnoteTextChar">
    <w:name w:val="Footnote Text Char"/>
    <w:basedOn w:val="DefaultParagraphFont"/>
    <w:link w:val="FootnoteText"/>
    <w:rsid w:val="00556C42"/>
    <w:rPr>
      <w:rFonts w:eastAsia="SimSun"/>
      <w:sz w:val="18"/>
      <w:bdr w:val="none" w:sz="0" w:space="0" w:color="auto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556C42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556C42"/>
    <w:rPr>
      <w:rFonts w:asciiTheme="minorHAnsi" w:eastAsiaTheme="minorHAnsi" w:hAnsiTheme="minorHAnsi" w:cstheme="minorBidi"/>
      <w:kern w:val="2"/>
      <w:sz w:val="22"/>
      <w:szCs w:val="22"/>
      <w:bdr w:val="none" w:sz="0" w:space="0" w:color="auto"/>
      <w:lang w:val="en-GB"/>
      <w14:ligatures w14:val="standardContextual"/>
    </w:rPr>
  </w:style>
  <w:style w:type="paragraph" w:customStyle="1" w:styleId="Item">
    <w:name w:val="Item"/>
    <w:basedOn w:val="Normal"/>
    <w:semiHidden/>
    <w:qFormat/>
    <w:rsid w:val="00556C42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556C4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eastAsia="SimSun"/>
      <w:sz w:val="22"/>
      <w:szCs w:val="22"/>
      <w:bdr w:val="none" w:sz="0" w:space="0" w:color="auto"/>
      <w:lang w:val="en-GB"/>
    </w:rPr>
  </w:style>
  <w:style w:type="paragraph" w:styleId="List">
    <w:name w:val="List"/>
    <w:basedOn w:val="Normal"/>
    <w:semiHidden/>
    <w:rsid w:val="00556C42"/>
    <w:pPr>
      <w:contextualSpacing/>
    </w:pPr>
  </w:style>
  <w:style w:type="paragraph" w:styleId="ListParagraph">
    <w:name w:val="List Paragraph"/>
    <w:basedOn w:val="Normal"/>
    <w:uiPriority w:val="34"/>
    <w:qFormat/>
    <w:rsid w:val="00556C42"/>
    <w:pPr>
      <w:ind w:left="720"/>
      <w:contextualSpacing/>
    </w:pPr>
  </w:style>
  <w:style w:type="paragraph" w:customStyle="1" w:styleId="CBDAgendaItemReport">
    <w:name w:val="CBD_AgendaItem_Report"/>
    <w:basedOn w:val="Normal"/>
    <w:qFormat/>
    <w:rsid w:val="00556C42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556C42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556C42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AENormal">
    <w:name w:val="AE_Normal"/>
    <w:basedOn w:val="Normal"/>
    <w:rsid w:val="00556C42"/>
  </w:style>
  <w:style w:type="paragraph" w:customStyle="1" w:styleId="CBDH2">
    <w:name w:val="CBD_H2"/>
    <w:basedOn w:val="CBDNormal"/>
    <w:qFormat/>
    <w:rsid w:val="00556C42"/>
    <w:pPr>
      <w:keepNext/>
      <w:keepLines/>
      <w:ind w:left="567" w:hanging="567"/>
    </w:pPr>
    <w:rPr>
      <w:b/>
      <w:sz w:val="24"/>
    </w:rPr>
  </w:style>
  <w:style w:type="paragraph" w:customStyle="1" w:styleId="CBDFooter">
    <w:name w:val="CBD_Footer"/>
    <w:basedOn w:val="CBDNormal"/>
    <w:qFormat/>
    <w:rsid w:val="00556C42"/>
    <w:rPr>
      <w:sz w:val="20"/>
    </w:rPr>
  </w:style>
  <w:style w:type="paragraph" w:customStyle="1" w:styleId="CBDHeader">
    <w:name w:val="CBD_Header"/>
    <w:basedOn w:val="CBDNormal"/>
    <w:next w:val="CBDFooter"/>
    <w:qFormat/>
    <w:rsid w:val="00556C42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556C42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556C42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556C42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FigureTitle">
    <w:name w:val="CBD_FigureTitle"/>
    <w:basedOn w:val="CBDNormal"/>
    <w:next w:val="CBDNormalNoNumber"/>
    <w:qFormat/>
    <w:rsid w:val="00556C42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556C42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556C42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556C42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556C42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556C42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556C42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556C42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556C42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556C42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customStyle="1" w:styleId="CBDprov-agendaItem">
    <w:name w:val="CBD_prov-agenda_Item"/>
    <w:basedOn w:val="CBDNormalNumber"/>
    <w:qFormat/>
    <w:rsid w:val="00556C42"/>
  </w:style>
  <w:style w:type="paragraph" w:customStyle="1" w:styleId="CBDpara-item">
    <w:name w:val="CBD_para-item"/>
    <w:basedOn w:val="Normal"/>
    <w:qFormat/>
    <w:rsid w:val="00556C42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556C42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556C42"/>
    <w:pPr>
      <w:spacing w:after="120"/>
      <w:ind w:left="567"/>
    </w:pPr>
  </w:style>
  <w:style w:type="paragraph" w:customStyle="1" w:styleId="CBDAgendaItem-1">
    <w:name w:val="CBD_AgendaItem-1"/>
    <w:basedOn w:val="Normal"/>
    <w:qFormat/>
    <w:rsid w:val="00556C42"/>
    <w:pPr>
      <w:keepNext/>
      <w:keepLines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AgendaItem-2a">
    <w:name w:val="CBD_AgendaItem-2(a)"/>
    <w:basedOn w:val="CBDAgendaItem-1"/>
    <w:qFormat/>
    <w:rsid w:val="00556C42"/>
    <w:pPr>
      <w:ind w:left="567" w:hanging="567"/>
    </w:pPr>
    <w:rPr>
      <w:sz w:val="22"/>
    </w:rPr>
  </w:style>
  <w:style w:type="paragraph" w:customStyle="1" w:styleId="CBDAgendaItem-3">
    <w:name w:val="CBD_AgendaItem-3"/>
    <w:basedOn w:val="CBDAgendaItem-1"/>
    <w:qFormat/>
    <w:rsid w:val="00556C42"/>
    <w:pPr>
      <w:ind w:left="567" w:hanging="567"/>
    </w:pPr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0C3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0C3B"/>
    <w:rPr>
      <w:rFonts w:ascii="Segoe UI" w:eastAsia="SimSun" w:hAnsi="Segoe UI" w:cs="Segoe UI"/>
      <w:sz w:val="18"/>
      <w:szCs w:val="18"/>
      <w:bdr w:val="none" w:sz="0" w:space="0" w:color="auto"/>
      <w:lang w:val="en-GB"/>
    </w:rPr>
  </w:style>
  <w:style w:type="paragraph" w:styleId="Bibliography">
    <w:name w:val="Bibliography"/>
    <w:basedOn w:val="Normal"/>
    <w:next w:val="Normal"/>
    <w:uiPriority w:val="37"/>
    <w:semiHidden/>
    <w:unhideWhenUsed/>
    <w:rsid w:val="004A0C3B"/>
  </w:style>
  <w:style w:type="paragraph" w:styleId="BlockText">
    <w:name w:val="Block Text"/>
    <w:basedOn w:val="Normal"/>
    <w:uiPriority w:val="99"/>
    <w:semiHidden/>
    <w:unhideWhenUsed/>
    <w:rsid w:val="004A0C3B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A0C3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A0C3B"/>
    <w:rPr>
      <w:rFonts w:eastAsia="SimSun"/>
      <w:sz w:val="22"/>
      <w:szCs w:val="22"/>
      <w:bdr w:val="none" w:sz="0" w:space="0" w:color="auto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A0C3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A0C3B"/>
    <w:rPr>
      <w:rFonts w:eastAsia="SimSun"/>
      <w:sz w:val="16"/>
      <w:szCs w:val="16"/>
      <w:bdr w:val="none" w:sz="0" w:space="0" w:color="auto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A0C3B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A0C3B"/>
    <w:rPr>
      <w:rFonts w:asciiTheme="minorHAnsi" w:eastAsia="SimSun" w:hAnsiTheme="minorHAnsi" w:cstheme="minorBidi"/>
      <w:kern w:val="2"/>
      <w:sz w:val="22"/>
      <w:szCs w:val="22"/>
      <w:bdr w:val="none" w:sz="0" w:space="0" w:color="auto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A0C3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A0C3B"/>
    <w:rPr>
      <w:rFonts w:eastAsia="SimSun"/>
      <w:sz w:val="22"/>
      <w:szCs w:val="22"/>
      <w:bdr w:val="none" w:sz="0" w:space="0" w:color="auto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A0C3B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A0C3B"/>
    <w:rPr>
      <w:rFonts w:eastAsia="SimSun"/>
      <w:sz w:val="22"/>
      <w:szCs w:val="22"/>
      <w:bdr w:val="none" w:sz="0" w:space="0" w:color="auto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A0C3B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A0C3B"/>
    <w:rPr>
      <w:rFonts w:eastAsia="SimSun"/>
      <w:sz w:val="22"/>
      <w:szCs w:val="22"/>
      <w:bdr w:val="none" w:sz="0" w:space="0" w:color="auto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A0C3B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A0C3B"/>
    <w:rPr>
      <w:rFonts w:eastAsia="SimSun"/>
      <w:sz w:val="16"/>
      <w:szCs w:val="16"/>
      <w:bdr w:val="none" w:sz="0" w:space="0" w:color="auto"/>
      <w:lang w:val="en-GB"/>
    </w:rPr>
  </w:style>
  <w:style w:type="character" w:styleId="BookTitle">
    <w:name w:val="Book Title"/>
    <w:basedOn w:val="DefaultParagraphFont"/>
    <w:uiPriority w:val="33"/>
    <w:qFormat/>
    <w:rsid w:val="004A0C3B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A0C3B"/>
    <w:pPr>
      <w:spacing w:after="200"/>
    </w:pPr>
    <w:rPr>
      <w:i/>
      <w:iCs/>
      <w:color w:val="A7A7A7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4A0C3B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A0C3B"/>
    <w:rPr>
      <w:rFonts w:eastAsia="SimSun"/>
      <w:sz w:val="22"/>
      <w:szCs w:val="22"/>
      <w:bdr w:val="none" w:sz="0" w:space="0" w:color="auto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4A0C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A0C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A0C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A0C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A0C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A0C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A0C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A0C3B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A0C3B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A0C3B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A0C3B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A0C3B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A0C3B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A0C3B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A0C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A0C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A0C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A0C3B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A0C3B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A0C3B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A0C3B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A0C3B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A0C3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A0C3B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A0C3B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A0C3B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A0C3B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A0C3B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A0C3B"/>
  </w:style>
  <w:style w:type="character" w:customStyle="1" w:styleId="DateChar">
    <w:name w:val="Date Char"/>
    <w:basedOn w:val="DefaultParagraphFont"/>
    <w:link w:val="Date"/>
    <w:uiPriority w:val="99"/>
    <w:semiHidden/>
    <w:rsid w:val="004A0C3B"/>
    <w:rPr>
      <w:rFonts w:eastAsia="SimSun"/>
      <w:sz w:val="22"/>
      <w:szCs w:val="22"/>
      <w:bdr w:val="none" w:sz="0" w:space="0" w:color="auto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A0C3B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A0C3B"/>
    <w:rPr>
      <w:rFonts w:ascii="Segoe UI" w:eastAsia="SimSun" w:hAnsi="Segoe UI" w:cs="Segoe UI"/>
      <w:sz w:val="16"/>
      <w:szCs w:val="16"/>
      <w:bdr w:val="none" w:sz="0" w:space="0" w:color="auto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A0C3B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A0C3B"/>
    <w:rPr>
      <w:rFonts w:eastAsia="SimSun"/>
      <w:sz w:val="22"/>
      <w:szCs w:val="22"/>
      <w:bdr w:val="none" w:sz="0" w:space="0" w:color="auto"/>
      <w:lang w:val="en-GB"/>
    </w:rPr>
  </w:style>
  <w:style w:type="character" w:styleId="Emphasis">
    <w:name w:val="Emphasis"/>
    <w:basedOn w:val="DefaultParagraphFont"/>
    <w:uiPriority w:val="20"/>
    <w:qFormat/>
    <w:rsid w:val="004A0C3B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4A0C3B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A0C3B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A0C3B"/>
    <w:rPr>
      <w:rFonts w:eastAsia="SimSun"/>
      <w:bdr w:val="none" w:sz="0" w:space="0" w:color="auto"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A0C3B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A0C3B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A0C3B"/>
    <w:rPr>
      <w:color w:val="FF00FF" w:themeColor="followedHyperlink"/>
      <w:u w:val="single"/>
      <w:lang w:val="en-GB"/>
    </w:rPr>
  </w:style>
  <w:style w:type="table" w:styleId="GridTable1Light">
    <w:name w:val="Grid Table 1 Light"/>
    <w:basedOn w:val="TableNormal"/>
    <w:uiPriority w:val="46"/>
    <w:rsid w:val="004A0C3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A0C3B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A0C3B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A0C3B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A0C3B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A0C3B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A0C3B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A0C3B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A0C3B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A0C3B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A0C3B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A0C3B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A0C3B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A0C3B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4A0C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A0C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A0C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A0C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A0C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A0C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A0C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A0C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A0C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A0C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A0C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A0C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A0C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A0C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A0C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A0C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A0C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A0C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A0C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A0C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A0C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A0C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A0C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A0C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A0C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A0C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A0C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A0C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A0C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A0C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A0C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A0C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A0C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A0C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A0C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4A0C3B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4A0C3B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A0C3B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A0C3B"/>
    <w:rPr>
      <w:rFonts w:eastAsia="SimSun"/>
      <w:i/>
      <w:iCs/>
      <w:sz w:val="22"/>
      <w:szCs w:val="22"/>
      <w:bdr w:val="none" w:sz="0" w:space="0" w:color="auto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4A0C3B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4A0C3B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4A0C3B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4A0C3B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A0C3B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A0C3B"/>
    <w:rPr>
      <w:rFonts w:ascii="Consolas" w:eastAsia="SimSun" w:hAnsi="Consolas"/>
      <w:bdr w:val="none" w:sz="0" w:space="0" w:color="auto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4A0C3B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4A0C3B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4A0C3B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A0C3B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4A0C3B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A0C3B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A0C3B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A0C3B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A0C3B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A0C3B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A0C3B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A0C3B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A0C3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4A0C3B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C3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C3B"/>
    <w:rPr>
      <w:rFonts w:eastAsia="SimSun"/>
      <w:i/>
      <w:iCs/>
      <w:color w:val="4F81BD" w:themeColor="accent1"/>
      <w:sz w:val="22"/>
      <w:szCs w:val="22"/>
      <w:bdr w:val="none" w:sz="0" w:space="0" w:color="auto"/>
      <w:lang w:val="en-GB"/>
    </w:rPr>
  </w:style>
  <w:style w:type="character" w:styleId="IntenseReference">
    <w:name w:val="Intense Reference"/>
    <w:basedOn w:val="DefaultParagraphFont"/>
    <w:uiPriority w:val="32"/>
    <w:qFormat/>
    <w:rsid w:val="004A0C3B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4A0C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A0C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A0C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A0C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A0C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A0C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A0C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A0C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A0C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A0C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A0C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A0C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A0C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A0C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A0C3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A0C3B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A0C3B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A0C3B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A0C3B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A0C3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A0C3B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4A0C3B"/>
    <w:rPr>
      <w:lang w:val="en-GB"/>
    </w:rPr>
  </w:style>
  <w:style w:type="paragraph" w:styleId="List2">
    <w:name w:val="List 2"/>
    <w:basedOn w:val="Normal"/>
    <w:uiPriority w:val="99"/>
    <w:semiHidden/>
    <w:unhideWhenUsed/>
    <w:rsid w:val="004A0C3B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A0C3B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A0C3B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A0C3B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4A0C3B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A0C3B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4A0C3B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4A0C3B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4A0C3B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A0C3B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A0C3B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A0C3B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A0C3B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A0C3B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4A0C3B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4A0C3B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A0C3B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4A0C3B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4A0C3B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4A0C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A0C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A0C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A0C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A0C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A0C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A0C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4A0C3B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A0C3B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A0C3B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A0C3B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A0C3B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A0C3B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A0C3B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4A0C3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A0C3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A0C3B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A0C3B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A0C3B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A0C3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A0C3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A0C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A0C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A0C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A0C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A0C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A0C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A0C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A0C3B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A0C3B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A0C3B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A0C3B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A0C3B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A0C3B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A0C3B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A0C3B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A0C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A0C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A0C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A0C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A0C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A0C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A0C3B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A0C3B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A0C3B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A0C3B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A0C3B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A0C3B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A0C3B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/>
      <w:bdr w:val="none" w:sz="0" w:space="0" w:color="auto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A0C3B"/>
    <w:rPr>
      <w:rFonts w:ascii="Consolas" w:eastAsia="SimSun" w:hAnsi="Consolas"/>
      <w:bdr w:val="none" w:sz="0" w:space="0" w:color="auto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4A0C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A0C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A0C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A0C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A0C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A0C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A0C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A0C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A0C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A0C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A0C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A0C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A0C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A0C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A0C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A0C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A0C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A0C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A0C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A0C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A0C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A0C3B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A7A7A7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A0C3B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A7A7A7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A0C3B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A7A7A7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A0C3B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A7A7A7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A0C3B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A7A7A7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A0C3B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A7A7A7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A0C3B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A7A7A7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A0C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A0C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A0C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A0C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A0C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A0C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A0C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A0C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A0C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A0C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A0C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A0C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A0C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A0C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A0C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A0C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A0C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A0C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A0C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A0C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A0C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unhideWhenUsed/>
    <w:rsid w:val="004A0C3B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A0C3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A0C3B"/>
    <w:rPr>
      <w:rFonts w:asciiTheme="majorHAnsi" w:eastAsiaTheme="majorEastAsia" w:hAnsiTheme="majorHAnsi" w:cstheme="majorBidi"/>
      <w:sz w:val="24"/>
      <w:szCs w:val="24"/>
      <w:bdr w:val="none" w:sz="0" w:space="0" w:color="auto"/>
      <w:shd w:val="pct20" w:color="auto" w:fill="auto"/>
      <w:lang w:val="en-GB"/>
    </w:rPr>
  </w:style>
  <w:style w:type="paragraph" w:styleId="NoSpacing">
    <w:name w:val="No Spacing"/>
    <w:uiPriority w:val="1"/>
    <w:qFormat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rFonts w:eastAsia="SimSun"/>
      <w:sz w:val="22"/>
      <w:szCs w:val="22"/>
      <w:bdr w:val="none" w:sz="0" w:space="0" w:color="auto"/>
      <w:lang w:val="en-GB"/>
    </w:rPr>
  </w:style>
  <w:style w:type="paragraph" w:styleId="NormalWeb">
    <w:name w:val="Normal (Web)"/>
    <w:basedOn w:val="Normal"/>
    <w:uiPriority w:val="99"/>
    <w:semiHidden/>
    <w:unhideWhenUsed/>
    <w:rsid w:val="004A0C3B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A0C3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A0C3B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A0C3B"/>
    <w:rPr>
      <w:rFonts w:eastAsia="SimSun"/>
      <w:sz w:val="22"/>
      <w:szCs w:val="22"/>
      <w:bdr w:val="none" w:sz="0" w:space="0" w:color="auto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4A0C3B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4A0C3B"/>
    <w:rPr>
      <w:color w:val="666666"/>
      <w:lang w:val="en-GB"/>
    </w:rPr>
  </w:style>
  <w:style w:type="table" w:styleId="PlainTable1">
    <w:name w:val="Plain Table 1"/>
    <w:basedOn w:val="TableNormal"/>
    <w:uiPriority w:val="41"/>
    <w:rsid w:val="004A0C3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A0C3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A0C3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A0C3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A0C3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4A0C3B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A0C3B"/>
    <w:rPr>
      <w:rFonts w:ascii="Consolas" w:eastAsia="SimSun" w:hAnsi="Consolas"/>
      <w:sz w:val="21"/>
      <w:szCs w:val="21"/>
      <w:bdr w:val="none" w:sz="0" w:space="0" w:color="auto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4A0C3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0C3B"/>
    <w:rPr>
      <w:rFonts w:eastAsia="SimSun"/>
      <w:i/>
      <w:iCs/>
      <w:color w:val="404040" w:themeColor="text1" w:themeTint="BF"/>
      <w:sz w:val="22"/>
      <w:szCs w:val="22"/>
      <w:bdr w:val="none" w:sz="0" w:space="0" w:color="auto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A0C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A0C3B"/>
    <w:rPr>
      <w:rFonts w:eastAsia="SimSun"/>
      <w:sz w:val="22"/>
      <w:szCs w:val="22"/>
      <w:bdr w:val="none" w:sz="0" w:space="0" w:color="auto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A0C3B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A0C3B"/>
    <w:rPr>
      <w:rFonts w:eastAsia="SimSun"/>
      <w:sz w:val="22"/>
      <w:szCs w:val="22"/>
      <w:bdr w:val="none" w:sz="0" w:space="0" w:color="auto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4A0C3B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4A0C3B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4A0C3B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0C3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A0C3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bdr w:val="none" w:sz="0" w:space="0" w:color="auto"/>
      <w:lang w:val="en-GB"/>
    </w:rPr>
  </w:style>
  <w:style w:type="character" w:styleId="SubtleEmphasis">
    <w:name w:val="Subtle Emphasis"/>
    <w:basedOn w:val="DefaultParagraphFont"/>
    <w:uiPriority w:val="19"/>
    <w:qFormat/>
    <w:rsid w:val="004A0C3B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4A0C3B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4A0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A0C3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A0C3B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A0C3B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4A0C3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0C3B"/>
    <w:rPr>
      <w:rFonts w:asciiTheme="majorHAnsi" w:eastAsiaTheme="majorEastAsia" w:hAnsiTheme="majorHAnsi" w:cstheme="majorBidi"/>
      <w:spacing w:val="-10"/>
      <w:kern w:val="28"/>
      <w:sz w:val="56"/>
      <w:szCs w:val="56"/>
      <w:bdr w:val="none" w:sz="0" w:space="0" w:color="auto"/>
      <w:lang w:val="en-GB"/>
    </w:rPr>
  </w:style>
  <w:style w:type="paragraph" w:styleId="TOAHeading">
    <w:name w:val="toa heading"/>
    <w:basedOn w:val="Normal"/>
    <w:next w:val="Normal"/>
    <w:uiPriority w:val="99"/>
    <w:semiHidden/>
    <w:unhideWhenUsed/>
    <w:rsid w:val="004A0C3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A0C3B"/>
    <w:pPr>
      <w:numPr>
        <w:numId w:val="0"/>
      </w:numPr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https://www.cbd.int/doc/decisions/cop-16/cop-16-dec-02-ru.pdf" TargetMode="External"/><Relationship Id="rId26" Type="http://schemas.openxmlformats.org/officeDocument/2006/relationships/hyperlink" Target="https://www.cbd.int/notifications/2025-043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www.cbd.int/doc/decisions/cop-16/cop-16-dec-02-ru.pdf" TargetMode="External"/><Relationship Id="rId34" Type="http://schemas.openxmlformats.org/officeDocument/2006/relationships/hyperlink" Target="https://www.cbd.int/doc/decisions/cop-16/cop-16-dec-02-ru.pdf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cbd.int/doc/decisions/cop-16/cop-16-dec-02-ru.pdf" TargetMode="External"/><Relationship Id="rId25" Type="http://schemas.openxmlformats.org/officeDocument/2006/relationships/hyperlink" Target="https://www.cbd.int/notifications/2024-113" TargetMode="External"/><Relationship Id="rId33" Type="http://schemas.openxmlformats.org/officeDocument/2006/relationships/hyperlink" Target="https://www.cbd.int/doc/decisions/cop-16/cop-16-dec-02-ru.pdf" TargetMode="External"/><Relationship Id="rId38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decisions/cop-16/cop-16-dec-02-ru.pdf" TargetMode="External"/><Relationship Id="rId20" Type="http://schemas.openxmlformats.org/officeDocument/2006/relationships/hyperlink" Target="https://www.cbd.int/notifications/2026-050" TargetMode="External"/><Relationship Id="rId29" Type="http://schemas.openxmlformats.org/officeDocument/2006/relationships/hyperlink" Target="https://www.cbd.int/doc/recommendations/sbi-07/sbi-07-rec-04-ru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www.cbd.int/doc/c/67fb/05be/4702fd77e796aad28cc238c8/cop-17-06-add2-ru.pdf" TargetMode="External"/><Relationship Id="rId32" Type="http://schemas.openxmlformats.org/officeDocument/2006/relationships/hyperlink" Target="https://www.cbd.int/doc/decisions/cop-16/cop-16-dec-02-ru.pdf" TargetMode="External"/><Relationship Id="rId37" Type="http://schemas.openxmlformats.org/officeDocument/2006/relationships/footer" Target="footer1.xm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cbd.int/doc/recommendations/sbi-07/sbi-07-rec-04-ru.pdf" TargetMode="External"/><Relationship Id="rId23" Type="http://schemas.openxmlformats.org/officeDocument/2006/relationships/hyperlink" Target="https://www.cbd.int/doc/decisions/cop-16/cop-16-dec-02-ru.pdf" TargetMode="External"/><Relationship Id="rId28" Type="http://schemas.openxmlformats.org/officeDocument/2006/relationships/hyperlink" Target="https://www.cbd.int/documents/CBD/COP/17/6/ADD1" TargetMode="External"/><Relationship Id="rId36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hyperlink" Target="https://www.cbd.int/notifications/2024-116" TargetMode="External"/><Relationship Id="rId31" Type="http://schemas.openxmlformats.org/officeDocument/2006/relationships/hyperlink" Target="https://www.cbd.int/doc/decisions/cop-15/cop-15-dec-09-ru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oc/decisions/cop-16/cop-16-dec-02-ru.pdf" TargetMode="External"/><Relationship Id="rId22" Type="http://schemas.openxmlformats.org/officeDocument/2006/relationships/hyperlink" Target="https://www.cbd.int/documents/CBD/COP/17/6/ADD3" TargetMode="External"/><Relationship Id="rId27" Type="http://schemas.openxmlformats.org/officeDocument/2006/relationships/hyperlink" Target="https://www.cbd.int/notifications/2025-091" TargetMode="External"/><Relationship Id="rId30" Type="http://schemas.openxmlformats.org/officeDocument/2006/relationships/hyperlink" Target="https://www.cbd.int/doc/c/67fb/05be/4702fd77e796aad28cc238c8/cop-17-06-add2-ru.pdf" TargetMode="External"/><Relationship Id="rId35" Type="http://schemas.openxmlformats.org/officeDocument/2006/relationships/header" Target="header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bd.int/documents/CBD/COP/17/6/ADD1" TargetMode="External"/><Relationship Id="rId3" Type="http://schemas.openxmlformats.org/officeDocument/2006/relationships/hyperlink" Target="https://www.cbd.int/conferences/dsi-sc" TargetMode="External"/><Relationship Id="rId7" Type="http://schemas.openxmlformats.org/officeDocument/2006/relationships/hyperlink" Target="https://www.cbd.int/doc/decisions/cop-15/cop-15-dec-04-ru.pdf" TargetMode="External"/><Relationship Id="rId2" Type="http://schemas.openxmlformats.org/officeDocument/2006/relationships/hyperlink" Target="https://www.cbd.int/doc/c/1783/712f/923ff0216220f33d4dc33c13/sbi-07-05-ru.pdf" TargetMode="External"/><Relationship Id="rId1" Type="http://schemas.openxmlformats.org/officeDocument/2006/relationships/hyperlink" Target="https://www.cbd.int/doc/c/eed5/bb17/c83733c6642e39413bf23885/cop-17-01-rev1-ru.pdf" TargetMode="External"/><Relationship Id="rId6" Type="http://schemas.openxmlformats.org/officeDocument/2006/relationships/hyperlink" Target="https://www.cbd.int/doc/c/67fb/05be/4702fd77e796aad28cc238c8/cop-17-06-add2-ru.pdf" TargetMode="External"/><Relationship Id="rId5" Type="http://schemas.openxmlformats.org/officeDocument/2006/relationships/hyperlink" Target="https://www.cbd.int/doc/c/67fb/05be/4702fd77e796aad28cc238c8/cop-17-06-add2-ru.pdf" TargetMode="External"/><Relationship Id="rId4" Type="http://schemas.openxmlformats.org/officeDocument/2006/relationships/hyperlink" Target="https://www.cbd.int/doc/recommendations/sbi-07/sbi-07-rec-04-ru.pdf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9cf9d1-532e-4c94-875d-12e9041bbcb0" xsi:nil="true"/>
    <lcf76f155ced4ddcb4097134ff3c332f xmlns="292e8265-61e8-4476-9c6d-719af089d244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328EB00E67F346B6174BE96D327B2B" ma:contentTypeVersion="11" ma:contentTypeDescription="Create a new document." ma:contentTypeScope="" ma:versionID="b1769ac123458866e93c1e1a8f5d7264">
  <xsd:schema xmlns:xsd="http://www.w3.org/2001/XMLSchema" xmlns:xs="http://www.w3.org/2001/XMLSchema" xmlns:p="http://schemas.microsoft.com/office/2006/metadata/properties" xmlns:ns2="292e8265-61e8-4476-9c6d-719af089d244" xmlns:ns3="c89cf9d1-532e-4c94-875d-12e9041bbcb0" targetNamespace="http://schemas.microsoft.com/office/2006/metadata/properties" ma:root="true" ma:fieldsID="cef69a2368db5a80933a10034f3f94d7" ns2:_="" ns3:_="">
    <xsd:import namespace="292e8265-61e8-4476-9c6d-719af089d244"/>
    <xsd:import namespace="c89cf9d1-532e-4c94-875d-12e9041bbc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e8265-61e8-4476-9c6d-719af089d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cf9d1-532e-4c94-875d-12e9041bbcb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ffcbcd2-b711-4b56-9cc9-ef645dd2f1b1}" ma:internalName="TaxCatchAll" ma:showField="CatchAllData" ma:web="c89cf9d1-532e-4c94-875d-12e9041bbc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4BD48F-4154-4881-B6ED-541995D0D3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35F8B3-3650-45DE-AAA7-2AEC6A93BD46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3.xml><?xml version="1.0" encoding="utf-8"?>
<ds:datastoreItem xmlns:ds="http://schemas.openxmlformats.org/officeDocument/2006/customXml" ds:itemID="{72070DCB-BAC4-4766-AA09-A1D531105FF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993D12F-189F-4CCA-A2BF-BB55CFB8F0A3}"/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4680</Words>
  <Characters>26681</Characters>
  <Application>Microsoft Office Word</Application>
  <DocSecurity>0</DocSecurity>
  <Lines>222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31299</CharactersWithSpaces>
  <SharedDoc>false</SharedDoc>
  <HLinks>
    <vt:vector size="216" baseType="variant">
      <vt:variant>
        <vt:i4>7209057</vt:i4>
      </vt:variant>
      <vt:variant>
        <vt:i4>66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63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60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57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7864430</vt:i4>
      </vt:variant>
      <vt:variant>
        <vt:i4>54</vt:i4>
      </vt:variant>
      <vt:variant>
        <vt:i4>0</vt:i4>
      </vt:variant>
      <vt:variant>
        <vt:i4>5</vt:i4>
      </vt:variant>
      <vt:variant>
        <vt:lpwstr>https://www.cbd.int/decisions/cop?m=cop-16</vt:lpwstr>
      </vt:variant>
      <vt:variant>
        <vt:lpwstr/>
      </vt:variant>
      <vt:variant>
        <vt:i4>8061038</vt:i4>
      </vt:variant>
      <vt:variant>
        <vt:i4>51</vt:i4>
      </vt:variant>
      <vt:variant>
        <vt:i4>0</vt:i4>
      </vt:variant>
      <vt:variant>
        <vt:i4>5</vt:i4>
      </vt:variant>
      <vt:variant>
        <vt:lpwstr>https://www.cbd.int/decisions/cop?m=cop-15</vt:lpwstr>
      </vt:variant>
      <vt:variant>
        <vt:lpwstr/>
      </vt:variant>
      <vt:variant>
        <vt:i4>7864430</vt:i4>
      </vt:variant>
      <vt:variant>
        <vt:i4>48</vt:i4>
      </vt:variant>
      <vt:variant>
        <vt:i4>0</vt:i4>
      </vt:variant>
      <vt:variant>
        <vt:i4>5</vt:i4>
      </vt:variant>
      <vt:variant>
        <vt:lpwstr>https://www.cbd.int/decisions/cop?m=cop-16</vt:lpwstr>
      </vt:variant>
      <vt:variant>
        <vt:lpwstr/>
      </vt:variant>
      <vt:variant>
        <vt:i4>1900562</vt:i4>
      </vt:variant>
      <vt:variant>
        <vt:i4>45</vt:i4>
      </vt:variant>
      <vt:variant>
        <vt:i4>0</vt:i4>
      </vt:variant>
      <vt:variant>
        <vt:i4>5</vt:i4>
      </vt:variant>
      <vt:variant>
        <vt:lpwstr>https://www.cbd.int/recommendations/sbi?m=sbi-07</vt:lpwstr>
      </vt:variant>
      <vt:variant>
        <vt:lpwstr/>
      </vt:variant>
      <vt:variant>
        <vt:i4>6750265</vt:i4>
      </vt:variant>
      <vt:variant>
        <vt:i4>42</vt:i4>
      </vt:variant>
      <vt:variant>
        <vt:i4>0</vt:i4>
      </vt:variant>
      <vt:variant>
        <vt:i4>5</vt:i4>
      </vt:variant>
      <vt:variant>
        <vt:lpwstr>https://www.cbd.int/notifications/2025-091</vt:lpwstr>
      </vt:variant>
      <vt:variant>
        <vt:lpwstr/>
      </vt:variant>
      <vt:variant>
        <vt:i4>6619188</vt:i4>
      </vt:variant>
      <vt:variant>
        <vt:i4>39</vt:i4>
      </vt:variant>
      <vt:variant>
        <vt:i4>0</vt:i4>
      </vt:variant>
      <vt:variant>
        <vt:i4>5</vt:i4>
      </vt:variant>
      <vt:variant>
        <vt:lpwstr>https://www.cbd.int/notifications/2025-043</vt:lpwstr>
      </vt:variant>
      <vt:variant>
        <vt:lpwstr/>
      </vt:variant>
      <vt:variant>
        <vt:i4>6619185</vt:i4>
      </vt:variant>
      <vt:variant>
        <vt:i4>36</vt:i4>
      </vt:variant>
      <vt:variant>
        <vt:i4>0</vt:i4>
      </vt:variant>
      <vt:variant>
        <vt:i4>5</vt:i4>
      </vt:variant>
      <vt:variant>
        <vt:lpwstr>https://www.cbd.int/notifications/2024-113</vt:lpwstr>
      </vt:variant>
      <vt:variant>
        <vt:lpwstr/>
      </vt:variant>
      <vt:variant>
        <vt:i4>6815852</vt:i4>
      </vt:variant>
      <vt:variant>
        <vt:i4>33</vt:i4>
      </vt:variant>
      <vt:variant>
        <vt:i4>0</vt:i4>
      </vt:variant>
      <vt:variant>
        <vt:i4>5</vt:i4>
      </vt:variant>
      <vt:variant>
        <vt:lpwstr>https://www.cbd.int/documents/CBD/COP/17/6/ADD2</vt:lpwstr>
      </vt:variant>
      <vt:variant>
        <vt:lpwstr/>
      </vt:variant>
      <vt:variant>
        <vt:i4>7209057</vt:i4>
      </vt:variant>
      <vt:variant>
        <vt:i4>30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6815852</vt:i4>
      </vt:variant>
      <vt:variant>
        <vt:i4>27</vt:i4>
      </vt:variant>
      <vt:variant>
        <vt:i4>0</vt:i4>
      </vt:variant>
      <vt:variant>
        <vt:i4>5</vt:i4>
      </vt:variant>
      <vt:variant>
        <vt:lpwstr>https://www.cbd.int/documents/CBD/COP/17/6/ADD3</vt:lpwstr>
      </vt:variant>
      <vt:variant>
        <vt:lpwstr/>
      </vt:variant>
      <vt:variant>
        <vt:i4>7209057</vt:i4>
      </vt:variant>
      <vt:variant>
        <vt:i4>24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6619189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https://www.cbd.int/notifications/2026-050</vt:lpwstr>
      </vt:variant>
      <vt:variant>
        <vt:lpwstr/>
      </vt:variant>
      <vt:variant>
        <vt:i4>6291505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https://www.cbd.int/notifications/2024-116</vt:lpwstr>
      </vt:variant>
      <vt:variant>
        <vt:lpwstr/>
      </vt:variant>
      <vt:variant>
        <vt:i4>7209057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8061038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https://www.cbd.int/decisions/cop?m=cop-15</vt:lpwstr>
      </vt:variant>
      <vt:variant>
        <vt:lpwstr/>
      </vt:variant>
      <vt:variant>
        <vt:i4>2555961</vt:i4>
      </vt:variant>
      <vt:variant>
        <vt:i4>6</vt:i4>
      </vt:variant>
      <vt:variant>
        <vt:i4>0</vt:i4>
      </vt:variant>
      <vt:variant>
        <vt:i4>5</vt:i4>
      </vt:variant>
      <vt:variant>
        <vt:lpwstr>https://www.cbd.int/conferences/dsi-sc</vt:lpwstr>
      </vt:variant>
      <vt:variant>
        <vt:lpwstr/>
      </vt:variant>
      <vt:variant>
        <vt:i4>5111815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https://www.cbd.int/documents/CBD/SBI/7/5</vt:lpwstr>
      </vt:variant>
      <vt:variant>
        <vt:lpwstr/>
      </vt:variant>
      <vt:variant>
        <vt:i4>7209069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https://www.cbd.int/documents/CBD/COP/17/1/REV1</vt:lpwstr>
      </vt:variant>
      <vt:variant>
        <vt:lpwstr/>
      </vt:variant>
      <vt:variant>
        <vt:i4>5570645</vt:i4>
      </vt:variant>
      <vt:variant>
        <vt:i4>30</vt:i4>
      </vt:variant>
      <vt:variant>
        <vt:i4>0</vt:i4>
      </vt:variant>
      <vt:variant>
        <vt:i4>5</vt:i4>
      </vt:variant>
      <vt:variant>
        <vt:lpwstr>https://www.cbd.int/documents/CBD/DSI/AHTEG/2026/2/3</vt:lpwstr>
      </vt:variant>
      <vt:variant>
        <vt:lpwstr/>
      </vt:variant>
      <vt:variant>
        <vt:i4>4653182</vt:i4>
      </vt:variant>
      <vt:variant>
        <vt:i4>27</vt:i4>
      </vt:variant>
      <vt:variant>
        <vt:i4>0</vt:i4>
      </vt:variant>
      <vt:variant>
        <vt:i4>5</vt:i4>
      </vt:variant>
      <vt:variant>
        <vt:lpwstr>mailto:charlotte.germain-aubrey@un.org</vt:lpwstr>
      </vt:variant>
      <vt:variant>
        <vt:lpwstr/>
      </vt:variant>
      <vt:variant>
        <vt:i4>4653182</vt:i4>
      </vt:variant>
      <vt:variant>
        <vt:i4>24</vt:i4>
      </vt:variant>
      <vt:variant>
        <vt:i4>0</vt:i4>
      </vt:variant>
      <vt:variant>
        <vt:i4>5</vt:i4>
      </vt:variant>
      <vt:variant>
        <vt:lpwstr>mailto:charlotte.germain-aubrey@un.org</vt:lpwstr>
      </vt:variant>
      <vt:variant>
        <vt:lpwstr/>
      </vt:variant>
      <vt:variant>
        <vt:i4>4653182</vt:i4>
      </vt:variant>
      <vt:variant>
        <vt:i4>21</vt:i4>
      </vt:variant>
      <vt:variant>
        <vt:i4>0</vt:i4>
      </vt:variant>
      <vt:variant>
        <vt:i4>5</vt:i4>
      </vt:variant>
      <vt:variant>
        <vt:lpwstr>mailto:charlotte.germain-aubrey@un.org</vt:lpwstr>
      </vt:variant>
      <vt:variant>
        <vt:lpwstr/>
      </vt:variant>
      <vt:variant>
        <vt:i4>4653182</vt:i4>
      </vt:variant>
      <vt:variant>
        <vt:i4>18</vt:i4>
      </vt:variant>
      <vt:variant>
        <vt:i4>0</vt:i4>
      </vt:variant>
      <vt:variant>
        <vt:i4>5</vt:i4>
      </vt:variant>
      <vt:variant>
        <vt:lpwstr>mailto:charlotte.germain-aubrey@un.org</vt:lpwstr>
      </vt:variant>
      <vt:variant>
        <vt:lpwstr/>
      </vt:variant>
      <vt:variant>
        <vt:i4>4653182</vt:i4>
      </vt:variant>
      <vt:variant>
        <vt:i4>15</vt:i4>
      </vt:variant>
      <vt:variant>
        <vt:i4>0</vt:i4>
      </vt:variant>
      <vt:variant>
        <vt:i4>5</vt:i4>
      </vt:variant>
      <vt:variant>
        <vt:lpwstr>mailto:charlotte.germain-aubrey@un.org</vt:lpwstr>
      </vt:variant>
      <vt:variant>
        <vt:lpwstr/>
      </vt:variant>
      <vt:variant>
        <vt:i4>4653182</vt:i4>
      </vt:variant>
      <vt:variant>
        <vt:i4>12</vt:i4>
      </vt:variant>
      <vt:variant>
        <vt:i4>0</vt:i4>
      </vt:variant>
      <vt:variant>
        <vt:i4>5</vt:i4>
      </vt:variant>
      <vt:variant>
        <vt:lpwstr>mailto:charlotte.germain-aubrey@un.org</vt:lpwstr>
      </vt:variant>
      <vt:variant>
        <vt:lpwstr/>
      </vt:variant>
      <vt:variant>
        <vt:i4>4653182</vt:i4>
      </vt:variant>
      <vt:variant>
        <vt:i4>9</vt:i4>
      </vt:variant>
      <vt:variant>
        <vt:i4>0</vt:i4>
      </vt:variant>
      <vt:variant>
        <vt:i4>5</vt:i4>
      </vt:variant>
      <vt:variant>
        <vt:lpwstr>mailto:charlotte.germain-aubrey@un.org</vt:lpwstr>
      </vt:variant>
      <vt:variant>
        <vt:lpwstr/>
      </vt:variant>
      <vt:variant>
        <vt:i4>6094853</vt:i4>
      </vt:variant>
      <vt:variant>
        <vt:i4>6</vt:i4>
      </vt:variant>
      <vt:variant>
        <vt:i4>0</vt:i4>
      </vt:variant>
      <vt:variant>
        <vt:i4>5</vt:i4>
      </vt:variant>
      <vt:variant>
        <vt:lpwstr>https://faolex.fao.org/treaty/docs/tre000005E.pdf</vt:lpwstr>
      </vt:variant>
      <vt:variant>
        <vt:lpwstr/>
      </vt:variant>
      <vt:variant>
        <vt:i4>2556011</vt:i4>
      </vt:variant>
      <vt:variant>
        <vt:i4>3</vt:i4>
      </vt:variant>
      <vt:variant>
        <vt:i4>0</vt:i4>
      </vt:variant>
      <vt:variant>
        <vt:i4>5</vt:i4>
      </vt:variant>
      <vt:variant>
        <vt:lpwstr>https://www.fao.org/plant-treaty/areas-of-work/the-multilateral-system/overview/en/</vt:lpwstr>
      </vt:variant>
      <vt:variant>
        <vt:lpwstr/>
      </vt:variant>
      <vt:variant>
        <vt:i4>1048648</vt:i4>
      </vt:variant>
      <vt:variant>
        <vt:i4>0</vt:i4>
      </vt:variant>
      <vt:variant>
        <vt:i4>0</vt:i4>
      </vt:variant>
      <vt:variant>
        <vt:i4>5</vt:i4>
      </vt:variant>
      <vt:variant>
        <vt:lpwstr>https://conferences.unite.un.org/unterm/display/record/UNTERM/NA/BF476637CDC1604E8525766500769018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veronique.lefebvre</dc:creator>
  <cp:keywords/>
  <cp:lastModifiedBy>IVAKHIV, Yury</cp:lastModifiedBy>
  <cp:revision>2</cp:revision>
  <dcterms:created xsi:type="dcterms:W3CDTF">2026-09-28T19:00:00Z</dcterms:created>
  <dcterms:modified xsi:type="dcterms:W3CDTF">2026-09-28T19:00:00Z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ontentTypeId">
    <vt:lpwstr>0x0101007A328EB00E67F346B6174BE96D327B2B</vt:lpwstr>
  </property>
  <property fmtid="{D5CDD505-2E9C-101B-9397-08002B2CF9AE}" pid="6" name="MediaServiceImageTags">
    <vt:lpwstr/>
  </property>
</Properties>
</file>