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DA5A98" w14:paraId="2A15778C" w14:textId="77777777" w:rsidTr="008A1499">
        <w:trPr>
          <w:trHeight w:val="850"/>
        </w:trPr>
        <w:tc>
          <w:tcPr>
            <w:tcW w:w="975" w:type="dxa"/>
            <w:vAlign w:val="bottom"/>
          </w:tcPr>
          <w:p w14:paraId="17900450" w14:textId="77777777" w:rsidR="00331F07" w:rsidRDefault="0069153B">
            <w:pPr>
              <w:pStyle w:val="AASmallLogo"/>
            </w:pPr>
            <w:r>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013EEE4B" w14:textId="77777777" w:rsidR="008A1499" w:rsidRPr="00DA5A98" w:rsidRDefault="008A1499" w:rsidP="008A1499">
            <w:pPr>
              <w:pStyle w:val="AASmallLogo"/>
            </w:pPr>
          </w:p>
        </w:tc>
        <w:tc>
          <w:tcPr>
            <w:tcW w:w="1434" w:type="dxa"/>
            <w:noWrap/>
            <w:vAlign w:val="bottom"/>
          </w:tcPr>
          <w:p w14:paraId="0B022D02" w14:textId="45609F78" w:rsidR="00331F07" w:rsidRDefault="0069153B">
            <w:pPr>
              <w:pStyle w:val="AASmallLogo"/>
            </w:pPr>
            <w:r>
              <w:t xml:space="preserve"> </w:t>
            </w:r>
            <w:r w:rsidR="00C95400" w:rsidRPr="00296F19">
              <w:rPr>
                <w:rFonts w:eastAsia="DengXian"/>
                <w:noProof/>
                <w:lang w:val="fr-CA" w:eastAsia="fr-CA"/>
              </w:rPr>
              <w:drawing>
                <wp:inline distT="0" distB="0" distL="0" distR="0" wp14:anchorId="26D29284" wp14:editId="774B9636">
                  <wp:extent cx="593725" cy="340995"/>
                  <wp:effectExtent l="0" t="0" r="0" b="1905"/>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p w14:paraId="04B60092" w14:textId="77777777" w:rsidR="008A1499" w:rsidRPr="00DA5A98" w:rsidRDefault="008A1499" w:rsidP="008A1499">
            <w:pPr>
              <w:pStyle w:val="AASmallLogo"/>
            </w:pPr>
          </w:p>
        </w:tc>
        <w:tc>
          <w:tcPr>
            <w:tcW w:w="8073" w:type="dxa"/>
            <w:vAlign w:val="bottom"/>
          </w:tcPr>
          <w:p w14:paraId="6D856530" w14:textId="77777777" w:rsidR="00331F07" w:rsidRDefault="0069153B">
            <w:pPr>
              <w:pStyle w:val="ABSymbol"/>
            </w:pPr>
            <w:r>
              <w:rPr>
                <w:sz w:val="40"/>
              </w:rPr>
              <w:t>CBD</w:t>
            </w:r>
            <w:r>
              <w:t>/CP/MOP/12/13</w:t>
            </w:r>
          </w:p>
        </w:tc>
      </w:tr>
    </w:tbl>
    <w:p w14:paraId="14980D61" w14:textId="77777777" w:rsidR="008A1499" w:rsidRPr="00DA5A98"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DA5A98" w14:paraId="64DBC39F" w14:textId="77777777" w:rsidTr="008A1499">
        <w:trPr>
          <w:trHeight w:val="1814"/>
        </w:trPr>
        <w:tc>
          <w:tcPr>
            <w:tcW w:w="7370" w:type="dxa"/>
          </w:tcPr>
          <w:p w14:paraId="3187DCDF" w14:textId="04B05AF4" w:rsidR="00331F07" w:rsidRDefault="0069153B">
            <w:pPr>
              <w:pStyle w:val="ACLargeLogo"/>
            </w:pPr>
            <w:r>
              <w:t xml:space="preserve"> </w:t>
            </w:r>
          </w:p>
          <w:p w14:paraId="1FD634CF" w14:textId="302D83E4" w:rsidR="008A1499" w:rsidRPr="00DA5A98" w:rsidRDefault="0079577B" w:rsidP="008A1499">
            <w:pPr>
              <w:pStyle w:val="ACLargeLogo"/>
            </w:pPr>
            <w:r w:rsidRPr="00296F19">
              <w:rPr>
                <w:b/>
                <w:bCs/>
                <w:noProof/>
                <w:lang w:val="fr-CA" w:eastAsia="fr-CA"/>
              </w:rPr>
              <w:drawing>
                <wp:inline distT="0" distB="0" distL="0" distR="0" wp14:anchorId="5D2981BE" wp14:editId="1C632D8B">
                  <wp:extent cx="2857500" cy="1076325"/>
                  <wp:effectExtent l="0" t="0" r="0" b="9525"/>
                  <wp:docPr id="3"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3112" w:type="dxa"/>
          </w:tcPr>
          <w:p w14:paraId="4431295C" w14:textId="2B33D282" w:rsidR="00331F07" w:rsidRDefault="0069153B">
            <w:pPr>
              <w:pStyle w:val="AEDistrNormal"/>
            </w:pPr>
            <w:r>
              <w:t>Distr. : Général</w:t>
            </w:r>
            <w:r w:rsidR="00CD5A2A">
              <w:t>e</w:t>
            </w:r>
            <w:r>
              <w:t xml:space="preserve"> </w:t>
            </w:r>
          </w:p>
          <w:p w14:paraId="2D0C79CD" w14:textId="77777777" w:rsidR="00331F07" w:rsidRDefault="0069153B">
            <w:pPr>
              <w:pStyle w:val="AEDistrNormal"/>
            </w:pPr>
            <w:r>
              <w:t>31 août 2026</w:t>
            </w:r>
          </w:p>
          <w:p w14:paraId="663550DD" w14:textId="1CBC600E" w:rsidR="00776955" w:rsidRDefault="00776955" w:rsidP="00B4452E">
            <w:pPr>
              <w:pStyle w:val="AEDistrNormal6pt"/>
              <w:spacing w:before="0"/>
            </w:pPr>
            <w:r>
              <w:t>Français</w:t>
            </w:r>
          </w:p>
          <w:p w14:paraId="52A97CF9" w14:textId="72CAB958" w:rsidR="00331F07" w:rsidRDefault="0069153B" w:rsidP="00B4452E">
            <w:pPr>
              <w:pStyle w:val="AEDistrNormal6pt"/>
              <w:spacing w:before="0"/>
            </w:pPr>
            <w:r>
              <w:t xml:space="preserve">Original : anglais </w:t>
            </w:r>
          </w:p>
          <w:p w14:paraId="1FE9BBF1" w14:textId="77777777" w:rsidR="008A1499" w:rsidRPr="00DA5A98" w:rsidRDefault="008A1499" w:rsidP="008A1499">
            <w:pPr>
              <w:pStyle w:val="AEDistrNormal6pt"/>
            </w:pPr>
          </w:p>
        </w:tc>
      </w:tr>
    </w:tbl>
    <w:p w14:paraId="5DEC9801" w14:textId="77777777" w:rsidR="008A1499" w:rsidRPr="00DA5A98"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DA5A98" w14:paraId="73216711" w14:textId="77777777" w:rsidTr="00136994">
        <w:trPr>
          <w:trHeight w:val="2186"/>
        </w:trPr>
        <w:tc>
          <w:tcPr>
            <w:tcW w:w="6094" w:type="dxa"/>
          </w:tcPr>
          <w:p w14:paraId="4B2C2B95" w14:textId="51EFD5F7" w:rsidR="00331F07" w:rsidRDefault="0069153B">
            <w:pPr>
              <w:pStyle w:val="AFCorN12Bold"/>
            </w:pPr>
            <w:r>
              <w:t xml:space="preserve">Conférence des Parties à la Convention sur la diversité biologique siégeant en tant que réunion des Parties au Protocole de </w:t>
            </w:r>
            <w:r w:rsidR="00B83790">
              <w:t>Cartagena</w:t>
            </w:r>
            <w:r>
              <w:t xml:space="preserve"> sur la prévention des risques biotechnologiques</w:t>
            </w:r>
          </w:p>
          <w:p w14:paraId="7890C5C6" w14:textId="3C88558A" w:rsidR="00331F07" w:rsidRDefault="0069153B">
            <w:pPr>
              <w:pStyle w:val="AFCorNBold"/>
            </w:pPr>
            <w:r>
              <w:t xml:space="preserve">Douzième </w:t>
            </w:r>
            <w:r w:rsidR="00B83790">
              <w:t>réunion</w:t>
            </w:r>
            <w:r>
              <w:t xml:space="preserve"> </w:t>
            </w:r>
          </w:p>
          <w:p w14:paraId="6500242E" w14:textId="77777777" w:rsidR="00331F07" w:rsidRDefault="0069153B">
            <w:pPr>
              <w:pStyle w:val="AFCorNNormal"/>
            </w:pPr>
            <w:r>
              <w:t>Erevan, 19-30 octobre 2026</w:t>
            </w:r>
          </w:p>
          <w:p w14:paraId="5178DE3D" w14:textId="70757F6E" w:rsidR="00331F07" w:rsidRDefault="0069153B">
            <w:pPr>
              <w:pStyle w:val="AFCorNNormal"/>
            </w:pPr>
            <w:r>
              <w:t>Point 17 de l</w:t>
            </w:r>
            <w:r w:rsidR="004A4F5D">
              <w:t>’</w:t>
            </w:r>
            <w:r>
              <w:t>ordre du jour</w:t>
            </w:r>
            <w:r w:rsidR="00B83790">
              <w:t xml:space="preserve"> </w:t>
            </w:r>
            <w:r>
              <w:footnoteReference w:customMarkFollows="1" w:id="1"/>
              <w:t>provisoire</w:t>
            </w:r>
            <w:r>
              <w:rPr>
                <w:rStyle w:val="FootnoteReference"/>
              </w:rPr>
              <w:t>*</w:t>
            </w:r>
            <w:r>
              <w:t xml:space="preserve"> </w:t>
            </w:r>
          </w:p>
          <w:p w14:paraId="0C3F7D87" w14:textId="3B07916E" w:rsidR="00331F07" w:rsidRDefault="0069153B">
            <w:pPr>
              <w:pStyle w:val="AFCorNBold"/>
            </w:pPr>
            <w:r>
              <w:t xml:space="preserve">Protocole </w:t>
            </w:r>
            <w:r w:rsidR="00533EEE">
              <w:t>additionnel</w:t>
            </w:r>
            <w:r>
              <w:t xml:space="preserve"> de Nagoya-Kuala Lumpur </w:t>
            </w:r>
            <w:r>
              <w:br/>
              <w:t>sur la responsabilité et la réparation</w:t>
            </w:r>
          </w:p>
        </w:tc>
        <w:tc>
          <w:tcPr>
            <w:tcW w:w="4388" w:type="dxa"/>
          </w:tcPr>
          <w:p w14:paraId="25A9835E" w14:textId="77777777" w:rsidR="008A1499" w:rsidRPr="00DA5A98" w:rsidRDefault="008A1499" w:rsidP="008A1499">
            <w:pPr>
              <w:pStyle w:val="CBDNormal"/>
              <w:jc w:val="left"/>
            </w:pPr>
          </w:p>
        </w:tc>
      </w:tr>
    </w:tbl>
    <w:p w14:paraId="7ABF5FFB" w14:textId="77777777" w:rsidR="00331F07" w:rsidRDefault="0069153B">
      <w:pPr>
        <w:pStyle w:val="CBDTitle"/>
        <w:rPr>
          <w:caps/>
        </w:rPr>
      </w:pPr>
      <w:r>
        <w:t>Protocole additionnel de Nagoya-Kuala Lumpur sur la responsabilité et la réparation</w:t>
      </w:r>
      <w:r>
        <w:rPr>
          <w:caps/>
        </w:rPr>
        <w:t xml:space="preserve"> </w:t>
      </w:r>
    </w:p>
    <w:p w14:paraId="1AD22C61" w14:textId="77777777" w:rsidR="00331F07" w:rsidRDefault="0069153B">
      <w:pPr>
        <w:pStyle w:val="CBDSubTitle"/>
      </w:pPr>
      <w:r>
        <w:t>Note du Secrétariat</w:t>
      </w:r>
    </w:p>
    <w:p w14:paraId="0BFD3306" w14:textId="77777777" w:rsidR="00331F07" w:rsidRDefault="0069153B">
      <w:pPr>
        <w:pStyle w:val="CBDH1"/>
      </w:pPr>
      <w:r>
        <w:t>I.</w:t>
      </w:r>
      <w:r>
        <w:tab/>
        <w:t>Introduction</w:t>
      </w:r>
    </w:p>
    <w:p w14:paraId="0B9B1FFC" w14:textId="5C11C9A8" w:rsidR="00331F07" w:rsidRDefault="0069153B">
      <w:pPr>
        <w:pStyle w:val="CBDNormalNumber"/>
      </w:pPr>
      <w:r>
        <w:t xml:space="preserve">Le Protocole additionnel de Nagoya-Kuala Lumpur sur la responsabilité et </w:t>
      </w:r>
      <w:r w:rsidR="00533EEE">
        <w:t>la réparation</w:t>
      </w:r>
      <w:r>
        <w:t xml:space="preserve"> </w:t>
      </w:r>
      <w:r w:rsidR="008312BC">
        <w:t xml:space="preserve">relatif </w:t>
      </w:r>
      <w:r>
        <w:t xml:space="preserve">au Protocole de </w:t>
      </w:r>
      <w:r w:rsidR="00B83790">
        <w:t>Cartagena</w:t>
      </w:r>
      <w:r>
        <w:t xml:space="preserve"> sur la prévention des risques biotechnologiques a été adopté par la Conférence des Parties </w:t>
      </w:r>
      <w:r w:rsidR="00533EEE">
        <w:t>siégeant en tant que</w:t>
      </w:r>
      <w:r>
        <w:t xml:space="preserve"> réunion des Parties au Protocole à sa cinquième réunion, par la décision </w:t>
      </w:r>
      <w:hyperlink r:id="rId15" w:history="1">
        <w:r>
          <w:rPr>
            <w:rStyle w:val="Hyperlink"/>
          </w:rPr>
          <w:t>BS-V/11</w:t>
        </w:r>
      </w:hyperlink>
      <w:r>
        <w:t xml:space="preserve">. Le </w:t>
      </w:r>
      <w:r w:rsidR="00533EEE">
        <w:t>P</w:t>
      </w:r>
      <w:r>
        <w:t>rotocole additionnel est entré en vigueur le 5 mars 2018.</w:t>
      </w:r>
    </w:p>
    <w:p w14:paraId="5926BFDE" w14:textId="48D97236" w:rsidR="00331F07" w:rsidRDefault="0069153B">
      <w:pPr>
        <w:pStyle w:val="CBDH1"/>
      </w:pPr>
      <w:r>
        <w:t>II.</w:t>
      </w:r>
      <w:r>
        <w:tab/>
      </w:r>
      <w:r w:rsidR="00234DC0">
        <w:t>É</w:t>
      </w:r>
      <w:r w:rsidR="00776955">
        <w:t xml:space="preserve">tat </w:t>
      </w:r>
      <w:r w:rsidR="002E6E6D">
        <w:t>actuel</w:t>
      </w:r>
      <w:r>
        <w:t xml:space="preserve"> du </w:t>
      </w:r>
      <w:r w:rsidR="00533EEE">
        <w:t>P</w:t>
      </w:r>
      <w:r>
        <w:t>rotocole additionnel</w:t>
      </w:r>
    </w:p>
    <w:p w14:paraId="3E9B7FC4" w14:textId="3B6A1635" w:rsidR="00331F07" w:rsidRDefault="0069153B">
      <w:pPr>
        <w:pStyle w:val="CBDNormalNumber"/>
      </w:pPr>
      <w:r>
        <w:t xml:space="preserve">Le Protocole additionnel est un traité international auquel seules les Parties au Protocole de Cartagena peuvent devenir </w:t>
      </w:r>
      <w:r w:rsidR="00776955">
        <w:t>P</w:t>
      </w:r>
      <w:r>
        <w:t xml:space="preserve">arties (conformément </w:t>
      </w:r>
      <w:r w:rsidR="00776955">
        <w:t xml:space="preserve">au paragraphe 3 de </w:t>
      </w:r>
      <w:r>
        <w:t>l</w:t>
      </w:r>
      <w:r w:rsidR="004A4F5D">
        <w:t>’</w:t>
      </w:r>
      <w:r>
        <w:t>article 16</w:t>
      </w:r>
      <w:r w:rsidR="00776955">
        <w:t xml:space="preserve"> </w:t>
      </w:r>
      <w:r>
        <w:t xml:space="preserve">du </w:t>
      </w:r>
      <w:r w:rsidR="00776955">
        <w:t>Protocole additionnel</w:t>
      </w:r>
      <w:r>
        <w:t>, et de l</w:t>
      </w:r>
      <w:r w:rsidR="004A4F5D">
        <w:t>’</w:t>
      </w:r>
      <w:r>
        <w:t xml:space="preserve">article 32 de la </w:t>
      </w:r>
      <w:r w:rsidR="00776955">
        <w:t>C</w:t>
      </w:r>
      <w:r>
        <w:t xml:space="preserve">onvention sur la diversité biologique). </w:t>
      </w:r>
    </w:p>
    <w:p w14:paraId="6E814D0E" w14:textId="4658D329" w:rsidR="00331F07" w:rsidRDefault="0069153B">
      <w:pPr>
        <w:pStyle w:val="CBDNormalNumber"/>
      </w:pPr>
      <w:r>
        <w:t xml:space="preserve">Au 21 juillet 2026, </w:t>
      </w:r>
      <w:r w:rsidR="001D03F6">
        <w:t>on compt</w:t>
      </w:r>
      <w:r>
        <w:t>ait 55 Parties au Protocole additionnel, ce qui représente une Partie de plus (Malte) depuis la publication du précédent rapport sur le Protocole additionnel</w:t>
      </w:r>
      <w:r w:rsidR="00952744" w:rsidRPr="00DA5A98">
        <w:rPr>
          <w:rStyle w:val="FootnoteReference"/>
        </w:rPr>
        <w:footnoteReference w:id="2"/>
      </w:r>
      <w:r w:rsidR="001D03F6" w:rsidRPr="001D03F6">
        <w:t>.</w:t>
      </w:r>
      <w:r>
        <w:t xml:space="preserve"> La liste des Parties au Protocole additionnel est fournie ci-après, par groupe régional :</w:t>
      </w:r>
    </w:p>
    <w:p w14:paraId="568C3687" w14:textId="52190F0E" w:rsidR="00331F07" w:rsidRDefault="0069153B">
      <w:pPr>
        <w:pStyle w:val="CBDNormalNumber"/>
        <w:numPr>
          <w:ilvl w:val="1"/>
          <w:numId w:val="7"/>
        </w:numPr>
      </w:pPr>
      <w:r>
        <w:t>États africains (12) : Burkina Faso, Congo, Eswatini, Guinée-Bissau, Libéria, Malawi, Mali, Nigeria, Ouganda, République centrafricaine, République démocratique du Congo et Togo</w:t>
      </w:r>
      <w:r w:rsidR="00EE0739">
        <w:t>;</w:t>
      </w:r>
    </w:p>
    <w:p w14:paraId="5C14B714" w14:textId="6B2105B0" w:rsidR="00331F07" w:rsidRDefault="0069153B">
      <w:pPr>
        <w:pStyle w:val="CBDNormalNumber"/>
        <w:numPr>
          <w:ilvl w:val="1"/>
          <w:numId w:val="7"/>
        </w:numPr>
      </w:pPr>
      <w:r>
        <w:t>États d</w:t>
      </w:r>
      <w:r w:rsidR="004A4F5D">
        <w:t>’</w:t>
      </w:r>
      <w:r>
        <w:t>Asie et du Pacifique (8) : Cambodge, Émirats arabes unis, Inde, Japon, Mongolie, République arabe syrienne, République populaire démocratique de Corée et Viet Nam</w:t>
      </w:r>
      <w:r w:rsidR="00EE0739">
        <w:t>;</w:t>
      </w:r>
    </w:p>
    <w:p w14:paraId="21C05289" w14:textId="12A8FEDE" w:rsidR="00331F07" w:rsidRDefault="0069153B">
      <w:pPr>
        <w:pStyle w:val="CBDNormalNumber"/>
        <w:numPr>
          <w:ilvl w:val="1"/>
          <w:numId w:val="7"/>
        </w:numPr>
        <w:rPr>
          <w:lang w:val="it-IT"/>
        </w:rPr>
      </w:pPr>
      <w:r>
        <w:t>États d</w:t>
      </w:r>
      <w:r w:rsidR="004A4F5D">
        <w:t>’</w:t>
      </w:r>
      <w:r>
        <w:t>Europe orientale (13) : Albanie, Bulgarie, Croatie, Estonie, Hongrie, Lettonie, Lituanie, République de Moldova, République tc</w:t>
      </w:r>
      <w:r w:rsidR="0044719D">
        <w:t>hèque</w:t>
      </w:r>
      <w:r>
        <w:t>, Roumanie, Slovaquie, Slovénie et Ukraine</w:t>
      </w:r>
      <w:r w:rsidR="00EE0739">
        <w:t>;</w:t>
      </w:r>
      <w:r>
        <w:t xml:space="preserve"> </w:t>
      </w:r>
    </w:p>
    <w:p w14:paraId="6A2B0432" w14:textId="6BD8F42B" w:rsidR="00331F07" w:rsidRDefault="0069153B">
      <w:pPr>
        <w:pStyle w:val="CBDNormalNumber"/>
        <w:numPr>
          <w:ilvl w:val="1"/>
          <w:numId w:val="7"/>
        </w:numPr>
      </w:pPr>
      <w:r>
        <w:t>États d</w:t>
      </w:r>
      <w:r w:rsidR="004A4F5D">
        <w:t>’</w:t>
      </w:r>
      <w:r>
        <w:t>Amérique latine et des Caraïbes (5) : Colombie, Cuba, Mexique, Pérou et Venezuela (République bolivarienne du);</w:t>
      </w:r>
    </w:p>
    <w:p w14:paraId="0F4CD55F" w14:textId="4381A6CC" w:rsidR="00331F07" w:rsidRDefault="0069153B">
      <w:pPr>
        <w:pStyle w:val="CBDNormalNumber"/>
        <w:numPr>
          <w:ilvl w:val="1"/>
          <w:numId w:val="7"/>
        </w:numPr>
      </w:pPr>
      <w:r>
        <w:lastRenderedPageBreak/>
        <w:t>États d</w:t>
      </w:r>
      <w:r w:rsidR="004A4F5D">
        <w:t>’</w:t>
      </w:r>
      <w:r>
        <w:t>Europe occidentale et autres États (17) : Allemagne, Autriche, Belgique, Danemark, Espagne, Finlande, France, Irlande, Italie, Luxembourg, Malte, Norvège, Pays-Bas</w:t>
      </w:r>
      <w:r w:rsidR="00E046D8">
        <w:t xml:space="preserve"> </w:t>
      </w:r>
      <w:r w:rsidR="00E046D8" w:rsidRPr="00E046D8">
        <w:t>(R</w:t>
      </w:r>
      <w:r w:rsidR="00E046D8">
        <w:t>oyaume des)</w:t>
      </w:r>
      <w:r>
        <w:t>, Royaume-Uni de Grande-Bretagne et d</w:t>
      </w:r>
      <w:r w:rsidR="004A4F5D">
        <w:t>’</w:t>
      </w:r>
      <w:r>
        <w:t>Irlande du Nord, Suède</w:t>
      </w:r>
      <w:r w:rsidR="00F7504E">
        <w:t>,</w:t>
      </w:r>
      <w:r>
        <w:t xml:space="preserve"> Suisse</w:t>
      </w:r>
      <w:r w:rsidR="00F7504E">
        <w:t xml:space="preserve"> et Union européenne</w:t>
      </w:r>
      <w:r>
        <w:t>.</w:t>
      </w:r>
    </w:p>
    <w:p w14:paraId="11A263DF" w14:textId="4003C569" w:rsidR="00331F07" w:rsidRDefault="0069153B">
      <w:pPr>
        <w:pStyle w:val="CBDH1"/>
      </w:pPr>
      <w:r>
        <w:t>III.</w:t>
      </w:r>
      <w:r>
        <w:tab/>
        <w:t xml:space="preserve">Évaluation et examen du </w:t>
      </w:r>
      <w:r w:rsidR="00776955">
        <w:t>Protocole additionnel</w:t>
      </w:r>
    </w:p>
    <w:p w14:paraId="1DDE2AFF" w14:textId="7C0BA9D3" w:rsidR="00331F07" w:rsidRDefault="0069153B">
      <w:pPr>
        <w:pStyle w:val="CBDNormalNumber"/>
      </w:pPr>
      <w:r>
        <w:t>L</w:t>
      </w:r>
      <w:r w:rsidR="004A4F5D">
        <w:t>’</w:t>
      </w:r>
      <w:r>
        <w:t>article 13 du Protocole additionnel dispose que l</w:t>
      </w:r>
      <w:r w:rsidR="004A4F5D">
        <w:t>’</w:t>
      </w:r>
      <w:r>
        <w:t>examen de l</w:t>
      </w:r>
      <w:r w:rsidR="004A4F5D">
        <w:t>’</w:t>
      </w:r>
      <w:r>
        <w:t xml:space="preserve">efficacité du Protocole additionnel doit être entrepris par la Conférence des Parties </w:t>
      </w:r>
      <w:r w:rsidR="00533EEE">
        <w:t>siégeant en tant que</w:t>
      </w:r>
      <w:r>
        <w:t xml:space="preserve"> réunion des Parties au Protocole cinq ans après son entrée en vigueur et tous les cinq ans par la suite, </w:t>
      </w:r>
      <w:r w:rsidR="00765EB2">
        <w:t>sous réserve</w:t>
      </w:r>
      <w:r>
        <w:t xml:space="preserve"> que les informations nécessitant un tel examen aient été communiquées par les Parties. L</w:t>
      </w:r>
      <w:r w:rsidR="004A4F5D">
        <w:t>’</w:t>
      </w:r>
      <w:r>
        <w:t>article 13 dispose également que l</w:t>
      </w:r>
      <w:r w:rsidR="004A4F5D">
        <w:t>’</w:t>
      </w:r>
      <w:r>
        <w:t>examen doit être e</w:t>
      </w:r>
      <w:r w:rsidR="00765EB2">
        <w:t>ffectué</w:t>
      </w:r>
      <w:r>
        <w:t xml:space="preserve"> dans le contexte de l</w:t>
      </w:r>
      <w:r w:rsidR="004A4F5D">
        <w:t>’</w:t>
      </w:r>
      <w:r>
        <w:t xml:space="preserve">évaluation et examen du Protocole, comme </w:t>
      </w:r>
      <w:r w:rsidR="00765EB2">
        <w:t>précis</w:t>
      </w:r>
      <w:r>
        <w:t>é à l</w:t>
      </w:r>
      <w:r w:rsidR="004A4F5D">
        <w:t>’</w:t>
      </w:r>
      <w:r>
        <w:t>article 35 du Protocole, sauf décision contraire des Parties au Protocole additionnel, et que le premier examen doit inclure un examen de l</w:t>
      </w:r>
      <w:r w:rsidR="004A4F5D">
        <w:t>’</w:t>
      </w:r>
      <w:r>
        <w:t>efficacité des articles 10 et 12 du Protocole additionnel.</w:t>
      </w:r>
    </w:p>
    <w:p w14:paraId="6F2428F7" w14:textId="2B17A2E8" w:rsidR="00331F07" w:rsidRDefault="0069153B">
      <w:pPr>
        <w:pStyle w:val="CBDNormalNumber"/>
      </w:pPr>
      <w:r>
        <w:t xml:space="preserve">Dans sa décision </w:t>
      </w:r>
      <w:hyperlink r:id="rId16" w:history="1">
        <w:r>
          <w:rPr>
            <w:rStyle w:val="Hyperlink"/>
          </w:rPr>
          <w:t>CP-10/13</w:t>
        </w:r>
      </w:hyperlink>
      <w:r>
        <w:t xml:space="preserve">, la Conférence des Parties </w:t>
      </w:r>
      <w:r w:rsidR="00533EEE">
        <w:t>siégeant en tant que</w:t>
      </w:r>
      <w:r>
        <w:t xml:space="preserve"> réunion des Parties au Protocole a décidé que la première évaluation et examen de l</w:t>
      </w:r>
      <w:r w:rsidR="004A4F5D">
        <w:t>’</w:t>
      </w:r>
      <w:r>
        <w:t>efficacité du Protocole additionnel seraient entrepris dans le cadre de la cinquième évaluation et examen de l</w:t>
      </w:r>
      <w:r w:rsidR="004A4F5D">
        <w:t>’</w:t>
      </w:r>
      <w:r>
        <w:t>efficacité du Protocole, s</w:t>
      </w:r>
      <w:r w:rsidR="004A4F5D">
        <w:t>’</w:t>
      </w:r>
      <w:r>
        <w:t>est félicitée de l</w:t>
      </w:r>
      <w:r w:rsidR="004A4F5D">
        <w:t>’</w:t>
      </w:r>
      <w:r>
        <w:t xml:space="preserve">inclusion de questions relatives au Protocole additionnel dans le </w:t>
      </w:r>
      <w:r w:rsidR="00030F99">
        <w:t>modèle</w:t>
      </w:r>
      <w:r>
        <w:t xml:space="preserve"> d</w:t>
      </w:r>
      <w:r w:rsidR="0080695C">
        <w:t>e</w:t>
      </w:r>
      <w:r>
        <w:t xml:space="preserve"> </w:t>
      </w:r>
      <w:r w:rsidR="002E6E6D">
        <w:t xml:space="preserve">présentation du </w:t>
      </w:r>
      <w:r>
        <w:t>cinquième rapport national et a demandé aux Parties au Protocole additionnel, et invité les autres gouvernements, à répondre à ces questions.</w:t>
      </w:r>
    </w:p>
    <w:p w14:paraId="59446BA3" w14:textId="5D9F91AF" w:rsidR="00331F07" w:rsidRDefault="0069153B">
      <w:pPr>
        <w:pStyle w:val="CBDNormalNumber"/>
      </w:pPr>
      <w:r>
        <w:t xml:space="preserve">Dans sa décision </w:t>
      </w:r>
      <w:hyperlink r:id="rId17" w:history="1">
        <w:r>
          <w:rPr>
            <w:rStyle w:val="Hyperlink"/>
          </w:rPr>
          <w:t>CP-11/10</w:t>
        </w:r>
      </w:hyperlink>
      <w:r>
        <w:t xml:space="preserve">, la Conférence des Parties </w:t>
      </w:r>
      <w:r w:rsidR="00533EEE">
        <w:t>siégeant en tant que</w:t>
      </w:r>
      <w:r>
        <w:t xml:space="preserve"> réunion des Parties au Protocole a invité les Parties à partager des informations sur les mécanismes de </w:t>
      </w:r>
      <w:r w:rsidR="005A5C6C">
        <w:t>garantie financière</w:t>
      </w:r>
      <w:r>
        <w:t>, ainsi que d</w:t>
      </w:r>
      <w:r w:rsidR="004A4F5D">
        <w:t>’</w:t>
      </w:r>
      <w:r>
        <w:t>autres informations sur les mesures nationales d</w:t>
      </w:r>
      <w:r w:rsidR="00475A8A">
        <w:t>e mise en œuvre</w:t>
      </w:r>
      <w:r>
        <w:t xml:space="preserve"> du Protocole additionnel, dans leurs cinquièmes rapports nationaux, et a prié l</w:t>
      </w:r>
      <w:r w:rsidR="002A5543">
        <w:t>a</w:t>
      </w:r>
      <w:r>
        <w:t xml:space="preserve"> Secrétaire exécuti</w:t>
      </w:r>
      <w:r w:rsidR="002A5543">
        <w:t>ve</w:t>
      </w:r>
      <w:r>
        <w:t xml:space="preserve"> de la Convention d</w:t>
      </w:r>
      <w:r w:rsidR="004A4F5D">
        <w:t>’</w:t>
      </w:r>
      <w:r>
        <w:t>utiliser ces informations lors de l</w:t>
      </w:r>
      <w:r w:rsidR="004A4F5D">
        <w:t>’</w:t>
      </w:r>
      <w:r>
        <w:t>élaboration de la documentation pour la première évaluation et examen de l</w:t>
      </w:r>
      <w:r w:rsidR="004A4F5D">
        <w:t>’</w:t>
      </w:r>
      <w:r>
        <w:t>efficacité du Protocole additionnel. L</w:t>
      </w:r>
      <w:r w:rsidR="004A4F5D">
        <w:t>’</w:t>
      </w:r>
      <w:r>
        <w:t>invitation a été rappelée aux Parties dans la notification n°</w:t>
      </w:r>
      <w:r w:rsidR="002A5543">
        <w:t> </w:t>
      </w:r>
      <w:hyperlink r:id="rId18" w:history="1">
        <w:r>
          <w:rPr>
            <w:rStyle w:val="Hyperlink"/>
          </w:rPr>
          <w:t>2026-002</w:t>
        </w:r>
      </w:hyperlink>
      <w:r>
        <w:t xml:space="preserve"> du 5 janvier 2026.</w:t>
      </w:r>
    </w:p>
    <w:p w14:paraId="30E2393D" w14:textId="66FE8007" w:rsidR="00331F07" w:rsidRDefault="0069153B">
      <w:pPr>
        <w:pStyle w:val="CBDNormalNumber"/>
      </w:pPr>
      <w:r>
        <w:t>Le présent document contient des informations sur l</w:t>
      </w:r>
      <w:r w:rsidR="00475A8A">
        <w:t>a mise en œuvre</w:t>
      </w:r>
      <w:r>
        <w:t xml:space="preserve"> du Protocole additionnel, telles que fournies par les Parties à celui-ci dans les cinquièmes rapports nationaux au titre du Protocole </w:t>
      </w:r>
      <w:r w:rsidR="00185929">
        <w:t>re</w:t>
      </w:r>
      <w:r w:rsidR="00647311">
        <w:t>mis</w:t>
      </w:r>
      <w:r>
        <w:t xml:space="preserve"> avant le 1</w:t>
      </w:r>
      <w:r w:rsidRPr="00647311">
        <w:rPr>
          <w:vertAlign w:val="superscript"/>
        </w:rPr>
        <w:t>er</w:t>
      </w:r>
      <w:r>
        <w:t xml:space="preserve"> juin 2026, et des informations publiées par ces Parties par l</w:t>
      </w:r>
      <w:r w:rsidR="004A4F5D">
        <w:t>’</w:t>
      </w:r>
      <w:r>
        <w:t xml:space="preserve">intermédiaire du </w:t>
      </w:r>
      <w:r w:rsidR="001E2E37">
        <w:t>Centre d’échange pour la prévention</w:t>
      </w:r>
      <w:r>
        <w:t xml:space="preserve"> des risques biotechnologiques.</w:t>
      </w:r>
    </w:p>
    <w:p w14:paraId="71BA97A6" w14:textId="0AEB143A" w:rsidR="00331F07" w:rsidRDefault="0069153B">
      <w:pPr>
        <w:pStyle w:val="CBDNormalNumber"/>
      </w:pPr>
      <w:r>
        <w:t>L</w:t>
      </w:r>
      <w:r w:rsidR="004A4F5D">
        <w:t>’</w:t>
      </w:r>
      <w:r>
        <w:t>objectif A.10 du plan de mise en œuvre et du plan d</w:t>
      </w:r>
      <w:r w:rsidR="004A4F5D">
        <w:t>’</w:t>
      </w:r>
      <w:r>
        <w:t>action pour le renforcement des capacités au titre du Protocole concerne le Protocole additionnel. Un rapport sur les progrès accomplis dans la réalisation de l</w:t>
      </w:r>
      <w:r w:rsidR="004A4F5D">
        <w:t>’</w:t>
      </w:r>
      <w:r>
        <w:t>objectif A.10 a été inclus dans l</w:t>
      </w:r>
      <w:r w:rsidR="004A4F5D">
        <w:t>’</w:t>
      </w:r>
      <w:r>
        <w:t>analyse des informations pour la cinquième évaluation et examen de l</w:t>
      </w:r>
      <w:r w:rsidR="004A4F5D">
        <w:t>’</w:t>
      </w:r>
      <w:r>
        <w:t>efficacité du Protocole et l</w:t>
      </w:r>
      <w:r w:rsidR="004A4F5D">
        <w:t>’</w:t>
      </w:r>
      <w:r>
        <w:t>évaluation à mi-parcours du plan d</w:t>
      </w:r>
      <w:r w:rsidR="00185929">
        <w:t>e mise en œuvre</w:t>
      </w:r>
      <w:r>
        <w:t xml:space="preserve"> et du plan d</w:t>
      </w:r>
      <w:r w:rsidR="004A4F5D">
        <w:t>’</w:t>
      </w:r>
      <w:r>
        <w:t xml:space="preserve">action pour le renforcement des capacités qui ont été </w:t>
      </w:r>
      <w:r w:rsidR="006C319A">
        <w:t>transmise</w:t>
      </w:r>
      <w:r>
        <w:t>s à l</w:t>
      </w:r>
      <w:r w:rsidR="004A4F5D">
        <w:t>’</w:t>
      </w:r>
      <w:r>
        <w:t xml:space="preserve">Organe </w:t>
      </w:r>
      <w:r w:rsidR="006C319A">
        <w:t>subsidiaire chargé de l’application</w:t>
      </w:r>
      <w:r>
        <w:t xml:space="preserve"> à sa septième réunio</w:t>
      </w:r>
      <w:r w:rsidR="004A4F5D">
        <w:t>n</w:t>
      </w:r>
      <w:r w:rsidR="00E23EAF" w:rsidRPr="00FD5CA6">
        <w:rPr>
          <w:rStyle w:val="FootnoteReference"/>
        </w:rPr>
        <w:footnoteReference w:id="3"/>
      </w:r>
      <w:r w:rsidR="00647311">
        <w:t>.</w:t>
      </w:r>
      <w:r>
        <w:t xml:space="preserve"> L</w:t>
      </w:r>
      <w:r w:rsidR="004A4F5D">
        <w:t>’</w:t>
      </w:r>
      <w:r>
        <w:t xml:space="preserve">Organe subsidiaire a adopté la recommandation </w:t>
      </w:r>
      <w:hyperlink r:id="rId19" w:history="1">
        <w:r>
          <w:rPr>
            <w:rStyle w:val="Hyperlink"/>
          </w:rPr>
          <w:t>7/5</w:t>
        </w:r>
      </w:hyperlink>
      <w:r>
        <w:t xml:space="preserve"> sur l</w:t>
      </w:r>
      <w:r w:rsidR="004A4F5D">
        <w:t>’</w:t>
      </w:r>
      <w:r>
        <w:t>évaluation et examen et l</w:t>
      </w:r>
      <w:r w:rsidR="004A4F5D">
        <w:t>’</w:t>
      </w:r>
      <w:r>
        <w:t xml:space="preserve">évaluation à mi-parcours, qui contient un projet de décision à examiner par la Conférence des Parties </w:t>
      </w:r>
      <w:r w:rsidR="00533EEE">
        <w:t>siégeant en tant que</w:t>
      </w:r>
      <w:r>
        <w:t xml:space="preserve"> réunion des Parties au Protocole à sa douzième réunion.</w:t>
      </w:r>
    </w:p>
    <w:p w14:paraId="4A2D1DDB" w14:textId="7CCBD107" w:rsidR="00331F07" w:rsidRDefault="0069153B">
      <w:pPr>
        <w:pStyle w:val="CBDNormalNumber"/>
      </w:pPr>
      <w:r>
        <w:t xml:space="preserve">Le cas échéant, le présent document contient des renvois aux informations fournies dans le document </w:t>
      </w:r>
      <w:hyperlink r:id="rId20" w:history="1">
        <w:r>
          <w:rPr>
            <w:rStyle w:val="Hyperlink"/>
          </w:rPr>
          <w:t>CBD/SBI/7/6/Add.1</w:t>
        </w:r>
      </w:hyperlink>
      <w:r>
        <w:t xml:space="preserve"> </w:t>
      </w:r>
      <w:r w:rsidR="006C319A">
        <w:t>afin d’</w:t>
      </w:r>
      <w:r>
        <w:t>éclairer la première évaluation et examen de l</w:t>
      </w:r>
      <w:r w:rsidR="004A4F5D">
        <w:t>’</w:t>
      </w:r>
      <w:r>
        <w:t>efficacité du Protocole additionnel par les Parties à ce Protocole.</w:t>
      </w:r>
    </w:p>
    <w:p w14:paraId="3FDF4076" w14:textId="169D3257" w:rsidR="00331F07" w:rsidRDefault="0069153B">
      <w:pPr>
        <w:pStyle w:val="CBDNormalNumber"/>
      </w:pPr>
      <w:r>
        <w:t xml:space="preserve">Parmi les 44 Parties au Protocole additionnel qui avaient </w:t>
      </w:r>
      <w:r w:rsidR="006C319A">
        <w:t>re</w:t>
      </w:r>
      <w:r>
        <w:t>mis leur cinquième rapport national au titre du Protocole au 1</w:t>
      </w:r>
      <w:r w:rsidRPr="000C5359">
        <w:rPr>
          <w:vertAlign w:val="superscript"/>
        </w:rPr>
        <w:t>er</w:t>
      </w:r>
      <w:r>
        <w:t xml:space="preserve"> juin 2026, 64 % (28 Parties) ont indiqué que </w:t>
      </w:r>
      <w:r w:rsidR="000C5359">
        <w:t>d</w:t>
      </w:r>
      <w:r>
        <w:t>es mesures nationales pour l</w:t>
      </w:r>
      <w:r w:rsidR="00475A8A">
        <w:t>a mise en œuvre</w:t>
      </w:r>
      <w:r>
        <w:t xml:space="preserve"> du Protocole additionnel étaient pleinement en place, 18 % (8 Parties) que </w:t>
      </w:r>
      <w:r w:rsidR="000C5359">
        <w:t>d</w:t>
      </w:r>
      <w:r>
        <w:t xml:space="preserve">es mesures étaient partiellement en place, 2 % (1 Partie) que seules des mesures temporaires avaient été </w:t>
      </w:r>
      <w:r>
        <w:lastRenderedPageBreak/>
        <w:t>prises, 5 % (2 Parties) qu</w:t>
      </w:r>
      <w:r w:rsidR="004A4F5D">
        <w:t>’</w:t>
      </w:r>
      <w:r>
        <w:t>il n</w:t>
      </w:r>
      <w:r w:rsidR="004A4F5D">
        <w:t>’</w:t>
      </w:r>
      <w:r>
        <w:t>existait que des projets de mesures</w:t>
      </w:r>
      <w:r w:rsidR="00C144AF">
        <w:t>,</w:t>
      </w:r>
      <w:r>
        <w:t xml:space="preserve"> et 11 % (5 Parties) qu</w:t>
      </w:r>
      <w:r w:rsidR="004A4F5D">
        <w:t>’</w:t>
      </w:r>
      <w:r>
        <w:t>aucune mesure n</w:t>
      </w:r>
      <w:r w:rsidR="004A4F5D">
        <w:t>’</w:t>
      </w:r>
      <w:r>
        <w:t xml:space="preserve">avait été </w:t>
      </w:r>
      <w:r w:rsidR="00C144AF">
        <w:t>mise en place</w:t>
      </w:r>
      <w:r w:rsidR="00F50769" w:rsidRPr="00DA5A98">
        <w:rPr>
          <w:rStyle w:val="FootnoteReference"/>
        </w:rPr>
        <w:footnoteReference w:id="4"/>
      </w:r>
      <w:r w:rsidR="00C144AF">
        <w:t>.</w:t>
      </w:r>
      <w:r>
        <w:t xml:space="preserve"> Une ventilation régionale de l</w:t>
      </w:r>
      <w:r w:rsidR="004A4F5D">
        <w:t>’</w:t>
      </w:r>
      <w:r>
        <w:t>adoption des mesures d</w:t>
      </w:r>
      <w:r w:rsidR="00475A8A">
        <w:t>e mise en œuvre</w:t>
      </w:r>
      <w:r>
        <w:t xml:space="preserve"> du Protocole additionnel figure au paragraphe 145 du document </w:t>
      </w:r>
      <w:hyperlink r:id="rId21" w:history="1">
        <w:r>
          <w:rPr>
            <w:rStyle w:val="Hyperlink"/>
          </w:rPr>
          <w:t>CBD/SBI/7/6/Add.1</w:t>
        </w:r>
      </w:hyperlink>
      <w:r>
        <w:t>.</w:t>
      </w:r>
    </w:p>
    <w:p w14:paraId="3626975C" w14:textId="45E4934C" w:rsidR="00331F07" w:rsidRDefault="0069153B">
      <w:pPr>
        <w:pStyle w:val="CBDNormalNumber"/>
      </w:pPr>
      <w:r>
        <w:t>Quatre-vingt-quatre pour cent des Parties (37 Parties) ont indiqué que leurs instruments administratifs ou juridiques exigeaient que des mesures d</w:t>
      </w:r>
      <w:r w:rsidR="004A4F5D">
        <w:t>’</w:t>
      </w:r>
      <w:r>
        <w:t>intervention soient prises en cas de dommages causés par des organismes vivants modifiés, et 81 % (35 Parties) ont indiqué que leurs instruments administratifs ou juridiques exigeaient que des mesures d</w:t>
      </w:r>
      <w:r w:rsidR="004A4F5D">
        <w:t>’</w:t>
      </w:r>
      <w:r>
        <w:t>intervention soient prises en cas de probabilité suffisante de dommages si des mesures d</w:t>
      </w:r>
      <w:r w:rsidR="004A4F5D">
        <w:t>’</w:t>
      </w:r>
      <w:r>
        <w:t>intervention n</w:t>
      </w:r>
      <w:r w:rsidR="004A4F5D">
        <w:t>’</w:t>
      </w:r>
      <w:r>
        <w:t>étaient pas prises</w:t>
      </w:r>
      <w:r w:rsidR="00994E33" w:rsidRPr="00DA5A98">
        <w:rPr>
          <w:rStyle w:val="FootnoteReference"/>
        </w:rPr>
        <w:footnoteReference w:id="5"/>
      </w:r>
      <w:r w:rsidR="00C144AF">
        <w:t>.</w:t>
      </w:r>
      <w:r>
        <w:t xml:space="preserve"> </w:t>
      </w:r>
    </w:p>
    <w:p w14:paraId="0E905220" w14:textId="32CF34F6" w:rsidR="00331F07" w:rsidRDefault="0069153B">
      <w:pPr>
        <w:pStyle w:val="CBDNormalNumber"/>
      </w:pPr>
      <w:r>
        <w:t>Parmi les Parties qui ont indiqué que leurs instruments administratifs ou juridiques exigeaient que des mesures d</w:t>
      </w:r>
      <w:r w:rsidR="004A4F5D">
        <w:t>’</w:t>
      </w:r>
      <w:r>
        <w:t xml:space="preserve">intervention soient prises en cas de dommages causés par des organismes vivants modifiés, 36 ont fourni des informations supplémentaires sur les </w:t>
      </w:r>
      <w:r w:rsidR="00417F21">
        <w:t>exigences prescrites</w:t>
      </w:r>
      <w:r>
        <w:t xml:space="preserve"> par leurs instruments. Quatre-vingt-dix-sept pour cent de ces Parties (35 Parties) ont indiqué que leurs instruments exigeaient que l</w:t>
      </w:r>
      <w:r w:rsidR="004A4F5D">
        <w:t>’</w:t>
      </w:r>
      <w:r>
        <w:t>exploitant informe l</w:t>
      </w:r>
      <w:r w:rsidR="004A4F5D">
        <w:t>’</w:t>
      </w:r>
      <w:r>
        <w:t xml:space="preserve">autorité compétente des dommages, 72 </w:t>
      </w:r>
      <w:r w:rsidR="00AF7A1A">
        <w:t>%</w:t>
      </w:r>
      <w:r>
        <w:t xml:space="preserve"> (26</w:t>
      </w:r>
      <w:r w:rsidR="00AF7A1A">
        <w:t> </w:t>
      </w:r>
      <w:r>
        <w:t>Parties) que l</w:t>
      </w:r>
      <w:r w:rsidR="004A4F5D">
        <w:t>’</w:t>
      </w:r>
      <w:r>
        <w:t>exploitant était tenu d</w:t>
      </w:r>
      <w:r w:rsidR="004A4F5D">
        <w:t>’</w:t>
      </w:r>
      <w:r>
        <w:t xml:space="preserve">évaluer les dommages, 92 </w:t>
      </w:r>
      <w:r w:rsidR="00AF7A1A">
        <w:t>%</w:t>
      </w:r>
      <w:r>
        <w:t xml:space="preserve"> (33 Parties) que l</w:t>
      </w:r>
      <w:r w:rsidR="004A4F5D">
        <w:t>’</w:t>
      </w:r>
      <w:r>
        <w:t>exploitant était tenu de prendre des mesures d</w:t>
      </w:r>
      <w:r w:rsidR="004A4F5D">
        <w:t>’</w:t>
      </w:r>
      <w:r>
        <w:t xml:space="preserve">intervention et 3 </w:t>
      </w:r>
      <w:r w:rsidR="00AF7A1A">
        <w:t>%</w:t>
      </w:r>
      <w:r>
        <w:t xml:space="preserve"> (1 Partie) que leurs instruments n</w:t>
      </w:r>
      <w:r w:rsidR="004A4F5D">
        <w:t>’</w:t>
      </w:r>
      <w:r>
        <w:t>imposaient aucune exigence à l</w:t>
      </w:r>
      <w:r w:rsidR="004A4F5D">
        <w:t>’</w:t>
      </w:r>
      <w:r>
        <w:t>exploitant</w:t>
      </w:r>
      <w:r w:rsidR="001167BB" w:rsidRPr="00DA5A98">
        <w:rPr>
          <w:rStyle w:val="FootnoteReference"/>
        </w:rPr>
        <w:footnoteReference w:id="6"/>
      </w:r>
      <w:r w:rsidR="00AF7A1A">
        <w:t>.</w:t>
      </w:r>
    </w:p>
    <w:p w14:paraId="32D58AFB" w14:textId="468EEBEF" w:rsidR="00331F07" w:rsidRDefault="0069153B">
      <w:pPr>
        <w:pStyle w:val="CBDNormalNumber"/>
      </w:pPr>
      <w:r>
        <w:t>Les 35 Parties qui ont indiqué que leurs instruments administratifs ou juridiques exigeaient que des mesures d</w:t>
      </w:r>
      <w:r w:rsidR="004A4F5D">
        <w:t>’</w:t>
      </w:r>
      <w:r>
        <w:t>intervention soient prises en cas de probabilité suffisante de dommage</w:t>
      </w:r>
      <w:r w:rsidR="0086153E">
        <w:t>s</w:t>
      </w:r>
      <w:r>
        <w:t xml:space="preserve"> si des mesures d</w:t>
      </w:r>
      <w:r w:rsidR="004A4F5D">
        <w:t>’</w:t>
      </w:r>
      <w:r>
        <w:t>intervention n</w:t>
      </w:r>
      <w:r w:rsidR="004A4F5D">
        <w:t>’</w:t>
      </w:r>
      <w:r>
        <w:t>étaient pas prises ont également indiqué que leurs instruments exigeaient que l</w:t>
      </w:r>
      <w:r w:rsidR="004A4F5D">
        <w:t>’</w:t>
      </w:r>
      <w:r>
        <w:t>exploitant prenne des mesures d</w:t>
      </w:r>
      <w:r w:rsidR="004A4F5D">
        <w:t>’</w:t>
      </w:r>
      <w:r>
        <w:t xml:space="preserve">intervention pour éviter </w:t>
      </w:r>
      <w:r w:rsidR="0086153E">
        <w:t>de</w:t>
      </w:r>
      <w:r>
        <w:t xml:space="preserve"> tel</w:t>
      </w:r>
      <w:r w:rsidR="0086153E">
        <w:t>s</w:t>
      </w:r>
      <w:r>
        <w:t xml:space="preserve"> dommage</w:t>
      </w:r>
      <w:r w:rsidR="0086153E">
        <w:t>s</w:t>
      </w:r>
      <w:r w:rsidR="00037871" w:rsidRPr="00DA5A98">
        <w:rPr>
          <w:rStyle w:val="FootnoteReference"/>
        </w:rPr>
        <w:footnoteReference w:id="7"/>
      </w:r>
      <w:r w:rsidR="0086153E">
        <w:t>.</w:t>
      </w:r>
    </w:p>
    <w:p w14:paraId="0186E21F" w14:textId="217B0C9E" w:rsidR="00331F07" w:rsidRDefault="0069153B">
      <w:pPr>
        <w:pStyle w:val="CBDNormalNumber"/>
      </w:pPr>
      <w:r>
        <w:t>Parmi les Parties qui ont indiqué que leurs instruments administratifs ou juridiques exigeaient que des mesures d</w:t>
      </w:r>
      <w:r w:rsidR="004A4F5D">
        <w:t>’</w:t>
      </w:r>
      <w:r>
        <w:t>intervention soient prises en cas de dommage résultant d</w:t>
      </w:r>
      <w:r w:rsidR="004A4F5D">
        <w:t>’</w:t>
      </w:r>
      <w:r>
        <w:t>organismes vivants modifiés ou en cas de probabilité suffisante de dommage si des mesures d</w:t>
      </w:r>
      <w:r w:rsidR="004A4F5D">
        <w:t>’</w:t>
      </w:r>
      <w:r>
        <w:t>intervention n</w:t>
      </w:r>
      <w:r w:rsidR="004A4F5D">
        <w:t>’</w:t>
      </w:r>
      <w:r>
        <w:t>étaient pas prises, 36 ont fourni des informations supplémentaires sur la question de savoir si les instruments contenaient une définition du terme « exploitant », dont 92 % (33 Parties) ont indiqué que les instruments contenaient une telle définitio</w:t>
      </w:r>
      <w:r w:rsidR="0097438B">
        <w:t>n</w:t>
      </w:r>
      <w:r w:rsidR="00774044" w:rsidRPr="00DA5A98">
        <w:rPr>
          <w:rStyle w:val="FootnoteReference"/>
        </w:rPr>
        <w:footnoteReference w:id="8"/>
      </w:r>
      <w:r w:rsidR="0097438B">
        <w:t>.</w:t>
      </w:r>
      <w:r>
        <w:t xml:space="preserve"> Trente-cinq Parties ont fourni des informations supplémentaires sur les entités qui pouvaient être considérées comme un opérateur dans leurs instruments juridiques ou administratifs. Quatre-vingt-onze pour cent (31 Parties) ont indiqué que le titulaire du permis pouvait être considéré comme l</w:t>
      </w:r>
      <w:r w:rsidR="004A4F5D">
        <w:t>’</w:t>
      </w:r>
      <w:r>
        <w:t xml:space="preserve">exploitant. Entre 76 et 85 % </w:t>
      </w:r>
      <w:r w:rsidR="00EF25A7">
        <w:t xml:space="preserve">des Parties </w:t>
      </w:r>
      <w:r>
        <w:t>ont déclaré que l</w:t>
      </w:r>
      <w:r w:rsidR="004A4F5D">
        <w:t>’</w:t>
      </w:r>
      <w:r>
        <w:t>exploitant pouvait être la personne qui a mis l</w:t>
      </w:r>
      <w:r w:rsidR="004A4F5D">
        <w:t>’</w:t>
      </w:r>
      <w:r>
        <w:t>organisme vivant modifié sur le marché, le promoteur, le producteur, le déclarant, l</w:t>
      </w:r>
      <w:r w:rsidR="004A4F5D">
        <w:t>’</w:t>
      </w:r>
      <w:r>
        <w:t>exportateur, l</w:t>
      </w:r>
      <w:r w:rsidR="004A4F5D">
        <w:t>’</w:t>
      </w:r>
      <w:r>
        <w:t>importateur, le transporteur ou le fournisseur. Dix-huit pour cent des Parties (6 Parties) ont fourni des informations sur d</w:t>
      </w:r>
      <w:r w:rsidR="004A4F5D">
        <w:t>’</w:t>
      </w:r>
      <w:r>
        <w:t>autres entités qui pourraient être considérées comme l</w:t>
      </w:r>
      <w:r w:rsidR="004A4F5D">
        <w:t>’</w:t>
      </w:r>
      <w:r>
        <w:t>exploitant</w:t>
      </w:r>
      <w:r w:rsidR="005C371A" w:rsidRPr="00DA5A98">
        <w:rPr>
          <w:rStyle w:val="FootnoteReference"/>
        </w:rPr>
        <w:footnoteReference w:id="9"/>
      </w:r>
      <w:r w:rsidR="00EF25A7">
        <w:t>.</w:t>
      </w:r>
      <w:r>
        <w:t xml:space="preserve"> </w:t>
      </w:r>
    </w:p>
    <w:p w14:paraId="695985B9" w14:textId="5EE53D55" w:rsidR="00331F07" w:rsidRDefault="0069153B">
      <w:pPr>
        <w:pStyle w:val="CBDNormalNumber"/>
      </w:pPr>
      <w:r>
        <w:t xml:space="preserve">Sur les 43 Parties qui ont répondu à la question 167 </w:t>
      </w:r>
      <w:r w:rsidR="0080695C">
        <w:t>du modèle de</w:t>
      </w:r>
      <w:r>
        <w:t xml:space="preserve"> </w:t>
      </w:r>
      <w:r w:rsidR="002E6E6D">
        <w:t xml:space="preserve">présentation du </w:t>
      </w:r>
      <w:r>
        <w:t>cinquième rapport national, 88 % (38 Parties) ont indiqué qu</w:t>
      </w:r>
      <w:r w:rsidR="004A4F5D">
        <w:t>’</w:t>
      </w:r>
      <w:r>
        <w:t>une autorité compétente pour s</w:t>
      </w:r>
      <w:r w:rsidR="004A4F5D">
        <w:t>’</w:t>
      </w:r>
      <w:r>
        <w:t>acquitter des fonctions énoncées dans le Protocole additionnel avait été désignée. Quatre-vingt-dix-sept pour cent de ces Parties (31 Parties) ont indiqué l</w:t>
      </w:r>
      <w:r w:rsidR="004A4F5D">
        <w:t>’</w:t>
      </w:r>
      <w:r>
        <w:t>entité qui avait été désignée, certaines fournissant des informations sur l</w:t>
      </w:r>
      <w:r w:rsidR="00EF25A7">
        <w:t>e fondement</w:t>
      </w:r>
      <w:r>
        <w:t xml:space="preserve"> juridique de la désignation. </w:t>
      </w:r>
    </w:p>
    <w:p w14:paraId="2A6BF4E8" w14:textId="082D013B" w:rsidR="00331F07" w:rsidRDefault="0069153B">
      <w:pPr>
        <w:pStyle w:val="CBDNormalNumber"/>
      </w:pPr>
      <w:r>
        <w:t xml:space="preserve">Dans sa décision </w:t>
      </w:r>
      <w:hyperlink r:id="rId22" w:history="1">
        <w:r>
          <w:rPr>
            <w:rStyle w:val="Hyperlink"/>
          </w:rPr>
          <w:t>CP-9/15</w:t>
        </w:r>
      </w:hyperlink>
      <w:r>
        <w:t xml:space="preserve">, la Conférence des Parties </w:t>
      </w:r>
      <w:r w:rsidR="00533EEE">
        <w:t>siégeant en tant que</w:t>
      </w:r>
      <w:r>
        <w:t xml:space="preserve"> réunion des Parties au Protocole a prié les Parties au Protocole additionnel de communiquer les coordonnées de leurs autorités compétentes au Centre d</w:t>
      </w:r>
      <w:r w:rsidR="004A4F5D">
        <w:t>’</w:t>
      </w:r>
      <w:r>
        <w:t>échange pour la prévention des risques biotechnologiques</w:t>
      </w:r>
      <w:r w:rsidR="00E56585" w:rsidRPr="00DA5A98">
        <w:rPr>
          <w:rStyle w:val="FootnoteReference"/>
        </w:rPr>
        <w:footnoteReference w:id="10"/>
      </w:r>
      <w:r w:rsidR="00EF25A7">
        <w:t>.</w:t>
      </w:r>
      <w:r>
        <w:t xml:space="preserve"> Au 1</w:t>
      </w:r>
      <w:r w:rsidR="00EF25A7" w:rsidRPr="00EF25A7">
        <w:rPr>
          <w:vertAlign w:val="superscript"/>
        </w:rPr>
        <w:t>er</w:t>
      </w:r>
      <w:r w:rsidR="00EF25A7">
        <w:t> </w:t>
      </w:r>
      <w:r>
        <w:t>juin 2026, seules 14 Parties (25 %) l</w:t>
      </w:r>
      <w:r w:rsidR="004A4F5D">
        <w:t>’</w:t>
      </w:r>
      <w:r>
        <w:t xml:space="preserve">avaient fait, ce qui représente 37 % des Parties (38 Parties) </w:t>
      </w:r>
      <w:r>
        <w:lastRenderedPageBreak/>
        <w:t>qui ont indiqué dans leur cinquième rapport national qu</w:t>
      </w:r>
      <w:r w:rsidR="004A4F5D">
        <w:t>’</w:t>
      </w:r>
      <w:r>
        <w:t xml:space="preserve">elles avaient désigné une autorité compétente. </w:t>
      </w:r>
    </w:p>
    <w:p w14:paraId="18BE87B3" w14:textId="3AD607EA" w:rsidR="00331F07" w:rsidRDefault="0069153B">
      <w:pPr>
        <w:pStyle w:val="CBDNormalNumber"/>
      </w:pPr>
      <w:r>
        <w:t>Les 38 Parties qui ont indiqué qu</w:t>
      </w:r>
      <w:r w:rsidR="004A4F5D">
        <w:t>’</w:t>
      </w:r>
      <w:r>
        <w:t>une autorité compétente avait été désignée ont également fait rapport sur les mesures que l</w:t>
      </w:r>
      <w:r w:rsidR="004A4F5D">
        <w:t>’</w:t>
      </w:r>
      <w:r>
        <w:t>autorité compétente était autorisée à prendre. Au total, 95 % des répondants ont indiqué que l</w:t>
      </w:r>
      <w:r w:rsidR="004A4F5D">
        <w:t>’</w:t>
      </w:r>
      <w:r>
        <w:t>autorité compétente pourrait identifier l</w:t>
      </w:r>
      <w:r w:rsidR="004A4F5D">
        <w:t>’</w:t>
      </w:r>
      <w:r>
        <w:t>exploitant qui a causé le dommage, 95 % que l</w:t>
      </w:r>
      <w:r w:rsidR="004A4F5D">
        <w:t>’</w:t>
      </w:r>
      <w:r>
        <w:t>autorité compétente pourrait évaluer le dommage, 97 % que l</w:t>
      </w:r>
      <w:r w:rsidR="004A4F5D">
        <w:t>’</w:t>
      </w:r>
      <w:r>
        <w:t>autorité compétente pourrait déterminer les mesures d</w:t>
      </w:r>
      <w:r w:rsidR="004A4F5D">
        <w:t>’</w:t>
      </w:r>
      <w:r>
        <w:t>intervention à prendre par l</w:t>
      </w:r>
      <w:r w:rsidR="004A4F5D">
        <w:t>’</w:t>
      </w:r>
      <w:r>
        <w:t>exploitant</w:t>
      </w:r>
      <w:r w:rsidR="00210476">
        <w:t>,</w:t>
      </w:r>
      <w:r>
        <w:t xml:space="preserve"> et 92 % que l</w:t>
      </w:r>
      <w:r w:rsidR="004A4F5D">
        <w:t>’</w:t>
      </w:r>
      <w:r>
        <w:t>autorité compétente pourrait</w:t>
      </w:r>
      <w:r w:rsidR="00210476">
        <w:t xml:space="preserve"> appliquer</w:t>
      </w:r>
      <w:r>
        <w:t xml:space="preserve"> des mesures d</w:t>
      </w:r>
      <w:r w:rsidR="004A4F5D">
        <w:t>’</w:t>
      </w:r>
      <w:r>
        <w:t>intervention. Aucun</w:t>
      </w:r>
      <w:r w:rsidR="00210476">
        <w:t xml:space="preserve"> répondant</w:t>
      </w:r>
      <w:r>
        <w:t xml:space="preserve"> n</w:t>
      </w:r>
      <w:r w:rsidR="004A4F5D">
        <w:t>’</w:t>
      </w:r>
      <w:r>
        <w:t>a indiqué que l</w:t>
      </w:r>
      <w:r w:rsidR="004A4F5D">
        <w:t>’</w:t>
      </w:r>
      <w:r>
        <w:t>autorité compétente pouvait recouvrer auprès de l</w:t>
      </w:r>
      <w:r w:rsidR="004A4F5D">
        <w:t>’</w:t>
      </w:r>
      <w:r>
        <w:t>exploitant les coûts et les dépenses liés à l</w:t>
      </w:r>
      <w:r w:rsidR="004A4F5D">
        <w:t>’</w:t>
      </w:r>
      <w:r>
        <w:t>évaluation des dommages et à l</w:t>
      </w:r>
      <w:r w:rsidR="00210476">
        <w:t>’application</w:t>
      </w:r>
      <w:r>
        <w:t xml:space="preserve"> de toute mesure d</w:t>
      </w:r>
      <w:r w:rsidR="004A4F5D">
        <w:t>’</w:t>
      </w:r>
      <w:r>
        <w:t>intervention. Trois pour cent (une Partie) ont indiqué que l</w:t>
      </w:r>
      <w:r w:rsidR="004A4F5D">
        <w:t>’</w:t>
      </w:r>
      <w:r>
        <w:t>autorité compétente pouvait prendre d</w:t>
      </w:r>
      <w:r w:rsidR="004A4F5D">
        <w:t>’</w:t>
      </w:r>
      <w:r>
        <w:t xml:space="preserve">autres mesures. </w:t>
      </w:r>
    </w:p>
    <w:p w14:paraId="60688D75" w14:textId="4916BEE6" w:rsidR="00331F07" w:rsidRDefault="0069153B">
      <w:pPr>
        <w:pStyle w:val="CBDNormalNumber"/>
      </w:pPr>
      <w:r>
        <w:t xml:space="preserve">Sur les 43 Parties qui ont répondu à la question 169, 21 % (9 Parties) ont indiqué que des mesures avaient été prises pour garantir financièrement les dommages causés par des organismes vivants modifiés. En ce qui concerne le type de mesures de </w:t>
      </w:r>
      <w:r w:rsidR="005A5C6C">
        <w:t>garantie financière</w:t>
      </w:r>
      <w:r>
        <w:t xml:space="preserve"> </w:t>
      </w:r>
      <w:r w:rsidR="00D1472F">
        <w:t xml:space="preserve">mises </w:t>
      </w:r>
      <w:r>
        <w:t>en place</w:t>
      </w:r>
      <w:r w:rsidR="00C2031A" w:rsidRPr="00DA5A98">
        <w:rPr>
          <w:rStyle w:val="FootnoteReference"/>
        </w:rPr>
        <w:footnoteReference w:id="11"/>
      </w:r>
      <w:r w:rsidR="00D1472F">
        <w:t>,</w:t>
      </w:r>
      <w:r>
        <w:t xml:space="preserve"> 76</w:t>
      </w:r>
      <w:r w:rsidR="00D1472F">
        <w:t> </w:t>
      </w:r>
      <w:r>
        <w:t>% (6 Parties) ont indiqué que la mesure consistait en une obligation de fournir des preuves d</w:t>
      </w:r>
      <w:r w:rsidR="004A4F5D">
        <w:t>’</w:t>
      </w:r>
      <w:r>
        <w:t>une source de financement sûre, 11 % (1 Partie) qu</w:t>
      </w:r>
      <w:r w:rsidR="00D1472F">
        <w:t xml:space="preserve">e </w:t>
      </w:r>
      <w:r w:rsidR="00F01BAA">
        <w:t>la</w:t>
      </w:r>
      <w:r w:rsidR="00D1472F">
        <w:t xml:space="preserve"> mesure</w:t>
      </w:r>
      <w:r>
        <w:t xml:space="preserve"> consistait en une assurance obligatoire</w:t>
      </w:r>
      <w:r w:rsidR="00D1472F">
        <w:t>,</w:t>
      </w:r>
      <w:r>
        <w:t xml:space="preserve"> et 22</w:t>
      </w:r>
      <w:r w:rsidR="00D1472F">
        <w:t> </w:t>
      </w:r>
      <w:r>
        <w:t>% (2 Parties) qu</w:t>
      </w:r>
      <w:r w:rsidR="00F01BAA">
        <w:t>e la mesure</w:t>
      </w:r>
      <w:r>
        <w:t xml:space="preserve"> consistait en des régimes gouvernementaux, y compris des fonds. Aucune des neuf Parties n</w:t>
      </w:r>
      <w:r w:rsidR="004A4F5D">
        <w:t>’</w:t>
      </w:r>
      <w:r>
        <w:t>a retenu plus d</w:t>
      </w:r>
      <w:r w:rsidR="004A4F5D">
        <w:t>’</w:t>
      </w:r>
      <w:r>
        <w:t>un type de mesures.</w:t>
      </w:r>
    </w:p>
    <w:p w14:paraId="0CBFB211" w14:textId="05B90210" w:rsidR="00331F07" w:rsidRDefault="0069153B">
      <w:pPr>
        <w:pStyle w:val="CBDNormalNumber"/>
      </w:pPr>
      <w:r>
        <w:t>Dans les réponses en texte libre</w:t>
      </w:r>
      <w:r w:rsidRPr="00DA5A98">
        <w:rPr>
          <w:rStyle w:val="FootnoteReference"/>
        </w:rPr>
        <w:footnoteReference w:id="12"/>
      </w:r>
      <w:r w:rsidR="00F01BAA">
        <w:t>,</w:t>
      </w:r>
      <w:r>
        <w:t xml:space="preserve"> </w:t>
      </w:r>
      <w:r w:rsidR="00F01BAA">
        <w:t>quelques</w:t>
      </w:r>
      <w:r>
        <w:t xml:space="preserve"> Parties ont fourni des informations supplémentaires sur la </w:t>
      </w:r>
      <w:r w:rsidR="005A5C6C">
        <w:t>garantie financière</w:t>
      </w:r>
      <w:r>
        <w:t>. Deux Parties ont indiqué que leur système actuel de garantie financière pour les dommages causés par des organismes vivants modifiés était insuffisant, l</w:t>
      </w:r>
      <w:r w:rsidR="004A4F5D">
        <w:t>’</w:t>
      </w:r>
      <w:r>
        <w:t>une d</w:t>
      </w:r>
      <w:r w:rsidR="004A4F5D">
        <w:t>’</w:t>
      </w:r>
      <w:r>
        <w:t>elles précisant qu</w:t>
      </w:r>
      <w:r w:rsidR="004A4F5D">
        <w:t>’</w:t>
      </w:r>
      <w:r>
        <w:t xml:space="preserve">un processus était en cours pour évaluer les modalités des mécanismes de </w:t>
      </w:r>
      <w:r w:rsidR="005A5C6C">
        <w:t>garantie financière</w:t>
      </w:r>
      <w:r>
        <w:t xml:space="preserve"> et </w:t>
      </w:r>
      <w:r w:rsidR="00F01BAA">
        <w:t xml:space="preserve">pour </w:t>
      </w:r>
      <w:r>
        <w:t xml:space="preserve">identifier les entités susceptibles de fournir une </w:t>
      </w:r>
      <w:r w:rsidR="005A5C6C">
        <w:t>garantie financière</w:t>
      </w:r>
      <w:r>
        <w:t xml:space="preserve">. Une Partie a indiqué que </w:t>
      </w:r>
      <w:r w:rsidR="008C2B19">
        <w:t>d</w:t>
      </w:r>
      <w:r>
        <w:t xml:space="preserve">es mesures relatives à la </w:t>
      </w:r>
      <w:r w:rsidR="005A5C6C">
        <w:t>garantie financière</w:t>
      </w:r>
      <w:r>
        <w:t xml:space="preserve"> n</w:t>
      </w:r>
      <w:r w:rsidR="004A4F5D">
        <w:t>’</w:t>
      </w:r>
      <w:r>
        <w:t xml:space="preserve">avaient pas encore été </w:t>
      </w:r>
      <w:r w:rsidR="008C2B19">
        <w:t>mise</w:t>
      </w:r>
      <w:r>
        <w:t>s</w:t>
      </w:r>
      <w:r w:rsidR="008C2B19">
        <w:t xml:space="preserve"> en place</w:t>
      </w:r>
      <w:r>
        <w:t xml:space="preserve">. Trois pays non </w:t>
      </w:r>
      <w:r w:rsidR="008C2B19">
        <w:t>P</w:t>
      </w:r>
      <w:r>
        <w:t xml:space="preserve">arties ont également fourni des informations supplémentaires sur les mesures de </w:t>
      </w:r>
      <w:r w:rsidR="005A5C6C">
        <w:t>garantie financière</w:t>
      </w:r>
      <w:r>
        <w:t>. L</w:t>
      </w:r>
      <w:r w:rsidR="004A4F5D">
        <w:t>’</w:t>
      </w:r>
      <w:r>
        <w:t>un d</w:t>
      </w:r>
      <w:r w:rsidR="004A4F5D">
        <w:t>’</w:t>
      </w:r>
      <w:r>
        <w:t xml:space="preserve">entre </w:t>
      </w:r>
      <w:r w:rsidR="008C2B19">
        <w:t>eux</w:t>
      </w:r>
      <w:r>
        <w:t xml:space="preserve"> a décrit comment le gouvernement a alloué des fonds au budget national pour les </w:t>
      </w:r>
      <w:r w:rsidR="00623487">
        <w:t>requêt</w:t>
      </w:r>
      <w:r>
        <w:t>es et les sentences judiciaires et a mentionné dans ce contexte que l</w:t>
      </w:r>
      <w:r w:rsidR="004A4F5D">
        <w:t>’</w:t>
      </w:r>
      <w:r>
        <w:t xml:space="preserve">autorité nationale de </w:t>
      </w:r>
      <w:r w:rsidR="008C2B19">
        <w:t>prévention des risques biotechnologiques</w:t>
      </w:r>
      <w:r>
        <w:t xml:space="preserve"> pouvait être tenue responsable de certains dommages résultant de décisions qu</w:t>
      </w:r>
      <w:r w:rsidR="004A4F5D">
        <w:t>’</w:t>
      </w:r>
      <w:r>
        <w:t xml:space="preserve">elle avait prises. </w:t>
      </w:r>
    </w:p>
    <w:p w14:paraId="0AF09218" w14:textId="4FD9A8D1" w:rsidR="00331F07" w:rsidRDefault="0069153B">
      <w:pPr>
        <w:pStyle w:val="CBDNormalNumber"/>
      </w:pPr>
      <w:r>
        <w:t>Sur les 43 Parties qui ont répondu à la question 171, 40 % (17 Parties) ont indiqué que les règles et procédures en matière de responsabilité civile qui portaient sur les dommages résultant d</w:t>
      </w:r>
      <w:r w:rsidR="004A4F5D">
        <w:t>’</w:t>
      </w:r>
      <w:r>
        <w:t>organismes vivants modifiés étaient prévues dans un instrument de responsabilité civile, 7 % (3</w:t>
      </w:r>
      <w:r w:rsidR="008C2B19">
        <w:t> </w:t>
      </w:r>
      <w:r>
        <w:t xml:space="preserve">Parties) </w:t>
      </w:r>
      <w:r w:rsidR="008C2B19">
        <w:t xml:space="preserve">ont indiqué </w:t>
      </w:r>
      <w:r>
        <w:t xml:space="preserve">que ces dommages avaient été reconnus dans des décisions de justice et 5 % (2 Parties) </w:t>
      </w:r>
      <w:r w:rsidR="008C2B19">
        <w:t xml:space="preserve">ont signalé </w:t>
      </w:r>
      <w:r>
        <w:t>que ces règles et procédures étaient prévues dans d</w:t>
      </w:r>
      <w:r w:rsidR="004A4F5D">
        <w:t>’</w:t>
      </w:r>
      <w:r>
        <w:t>autres instruments, par exemple des règlements sur les dommages environnementaux. Quarante-neuf pour cent (21 Parties) ont indiqué qu</w:t>
      </w:r>
      <w:r w:rsidR="004A4F5D">
        <w:t>’</w:t>
      </w:r>
      <w:r>
        <w:t>elles n</w:t>
      </w:r>
      <w:r w:rsidR="004A4F5D">
        <w:t>’</w:t>
      </w:r>
      <w:r>
        <w:t>avaient ni instruments ni décisions judiciaires reconnaissant la responsabilité civile en ce qui concerne les dommages résultant d</w:t>
      </w:r>
      <w:r w:rsidR="004A4F5D">
        <w:t>’</w:t>
      </w:r>
      <w:r>
        <w:t>organismes vivants modifiés.</w:t>
      </w:r>
    </w:p>
    <w:p w14:paraId="4A21487B" w14:textId="4999934C" w:rsidR="00331F07" w:rsidRDefault="0069153B">
      <w:pPr>
        <w:pStyle w:val="CBDNormalNumber"/>
      </w:pPr>
      <w:r>
        <w:t xml:space="preserve">Trente-huit Parties ont fourni une réponse en texte libre à la question 174. Plusieurs </w:t>
      </w:r>
      <w:r w:rsidR="00623487">
        <w:t xml:space="preserve">Parties </w:t>
      </w:r>
      <w:r>
        <w:t xml:space="preserve">ont décrit les instruments dans lesquels les mesures de responsabilité civile étaient traitées ou ont indiqué que les règles relatives à la responsabilité civile faisaient partie de leurs cadres plus larges de responsabilité environnementale. </w:t>
      </w:r>
      <w:r w:rsidR="00623487">
        <w:t>C</w:t>
      </w:r>
      <w:r>
        <w:t>ertain</w:t>
      </w:r>
      <w:r w:rsidR="00623487">
        <w:t>es</w:t>
      </w:r>
      <w:r>
        <w:t xml:space="preserve"> </w:t>
      </w:r>
      <w:r w:rsidR="00623487">
        <w:t xml:space="preserve">Parties </w:t>
      </w:r>
      <w:r>
        <w:t xml:space="preserve">ont précisé que les dommages </w:t>
      </w:r>
      <w:r w:rsidR="00623487">
        <w:t xml:space="preserve">causés </w:t>
      </w:r>
      <w:r>
        <w:t>à l</w:t>
      </w:r>
      <w:r w:rsidR="004A4F5D">
        <w:t>’</w:t>
      </w:r>
      <w:r>
        <w:t xml:space="preserve">environnement, aux personnes et à la santé, entre autres aspects, étaient couverts par ces règles. Une Partie a indiqué que ses règles de responsabilité civile applicables aux dommages causés par des organismes vivants modifiés étaient fondées sur </w:t>
      </w:r>
      <w:r w:rsidR="006B70BE">
        <w:t xml:space="preserve">la preuve apportée d‘une </w:t>
      </w:r>
      <w:r>
        <w:t>faute</w:t>
      </w:r>
      <w:r w:rsidR="006B70BE">
        <w:t xml:space="preserve"> commise</w:t>
      </w:r>
      <w:r>
        <w:t>. Plusieurs Parties ont indiqué que leur système juridique comportait également des dispositions relatives à la responsabilité administrative, et certaines</w:t>
      </w:r>
      <w:r w:rsidR="00623487">
        <w:t xml:space="preserve"> Parties</w:t>
      </w:r>
      <w:r>
        <w:t xml:space="preserve"> ont indiqué que des dispositions de droit pénal pouvaient être appliquées à certaines situations impliquant l</w:t>
      </w:r>
      <w:r w:rsidR="004A4F5D">
        <w:t>’</w:t>
      </w:r>
      <w:r>
        <w:t>utilisation d</w:t>
      </w:r>
      <w:r w:rsidR="004A4F5D">
        <w:t>’</w:t>
      </w:r>
      <w:r>
        <w:t xml:space="preserve">organismes vivants modifiés. Plusieurs </w:t>
      </w:r>
      <w:r w:rsidR="00623487">
        <w:t xml:space="preserve">pays </w:t>
      </w:r>
      <w:r>
        <w:t>non</w:t>
      </w:r>
      <w:r w:rsidR="00E221C6">
        <w:t xml:space="preserve"> </w:t>
      </w:r>
      <w:r>
        <w:t xml:space="preserve">Parties ont également fourni des informations à cet égard dans leurs </w:t>
      </w:r>
      <w:r>
        <w:lastRenderedPageBreak/>
        <w:t>réponses en texte libre, certains expliquant que leurs cadres nationaux actuels contenaient déjà des dispositions sur la responsabilité et la réparation. L</w:t>
      </w:r>
      <w:r w:rsidR="004A4F5D">
        <w:t>’</w:t>
      </w:r>
      <w:r>
        <w:t>un</w:t>
      </w:r>
      <w:r w:rsidR="00AB15F5">
        <w:t xml:space="preserve"> d’entre</w:t>
      </w:r>
      <w:r>
        <w:t xml:space="preserve"> </w:t>
      </w:r>
      <w:r w:rsidR="00AB15F5">
        <w:t>eux</w:t>
      </w:r>
      <w:r>
        <w:t xml:space="preserve"> a précisé que sa législation sur la </w:t>
      </w:r>
      <w:r w:rsidR="00AB15F5">
        <w:t xml:space="preserve">prévention des risques </w:t>
      </w:r>
      <w:r>
        <w:t>bio</w:t>
      </w:r>
      <w:r w:rsidR="00C57F65">
        <w:t>technol</w:t>
      </w:r>
      <w:r>
        <w:t>ogique</w:t>
      </w:r>
      <w:r w:rsidR="00C57F65">
        <w:t>s</w:t>
      </w:r>
      <w:r>
        <w:t xml:space="preserve"> avait</w:t>
      </w:r>
      <w:r w:rsidR="00C57F65">
        <w:t xml:space="preserve"> </w:t>
      </w:r>
      <w:r w:rsidR="00C423DE">
        <w:t>retenu</w:t>
      </w:r>
      <w:r>
        <w:t xml:space="preserve"> une responsabilité stricte pour les dommages causés par des organismes vivants modifiés.</w:t>
      </w:r>
    </w:p>
    <w:p w14:paraId="79E68580" w14:textId="2E6E38AA" w:rsidR="00331F07" w:rsidRDefault="0069153B">
      <w:pPr>
        <w:pStyle w:val="CBDNormalNumber"/>
      </w:pPr>
      <w:r>
        <w:t>En réponse à la question 172, une Partie a répondu qu</w:t>
      </w:r>
      <w:r w:rsidR="004A4F5D">
        <w:t>’</w:t>
      </w:r>
      <w:r>
        <w:t>elle avait</w:t>
      </w:r>
      <w:r w:rsidR="00CE16EE">
        <w:t xml:space="preserve"> s</w:t>
      </w:r>
      <w:r>
        <w:t>ubi des dommages résultant d</w:t>
      </w:r>
      <w:r w:rsidR="004A4F5D">
        <w:t>’</w:t>
      </w:r>
      <w:r>
        <w:t xml:space="preserve">organismes vivants modifiés et a cité </w:t>
      </w:r>
      <w:r w:rsidR="00835F80">
        <w:t>d</w:t>
      </w:r>
      <w:r>
        <w:t xml:space="preserve">es dommages environnementaux, </w:t>
      </w:r>
      <w:r w:rsidR="00835F80">
        <w:t>d</w:t>
      </w:r>
      <w:r>
        <w:t xml:space="preserve">es dommages culturels et </w:t>
      </w:r>
      <w:r w:rsidR="00835F80">
        <w:t>d</w:t>
      </w:r>
      <w:r>
        <w:t>e</w:t>
      </w:r>
      <w:r w:rsidR="00835F80">
        <w:t>s</w:t>
      </w:r>
      <w:r>
        <w:t xml:space="preserve"> flux génétique</w:t>
      </w:r>
      <w:r w:rsidR="00835F80">
        <w:t>s</w:t>
      </w:r>
      <w:r>
        <w:t xml:space="preserve"> dans les populations indigènes</w:t>
      </w:r>
      <w:r w:rsidR="0064513B">
        <w:t xml:space="preserve"> </w:t>
      </w:r>
      <w:r>
        <w:t>d</w:t>
      </w:r>
      <w:r w:rsidR="00835F80">
        <w:t>’e</w:t>
      </w:r>
      <w:r w:rsidR="0064513B">
        <w:t>s</w:t>
      </w:r>
      <w:r w:rsidR="00835F80">
        <w:t>pèces</w:t>
      </w:r>
      <w:r>
        <w:t xml:space="preserve"> cult</w:t>
      </w:r>
      <w:r w:rsidR="00835F80">
        <w:t>ivée</w:t>
      </w:r>
      <w:r>
        <w:t>s. La Partie concernée a également indiqué que des mesures d</w:t>
      </w:r>
      <w:r w:rsidR="004A4F5D">
        <w:t>’</w:t>
      </w:r>
      <w:r>
        <w:t>intervention avaient été prises</w:t>
      </w:r>
      <w:r w:rsidR="00DF4889" w:rsidRPr="00DA5A98">
        <w:rPr>
          <w:rStyle w:val="FootnoteReference"/>
        </w:rPr>
        <w:footnoteReference w:id="13"/>
      </w:r>
      <w:r w:rsidR="00037B75">
        <w:t xml:space="preserve"> et,</w:t>
      </w:r>
      <w:r>
        <w:t xml:space="preserve"> dans sa description des mesures d</w:t>
      </w:r>
      <w:r w:rsidR="004A4F5D">
        <w:t>’</w:t>
      </w:r>
      <w:r>
        <w:t xml:space="preserve">intervention, que plusieurs instruments juridiques avaient été adoptés ou </w:t>
      </w:r>
      <w:r w:rsidR="006B16C2">
        <w:t>amendé</w:t>
      </w:r>
      <w:r>
        <w:t>s depuis, renforçant ainsi le processus de consultation des peuples autochtones et communautés locales</w:t>
      </w:r>
      <w:r w:rsidR="006B16C2">
        <w:t>,</w:t>
      </w:r>
      <w:r>
        <w:t xml:space="preserve"> et intégrant de manière plus rigoureuse la prise en compte des aspects socioéconomiques dans l</w:t>
      </w:r>
      <w:r w:rsidR="006B16C2">
        <w:t xml:space="preserve">a prise de </w:t>
      </w:r>
      <w:r>
        <w:t xml:space="preserve">décisions. </w:t>
      </w:r>
    </w:p>
    <w:p w14:paraId="5BD3A59E" w14:textId="6370D00A" w:rsidR="00331F07" w:rsidRDefault="0069153B">
      <w:pPr>
        <w:pStyle w:val="CBDNormalNumber"/>
      </w:pPr>
      <w:r>
        <w:t xml:space="preserve">Trois </w:t>
      </w:r>
      <w:r w:rsidR="006B16C2">
        <w:t xml:space="preserve">pays </w:t>
      </w:r>
      <w:r>
        <w:t>non</w:t>
      </w:r>
      <w:r w:rsidR="006B16C2">
        <w:t xml:space="preserve"> </w:t>
      </w:r>
      <w:r>
        <w:t>Parties ont également signalé avoir subi des dommages dus à des organismes vivants modifiés. L</w:t>
      </w:r>
      <w:r w:rsidR="004A4F5D">
        <w:t>’</w:t>
      </w:r>
      <w:r>
        <w:t>un d</w:t>
      </w:r>
      <w:r w:rsidR="004A4F5D">
        <w:t>’</w:t>
      </w:r>
      <w:r>
        <w:t>eux n</w:t>
      </w:r>
      <w:r w:rsidR="004A4F5D">
        <w:t>’</w:t>
      </w:r>
      <w:r>
        <w:t>a pas fourni d</w:t>
      </w:r>
      <w:r w:rsidR="004A4F5D">
        <w:t>’</w:t>
      </w:r>
      <w:r>
        <w:t>autres informations, tandis qu</w:t>
      </w:r>
      <w:r w:rsidR="004A4F5D">
        <w:t>’</w:t>
      </w:r>
      <w:r>
        <w:t>un autre a signalé qu</w:t>
      </w:r>
      <w:r w:rsidR="004A4F5D">
        <w:t>’</w:t>
      </w:r>
      <w:r>
        <w:t xml:space="preserve">il avait </w:t>
      </w:r>
      <w:r w:rsidR="00B55B5A">
        <w:t>subi</w:t>
      </w:r>
      <w:r>
        <w:t xml:space="preserve"> un cas de dommage lié à la qualité des aliments, ce qui avait donné lieu à des procédures judiciaires. Le troisième incident concernait l</w:t>
      </w:r>
      <w:r w:rsidR="004A4F5D">
        <w:t>’</w:t>
      </w:r>
      <w:r>
        <w:t>importation non autorisée de</w:t>
      </w:r>
      <w:r w:rsidR="0047010F">
        <w:t xml:space="preserve"> graine</w:t>
      </w:r>
      <w:r>
        <w:t>s de courgette génétiquement modifiées en 2015</w:t>
      </w:r>
      <w:r w:rsidR="00B55B5A">
        <w:t>,</w:t>
      </w:r>
      <w:r>
        <w:t xml:space="preserve"> qui avaient ensuite été distribuées. Des courgettes issues de </w:t>
      </w:r>
      <w:r w:rsidR="00B55B5A">
        <w:t>semenc</w:t>
      </w:r>
      <w:r>
        <w:t xml:space="preserve">es non autorisées ont été détectées en 2023. Une interdiction temporaire de la vente de courgettes cultivées dans le pays a été </w:t>
      </w:r>
      <w:r w:rsidR="00B55B5A">
        <w:t>appliquée</w:t>
      </w:r>
      <w:r>
        <w:t>, et toutes les fermes de courgettes ont été inspectées dans tout le pays. Des compensations ont été accordées pour les pertes liées au rappel et à l</w:t>
      </w:r>
      <w:r w:rsidR="00A55277">
        <w:t>’élimination</w:t>
      </w:r>
      <w:r>
        <w:t xml:space="preserve"> des produits. Plusieurs autres mesures de suivi ont été prises, notamment des certificats de quarantaine obligatoire pour les plantes importées en petites quantités, des sanctions renforcées pour les importations non déclarées et des objectifs de test élargis pour les organismes génétiquement modifiés. En outre, des compensations ont été accordées aux agriculteurs et aux marchés de gros touchés.</w:t>
      </w:r>
    </w:p>
    <w:p w14:paraId="618596BB" w14:textId="411910C1" w:rsidR="00331F07" w:rsidRDefault="000436F5">
      <w:pPr>
        <w:pStyle w:val="CBDNormalNumber"/>
      </w:pPr>
      <w:r>
        <w:t>Il convient de noter que s</w:t>
      </w:r>
      <w:r w:rsidR="0069153B">
        <w:t xml:space="preserve">i les informations ci-dessus présentent des </w:t>
      </w:r>
      <w:r w:rsidR="0069222B">
        <w:t>ca</w:t>
      </w:r>
      <w:r w:rsidR="0069153B">
        <w:t xml:space="preserve">s de dommages décrits par </w:t>
      </w:r>
      <w:r>
        <w:t>d</w:t>
      </w:r>
      <w:r w:rsidR="0069153B">
        <w:t xml:space="preserve">es Parties et </w:t>
      </w:r>
      <w:r>
        <w:t>d</w:t>
      </w:r>
      <w:r w:rsidR="0069153B">
        <w:t xml:space="preserve">es </w:t>
      </w:r>
      <w:r>
        <w:t xml:space="preserve">pays </w:t>
      </w:r>
      <w:r w:rsidR="0069153B">
        <w:t>non</w:t>
      </w:r>
      <w:r>
        <w:t xml:space="preserve"> </w:t>
      </w:r>
      <w:r w:rsidR="0069153B">
        <w:t>Parties dans leurs cinquièmes rapports nationaux, ils ne constitu</w:t>
      </w:r>
      <w:r w:rsidR="0069222B">
        <w:t>ent pas forcément</w:t>
      </w:r>
      <w:r w:rsidR="0069153B">
        <w:t xml:space="preserve"> des dommages au sens du Protocole additionnel.</w:t>
      </w:r>
    </w:p>
    <w:p w14:paraId="5CF47932" w14:textId="77777777" w:rsidR="00331F07" w:rsidRDefault="0069153B">
      <w:pPr>
        <w:pStyle w:val="CBDH1"/>
      </w:pPr>
      <w:r>
        <w:t>IV.</w:t>
      </w:r>
      <w:r>
        <w:tab/>
        <w:t xml:space="preserve">Conclusions </w:t>
      </w:r>
    </w:p>
    <w:p w14:paraId="29DA5745" w14:textId="74EC18C8" w:rsidR="00331F07" w:rsidRDefault="0069153B">
      <w:pPr>
        <w:pStyle w:val="CBDNormalNumber"/>
      </w:pPr>
      <w:r>
        <w:t>Avec</w:t>
      </w:r>
      <w:r w:rsidR="00600182">
        <w:t xml:space="preserve"> un total de</w:t>
      </w:r>
      <w:r>
        <w:t xml:space="preserve"> 55 Parties, la ratification du Protocole additionnel reste limitée, même si, comme indiqué au paragraphe 143 du document </w:t>
      </w:r>
      <w:hyperlink r:id="rId23" w:history="1">
        <w:r>
          <w:rPr>
            <w:rStyle w:val="Hyperlink"/>
          </w:rPr>
          <w:t>CBD/SBI/7/6/Add.1</w:t>
        </w:r>
      </w:hyperlink>
      <w:r>
        <w:t xml:space="preserve">, de nombreuses Parties au Protocole </w:t>
      </w:r>
      <w:r w:rsidR="007901A8">
        <w:t xml:space="preserve">de Cartagena </w:t>
      </w:r>
      <w:r>
        <w:t xml:space="preserve">ont indiqué avoir engagé un processus pour devenir </w:t>
      </w:r>
      <w:r w:rsidR="007901A8">
        <w:t>P</w:t>
      </w:r>
      <w:r>
        <w:t xml:space="preserve">arties au Protocole additionnel, ce qui est encourageant. </w:t>
      </w:r>
    </w:p>
    <w:p w14:paraId="3852BF51" w14:textId="3FD36CAE" w:rsidR="00331F07" w:rsidRDefault="0069153B">
      <w:pPr>
        <w:pStyle w:val="CBDNormalNumber"/>
      </w:pPr>
      <w:r>
        <w:t>Les informations fournies dans les cinquièmes rapports nationaux montrent également les progrès accomplis dans la mise en œuvre du Protocole additionnel, environ deux tiers des Parties ayant indiqué que des mesures juridiques et administratives nationales étaient en place pour appliquer ses dispositions, plus des quatre cinquièmes ayant indiqué qu</w:t>
      </w:r>
      <w:r w:rsidR="004A4F5D">
        <w:t>’</w:t>
      </w:r>
      <w:r>
        <w:t xml:space="preserve">elles avaient </w:t>
      </w:r>
      <w:r w:rsidR="00492852">
        <w:t>introduit</w:t>
      </w:r>
      <w:r>
        <w:t xml:space="preserve"> l</w:t>
      </w:r>
      <w:r w:rsidR="004A4F5D">
        <w:t>’</w:t>
      </w:r>
      <w:r>
        <w:t>obligation de prendre des mesures d</w:t>
      </w:r>
      <w:r w:rsidR="004A4F5D">
        <w:t>’</w:t>
      </w:r>
      <w:r>
        <w:t>intervention, la responsabilité de prendre de telles mesures incombant, dans presque tous les cas, à l</w:t>
      </w:r>
      <w:r w:rsidR="004A4F5D">
        <w:t>’</w:t>
      </w:r>
      <w:r>
        <w:t>exploitant</w:t>
      </w:r>
      <w:r w:rsidR="00E97E38">
        <w:t>,</w:t>
      </w:r>
      <w:r>
        <w:t xml:space="preserve"> et donnant presque toutes une définition large de l</w:t>
      </w:r>
      <w:r w:rsidR="004A4F5D">
        <w:t>’</w:t>
      </w:r>
      <w:r>
        <w:t>exploitant.</w:t>
      </w:r>
    </w:p>
    <w:p w14:paraId="59826AAE" w14:textId="7796F633" w:rsidR="00331F07" w:rsidRDefault="0069153B">
      <w:pPr>
        <w:pStyle w:val="CBDNormalNumber"/>
      </w:pPr>
      <w:r>
        <w:t xml:space="preserve">Presque toutes les Parties ont également indiqué avoir désigné une autorité compétente </w:t>
      </w:r>
      <w:r w:rsidR="00226388">
        <w:t xml:space="preserve">pour exercer </w:t>
      </w:r>
      <w:r w:rsidR="00E97E38">
        <w:t>les</w:t>
      </w:r>
      <w:r>
        <w:t xml:space="preserve"> fonctions énoncées dans le Protocole additionnel, mais </w:t>
      </w:r>
      <w:r w:rsidR="00333108">
        <w:t>seulement</w:t>
      </w:r>
      <w:r>
        <w:t xml:space="preserve"> </w:t>
      </w:r>
      <w:r w:rsidR="00333108">
        <w:t xml:space="preserve">un </w:t>
      </w:r>
      <w:r>
        <w:t xml:space="preserve">tiers </w:t>
      </w:r>
      <w:r w:rsidR="00717853">
        <w:t xml:space="preserve">de ces Parties </w:t>
      </w:r>
      <w:r>
        <w:t>environ</w:t>
      </w:r>
      <w:r w:rsidR="00717853">
        <w:t xml:space="preserve"> avait mis à disposition </w:t>
      </w:r>
      <w:r>
        <w:t xml:space="preserve">des informations sur leurs autorités compétentes </w:t>
      </w:r>
      <w:r w:rsidR="00717853">
        <w:t xml:space="preserve">par le biais du </w:t>
      </w:r>
      <w:r w:rsidR="001E2E37">
        <w:t>Centre d’échange pour la prévention</w:t>
      </w:r>
      <w:r>
        <w:t xml:space="preserve"> des risques biotechnologiques. </w:t>
      </w:r>
    </w:p>
    <w:p w14:paraId="7B437065" w14:textId="65875E52" w:rsidR="00331F07" w:rsidRDefault="0069153B">
      <w:pPr>
        <w:pStyle w:val="CBDNormalNumber"/>
      </w:pPr>
      <w:r>
        <w:rPr>
          <w:iCs/>
        </w:rPr>
        <w:t>De nombreuses Parties ont défini les responsabilités des exploitants et des autorités compétentes, contribuant ainsi à la mise en œuvre des cadres de responsabilité et de r</w:t>
      </w:r>
      <w:r w:rsidR="00E97E38">
        <w:rPr>
          <w:iCs/>
        </w:rPr>
        <w:t>éparation</w:t>
      </w:r>
      <w:r>
        <w:rPr>
          <w:iCs/>
        </w:rPr>
        <w:t xml:space="preserve"> prévus par le Protocole additionnel. </w:t>
      </w:r>
      <w:r>
        <w:t xml:space="preserve">Si presque toutes les Parties ont indiqué que leurs autorités compétentes </w:t>
      </w:r>
      <w:r>
        <w:lastRenderedPageBreak/>
        <w:t>étaient autorisées à identifier l</w:t>
      </w:r>
      <w:r w:rsidR="004A4F5D">
        <w:t>’</w:t>
      </w:r>
      <w:r>
        <w:t>exploitant, à évaluer les dommages et à déterminer les mesures d</w:t>
      </w:r>
      <w:r w:rsidR="004A4F5D">
        <w:t>’</w:t>
      </w:r>
      <w:r>
        <w:t>intervention à prendre par l</w:t>
      </w:r>
      <w:r w:rsidR="004A4F5D">
        <w:t>’</w:t>
      </w:r>
      <w:r>
        <w:t>exploitant, ou à exécuter elles-mêmes les mesures d</w:t>
      </w:r>
      <w:r w:rsidR="004A4F5D">
        <w:t>’</w:t>
      </w:r>
      <w:r>
        <w:t>intervention, aucune n</w:t>
      </w:r>
      <w:r w:rsidR="004A4F5D">
        <w:t>’</w:t>
      </w:r>
      <w:r>
        <w:t xml:space="preserve">a indiqué que son autorité compétente pouvait recouvrer les </w:t>
      </w:r>
      <w:r w:rsidR="00FA044F">
        <w:t>frai</w:t>
      </w:r>
      <w:r>
        <w:t>s et les dépenses associés à l</w:t>
      </w:r>
      <w:r w:rsidR="004A4F5D">
        <w:t>’</w:t>
      </w:r>
      <w:r>
        <w:t>évaluation des dommages et à l</w:t>
      </w:r>
      <w:r w:rsidR="004A4F5D">
        <w:t>’</w:t>
      </w:r>
      <w:r>
        <w:t>exécution des mesures d</w:t>
      </w:r>
      <w:r w:rsidR="004A4F5D">
        <w:t>’</w:t>
      </w:r>
      <w:r>
        <w:t>intervention.</w:t>
      </w:r>
    </w:p>
    <w:p w14:paraId="653BD511" w14:textId="411D7A01" w:rsidR="00331F07" w:rsidRDefault="0069153B">
      <w:pPr>
        <w:pStyle w:val="CBDNormalNumber"/>
      </w:pPr>
      <w:r>
        <w:t>Les informations reçues font également apparaître des variations dans l</w:t>
      </w:r>
      <w:r w:rsidR="004A4F5D">
        <w:t>’</w:t>
      </w:r>
      <w:r>
        <w:t>ampleur de la mise en œuvre entre les Parties et permettent d</w:t>
      </w:r>
      <w:r w:rsidR="004A4F5D">
        <w:t>’</w:t>
      </w:r>
      <w:r>
        <w:t xml:space="preserve">identifier les domaines dans lesquels des progrès supplémentaires pourraient renforcer la mise en œuvre. Ces domaines comprennent la </w:t>
      </w:r>
      <w:r w:rsidR="000E1E30">
        <w:t>communicat</w:t>
      </w:r>
      <w:r>
        <w:t>ion, par l</w:t>
      </w:r>
      <w:r w:rsidR="004A4F5D">
        <w:t>’</w:t>
      </w:r>
      <w:r>
        <w:t>intermédiaire du Centre d</w:t>
      </w:r>
      <w:r w:rsidR="004A4F5D">
        <w:t>’</w:t>
      </w:r>
      <w:r>
        <w:t>échange pour la prévention des risques biotechnologiques, d</w:t>
      </w:r>
      <w:r w:rsidR="004A4F5D">
        <w:t>’</w:t>
      </w:r>
      <w:r>
        <w:t>informations sur l</w:t>
      </w:r>
      <w:r w:rsidR="004A4F5D">
        <w:t>’</w:t>
      </w:r>
      <w:r>
        <w:t>autorité compétente exerçant les fonctions énoncées à l</w:t>
      </w:r>
      <w:r w:rsidR="004A4F5D">
        <w:t>’</w:t>
      </w:r>
      <w:r>
        <w:t>article 5 du Protocole additionnel,</w:t>
      </w:r>
      <w:r w:rsidR="001E2F79">
        <w:t xml:space="preserve"> le développement et l’accès à </w:t>
      </w:r>
      <w:r w:rsidR="008C7E01">
        <w:t>la</w:t>
      </w:r>
      <w:r w:rsidR="001E2F79">
        <w:t xml:space="preserve"> </w:t>
      </w:r>
      <w:r w:rsidR="005A5C6C">
        <w:t>garantie financière</w:t>
      </w:r>
      <w:r w:rsidR="001E2F79">
        <w:t>, et</w:t>
      </w:r>
      <w:r>
        <w:t xml:space="preserve"> l</w:t>
      </w:r>
      <w:r w:rsidR="004A4F5D">
        <w:t>’</w:t>
      </w:r>
      <w:r>
        <w:t>élaboration de règles et procédures en matière de responsabilité civile.</w:t>
      </w:r>
    </w:p>
    <w:p w14:paraId="4369C91D" w14:textId="2A043762" w:rsidR="00331F07" w:rsidRDefault="0069153B">
      <w:pPr>
        <w:pStyle w:val="CBDNormalNumber"/>
      </w:pPr>
      <w:r>
        <w:t>Enfin, on a fait état d</w:t>
      </w:r>
      <w:r w:rsidR="004A4F5D">
        <w:t>’</w:t>
      </w:r>
      <w:r>
        <w:t>une expérience limitée en ce qui concerne l</w:t>
      </w:r>
      <w:r w:rsidR="004A4F5D">
        <w:t>’</w:t>
      </w:r>
      <w:r>
        <w:t>application des dispositions du Protocole additionnel relatives à la responsabilité et à la réparation.</w:t>
      </w:r>
    </w:p>
    <w:p w14:paraId="4C553281" w14:textId="77777777" w:rsidR="00331F07" w:rsidRDefault="0069153B">
      <w:pPr>
        <w:pStyle w:val="CBDH1"/>
        <w:tabs>
          <w:tab w:val="clear" w:pos="567"/>
          <w:tab w:val="clear" w:pos="1134"/>
          <w:tab w:val="clear" w:pos="1701"/>
          <w:tab w:val="clear" w:pos="2268"/>
          <w:tab w:val="clear" w:pos="2835"/>
          <w:tab w:val="clear" w:pos="3402"/>
        </w:tabs>
      </w:pPr>
      <w:r>
        <w:t>V.</w:t>
      </w:r>
      <w:r>
        <w:tab/>
        <w:t>Projet de décision</w:t>
      </w:r>
    </w:p>
    <w:p w14:paraId="7B7F57F3" w14:textId="5EF73520" w:rsidR="00331F07" w:rsidRDefault="0069153B">
      <w:pPr>
        <w:pStyle w:val="CBDNormalNumber"/>
        <w:keepNext/>
      </w:pPr>
      <w:r>
        <w:t xml:space="preserve">Compte tenu des informations fournies ci-dessus, la Conférence des Parties </w:t>
      </w:r>
      <w:r w:rsidR="00533EEE">
        <w:t>siégeant en tant que</w:t>
      </w:r>
      <w:r>
        <w:t xml:space="preserve"> réunion des Parties au Protocole et </w:t>
      </w:r>
      <w:r w:rsidR="009F5F90">
        <w:t xml:space="preserve">siégeant également </w:t>
      </w:r>
      <w:r w:rsidR="00E26E52">
        <w:t>en tant que</w:t>
      </w:r>
      <w:r>
        <w:t xml:space="preserve"> réunion des Parties au Protocole additionnel souhaitera peut-être adopter une décision</w:t>
      </w:r>
      <w:r w:rsidR="00E26E52">
        <w:t xml:space="preserve"> libellée comme suit</w:t>
      </w:r>
      <w:r>
        <w:t xml:space="preserve"> :</w:t>
      </w:r>
    </w:p>
    <w:p w14:paraId="5F5E045B" w14:textId="0DE83081" w:rsidR="00331F07" w:rsidRPr="00CD5A2A" w:rsidRDefault="0069153B">
      <w:pPr>
        <w:pStyle w:val="Para10"/>
        <w:numPr>
          <w:ilvl w:val="0"/>
          <w:numId w:val="0"/>
        </w:numPr>
        <w:tabs>
          <w:tab w:val="clear" w:pos="1134"/>
        </w:tabs>
        <w:ind w:left="567" w:firstLine="567"/>
      </w:pPr>
      <w:r>
        <w:rPr>
          <w:i/>
          <w:iCs/>
        </w:rPr>
        <w:t xml:space="preserve">La Conférence des Parties </w:t>
      </w:r>
      <w:r w:rsidR="00533EEE">
        <w:rPr>
          <w:i/>
          <w:iCs/>
        </w:rPr>
        <w:t>siégeant en tant que</w:t>
      </w:r>
      <w:r>
        <w:rPr>
          <w:i/>
          <w:iCs/>
        </w:rPr>
        <w:t xml:space="preserve"> réunion des Parties au Protocole de </w:t>
      </w:r>
      <w:r w:rsidR="00B83790">
        <w:rPr>
          <w:i/>
          <w:iCs/>
        </w:rPr>
        <w:t>Cartagena</w:t>
      </w:r>
      <w:r>
        <w:rPr>
          <w:i/>
          <w:iCs/>
        </w:rPr>
        <w:t xml:space="preserve"> et </w:t>
      </w:r>
      <w:r w:rsidR="00D93D00">
        <w:rPr>
          <w:i/>
          <w:iCs/>
        </w:rPr>
        <w:t xml:space="preserve">siégeant </w:t>
      </w:r>
      <w:r w:rsidR="008F4864">
        <w:rPr>
          <w:i/>
          <w:iCs/>
        </w:rPr>
        <w:t xml:space="preserve">également </w:t>
      </w:r>
      <w:r w:rsidR="00D93D00">
        <w:rPr>
          <w:i/>
          <w:iCs/>
        </w:rPr>
        <w:t>en tant que</w:t>
      </w:r>
      <w:r>
        <w:rPr>
          <w:i/>
          <w:iCs/>
        </w:rPr>
        <w:t xml:space="preserve"> réunion des Parties au Protocole additionnel de Nagoya</w:t>
      </w:r>
      <w:r>
        <w:t>-</w:t>
      </w:r>
      <w:r>
        <w:rPr>
          <w:i/>
          <w:iCs/>
        </w:rPr>
        <w:t>Kuala Lumpur</w:t>
      </w:r>
      <w:r w:rsidRPr="00DA5A98">
        <w:rPr>
          <w:rStyle w:val="FootnoteReference"/>
        </w:rPr>
        <w:footnoteReference w:id="14"/>
      </w:r>
      <w:r w:rsidR="007A6BEC">
        <w:rPr>
          <w:i/>
          <w:iCs/>
        </w:rPr>
        <w:t>,</w:t>
      </w:r>
    </w:p>
    <w:p w14:paraId="28577517" w14:textId="615CBF6B" w:rsidR="00331F07" w:rsidRPr="00CD5A2A" w:rsidRDefault="0069153B">
      <w:pPr>
        <w:pStyle w:val="Para10"/>
        <w:numPr>
          <w:ilvl w:val="0"/>
          <w:numId w:val="0"/>
        </w:numPr>
        <w:tabs>
          <w:tab w:val="clear" w:pos="1134"/>
        </w:tabs>
        <w:ind w:left="567" w:firstLine="567"/>
        <w:rPr>
          <w:rFonts w:asciiTheme="majorBidi" w:eastAsiaTheme="minorEastAsia" w:hAnsiTheme="majorBidi" w:cstheme="majorBidi"/>
        </w:rPr>
      </w:pPr>
      <w:r>
        <w:rPr>
          <w:rFonts w:asciiTheme="majorBidi" w:eastAsiaTheme="minorEastAsia" w:hAnsiTheme="majorBidi" w:cstheme="majorBidi"/>
          <w:i/>
          <w:iCs/>
        </w:rPr>
        <w:t xml:space="preserve">Rappelant </w:t>
      </w:r>
      <w:r w:rsidRPr="007A6BEC">
        <w:rPr>
          <w:rFonts w:asciiTheme="majorBidi" w:eastAsiaTheme="minorEastAsia" w:hAnsiTheme="majorBidi" w:cstheme="majorBidi"/>
        </w:rPr>
        <w:t>l</w:t>
      </w:r>
      <w:r w:rsidR="004A4F5D" w:rsidRPr="007A6BEC">
        <w:rPr>
          <w:rFonts w:asciiTheme="majorBidi" w:eastAsiaTheme="minorEastAsia" w:hAnsiTheme="majorBidi" w:cstheme="majorBidi"/>
        </w:rPr>
        <w:t>’</w:t>
      </w:r>
      <w:r w:rsidRPr="007A6BEC">
        <w:rPr>
          <w:rFonts w:asciiTheme="majorBidi" w:eastAsiaTheme="minorEastAsia" w:hAnsiTheme="majorBidi" w:cstheme="majorBidi"/>
        </w:rPr>
        <w:t>a</w:t>
      </w:r>
      <w:r>
        <w:rPr>
          <w:rFonts w:asciiTheme="majorBidi" w:eastAsiaTheme="minorEastAsia" w:hAnsiTheme="majorBidi" w:cstheme="majorBidi"/>
        </w:rPr>
        <w:t xml:space="preserve">rticle 13 du Protocole additionnel de Nagoya-Kuala Lumpur </w:t>
      </w:r>
      <w:r>
        <w:t xml:space="preserve">sur la responsabilité et </w:t>
      </w:r>
      <w:r w:rsidR="00533EEE">
        <w:t>la réparation</w:t>
      </w:r>
      <w:r>
        <w:t xml:space="preserve"> </w:t>
      </w:r>
      <w:r w:rsidR="00B1784C">
        <w:t xml:space="preserve">relatif </w:t>
      </w:r>
      <w:r>
        <w:t xml:space="preserve">au Protocole de </w:t>
      </w:r>
      <w:r w:rsidR="00B83790">
        <w:t>Cartagena</w:t>
      </w:r>
      <w:r>
        <w:t xml:space="preserve"> sur la prévention des risques biotechnologiques</w:t>
      </w:r>
      <w:r w:rsidR="00FB09F1" w:rsidRPr="00DA5A98">
        <w:rPr>
          <w:rStyle w:val="FootnoteReference"/>
          <w:rFonts w:asciiTheme="majorBidi" w:eastAsiaTheme="minorEastAsia" w:hAnsiTheme="majorBidi" w:cstheme="majorBidi"/>
        </w:rPr>
        <w:footnoteReference w:id="15"/>
      </w:r>
      <w:r w:rsidR="00B1784C">
        <w:t>,</w:t>
      </w:r>
      <w:r>
        <w:rPr>
          <w:rFonts w:asciiTheme="majorBidi" w:eastAsiaTheme="minorEastAsia" w:hAnsiTheme="majorBidi" w:cstheme="majorBidi"/>
        </w:rPr>
        <w:t xml:space="preserve"> </w:t>
      </w:r>
    </w:p>
    <w:p w14:paraId="61BEA694" w14:textId="7EAB5280" w:rsidR="00331F07" w:rsidRPr="00CD5A2A" w:rsidRDefault="0069153B">
      <w:pPr>
        <w:pStyle w:val="Para10"/>
        <w:numPr>
          <w:ilvl w:val="0"/>
          <w:numId w:val="0"/>
        </w:numPr>
        <w:tabs>
          <w:tab w:val="clear" w:pos="1134"/>
        </w:tabs>
        <w:ind w:left="567" w:firstLine="567"/>
        <w:rPr>
          <w:rFonts w:asciiTheme="majorBidi" w:eastAsiaTheme="minorEastAsia" w:hAnsiTheme="majorBidi" w:cstheme="majorBidi"/>
        </w:rPr>
      </w:pPr>
      <w:r>
        <w:rPr>
          <w:rFonts w:asciiTheme="majorBidi" w:eastAsiaTheme="minorEastAsia" w:hAnsiTheme="majorBidi" w:cstheme="majorBidi"/>
          <w:i/>
          <w:iCs/>
        </w:rPr>
        <w:t xml:space="preserve">Rappelant également </w:t>
      </w:r>
      <w:r w:rsidRPr="007A6BEC">
        <w:rPr>
          <w:rFonts w:asciiTheme="majorBidi" w:eastAsiaTheme="minorEastAsia" w:hAnsiTheme="majorBidi" w:cstheme="majorBidi"/>
        </w:rPr>
        <w:t>l</w:t>
      </w:r>
      <w:r w:rsidR="004A4F5D" w:rsidRPr="007A6BEC">
        <w:rPr>
          <w:rFonts w:asciiTheme="majorBidi" w:eastAsiaTheme="minorEastAsia" w:hAnsiTheme="majorBidi" w:cstheme="majorBidi"/>
        </w:rPr>
        <w:t>’</w:t>
      </w:r>
      <w:r>
        <w:rPr>
          <w:rFonts w:asciiTheme="majorBidi" w:hAnsiTheme="majorBidi" w:cstheme="majorBidi"/>
        </w:rPr>
        <w:t>objectif A.10 du plan</w:t>
      </w:r>
      <w:r>
        <w:rPr>
          <w:rFonts w:asciiTheme="majorBidi" w:eastAsiaTheme="minorEastAsia" w:hAnsiTheme="majorBidi" w:cstheme="majorBidi"/>
        </w:rPr>
        <w:t xml:space="preserve"> de</w:t>
      </w:r>
      <w:r>
        <w:rPr>
          <w:rFonts w:asciiTheme="majorBidi" w:hAnsiTheme="majorBidi" w:cstheme="majorBidi"/>
        </w:rPr>
        <w:t xml:space="preserve"> mise en œuvre</w:t>
      </w:r>
      <w:r w:rsidR="00BE27F6" w:rsidRPr="00DA5A98">
        <w:rPr>
          <w:rStyle w:val="FootnoteReference"/>
          <w:rFonts w:asciiTheme="majorBidi" w:hAnsiTheme="majorBidi" w:cstheme="majorBidi"/>
        </w:rPr>
        <w:footnoteReference w:id="16"/>
      </w:r>
      <w:r>
        <w:rPr>
          <w:rFonts w:asciiTheme="majorBidi" w:eastAsiaTheme="minorEastAsia" w:hAnsiTheme="majorBidi" w:cstheme="majorBidi"/>
        </w:rPr>
        <w:t xml:space="preserve"> et le plan d</w:t>
      </w:r>
      <w:r w:rsidR="004A4F5D">
        <w:rPr>
          <w:rFonts w:asciiTheme="majorBidi" w:eastAsiaTheme="minorEastAsia" w:hAnsiTheme="majorBidi" w:cstheme="majorBidi"/>
        </w:rPr>
        <w:t>’</w:t>
      </w:r>
      <w:r>
        <w:rPr>
          <w:rFonts w:asciiTheme="majorBidi" w:eastAsiaTheme="minorEastAsia" w:hAnsiTheme="majorBidi" w:cstheme="majorBidi"/>
        </w:rPr>
        <w:t>action pour le renforcement des capacité</w:t>
      </w:r>
      <w:r w:rsidR="00DC5973">
        <w:rPr>
          <w:rFonts w:asciiTheme="majorBidi" w:eastAsiaTheme="minorEastAsia" w:hAnsiTheme="majorBidi" w:cstheme="majorBidi"/>
        </w:rPr>
        <w:t>s</w:t>
      </w:r>
      <w:r w:rsidR="00DC5973" w:rsidRPr="00DA5A98">
        <w:rPr>
          <w:rStyle w:val="FootnoteReference"/>
          <w:rFonts w:asciiTheme="majorBidi" w:eastAsiaTheme="minorEastAsia" w:hAnsiTheme="majorBidi" w:cstheme="majorBidi"/>
        </w:rPr>
        <w:footnoteReference w:id="17"/>
      </w:r>
      <w:r>
        <w:rPr>
          <w:rFonts w:asciiTheme="majorBidi" w:eastAsiaTheme="minorEastAsia" w:hAnsiTheme="majorBidi" w:cstheme="majorBidi"/>
        </w:rPr>
        <w:t xml:space="preserve"> </w:t>
      </w:r>
      <w:r w:rsidR="007A6BEC">
        <w:rPr>
          <w:rFonts w:asciiTheme="majorBidi" w:eastAsiaTheme="minorEastAsia" w:hAnsiTheme="majorBidi" w:cstheme="majorBidi"/>
        </w:rPr>
        <w:t>du</w:t>
      </w:r>
      <w:r>
        <w:rPr>
          <w:rFonts w:asciiTheme="majorBidi" w:eastAsiaTheme="minorEastAsia" w:hAnsiTheme="majorBidi" w:cstheme="majorBidi"/>
        </w:rPr>
        <w:t xml:space="preserve"> Protocole de </w:t>
      </w:r>
      <w:r w:rsidR="00B83790">
        <w:rPr>
          <w:rFonts w:asciiTheme="majorBidi" w:eastAsiaTheme="minorEastAsia" w:hAnsiTheme="majorBidi" w:cstheme="majorBidi"/>
        </w:rPr>
        <w:t>Cartagena</w:t>
      </w:r>
      <w:r>
        <w:rPr>
          <w:rFonts w:asciiTheme="majorBidi" w:eastAsiaTheme="minorEastAsia" w:hAnsiTheme="majorBidi" w:cstheme="majorBidi"/>
        </w:rPr>
        <w:t xml:space="preserve"> sur la prévention des risques biotechnologiques</w:t>
      </w:r>
      <w:r w:rsidR="00951A47" w:rsidRPr="00DA5A98">
        <w:rPr>
          <w:rStyle w:val="FootnoteReference"/>
          <w:rFonts w:asciiTheme="majorBidi" w:eastAsiaTheme="minorEastAsia" w:hAnsiTheme="majorBidi" w:cstheme="majorBidi"/>
        </w:rPr>
        <w:footnoteReference w:id="18"/>
      </w:r>
      <w:r w:rsidR="007A6BEC">
        <w:rPr>
          <w:rFonts w:asciiTheme="majorBidi" w:eastAsiaTheme="minorEastAsia" w:hAnsiTheme="majorBidi" w:cstheme="majorBidi"/>
        </w:rPr>
        <w:t>,</w:t>
      </w:r>
    </w:p>
    <w:p w14:paraId="1C1D87D1" w14:textId="60847342" w:rsidR="00331F07" w:rsidRPr="00CD5A2A" w:rsidRDefault="0069153B">
      <w:pPr>
        <w:pStyle w:val="Para10"/>
        <w:numPr>
          <w:ilvl w:val="0"/>
          <w:numId w:val="0"/>
        </w:numPr>
        <w:tabs>
          <w:tab w:val="clear" w:pos="1134"/>
        </w:tabs>
        <w:ind w:left="567" w:firstLine="567"/>
        <w:rPr>
          <w:rFonts w:asciiTheme="majorBidi" w:eastAsiaTheme="minorEastAsia" w:hAnsiTheme="majorBidi" w:cstheme="majorBidi"/>
        </w:rPr>
      </w:pPr>
      <w:r>
        <w:rPr>
          <w:rFonts w:ascii="Times" w:hAnsi="Times" w:cs="Times"/>
          <w:i/>
          <w:iCs/>
        </w:rPr>
        <w:t>Prenant note</w:t>
      </w:r>
      <w:r>
        <w:rPr>
          <w:rFonts w:ascii="Times" w:hAnsi="Times" w:cs="Times"/>
        </w:rPr>
        <w:t xml:space="preserve"> des informations fournies pour la première évaluation et examen du Protocole </w:t>
      </w:r>
      <w:r w:rsidR="00533EEE">
        <w:rPr>
          <w:rFonts w:ascii="Times" w:hAnsi="Times" w:cs="Times"/>
        </w:rPr>
        <w:t>additionnel</w:t>
      </w:r>
      <w:r>
        <w:rPr>
          <w:rFonts w:ascii="Times" w:hAnsi="Times" w:cs="Times"/>
        </w:rPr>
        <w:t xml:space="preserve"> de </w:t>
      </w:r>
      <w:r>
        <w:t>Nagoya-Kuala Lumpur</w:t>
      </w:r>
      <w:r>
        <w:rPr>
          <w:rFonts w:ascii="Times" w:hAnsi="Times" w:cs="Times"/>
        </w:rPr>
        <w:t>,</w:t>
      </w:r>
    </w:p>
    <w:p w14:paraId="33F00E9B" w14:textId="4E63DEDE" w:rsidR="00331F07" w:rsidRDefault="0069153B">
      <w:pPr>
        <w:pStyle w:val="CBDNormalNoNumber"/>
        <w:ind w:firstLine="567"/>
      </w:pPr>
      <w:r>
        <w:rPr>
          <w:iCs/>
        </w:rPr>
        <w:t>1.</w:t>
      </w:r>
      <w:r>
        <w:rPr>
          <w:iCs/>
        </w:rPr>
        <w:tab/>
      </w:r>
      <w:r w:rsidR="00814B26">
        <w:rPr>
          <w:i/>
        </w:rPr>
        <w:t>Accueille avec satisfaction</w:t>
      </w:r>
      <w:r>
        <w:t xml:space="preserve"> </w:t>
      </w:r>
      <w:r>
        <w:rPr>
          <w:iCs/>
        </w:rPr>
        <w:t>l</w:t>
      </w:r>
      <w:r w:rsidR="004A4F5D">
        <w:rPr>
          <w:iCs/>
        </w:rPr>
        <w:t>’</w:t>
      </w:r>
      <w:r>
        <w:t>instrument</w:t>
      </w:r>
      <w:r>
        <w:rPr>
          <w:iCs/>
        </w:rPr>
        <w:t xml:space="preserve"> supplémentaire d</w:t>
      </w:r>
      <w:r w:rsidR="004A4F5D">
        <w:rPr>
          <w:iCs/>
        </w:rPr>
        <w:t>’</w:t>
      </w:r>
      <w:r>
        <w:t xml:space="preserve">adhésion au </w:t>
      </w:r>
      <w:r w:rsidR="00776955">
        <w:t>Protocole additionnel</w:t>
      </w:r>
      <w:r>
        <w:t xml:space="preserve"> de Nagoya-Kuala Lumpur sur la responsabilité et </w:t>
      </w:r>
      <w:r w:rsidR="00533EEE">
        <w:t>la réparation</w:t>
      </w:r>
      <w:r>
        <w:t xml:space="preserve"> </w:t>
      </w:r>
      <w:r w:rsidR="00DD5E3A">
        <w:t xml:space="preserve">relatif </w:t>
      </w:r>
      <w:r>
        <w:t xml:space="preserve">au </w:t>
      </w:r>
      <w:r w:rsidR="00DD5E3A">
        <w:t>P</w:t>
      </w:r>
      <w:r>
        <w:t xml:space="preserve">rotocole de </w:t>
      </w:r>
      <w:r w:rsidR="00B83790">
        <w:t>Cartagena</w:t>
      </w:r>
      <w:r>
        <w:t xml:space="preserve"> sur la prévention des risques biotechnologiques qui a été déposé depuis l</w:t>
      </w:r>
      <w:r w:rsidR="004A4F5D">
        <w:t>’</w:t>
      </w:r>
      <w:r>
        <w:t xml:space="preserve">adoption de la décision </w:t>
      </w:r>
      <w:hyperlink r:id="rId24" w:history="1">
        <w:r>
          <w:rPr>
            <w:rStyle w:val="Hyperlink"/>
          </w:rPr>
          <w:t>CP-11/10</w:t>
        </w:r>
      </w:hyperlink>
      <w:r>
        <w:t xml:space="preserve"> du 25 octobre 2024</w:t>
      </w:r>
      <w:r w:rsidR="00EE0739">
        <w:t>;</w:t>
      </w:r>
    </w:p>
    <w:p w14:paraId="1B6D1432" w14:textId="40DED8FF" w:rsidR="00331F07" w:rsidRDefault="0069153B">
      <w:pPr>
        <w:pStyle w:val="CBDNormalNoNumber"/>
        <w:ind w:firstLine="567"/>
      </w:pPr>
      <w:r>
        <w:rPr>
          <w:iCs/>
        </w:rPr>
        <w:t>2.</w:t>
      </w:r>
      <w:r>
        <w:rPr>
          <w:iCs/>
        </w:rPr>
        <w:tab/>
      </w:r>
      <w:r>
        <w:rPr>
          <w:i/>
        </w:rPr>
        <w:t xml:space="preserve">Invite </w:t>
      </w:r>
      <w:r>
        <w:t xml:space="preserve">toutes les Parties au Protocole de </w:t>
      </w:r>
      <w:r w:rsidR="00B83790">
        <w:t>Cartagena</w:t>
      </w:r>
      <w:r>
        <w:t xml:space="preserve"> qui ne l</w:t>
      </w:r>
      <w:r w:rsidR="004A4F5D">
        <w:t>’</w:t>
      </w:r>
      <w:r>
        <w:t>ont pas encore fait à déposer dès que possible un instrument de ratification, d</w:t>
      </w:r>
      <w:r w:rsidR="004A4F5D">
        <w:t>’</w:t>
      </w:r>
      <w:r>
        <w:t>acceptation, d</w:t>
      </w:r>
      <w:r w:rsidR="004A4F5D">
        <w:t>’</w:t>
      </w:r>
      <w:r>
        <w:t>approbation ou d</w:t>
      </w:r>
      <w:r w:rsidR="004A4F5D">
        <w:t>’</w:t>
      </w:r>
      <w:r>
        <w:t>adhésion au Protocole additionnel de Nagoya-Kuala Lumpur</w:t>
      </w:r>
      <w:r w:rsidR="00EE0739">
        <w:t>;</w:t>
      </w:r>
    </w:p>
    <w:p w14:paraId="42AC8B5F" w14:textId="226865E1" w:rsidR="00331F07" w:rsidRDefault="0069153B">
      <w:pPr>
        <w:pStyle w:val="CBDNormalNoNumber"/>
        <w:ind w:firstLine="567"/>
        <w:rPr>
          <w:iCs/>
        </w:rPr>
      </w:pPr>
      <w:r>
        <w:t>3.</w:t>
      </w:r>
      <w:r>
        <w:tab/>
      </w:r>
      <w:r>
        <w:rPr>
          <w:i/>
          <w:iCs/>
        </w:rPr>
        <w:t xml:space="preserve">Se félicite </w:t>
      </w:r>
      <w:r>
        <w:t xml:space="preserve">du fait </w:t>
      </w:r>
      <w:r>
        <w:rPr>
          <w:iCs/>
        </w:rPr>
        <w:t xml:space="preserve">que presque toutes les Parties au Protocole additionnel de </w:t>
      </w:r>
      <w:r>
        <w:t>Nagoya-Kuala Lumpur</w:t>
      </w:r>
      <w:r>
        <w:rPr>
          <w:iCs/>
        </w:rPr>
        <w:t xml:space="preserve"> ont fait état de la désignation d</w:t>
      </w:r>
      <w:r w:rsidR="004A4F5D">
        <w:rPr>
          <w:iCs/>
        </w:rPr>
        <w:t>’</w:t>
      </w:r>
      <w:r>
        <w:rPr>
          <w:iCs/>
        </w:rPr>
        <w:t xml:space="preserve">une autorité compétente </w:t>
      </w:r>
      <w:r>
        <w:t>pour exercer les fonctions énoncées à l</w:t>
      </w:r>
      <w:r w:rsidR="004A4F5D">
        <w:t>’</w:t>
      </w:r>
      <w:r>
        <w:t xml:space="preserve">article 5 du Protocole additionnel, mais constate avec préoccupation que </w:t>
      </w:r>
      <w:r>
        <w:rPr>
          <w:iCs/>
        </w:rPr>
        <w:t>relativement peu de Parties ont mis à disposition des informations sur ces autorités par l</w:t>
      </w:r>
      <w:r w:rsidR="004A4F5D">
        <w:rPr>
          <w:iCs/>
        </w:rPr>
        <w:t>’</w:t>
      </w:r>
      <w:r>
        <w:rPr>
          <w:iCs/>
        </w:rPr>
        <w:t xml:space="preserve">intermédiaire du </w:t>
      </w:r>
      <w:r w:rsidR="001E2E37">
        <w:rPr>
          <w:iCs/>
        </w:rPr>
        <w:t>Centre d’échange pour la prévention</w:t>
      </w:r>
      <w:r>
        <w:rPr>
          <w:iCs/>
        </w:rPr>
        <w:t xml:space="preserve"> des risques biotechnologiques, </w:t>
      </w:r>
      <w:r>
        <w:rPr>
          <w:rFonts w:ascii="Times" w:hAnsi="Times" w:cs="Times"/>
        </w:rPr>
        <w:t xml:space="preserve">et encourage les Parties à actualiser et </w:t>
      </w:r>
      <w:r>
        <w:rPr>
          <w:rFonts w:ascii="Times" w:hAnsi="Times" w:cs="Times"/>
        </w:rPr>
        <w:lastRenderedPageBreak/>
        <w:t xml:space="preserve">à </w:t>
      </w:r>
      <w:r w:rsidR="007E515B">
        <w:rPr>
          <w:rFonts w:ascii="Times" w:hAnsi="Times" w:cs="Times"/>
        </w:rPr>
        <w:t>maintenir</w:t>
      </w:r>
      <w:r>
        <w:rPr>
          <w:rFonts w:ascii="Times" w:hAnsi="Times" w:cs="Times"/>
        </w:rPr>
        <w:t xml:space="preserve"> les informations sur leurs autorités compétentes </w:t>
      </w:r>
      <w:r w:rsidR="001A590D">
        <w:rPr>
          <w:rFonts w:ascii="Times" w:hAnsi="Times" w:cs="Times"/>
        </w:rPr>
        <w:t>dans</w:t>
      </w:r>
      <w:r>
        <w:rPr>
          <w:rFonts w:ascii="Times" w:hAnsi="Times" w:cs="Times"/>
        </w:rPr>
        <w:t xml:space="preserve"> le </w:t>
      </w:r>
      <w:r w:rsidR="001E2E37">
        <w:rPr>
          <w:rFonts w:ascii="Times" w:hAnsi="Times" w:cs="Times"/>
        </w:rPr>
        <w:t>Centre d’échange pour la prévention</w:t>
      </w:r>
      <w:r>
        <w:rPr>
          <w:rFonts w:ascii="Times" w:hAnsi="Times" w:cs="Times"/>
        </w:rPr>
        <w:t xml:space="preserve"> des risques biotechnologiques</w:t>
      </w:r>
      <w:r w:rsidR="00EE0739">
        <w:rPr>
          <w:rFonts w:ascii="Times" w:hAnsi="Times" w:cs="Times"/>
        </w:rPr>
        <w:t>;</w:t>
      </w:r>
    </w:p>
    <w:p w14:paraId="706B80BE" w14:textId="6975D31D" w:rsidR="00331F07" w:rsidRDefault="0069153B">
      <w:pPr>
        <w:pStyle w:val="CBDNormalNoNumber"/>
        <w:ind w:firstLine="567"/>
        <w:rPr>
          <w:iCs/>
        </w:rPr>
      </w:pPr>
      <w:r>
        <w:rPr>
          <w:iCs/>
        </w:rPr>
        <w:t>4.</w:t>
      </w:r>
      <w:r>
        <w:rPr>
          <w:iCs/>
        </w:rPr>
        <w:tab/>
      </w:r>
      <w:r>
        <w:rPr>
          <w:i/>
        </w:rPr>
        <w:t xml:space="preserve">Accueille avec satisfaction </w:t>
      </w:r>
      <w:r>
        <w:rPr>
          <w:iCs/>
        </w:rPr>
        <w:t>les informations relatives à l</w:t>
      </w:r>
      <w:r w:rsidR="005A5C6C">
        <w:rPr>
          <w:iCs/>
        </w:rPr>
        <w:t>a mise en œuvre</w:t>
      </w:r>
      <w:r>
        <w:rPr>
          <w:iCs/>
        </w:rPr>
        <w:t xml:space="preserve"> du Protocole </w:t>
      </w:r>
      <w:r w:rsidR="00533EEE">
        <w:rPr>
          <w:iCs/>
        </w:rPr>
        <w:t>additionnel</w:t>
      </w:r>
      <w:r>
        <w:rPr>
          <w:iCs/>
        </w:rPr>
        <w:t xml:space="preserve"> de </w:t>
      </w:r>
      <w:r>
        <w:t>Nagoya-Kuala Lumpur</w:t>
      </w:r>
      <w:r>
        <w:rPr>
          <w:iCs/>
        </w:rPr>
        <w:t xml:space="preserve"> fournies par les Parties à ce </w:t>
      </w:r>
      <w:r w:rsidR="001A590D">
        <w:rPr>
          <w:iCs/>
        </w:rPr>
        <w:t>P</w:t>
      </w:r>
      <w:r>
        <w:rPr>
          <w:iCs/>
        </w:rPr>
        <w:t>rotocole et par d</w:t>
      </w:r>
      <w:r w:rsidR="004A4F5D">
        <w:rPr>
          <w:iCs/>
        </w:rPr>
        <w:t>’</w:t>
      </w:r>
      <w:r>
        <w:rPr>
          <w:iCs/>
        </w:rPr>
        <w:t xml:space="preserve">autres gouvernements dans leurs cinquièmes rapports nationaux </w:t>
      </w:r>
      <w:r w:rsidR="007E515B">
        <w:rPr>
          <w:iCs/>
        </w:rPr>
        <w:t xml:space="preserve">établis </w:t>
      </w:r>
      <w:r>
        <w:rPr>
          <w:iCs/>
        </w:rPr>
        <w:t xml:space="preserve">au titre du Protocole de </w:t>
      </w:r>
      <w:r w:rsidR="00B83790">
        <w:rPr>
          <w:rFonts w:asciiTheme="majorBidi" w:eastAsiaTheme="minorEastAsia" w:hAnsiTheme="majorBidi" w:cstheme="majorBidi"/>
        </w:rPr>
        <w:t>Cartagena</w:t>
      </w:r>
      <w:r>
        <w:rPr>
          <w:iCs/>
        </w:rPr>
        <w:t>, qui ont servi de base à la première évaluation et examen de l</w:t>
      </w:r>
      <w:r w:rsidR="004A4F5D">
        <w:rPr>
          <w:iCs/>
        </w:rPr>
        <w:t>’</w:t>
      </w:r>
      <w:r>
        <w:rPr>
          <w:iCs/>
        </w:rPr>
        <w:t xml:space="preserve">efficacité du Protocole </w:t>
      </w:r>
      <w:r w:rsidR="00533EEE">
        <w:rPr>
          <w:iCs/>
        </w:rPr>
        <w:t>additionnel</w:t>
      </w:r>
      <w:r w:rsidR="00EE0739">
        <w:rPr>
          <w:iCs/>
        </w:rPr>
        <w:t>;</w:t>
      </w:r>
    </w:p>
    <w:p w14:paraId="6736F2EE" w14:textId="273B4EE6" w:rsidR="00331F07" w:rsidRDefault="0069153B">
      <w:pPr>
        <w:pStyle w:val="CBDNormalNoNumber"/>
        <w:ind w:firstLine="567"/>
      </w:pPr>
      <w:r>
        <w:rPr>
          <w:iCs/>
        </w:rPr>
        <w:t>5.</w:t>
      </w:r>
      <w:r>
        <w:rPr>
          <w:iCs/>
        </w:rPr>
        <w:tab/>
      </w:r>
      <w:r>
        <w:rPr>
          <w:i/>
        </w:rPr>
        <w:t xml:space="preserve">Se </w:t>
      </w:r>
      <w:r>
        <w:rPr>
          <w:i/>
          <w:iCs/>
        </w:rPr>
        <w:t>félicite</w:t>
      </w:r>
      <w:r>
        <w:rPr>
          <w:i/>
        </w:rPr>
        <w:t xml:space="preserve"> également </w:t>
      </w:r>
      <w:r>
        <w:t xml:space="preserve">des mesures prises par les Parties au Protocole </w:t>
      </w:r>
      <w:r w:rsidR="00533EEE">
        <w:t>additionnel</w:t>
      </w:r>
      <w:r>
        <w:t xml:space="preserve"> de Nagoya-Kuala Lumpur en vue de s</w:t>
      </w:r>
      <w:r w:rsidR="00475A8A">
        <w:t>a mise en œuvre</w:t>
      </w:r>
      <w:r>
        <w:t>, tout en reconnaissant qu</w:t>
      </w:r>
      <w:r w:rsidR="004A4F5D">
        <w:t>’</w:t>
      </w:r>
      <w:r>
        <w:t xml:space="preserve">il </w:t>
      </w:r>
      <w:r w:rsidR="002F7273">
        <w:t>subsiste</w:t>
      </w:r>
      <w:r>
        <w:t xml:space="preserve"> des domaines dans lesquels l</w:t>
      </w:r>
      <w:r w:rsidR="00475A8A">
        <w:t>a mise en œuvre</w:t>
      </w:r>
      <w:r>
        <w:t xml:space="preserve"> doit être renforcée</w:t>
      </w:r>
      <w:r w:rsidR="00EE0739">
        <w:t>;</w:t>
      </w:r>
    </w:p>
    <w:p w14:paraId="421282AE" w14:textId="3A206F39" w:rsidR="00331F07" w:rsidRDefault="0069153B">
      <w:pPr>
        <w:pStyle w:val="CBDNormalNoNumber"/>
        <w:ind w:firstLine="567"/>
        <w:rPr>
          <w:iCs/>
        </w:rPr>
      </w:pPr>
      <w:r>
        <w:rPr>
          <w:iCs/>
        </w:rPr>
        <w:t>6.</w:t>
      </w:r>
      <w:r>
        <w:rPr>
          <w:iCs/>
        </w:rPr>
        <w:tab/>
      </w:r>
      <w:r>
        <w:rPr>
          <w:i/>
          <w:iCs/>
        </w:rPr>
        <w:t>Reconnaît</w:t>
      </w:r>
      <w:r>
        <w:rPr>
          <w:iCs/>
        </w:rPr>
        <w:t xml:space="preserve"> que les mesures de </w:t>
      </w:r>
      <w:r w:rsidR="005A5C6C">
        <w:rPr>
          <w:iCs/>
        </w:rPr>
        <w:t>garantie financière</w:t>
      </w:r>
      <w:r>
        <w:rPr>
          <w:iCs/>
        </w:rPr>
        <w:t xml:space="preserve"> relatives aux dommages, telles que définies dans le Protocole </w:t>
      </w:r>
      <w:r w:rsidR="00533EEE">
        <w:rPr>
          <w:iCs/>
        </w:rPr>
        <w:t>additionnel</w:t>
      </w:r>
      <w:r>
        <w:rPr>
          <w:iCs/>
        </w:rPr>
        <w:t xml:space="preserve"> de </w:t>
      </w:r>
      <w:r>
        <w:t>Nagoya-Kuala Lumpur</w:t>
      </w:r>
      <w:r>
        <w:rPr>
          <w:iCs/>
        </w:rPr>
        <w:t xml:space="preserve">, restent limitées </w:t>
      </w:r>
      <w:r w:rsidR="00CB1738">
        <w:rPr>
          <w:iCs/>
        </w:rPr>
        <w:t>au sein</w:t>
      </w:r>
      <w:r>
        <w:rPr>
          <w:iCs/>
        </w:rPr>
        <w:t xml:space="preserve"> </w:t>
      </w:r>
      <w:r w:rsidR="00CB1738">
        <w:rPr>
          <w:iCs/>
        </w:rPr>
        <w:t>d</w:t>
      </w:r>
      <w:r>
        <w:rPr>
          <w:iCs/>
        </w:rPr>
        <w:t xml:space="preserve">es Parties à ce </w:t>
      </w:r>
      <w:r w:rsidR="002F7273">
        <w:rPr>
          <w:iCs/>
        </w:rPr>
        <w:t>P</w:t>
      </w:r>
      <w:r>
        <w:rPr>
          <w:iCs/>
        </w:rPr>
        <w:t>rotocole</w:t>
      </w:r>
      <w:r w:rsidR="00EE0739">
        <w:rPr>
          <w:iCs/>
        </w:rPr>
        <w:t>;</w:t>
      </w:r>
    </w:p>
    <w:p w14:paraId="5B2C2E77" w14:textId="609B2F5E" w:rsidR="00331F07" w:rsidRDefault="0069153B">
      <w:pPr>
        <w:pStyle w:val="CBDNormalNoNumber"/>
        <w:ind w:firstLine="567"/>
      </w:pPr>
      <w:r>
        <w:rPr>
          <w:iCs/>
        </w:rPr>
        <w:t>7</w:t>
      </w:r>
      <w:r>
        <w:t>.</w:t>
      </w:r>
      <w:r>
        <w:tab/>
      </w:r>
      <w:r>
        <w:rPr>
          <w:i/>
          <w:iCs/>
        </w:rPr>
        <w:t>Reconnaît également</w:t>
      </w:r>
      <w:r>
        <w:rPr>
          <w:iCs/>
        </w:rPr>
        <w:t xml:space="preserve"> que de nombreuses Parties au Protocole additionnel de </w:t>
      </w:r>
      <w:r>
        <w:t>Nagoya-Kuala Lumpur</w:t>
      </w:r>
      <w:r>
        <w:rPr>
          <w:iCs/>
        </w:rPr>
        <w:t xml:space="preserve"> s</w:t>
      </w:r>
      <w:r w:rsidR="004A4F5D">
        <w:rPr>
          <w:iCs/>
        </w:rPr>
        <w:t>’</w:t>
      </w:r>
      <w:r>
        <w:rPr>
          <w:iCs/>
        </w:rPr>
        <w:t>appuient sur des cadres de responsabilité environnementale, administrative ou civile pour aborder la responsabilité pour les dommages résultant d</w:t>
      </w:r>
      <w:r w:rsidR="004A4F5D">
        <w:rPr>
          <w:iCs/>
        </w:rPr>
        <w:t>’</w:t>
      </w:r>
      <w:r>
        <w:rPr>
          <w:iCs/>
        </w:rPr>
        <w:t>organismes vivants modifiés</w:t>
      </w:r>
      <w:r w:rsidR="00EE0739">
        <w:rPr>
          <w:iCs/>
        </w:rPr>
        <w:t>;</w:t>
      </w:r>
    </w:p>
    <w:p w14:paraId="48FF8297" w14:textId="73308B9E" w:rsidR="00331F07" w:rsidRDefault="0069153B">
      <w:pPr>
        <w:pStyle w:val="CBDNormalNoNumber"/>
        <w:ind w:firstLine="567"/>
        <w:rPr>
          <w:iCs/>
        </w:rPr>
      </w:pPr>
      <w:r>
        <w:rPr>
          <w:iCs/>
        </w:rPr>
        <w:t>8.</w:t>
      </w:r>
      <w:r>
        <w:rPr>
          <w:iCs/>
        </w:rPr>
        <w:tab/>
      </w:r>
      <w:r>
        <w:rPr>
          <w:i/>
        </w:rPr>
        <w:t xml:space="preserve">Encourage </w:t>
      </w:r>
      <w:r w:rsidRPr="004D49F1">
        <w:rPr>
          <w:iCs/>
        </w:rPr>
        <w:t>les</w:t>
      </w:r>
      <w:r>
        <w:rPr>
          <w:i/>
        </w:rPr>
        <w:t xml:space="preserve"> </w:t>
      </w:r>
      <w:r>
        <w:rPr>
          <w:iCs/>
        </w:rPr>
        <w:t xml:space="preserve">Parties au Protocole </w:t>
      </w:r>
      <w:r w:rsidR="00533EEE">
        <w:rPr>
          <w:iCs/>
        </w:rPr>
        <w:t>additionnel</w:t>
      </w:r>
      <w:r>
        <w:rPr>
          <w:iCs/>
        </w:rPr>
        <w:t xml:space="preserve"> de </w:t>
      </w:r>
      <w:r>
        <w:t>Nagoya-Kuala Lumpur</w:t>
      </w:r>
      <w:r>
        <w:rPr>
          <w:iCs/>
        </w:rPr>
        <w:t xml:space="preserve"> à </w:t>
      </w:r>
      <w:r w:rsidR="00B527D5">
        <w:rPr>
          <w:iCs/>
        </w:rPr>
        <w:t>développ</w:t>
      </w:r>
      <w:r>
        <w:rPr>
          <w:iCs/>
        </w:rPr>
        <w:t xml:space="preserve">er ou </w:t>
      </w:r>
      <w:r w:rsidR="00B527D5">
        <w:rPr>
          <w:iCs/>
        </w:rPr>
        <w:t xml:space="preserve">à </w:t>
      </w:r>
      <w:r>
        <w:rPr>
          <w:iCs/>
        </w:rPr>
        <w:t>faciliter l</w:t>
      </w:r>
      <w:r w:rsidR="004A4F5D">
        <w:rPr>
          <w:iCs/>
        </w:rPr>
        <w:t>’</w:t>
      </w:r>
      <w:r>
        <w:rPr>
          <w:iCs/>
        </w:rPr>
        <w:t xml:space="preserve">accès à </w:t>
      </w:r>
      <w:r w:rsidR="00B527D5">
        <w:rPr>
          <w:iCs/>
        </w:rPr>
        <w:t>la</w:t>
      </w:r>
      <w:r>
        <w:rPr>
          <w:iCs/>
        </w:rPr>
        <w:t xml:space="preserve"> </w:t>
      </w:r>
      <w:r w:rsidR="005A5C6C">
        <w:rPr>
          <w:iCs/>
        </w:rPr>
        <w:t>garantie financière</w:t>
      </w:r>
      <w:r>
        <w:rPr>
          <w:iCs/>
        </w:rPr>
        <w:t xml:space="preserve">, conformément à son article 10, et à élaborer ou </w:t>
      </w:r>
      <w:r w:rsidR="00C45477">
        <w:rPr>
          <w:iCs/>
        </w:rPr>
        <w:t xml:space="preserve">à </w:t>
      </w:r>
      <w:r>
        <w:rPr>
          <w:iCs/>
        </w:rPr>
        <w:t>appliquer des règles et procédures de responsabilité civile en matière de dommages, conformément à l</w:t>
      </w:r>
      <w:r w:rsidR="004A4F5D">
        <w:rPr>
          <w:iCs/>
        </w:rPr>
        <w:t>’</w:t>
      </w:r>
      <w:r>
        <w:rPr>
          <w:iCs/>
        </w:rPr>
        <w:t>article</w:t>
      </w:r>
      <w:r w:rsidR="00C45477">
        <w:rPr>
          <w:iCs/>
        </w:rPr>
        <w:t> </w:t>
      </w:r>
      <w:r>
        <w:rPr>
          <w:iCs/>
        </w:rPr>
        <w:t>12</w:t>
      </w:r>
      <w:r w:rsidR="00EE0739">
        <w:rPr>
          <w:iCs/>
        </w:rPr>
        <w:t>;</w:t>
      </w:r>
    </w:p>
    <w:p w14:paraId="0D41C243" w14:textId="44CEFA76" w:rsidR="00331F07" w:rsidRDefault="0069153B">
      <w:pPr>
        <w:pStyle w:val="CBDNormalNoNumber"/>
        <w:ind w:firstLine="567"/>
        <w:rPr>
          <w:iCs/>
        </w:rPr>
      </w:pPr>
      <w:r>
        <w:rPr>
          <w:iCs/>
        </w:rPr>
        <w:t>9</w:t>
      </w:r>
      <w:r>
        <w:rPr>
          <w:i/>
        </w:rPr>
        <w:t>.</w:t>
      </w:r>
      <w:r>
        <w:rPr>
          <w:i/>
        </w:rPr>
        <w:tab/>
        <w:t>Encourage également</w:t>
      </w:r>
      <w:r>
        <w:rPr>
          <w:iCs/>
        </w:rPr>
        <w:t xml:space="preserve"> les Parties au Protocole additionnel de </w:t>
      </w:r>
      <w:r>
        <w:t>Nagoya-Kuala Lumpur</w:t>
      </w:r>
      <w:r>
        <w:rPr>
          <w:iCs/>
        </w:rPr>
        <w:t xml:space="preserve"> à poursuivre leurs efforts en vue de la mise en œuvre intégrale du Protocole additionnel</w:t>
      </w:r>
      <w:r w:rsidR="00EE0739">
        <w:rPr>
          <w:iCs/>
        </w:rPr>
        <w:t>;</w:t>
      </w:r>
    </w:p>
    <w:p w14:paraId="2EC62AEE" w14:textId="36F1514B" w:rsidR="00331F07" w:rsidRDefault="0069153B">
      <w:pPr>
        <w:pStyle w:val="CBDNormalNoNumber"/>
        <w:ind w:firstLine="567"/>
        <w:rPr>
          <w:iCs/>
        </w:rPr>
      </w:pPr>
      <w:r>
        <w:rPr>
          <w:iCs/>
        </w:rPr>
        <w:t>10.</w:t>
      </w:r>
      <w:r>
        <w:rPr>
          <w:iCs/>
        </w:rPr>
        <w:tab/>
      </w:r>
      <w:r>
        <w:rPr>
          <w:i/>
        </w:rPr>
        <w:t>Invite</w:t>
      </w:r>
      <w:r>
        <w:rPr>
          <w:iCs/>
        </w:rPr>
        <w:t xml:space="preserve"> les Parties et les autres gouvernements à publier des informations sur les faits nouveaux concernant la mise en œuvre du Protocole additionnel de </w:t>
      </w:r>
      <w:r>
        <w:t>Nagoya-Kuala Lumpur</w:t>
      </w:r>
      <w:r>
        <w:rPr>
          <w:iCs/>
        </w:rPr>
        <w:t xml:space="preserve"> par l</w:t>
      </w:r>
      <w:r w:rsidR="004A4F5D">
        <w:rPr>
          <w:iCs/>
        </w:rPr>
        <w:t>’</w:t>
      </w:r>
      <w:r>
        <w:rPr>
          <w:iCs/>
        </w:rPr>
        <w:t xml:space="preserve">intermédiaire de la bibliothèque virtuelle du </w:t>
      </w:r>
      <w:r w:rsidR="001E2E37">
        <w:rPr>
          <w:iCs/>
        </w:rPr>
        <w:t>Centre d’échange pour la prévention</w:t>
      </w:r>
      <w:r>
        <w:rPr>
          <w:iCs/>
        </w:rPr>
        <w:t xml:space="preserve"> des risques biotechnologiques, en vue de partager des données d</w:t>
      </w:r>
      <w:r w:rsidR="004A4F5D">
        <w:rPr>
          <w:iCs/>
        </w:rPr>
        <w:t>’</w:t>
      </w:r>
      <w:r>
        <w:rPr>
          <w:iCs/>
        </w:rPr>
        <w:t>expérience à cet égard</w:t>
      </w:r>
      <w:r w:rsidR="00EE0739">
        <w:rPr>
          <w:iCs/>
        </w:rPr>
        <w:t>;</w:t>
      </w:r>
    </w:p>
    <w:p w14:paraId="0369B4D8" w14:textId="39B193DD" w:rsidR="00331F07" w:rsidRDefault="0069153B">
      <w:pPr>
        <w:pStyle w:val="CBDNormalNoNumber"/>
        <w:ind w:firstLine="567"/>
      </w:pPr>
      <w:r>
        <w:rPr>
          <w:iCs/>
        </w:rPr>
        <w:t>11</w:t>
      </w:r>
      <w:r>
        <w:rPr>
          <w:iCs/>
        </w:rPr>
        <w:tab/>
      </w:r>
      <w:r>
        <w:rPr>
          <w:i/>
        </w:rPr>
        <w:t xml:space="preserve">Invite </w:t>
      </w:r>
      <w:r w:rsidRPr="004D49F1">
        <w:rPr>
          <w:iCs/>
        </w:rPr>
        <w:t xml:space="preserve">les </w:t>
      </w:r>
      <w:r>
        <w:rPr>
          <w:iCs/>
        </w:rPr>
        <w:t>Parties, les autres gouvernements et les organisations compétentes à continuer d</w:t>
      </w:r>
      <w:r w:rsidR="004A4F5D">
        <w:rPr>
          <w:iCs/>
        </w:rPr>
        <w:t>’</w:t>
      </w:r>
      <w:r>
        <w:rPr>
          <w:iCs/>
        </w:rPr>
        <w:t>appuyer les activités de renforcement des capacités à l</w:t>
      </w:r>
      <w:r w:rsidR="004A4F5D">
        <w:rPr>
          <w:iCs/>
        </w:rPr>
        <w:t>’</w:t>
      </w:r>
      <w:r>
        <w:rPr>
          <w:iCs/>
        </w:rPr>
        <w:t xml:space="preserve">appui de la mise en œuvre effective du Protocole additionnel de </w:t>
      </w:r>
      <w:r>
        <w:t>Nagoya-Kuala Lumpur</w:t>
      </w:r>
      <w:r>
        <w:rPr>
          <w:iCs/>
        </w:rPr>
        <w:t>, et encourage les donateurs à fournir les ressources nécessaires à cet égard, en vue de la réalisation de l</w:t>
      </w:r>
      <w:r w:rsidR="004A4F5D">
        <w:rPr>
          <w:iCs/>
        </w:rPr>
        <w:t>’</w:t>
      </w:r>
      <w:r>
        <w:rPr>
          <w:iCs/>
        </w:rPr>
        <w:t>objectif A.10 du plan de mise en œuvre et du plan d</w:t>
      </w:r>
      <w:r w:rsidR="004A4F5D">
        <w:rPr>
          <w:iCs/>
        </w:rPr>
        <w:t>’</w:t>
      </w:r>
      <w:r>
        <w:rPr>
          <w:iCs/>
        </w:rPr>
        <w:t xml:space="preserve">action pour le renforcement des capacités du Protocole de </w:t>
      </w:r>
      <w:r w:rsidR="00B83790">
        <w:rPr>
          <w:iCs/>
        </w:rPr>
        <w:t>Cartagena</w:t>
      </w:r>
      <w:r w:rsidR="00EE0739">
        <w:rPr>
          <w:iCs/>
        </w:rPr>
        <w:t>;</w:t>
      </w:r>
    </w:p>
    <w:p w14:paraId="094B87C8" w14:textId="2B9EE4F5" w:rsidR="00331F07" w:rsidRDefault="0069153B">
      <w:pPr>
        <w:pStyle w:val="CBDNormalNoNumber"/>
        <w:ind w:firstLine="567"/>
      </w:pPr>
      <w:r>
        <w:rPr>
          <w:rFonts w:ascii="Times" w:hAnsi="Times" w:cs="Times"/>
        </w:rPr>
        <w:t>12</w:t>
      </w:r>
      <w:r>
        <w:rPr>
          <w:rFonts w:ascii="Times" w:hAnsi="Times" w:cs="Times"/>
        </w:rPr>
        <w:tab/>
      </w:r>
      <w:r>
        <w:rPr>
          <w:rFonts w:ascii="Times" w:hAnsi="Times" w:cs="Times"/>
          <w:i/>
          <w:iCs/>
        </w:rPr>
        <w:t xml:space="preserve">Prie </w:t>
      </w:r>
      <w:r w:rsidR="004D49F1">
        <w:t>la Secrétaire exécutive</w:t>
      </w:r>
      <w:r>
        <w:t xml:space="preserve"> d</w:t>
      </w:r>
      <w:r w:rsidR="004D49F1">
        <w:t>’assurer un</w:t>
      </w:r>
      <w:r>
        <w:t xml:space="preserve"> suivi a</w:t>
      </w:r>
      <w:r w:rsidR="00970F57">
        <w:t>uprès d</w:t>
      </w:r>
      <w:r>
        <w:t xml:space="preserve">es Parties </w:t>
      </w:r>
      <w:r>
        <w:rPr>
          <w:iCs/>
        </w:rPr>
        <w:t xml:space="preserve">au Protocole additionnel de </w:t>
      </w:r>
      <w:r>
        <w:t xml:space="preserve">Nagoya-Kuala Lumpur qui ont </w:t>
      </w:r>
      <w:r w:rsidR="00970F57">
        <w:t>fait part de</w:t>
      </w:r>
      <w:r>
        <w:t xml:space="preserve"> la désignation d</w:t>
      </w:r>
      <w:r w:rsidR="004A4F5D">
        <w:t>’</w:t>
      </w:r>
      <w:r>
        <w:t>une autorité compétente mais qui n</w:t>
      </w:r>
      <w:r w:rsidR="004A4F5D">
        <w:t>’</w:t>
      </w:r>
      <w:r>
        <w:t xml:space="preserve">ont pas encore publié ses coordonnées </w:t>
      </w:r>
      <w:r w:rsidR="00970F57">
        <w:t>dans le</w:t>
      </w:r>
      <w:r>
        <w:t xml:space="preserve"> </w:t>
      </w:r>
      <w:r w:rsidR="001E2E37">
        <w:t>Centre d’échange pour la prévention</w:t>
      </w:r>
      <w:r>
        <w:t xml:space="preserve"> des risques biotechnologiques</w:t>
      </w:r>
      <w:r w:rsidR="00EE0739">
        <w:t>;</w:t>
      </w:r>
    </w:p>
    <w:p w14:paraId="31A4B7CF" w14:textId="67C04D69" w:rsidR="00331F07" w:rsidRDefault="0069153B">
      <w:pPr>
        <w:pStyle w:val="CBDNormalNoNumber"/>
        <w:ind w:firstLine="567"/>
        <w:rPr>
          <w:iCs/>
        </w:rPr>
      </w:pPr>
      <w:r>
        <w:rPr>
          <w:iCs/>
        </w:rPr>
        <w:t>13</w:t>
      </w:r>
      <w:r>
        <w:rPr>
          <w:iCs/>
        </w:rPr>
        <w:tab/>
      </w:r>
      <w:r>
        <w:rPr>
          <w:i/>
        </w:rPr>
        <w:t>Prie également</w:t>
      </w:r>
      <w:r>
        <w:rPr>
          <w:iCs/>
        </w:rPr>
        <w:t xml:space="preserve"> </w:t>
      </w:r>
      <w:r w:rsidR="004D49F1">
        <w:rPr>
          <w:iCs/>
        </w:rPr>
        <w:t>la Secrétaire exécutive</w:t>
      </w:r>
      <w:r>
        <w:rPr>
          <w:iCs/>
        </w:rPr>
        <w:t xml:space="preserve"> de continuer à promouvoir le Protocole additionnel de </w:t>
      </w:r>
      <w:r>
        <w:t>Nagoya-Kuala Lumpur</w:t>
      </w:r>
      <w:r>
        <w:rPr>
          <w:iCs/>
        </w:rPr>
        <w:t>, en vue d</w:t>
      </w:r>
      <w:r w:rsidR="004A4F5D">
        <w:rPr>
          <w:iCs/>
        </w:rPr>
        <w:t>’</w:t>
      </w:r>
      <w:r>
        <w:rPr>
          <w:iCs/>
        </w:rPr>
        <w:t>appuyer sa ratification, et, sous réserve que des ressources soient disponibles, d</w:t>
      </w:r>
      <w:r w:rsidR="004A4F5D">
        <w:rPr>
          <w:iCs/>
        </w:rPr>
        <w:t>’</w:t>
      </w:r>
      <w:r>
        <w:rPr>
          <w:iCs/>
        </w:rPr>
        <w:t>entreprendre des activités d</w:t>
      </w:r>
      <w:r w:rsidR="00260D6F">
        <w:rPr>
          <w:iCs/>
        </w:rPr>
        <w:t xml:space="preserve">’information et de </w:t>
      </w:r>
      <w:r>
        <w:rPr>
          <w:iCs/>
        </w:rPr>
        <w:t>sensibilisation concernant le Protocole additionnel.</w:t>
      </w:r>
    </w:p>
    <w:p w14:paraId="172C43DD" w14:textId="77777777" w:rsidR="00331F07" w:rsidRDefault="0069153B">
      <w:pPr>
        <w:jc w:val="center"/>
      </w:pPr>
      <w:r>
        <w:rPr>
          <w:szCs w:val="18"/>
        </w:rPr>
        <w:t>_______</w:t>
      </w:r>
    </w:p>
    <w:sectPr w:rsidR="00331F07" w:rsidSect="002B54C9">
      <w:headerReference w:type="even" r:id="rId25"/>
      <w:headerReference w:type="default" r:id="rId26"/>
      <w:footerReference w:type="even" r:id="rId27"/>
      <w:footerReference w:type="default" r:id="rId2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198C3" w14:textId="77777777" w:rsidR="001A31CC" w:rsidRDefault="001A31CC">
      <w:r>
        <w:separator/>
      </w:r>
    </w:p>
  </w:endnote>
  <w:endnote w:type="continuationSeparator" w:id="0">
    <w:p w14:paraId="57BC879A" w14:textId="77777777" w:rsidR="001A31CC" w:rsidRDefault="001A3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w:panose1 w:val="02010600030101010101"/>
    <w:charset w:val="86"/>
    <w:family w:val="auto"/>
    <w:pitch w:val="variable"/>
    <w:sig w:usb0="A00002BF" w:usb1="38CF7CFA" w:usb2="00000016" w:usb3="00000000" w:csb0="0004000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783C5A7" w14:textId="77777777" w:rsidR="00331F07" w:rsidRDefault="0069153B">
            <w:pPr>
              <w:pStyle w:val="Footer"/>
              <w:jc w:val="left"/>
            </w:pPr>
            <w:r w:rsidRPr="00136994">
              <w:rPr>
                <w:szCs w:val="20"/>
              </w:rPr>
              <w:fldChar w:fldCharType="begin"/>
            </w:r>
            <w:r w:rsidRPr="00136994">
              <w:rPr>
                <w:szCs w:val="20"/>
              </w:rPr>
              <w:instrText xml:space="preserve"> PAGE </w:instrText>
            </w:r>
            <w:r w:rsidRPr="00136994">
              <w:rPr>
                <w:szCs w:val="20"/>
              </w:rPr>
              <w:fldChar w:fldCharType="separate"/>
            </w:r>
            <w:r>
              <w:rPr>
                <w:noProof/>
                <w:szCs w:val="20"/>
              </w:rPr>
              <w:t>2</w:t>
            </w:r>
            <w:r w:rsidRPr="00136994">
              <w:rPr>
                <w:szCs w:val="20"/>
              </w:rPr>
              <w:fldChar w:fldCharType="end"/>
            </w:r>
            <w:r>
              <w:rPr>
                <w:szCs w:val="20"/>
              </w:rPr>
              <w:t>/</w:t>
            </w:r>
            <w:r w:rsidRPr="00136994">
              <w:rPr>
                <w:szCs w:val="20"/>
              </w:rPr>
              <w:fldChar w:fldCharType="begin"/>
            </w:r>
            <w:r w:rsidRPr="00136994">
              <w:rPr>
                <w:szCs w:val="20"/>
              </w:rPr>
              <w:instrText xml:space="preserve"> NUMPAGES  </w:instrText>
            </w:r>
            <w:r w:rsidRPr="00136994">
              <w:rPr>
                <w:szCs w:val="20"/>
              </w:rPr>
              <w:fldChar w:fldCharType="separate"/>
            </w:r>
            <w:r>
              <w:rPr>
                <w:noProof/>
                <w:szCs w:val="20"/>
              </w:rPr>
              <w:t>2</w:t>
            </w:r>
            <w:r w:rsidRPr="00136994">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184F457" w14:textId="77777777" w:rsidR="00331F07" w:rsidRDefault="0069153B">
        <w:pPr>
          <w:pStyle w:val="Footer"/>
          <w:jc w:val="right"/>
        </w:pPr>
        <w:r w:rsidRPr="00136994">
          <w:rPr>
            <w:szCs w:val="20"/>
          </w:rPr>
          <w:fldChar w:fldCharType="begin"/>
        </w:r>
        <w:r w:rsidRPr="00136994">
          <w:rPr>
            <w:szCs w:val="20"/>
          </w:rPr>
          <w:instrText xml:space="preserve"> PAGE </w:instrText>
        </w:r>
        <w:r w:rsidRPr="00136994">
          <w:rPr>
            <w:szCs w:val="20"/>
          </w:rPr>
          <w:fldChar w:fldCharType="separate"/>
        </w:r>
        <w:r>
          <w:rPr>
            <w:szCs w:val="20"/>
          </w:rPr>
          <w:t>2</w:t>
        </w:r>
        <w:r w:rsidRPr="00136994">
          <w:rPr>
            <w:szCs w:val="20"/>
          </w:rPr>
          <w:fldChar w:fldCharType="end"/>
        </w:r>
        <w:r>
          <w:rPr>
            <w:szCs w:val="20"/>
          </w:rPr>
          <w:t>/</w:t>
        </w:r>
        <w:r w:rsidRPr="00136994">
          <w:rPr>
            <w:szCs w:val="20"/>
          </w:rPr>
          <w:fldChar w:fldCharType="begin"/>
        </w:r>
        <w:r w:rsidRPr="00136994">
          <w:rPr>
            <w:szCs w:val="20"/>
          </w:rPr>
          <w:instrText xml:space="preserve"> NUMPAGES  </w:instrText>
        </w:r>
        <w:r w:rsidRPr="00136994">
          <w:rPr>
            <w:szCs w:val="20"/>
          </w:rPr>
          <w:fldChar w:fldCharType="separate"/>
        </w:r>
        <w:r>
          <w:rPr>
            <w:szCs w:val="20"/>
          </w:rPr>
          <w:t>3</w:t>
        </w:r>
        <w:r w:rsidRPr="00136994">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9AB65" w14:textId="77777777" w:rsidR="001A31CC" w:rsidRDefault="001A31CC">
      <w:r>
        <w:separator/>
      </w:r>
    </w:p>
  </w:footnote>
  <w:footnote w:type="continuationSeparator" w:id="0">
    <w:p w14:paraId="7307CA18" w14:textId="77777777" w:rsidR="001A31CC" w:rsidRDefault="001A31CC">
      <w:r>
        <w:continuationSeparator/>
      </w:r>
    </w:p>
  </w:footnote>
  <w:footnote w:id="1">
    <w:p w14:paraId="258274B3" w14:textId="77777777" w:rsidR="00331F07" w:rsidRDefault="0069153B">
      <w:pPr>
        <w:pStyle w:val="FootnoteText"/>
      </w:pPr>
      <w:r>
        <w:rPr>
          <w:rStyle w:val="FootnoteReference"/>
        </w:rPr>
        <w:t xml:space="preserve">* </w:t>
      </w:r>
      <w:hyperlink r:id="rId1" w:history="1">
        <w:r>
          <w:rPr>
            <w:rStyle w:val="Hyperlink"/>
          </w:rPr>
          <w:t>CBD/CP/MOP/12/1</w:t>
        </w:r>
      </w:hyperlink>
      <w:r>
        <w:t>.</w:t>
      </w:r>
    </w:p>
  </w:footnote>
  <w:footnote w:id="2">
    <w:p w14:paraId="18C3BF56" w14:textId="77777777" w:rsidR="00331F07" w:rsidRDefault="0069153B">
      <w:pPr>
        <w:pStyle w:val="FootnoteText"/>
        <w:rPr>
          <w:lang w:val="en-CA"/>
        </w:rPr>
      </w:pPr>
      <w:r>
        <w:rPr>
          <w:rStyle w:val="FootnoteReference"/>
        </w:rPr>
        <w:footnoteRef/>
      </w:r>
      <w:r>
        <w:t xml:space="preserve"> </w:t>
      </w:r>
      <w:hyperlink r:id="rId2" w:history="1">
        <w:r>
          <w:rPr>
            <w:rStyle w:val="Hyperlink"/>
          </w:rPr>
          <w:t>CBD/CP/MOP/11/11</w:t>
        </w:r>
      </w:hyperlink>
      <w:r>
        <w:t>.</w:t>
      </w:r>
    </w:p>
  </w:footnote>
  <w:footnote w:id="3">
    <w:p w14:paraId="28900496" w14:textId="4C5A5188" w:rsidR="00331F07" w:rsidRPr="00CD5A2A" w:rsidRDefault="0069153B">
      <w:pPr>
        <w:pStyle w:val="FootnoteText"/>
      </w:pPr>
      <w:r>
        <w:rPr>
          <w:rStyle w:val="FootnoteReference"/>
        </w:rPr>
        <w:footnoteRef/>
      </w:r>
      <w:r>
        <w:t xml:space="preserve"> Voir </w:t>
      </w:r>
      <w:hyperlink r:id="rId3" w:history="1">
        <w:r>
          <w:rPr>
            <w:rStyle w:val="Hyperlink"/>
          </w:rPr>
          <w:t>CBD/SBI/7/6/Add.1</w:t>
        </w:r>
      </w:hyperlink>
      <w:r>
        <w:t xml:space="preserve">, sect. III.J. La description des progrès </w:t>
      </w:r>
      <w:r w:rsidR="000C5359">
        <w:t xml:space="preserve">accomplis </w:t>
      </w:r>
      <w:r>
        <w:t xml:space="preserve">a été faite sur la base des informations figurant dans les cinquièmes rapports nationaux </w:t>
      </w:r>
      <w:r w:rsidR="000C5359">
        <w:t>re</w:t>
      </w:r>
      <w:r>
        <w:t>mis au plus tard le 2 mars 2026.</w:t>
      </w:r>
    </w:p>
  </w:footnote>
  <w:footnote w:id="4">
    <w:p w14:paraId="380CA6C4" w14:textId="7216A617" w:rsidR="00331F07" w:rsidRDefault="0069153B">
      <w:pPr>
        <w:pStyle w:val="FootnoteText"/>
      </w:pPr>
      <w:r>
        <w:rPr>
          <w:rStyle w:val="FootnoteReference"/>
        </w:rPr>
        <w:footnoteRef/>
      </w:r>
      <w:r>
        <w:t xml:space="preserve"> </w:t>
      </w:r>
      <w:r w:rsidR="0080695C">
        <w:t>Modèle de</w:t>
      </w:r>
      <w:r>
        <w:t xml:space="preserve"> </w:t>
      </w:r>
      <w:r w:rsidR="002E6E6D">
        <w:t xml:space="preserve">présentation du </w:t>
      </w:r>
      <w:r>
        <w:t xml:space="preserve">cinquième rapport national, question 160. </w:t>
      </w:r>
    </w:p>
  </w:footnote>
  <w:footnote w:id="5">
    <w:p w14:paraId="5866707D" w14:textId="77777777" w:rsidR="00331F07" w:rsidRPr="00CD5A2A" w:rsidRDefault="0069153B">
      <w:pPr>
        <w:pStyle w:val="FootnoteText"/>
      </w:pPr>
      <w:r>
        <w:rPr>
          <w:rStyle w:val="FootnoteReference"/>
        </w:rPr>
        <w:footnoteRef/>
      </w:r>
      <w:r>
        <w:t xml:space="preserve"> Ibid., question 162.</w:t>
      </w:r>
    </w:p>
  </w:footnote>
  <w:footnote w:id="6">
    <w:p w14:paraId="6CF64998" w14:textId="77777777" w:rsidR="00331F07" w:rsidRPr="00CD5A2A" w:rsidRDefault="0069153B">
      <w:pPr>
        <w:pStyle w:val="FootnoteText"/>
      </w:pPr>
      <w:r>
        <w:rPr>
          <w:rStyle w:val="FootnoteReference"/>
        </w:rPr>
        <w:footnoteRef/>
      </w:r>
      <w:r>
        <w:t xml:space="preserve"> Ibid., question 163.</w:t>
      </w:r>
    </w:p>
  </w:footnote>
  <w:footnote w:id="7">
    <w:p w14:paraId="3F72326C" w14:textId="77777777" w:rsidR="00331F07" w:rsidRPr="00CD5A2A" w:rsidRDefault="0069153B">
      <w:pPr>
        <w:pStyle w:val="FootnoteText"/>
      </w:pPr>
      <w:r>
        <w:rPr>
          <w:rStyle w:val="FootnoteReference"/>
        </w:rPr>
        <w:footnoteRef/>
      </w:r>
      <w:r>
        <w:t xml:space="preserve"> Ibid., question 164.</w:t>
      </w:r>
    </w:p>
  </w:footnote>
  <w:footnote w:id="8">
    <w:p w14:paraId="1B0529C9" w14:textId="77777777" w:rsidR="00331F07" w:rsidRPr="00CD5A2A" w:rsidRDefault="0069153B">
      <w:pPr>
        <w:pStyle w:val="FootnoteText"/>
      </w:pPr>
      <w:r>
        <w:rPr>
          <w:rStyle w:val="FootnoteReference"/>
        </w:rPr>
        <w:footnoteRef/>
      </w:r>
      <w:r>
        <w:t xml:space="preserve"> Ibid., question 165.</w:t>
      </w:r>
    </w:p>
  </w:footnote>
  <w:footnote w:id="9">
    <w:p w14:paraId="3020C19D" w14:textId="77777777" w:rsidR="00331F07" w:rsidRPr="00CD5A2A" w:rsidRDefault="0069153B">
      <w:pPr>
        <w:pStyle w:val="FootnoteText"/>
      </w:pPr>
      <w:r>
        <w:rPr>
          <w:rStyle w:val="FootnoteReference"/>
        </w:rPr>
        <w:footnoteRef/>
      </w:r>
      <w:r>
        <w:t xml:space="preserve"> Ibid., question 166.</w:t>
      </w:r>
    </w:p>
  </w:footnote>
  <w:footnote w:id="10">
    <w:p w14:paraId="73B06359" w14:textId="4151F1FC" w:rsidR="00331F07" w:rsidRDefault="0069153B">
      <w:pPr>
        <w:pStyle w:val="FootnoteText"/>
      </w:pPr>
      <w:r>
        <w:rPr>
          <w:rStyle w:val="FootnoteReference"/>
        </w:rPr>
        <w:footnoteRef/>
      </w:r>
      <w:r>
        <w:t xml:space="preserve"> Cette demande a été rappelée aux Parties par la suite dans les décisions </w:t>
      </w:r>
      <w:hyperlink r:id="rId4" w:history="1">
        <w:r>
          <w:rPr>
            <w:rStyle w:val="Hyperlink"/>
          </w:rPr>
          <w:t>CP-10/13</w:t>
        </w:r>
      </w:hyperlink>
      <w:r>
        <w:t xml:space="preserve"> et </w:t>
      </w:r>
      <w:hyperlink r:id="rId5" w:history="1">
        <w:r>
          <w:rPr>
            <w:rStyle w:val="Hyperlink"/>
          </w:rPr>
          <w:t>CP-11/10</w:t>
        </w:r>
      </w:hyperlink>
      <w:r>
        <w:t>.</w:t>
      </w:r>
    </w:p>
  </w:footnote>
  <w:footnote w:id="11">
    <w:p w14:paraId="50E039D4" w14:textId="54F47D4A" w:rsidR="00331F07" w:rsidRDefault="0069153B">
      <w:pPr>
        <w:pStyle w:val="FootnoteText"/>
      </w:pPr>
      <w:r>
        <w:rPr>
          <w:rStyle w:val="FootnoteReference"/>
        </w:rPr>
        <w:footnoteRef/>
      </w:r>
      <w:r>
        <w:t xml:space="preserve"> </w:t>
      </w:r>
      <w:r w:rsidR="006B70BE">
        <w:t>Modèle</w:t>
      </w:r>
      <w:r>
        <w:t xml:space="preserve"> d</w:t>
      </w:r>
      <w:r w:rsidR="006B70BE">
        <w:t>e</w:t>
      </w:r>
      <w:r>
        <w:t xml:space="preserve"> </w:t>
      </w:r>
      <w:r w:rsidR="002E6E6D">
        <w:t xml:space="preserve">présentation du </w:t>
      </w:r>
      <w:r>
        <w:t>cinquième rapport national, question 170.</w:t>
      </w:r>
    </w:p>
  </w:footnote>
  <w:footnote w:id="12">
    <w:p w14:paraId="45175474" w14:textId="77777777" w:rsidR="00331F07" w:rsidRDefault="0069153B">
      <w:pPr>
        <w:pStyle w:val="FootnoteText"/>
      </w:pPr>
      <w:r>
        <w:rPr>
          <w:rStyle w:val="FootnoteReference"/>
        </w:rPr>
        <w:footnoteRef/>
      </w:r>
      <w:r>
        <w:t xml:space="preserve"> Ibid., question 174.</w:t>
      </w:r>
    </w:p>
  </w:footnote>
  <w:footnote w:id="13">
    <w:p w14:paraId="2B0FC933" w14:textId="77777777" w:rsidR="00331F07" w:rsidRDefault="0069153B">
      <w:pPr>
        <w:pStyle w:val="FootnoteText"/>
      </w:pPr>
      <w:r>
        <w:rPr>
          <w:rStyle w:val="FootnoteReference"/>
        </w:rPr>
        <w:footnoteRef/>
      </w:r>
      <w:r>
        <w:t xml:space="preserve"> Ibid., question 173. </w:t>
      </w:r>
    </w:p>
  </w:footnote>
  <w:footnote w:id="14">
    <w:p w14:paraId="17A661F3" w14:textId="0A5E17E7" w:rsidR="00331F07" w:rsidRDefault="0069153B">
      <w:pPr>
        <w:pStyle w:val="FootnoteText"/>
        <w:rPr>
          <w:szCs w:val="18"/>
        </w:rPr>
      </w:pPr>
      <w:r w:rsidRPr="00B55C49">
        <w:rPr>
          <w:rStyle w:val="FootnoteReference"/>
          <w:szCs w:val="18"/>
        </w:rPr>
        <w:footnoteRef/>
      </w:r>
      <w:r>
        <w:rPr>
          <w:szCs w:val="18"/>
        </w:rPr>
        <w:t xml:space="preserve"> Conformément au paragraphe 1 de l'article 14 du Protocole additionnel, et sous réserve du paragraphe 2 de l'article 32 de la Convention sur la diversité biologique, la Conférence des Parties </w:t>
      </w:r>
      <w:r w:rsidR="00533EEE">
        <w:rPr>
          <w:szCs w:val="18"/>
        </w:rPr>
        <w:t>siégeant en tant que</w:t>
      </w:r>
      <w:r>
        <w:rPr>
          <w:szCs w:val="18"/>
        </w:rPr>
        <w:t xml:space="preserve"> réunion des Parties au Protocole s</w:t>
      </w:r>
      <w:r w:rsidR="00CE00F5">
        <w:rPr>
          <w:szCs w:val="18"/>
        </w:rPr>
        <w:t>iège également en tant que</w:t>
      </w:r>
      <w:r>
        <w:rPr>
          <w:szCs w:val="18"/>
        </w:rPr>
        <w:t xml:space="preserve"> réunion des Parties au Protocole additionnel. En conséquence, la présente décision a été adoptée par les </w:t>
      </w:r>
      <w:r w:rsidR="00CE00F5">
        <w:rPr>
          <w:szCs w:val="18"/>
        </w:rPr>
        <w:t>P</w:t>
      </w:r>
      <w:r>
        <w:rPr>
          <w:szCs w:val="18"/>
        </w:rPr>
        <w:t xml:space="preserve">arties au </w:t>
      </w:r>
      <w:r w:rsidR="00776955">
        <w:rPr>
          <w:szCs w:val="18"/>
        </w:rPr>
        <w:t>Protocole additionnel</w:t>
      </w:r>
      <w:r>
        <w:rPr>
          <w:szCs w:val="18"/>
        </w:rPr>
        <w:t>.</w:t>
      </w:r>
    </w:p>
  </w:footnote>
  <w:footnote w:id="15">
    <w:p w14:paraId="6508787F" w14:textId="1D87590E" w:rsidR="00331F07" w:rsidRPr="00CD5A2A" w:rsidRDefault="0069153B">
      <w:pPr>
        <w:pStyle w:val="FootnoteText"/>
      </w:pPr>
      <w:r>
        <w:rPr>
          <w:rStyle w:val="FootnoteReference"/>
        </w:rPr>
        <w:footnoteRef/>
      </w:r>
      <w:r>
        <w:t xml:space="preserve"> Décision </w:t>
      </w:r>
      <w:hyperlink r:id="rId6" w:history="1">
        <w:r>
          <w:rPr>
            <w:rStyle w:val="Hyperlink"/>
          </w:rPr>
          <w:t>BS-V</w:t>
        </w:r>
        <w:r>
          <w:rPr>
            <w:rStyle w:val="Hyperlink"/>
          </w:rPr>
          <w:t>/</w:t>
        </w:r>
        <w:r>
          <w:rPr>
            <w:rStyle w:val="Hyperlink"/>
          </w:rPr>
          <w:t>11</w:t>
        </w:r>
      </w:hyperlink>
      <w:r w:rsidR="00EF58F6">
        <w:t>c</w:t>
      </w:r>
      <w:r>
        <w:t>, annexe.</w:t>
      </w:r>
    </w:p>
  </w:footnote>
  <w:footnote w:id="16">
    <w:p w14:paraId="264EAC78" w14:textId="77777777" w:rsidR="00BE27F6" w:rsidRDefault="00BE27F6" w:rsidP="00BE27F6">
      <w:pPr>
        <w:pStyle w:val="FootnoteText"/>
      </w:pPr>
      <w:r w:rsidRPr="00B55C49">
        <w:rPr>
          <w:rStyle w:val="FootnoteReference"/>
        </w:rPr>
        <w:footnoteRef/>
      </w:r>
      <w:r>
        <w:t xml:space="preserve"> </w:t>
      </w:r>
      <w:r>
        <w:rPr>
          <w:rFonts w:asciiTheme="majorBidi" w:eastAsiaTheme="minorEastAsia" w:hAnsiTheme="majorBidi" w:cstheme="majorBidi"/>
          <w:szCs w:val="22"/>
        </w:rPr>
        <w:t xml:space="preserve">Décision </w:t>
      </w:r>
      <w:hyperlink r:id="rId7" w:history="1">
        <w:r>
          <w:rPr>
            <w:rStyle w:val="Hyperlink"/>
            <w:rFonts w:asciiTheme="majorBidi" w:eastAsiaTheme="minorEastAsia" w:hAnsiTheme="majorBidi" w:cstheme="majorBidi"/>
            <w:szCs w:val="22"/>
          </w:rPr>
          <w:t>CP-10/3</w:t>
        </w:r>
      </w:hyperlink>
      <w:r>
        <w:rPr>
          <w:rFonts w:asciiTheme="majorBidi" w:eastAsiaTheme="minorEastAsia" w:hAnsiTheme="majorBidi" w:cstheme="majorBidi"/>
          <w:szCs w:val="22"/>
        </w:rPr>
        <w:t>, annexe.</w:t>
      </w:r>
    </w:p>
  </w:footnote>
  <w:footnote w:id="17">
    <w:p w14:paraId="040E34E8" w14:textId="77777777" w:rsidR="00DC5973" w:rsidRDefault="00DC5973" w:rsidP="00DC5973">
      <w:pPr>
        <w:pStyle w:val="FootnoteText"/>
      </w:pPr>
      <w:r w:rsidRPr="00B55C49">
        <w:rPr>
          <w:rStyle w:val="FootnoteReference"/>
        </w:rPr>
        <w:footnoteRef/>
      </w:r>
      <w:r>
        <w:t xml:space="preserve"> </w:t>
      </w:r>
      <w:r>
        <w:rPr>
          <w:rFonts w:asciiTheme="majorBidi" w:eastAsiaTheme="minorEastAsia" w:hAnsiTheme="majorBidi" w:cstheme="majorBidi"/>
          <w:szCs w:val="22"/>
        </w:rPr>
        <w:t xml:space="preserve">Décision </w:t>
      </w:r>
      <w:hyperlink r:id="rId8" w:history="1">
        <w:r>
          <w:rPr>
            <w:rStyle w:val="Hyperlink"/>
            <w:rFonts w:asciiTheme="majorBidi" w:eastAsiaTheme="minorEastAsia" w:hAnsiTheme="majorBidi" w:cstheme="majorBidi"/>
            <w:szCs w:val="22"/>
          </w:rPr>
          <w:t>CP-10/4</w:t>
        </w:r>
      </w:hyperlink>
      <w:r>
        <w:rPr>
          <w:rFonts w:asciiTheme="majorBidi" w:eastAsiaTheme="minorEastAsia" w:hAnsiTheme="majorBidi" w:cstheme="majorBidi"/>
          <w:szCs w:val="22"/>
        </w:rPr>
        <w:t>, annexe.</w:t>
      </w:r>
    </w:p>
  </w:footnote>
  <w:footnote w:id="18">
    <w:p w14:paraId="4CA929DE" w14:textId="77777777" w:rsidR="00331F07" w:rsidRDefault="0069153B">
      <w:pPr>
        <w:pStyle w:val="FootnoteText"/>
      </w:pPr>
      <w:r w:rsidRPr="00B55C49">
        <w:rPr>
          <w:rStyle w:val="FootnoteReference"/>
        </w:rPr>
        <w:footnoteRef/>
      </w:r>
      <w:r>
        <w:t xml:space="preserve"> Nations Unies, </w:t>
      </w:r>
      <w:r>
        <w:rPr>
          <w:i/>
          <w:iCs/>
        </w:rPr>
        <w:t>Recueil des Traités</w:t>
      </w:r>
      <w:r>
        <w:t>, vol. 2226, no 30619</w:t>
      </w:r>
      <w:r>
        <w:rPr>
          <w:rFonts w:asciiTheme="majorBidi" w:eastAsiaTheme="minorEastAsia" w:hAnsiTheme="majorBidi" w:cstheme="majorBidi"/>
          <w:szCs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42C3117" w14:textId="77777777" w:rsidR="00331F07" w:rsidRDefault="0069153B">
        <w:pPr>
          <w:pStyle w:val="Header"/>
          <w:spacing w:after="240"/>
          <w:rPr>
            <w:szCs w:val="20"/>
          </w:rPr>
        </w:pPr>
        <w:r>
          <w:rPr>
            <w:szCs w:val="20"/>
          </w:rPr>
          <w:t>CBD/CP/MOP/12/13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700AD1A3" w14:textId="77777777" w:rsidR="00331F07" w:rsidRDefault="0069153B">
        <w:pPr>
          <w:pStyle w:val="Header"/>
          <w:spacing w:after="240"/>
          <w:jc w:val="right"/>
        </w:pPr>
        <w:r>
          <w:t>CBD/CP/MOP/12/13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8B70991"/>
    <w:multiLevelType w:val="hybridMultilevel"/>
    <w:tmpl w:val="177C5BFA"/>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2069499237">
    <w:abstractNumId w:val="4"/>
  </w:num>
  <w:num w:numId="9" w16cid:durableId="989168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89002165">
    <w:abstractNumId w:val="3"/>
  </w:num>
  <w:num w:numId="11" w16cid:durableId="855775048">
    <w:abstractNumId w:val="3"/>
  </w:num>
  <w:num w:numId="12" w16cid:durableId="1826968159">
    <w:abstractNumId w:val="3"/>
  </w:num>
  <w:num w:numId="13" w16cid:durableId="2095007833">
    <w:abstractNumId w:val="3"/>
  </w:num>
  <w:num w:numId="14" w16cid:durableId="19606425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1077147">
    <w:abstractNumId w:val="3"/>
  </w:num>
  <w:num w:numId="16" w16cid:durableId="1768770405">
    <w:abstractNumId w:val="3"/>
  </w:num>
  <w:num w:numId="17" w16cid:durableId="1223833552">
    <w:abstractNumId w:val="3"/>
  </w:num>
  <w:num w:numId="18" w16cid:durableId="548541408">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D93"/>
    <w:rsid w:val="000000E1"/>
    <w:rsid w:val="00000BF6"/>
    <w:rsid w:val="00000D34"/>
    <w:rsid w:val="00000F14"/>
    <w:rsid w:val="00002BCE"/>
    <w:rsid w:val="000033CC"/>
    <w:rsid w:val="000036DC"/>
    <w:rsid w:val="0000484A"/>
    <w:rsid w:val="00004A03"/>
    <w:rsid w:val="00004D89"/>
    <w:rsid w:val="000053BA"/>
    <w:rsid w:val="0000565B"/>
    <w:rsid w:val="00007409"/>
    <w:rsid w:val="00010556"/>
    <w:rsid w:val="00010678"/>
    <w:rsid w:val="00011377"/>
    <w:rsid w:val="00014989"/>
    <w:rsid w:val="00014B94"/>
    <w:rsid w:val="00014DEC"/>
    <w:rsid w:val="00015F39"/>
    <w:rsid w:val="0001604B"/>
    <w:rsid w:val="00016446"/>
    <w:rsid w:val="00016762"/>
    <w:rsid w:val="0001679B"/>
    <w:rsid w:val="00016A51"/>
    <w:rsid w:val="00016C18"/>
    <w:rsid w:val="00016CD8"/>
    <w:rsid w:val="000173E1"/>
    <w:rsid w:val="00017612"/>
    <w:rsid w:val="00017D9E"/>
    <w:rsid w:val="00021314"/>
    <w:rsid w:val="00021EF5"/>
    <w:rsid w:val="000240B2"/>
    <w:rsid w:val="0002503B"/>
    <w:rsid w:val="00025138"/>
    <w:rsid w:val="0002662A"/>
    <w:rsid w:val="0002665B"/>
    <w:rsid w:val="00026BE1"/>
    <w:rsid w:val="00026D7A"/>
    <w:rsid w:val="00026E37"/>
    <w:rsid w:val="00027731"/>
    <w:rsid w:val="00027A14"/>
    <w:rsid w:val="00030429"/>
    <w:rsid w:val="00030F99"/>
    <w:rsid w:val="00031424"/>
    <w:rsid w:val="00031A24"/>
    <w:rsid w:val="00031A8A"/>
    <w:rsid w:val="00032868"/>
    <w:rsid w:val="00032F0B"/>
    <w:rsid w:val="00033034"/>
    <w:rsid w:val="00033BBC"/>
    <w:rsid w:val="00033C8C"/>
    <w:rsid w:val="0003402D"/>
    <w:rsid w:val="000352CE"/>
    <w:rsid w:val="00035FD7"/>
    <w:rsid w:val="00037871"/>
    <w:rsid w:val="00037B75"/>
    <w:rsid w:val="000404C2"/>
    <w:rsid w:val="0004076F"/>
    <w:rsid w:val="00040DF8"/>
    <w:rsid w:val="00041391"/>
    <w:rsid w:val="00041AD0"/>
    <w:rsid w:val="00041C65"/>
    <w:rsid w:val="000427C8"/>
    <w:rsid w:val="00042A88"/>
    <w:rsid w:val="000436F5"/>
    <w:rsid w:val="00043770"/>
    <w:rsid w:val="000448BC"/>
    <w:rsid w:val="00044FC6"/>
    <w:rsid w:val="00046504"/>
    <w:rsid w:val="00047B82"/>
    <w:rsid w:val="00050A71"/>
    <w:rsid w:val="00050B35"/>
    <w:rsid w:val="00052401"/>
    <w:rsid w:val="00053391"/>
    <w:rsid w:val="00053544"/>
    <w:rsid w:val="00053AFA"/>
    <w:rsid w:val="00054F29"/>
    <w:rsid w:val="000554DE"/>
    <w:rsid w:val="00056A6B"/>
    <w:rsid w:val="00056C99"/>
    <w:rsid w:val="00057367"/>
    <w:rsid w:val="000573E1"/>
    <w:rsid w:val="0005790E"/>
    <w:rsid w:val="00060D11"/>
    <w:rsid w:val="00060DDF"/>
    <w:rsid w:val="00062A48"/>
    <w:rsid w:val="000632E7"/>
    <w:rsid w:val="0006492E"/>
    <w:rsid w:val="000649DA"/>
    <w:rsid w:val="000652DC"/>
    <w:rsid w:val="00067B4B"/>
    <w:rsid w:val="0007171B"/>
    <w:rsid w:val="000717C5"/>
    <w:rsid w:val="00072727"/>
    <w:rsid w:val="00072DDE"/>
    <w:rsid w:val="00073084"/>
    <w:rsid w:val="00073FA5"/>
    <w:rsid w:val="000741C9"/>
    <w:rsid w:val="000751E1"/>
    <w:rsid w:val="0007582F"/>
    <w:rsid w:val="00075FCA"/>
    <w:rsid w:val="00077176"/>
    <w:rsid w:val="000773F1"/>
    <w:rsid w:val="00081A78"/>
    <w:rsid w:val="00081E0E"/>
    <w:rsid w:val="000836D7"/>
    <w:rsid w:val="00084366"/>
    <w:rsid w:val="000854C0"/>
    <w:rsid w:val="00085A5B"/>
    <w:rsid w:val="00085BFB"/>
    <w:rsid w:val="0008631A"/>
    <w:rsid w:val="00087655"/>
    <w:rsid w:val="00087795"/>
    <w:rsid w:val="000905A4"/>
    <w:rsid w:val="000917B2"/>
    <w:rsid w:val="0009371B"/>
    <w:rsid w:val="000956BB"/>
    <w:rsid w:val="000976BD"/>
    <w:rsid w:val="0009775C"/>
    <w:rsid w:val="000A04CE"/>
    <w:rsid w:val="000A3A4B"/>
    <w:rsid w:val="000A40CD"/>
    <w:rsid w:val="000A53C4"/>
    <w:rsid w:val="000A6AF9"/>
    <w:rsid w:val="000A75E6"/>
    <w:rsid w:val="000B0378"/>
    <w:rsid w:val="000B0721"/>
    <w:rsid w:val="000B0DF2"/>
    <w:rsid w:val="000B12D3"/>
    <w:rsid w:val="000B13F6"/>
    <w:rsid w:val="000B15A2"/>
    <w:rsid w:val="000B2808"/>
    <w:rsid w:val="000B3068"/>
    <w:rsid w:val="000B325E"/>
    <w:rsid w:val="000B3DA8"/>
    <w:rsid w:val="000B5507"/>
    <w:rsid w:val="000B572B"/>
    <w:rsid w:val="000B62BE"/>
    <w:rsid w:val="000B6A15"/>
    <w:rsid w:val="000B6CB4"/>
    <w:rsid w:val="000B7120"/>
    <w:rsid w:val="000B77A8"/>
    <w:rsid w:val="000B780E"/>
    <w:rsid w:val="000C014A"/>
    <w:rsid w:val="000C0E45"/>
    <w:rsid w:val="000C11FC"/>
    <w:rsid w:val="000C26E0"/>
    <w:rsid w:val="000C28DC"/>
    <w:rsid w:val="000C3400"/>
    <w:rsid w:val="000C5359"/>
    <w:rsid w:val="000C7172"/>
    <w:rsid w:val="000C71B6"/>
    <w:rsid w:val="000C77F2"/>
    <w:rsid w:val="000C7FA7"/>
    <w:rsid w:val="000D0F68"/>
    <w:rsid w:val="000D17CE"/>
    <w:rsid w:val="000D25EB"/>
    <w:rsid w:val="000D36F2"/>
    <w:rsid w:val="000D377E"/>
    <w:rsid w:val="000D496F"/>
    <w:rsid w:val="000D4FD1"/>
    <w:rsid w:val="000D5625"/>
    <w:rsid w:val="000D58D9"/>
    <w:rsid w:val="000D597C"/>
    <w:rsid w:val="000D6677"/>
    <w:rsid w:val="000E0C48"/>
    <w:rsid w:val="000E106C"/>
    <w:rsid w:val="000E1DB1"/>
    <w:rsid w:val="000E1E30"/>
    <w:rsid w:val="000E2508"/>
    <w:rsid w:val="000E28FE"/>
    <w:rsid w:val="000E2EC6"/>
    <w:rsid w:val="000E3009"/>
    <w:rsid w:val="000E3A0F"/>
    <w:rsid w:val="000E4A22"/>
    <w:rsid w:val="000E4EAE"/>
    <w:rsid w:val="000E608A"/>
    <w:rsid w:val="000E673A"/>
    <w:rsid w:val="000E7D2F"/>
    <w:rsid w:val="000E7F23"/>
    <w:rsid w:val="000F30D4"/>
    <w:rsid w:val="000F39E8"/>
    <w:rsid w:val="000F4537"/>
    <w:rsid w:val="000F4F49"/>
    <w:rsid w:val="000F52B8"/>
    <w:rsid w:val="000F52DC"/>
    <w:rsid w:val="000F63F6"/>
    <w:rsid w:val="000F6945"/>
    <w:rsid w:val="000F74F5"/>
    <w:rsid w:val="000F78FC"/>
    <w:rsid w:val="0010134E"/>
    <w:rsid w:val="00102258"/>
    <w:rsid w:val="001031DF"/>
    <w:rsid w:val="00103A86"/>
    <w:rsid w:val="00103CF7"/>
    <w:rsid w:val="001049A8"/>
    <w:rsid w:val="00105372"/>
    <w:rsid w:val="001054A6"/>
    <w:rsid w:val="001056F9"/>
    <w:rsid w:val="00105B2D"/>
    <w:rsid w:val="001060BE"/>
    <w:rsid w:val="001071F9"/>
    <w:rsid w:val="001078A1"/>
    <w:rsid w:val="00110256"/>
    <w:rsid w:val="00110552"/>
    <w:rsid w:val="00110FF9"/>
    <w:rsid w:val="001114FF"/>
    <w:rsid w:val="00111E96"/>
    <w:rsid w:val="0011280A"/>
    <w:rsid w:val="00113224"/>
    <w:rsid w:val="0011331C"/>
    <w:rsid w:val="00113874"/>
    <w:rsid w:val="00113D97"/>
    <w:rsid w:val="001165C8"/>
    <w:rsid w:val="0011678C"/>
    <w:rsid w:val="001167BB"/>
    <w:rsid w:val="00116B64"/>
    <w:rsid w:val="001174AC"/>
    <w:rsid w:val="00117743"/>
    <w:rsid w:val="0012057C"/>
    <w:rsid w:val="001209F4"/>
    <w:rsid w:val="001213B2"/>
    <w:rsid w:val="00122339"/>
    <w:rsid w:val="0012291F"/>
    <w:rsid w:val="0012400B"/>
    <w:rsid w:val="0012421E"/>
    <w:rsid w:val="001255CB"/>
    <w:rsid w:val="00125DBC"/>
    <w:rsid w:val="001268D0"/>
    <w:rsid w:val="00126E09"/>
    <w:rsid w:val="00126F9F"/>
    <w:rsid w:val="00130938"/>
    <w:rsid w:val="00131279"/>
    <w:rsid w:val="001312AD"/>
    <w:rsid w:val="00131E7A"/>
    <w:rsid w:val="0013246E"/>
    <w:rsid w:val="00134846"/>
    <w:rsid w:val="00134A0D"/>
    <w:rsid w:val="00135364"/>
    <w:rsid w:val="00135D32"/>
    <w:rsid w:val="0013682F"/>
    <w:rsid w:val="00136994"/>
    <w:rsid w:val="00136CD2"/>
    <w:rsid w:val="00136CE1"/>
    <w:rsid w:val="0013716E"/>
    <w:rsid w:val="00137DC4"/>
    <w:rsid w:val="00140C20"/>
    <w:rsid w:val="0014180E"/>
    <w:rsid w:val="00143599"/>
    <w:rsid w:val="00143B9C"/>
    <w:rsid w:val="00144985"/>
    <w:rsid w:val="00145243"/>
    <w:rsid w:val="001454F0"/>
    <w:rsid w:val="00145A9F"/>
    <w:rsid w:val="001471A0"/>
    <w:rsid w:val="0015055F"/>
    <w:rsid w:val="00150BF9"/>
    <w:rsid w:val="00151364"/>
    <w:rsid w:val="0015308A"/>
    <w:rsid w:val="00153443"/>
    <w:rsid w:val="001541E6"/>
    <w:rsid w:val="001554B5"/>
    <w:rsid w:val="001555AF"/>
    <w:rsid w:val="0015595A"/>
    <w:rsid w:val="001574DD"/>
    <w:rsid w:val="001601E5"/>
    <w:rsid w:val="001602A1"/>
    <w:rsid w:val="0016030C"/>
    <w:rsid w:val="00160A1A"/>
    <w:rsid w:val="00160AE5"/>
    <w:rsid w:val="001610A9"/>
    <w:rsid w:val="001612C4"/>
    <w:rsid w:val="001624F0"/>
    <w:rsid w:val="00164367"/>
    <w:rsid w:val="00164ADC"/>
    <w:rsid w:val="00164D91"/>
    <w:rsid w:val="00166223"/>
    <w:rsid w:val="00166F39"/>
    <w:rsid w:val="00166F49"/>
    <w:rsid w:val="00167572"/>
    <w:rsid w:val="00167627"/>
    <w:rsid w:val="00167D7E"/>
    <w:rsid w:val="00167E12"/>
    <w:rsid w:val="00167E4F"/>
    <w:rsid w:val="00170354"/>
    <w:rsid w:val="001703D6"/>
    <w:rsid w:val="0017070E"/>
    <w:rsid w:val="001709F8"/>
    <w:rsid w:val="00170BFB"/>
    <w:rsid w:val="00170E6A"/>
    <w:rsid w:val="001710EA"/>
    <w:rsid w:val="001714C4"/>
    <w:rsid w:val="00171CD1"/>
    <w:rsid w:val="00171D0C"/>
    <w:rsid w:val="00171E1E"/>
    <w:rsid w:val="001720E8"/>
    <w:rsid w:val="00172651"/>
    <w:rsid w:val="00172804"/>
    <w:rsid w:val="00172AF6"/>
    <w:rsid w:val="0017464C"/>
    <w:rsid w:val="001749A6"/>
    <w:rsid w:val="00174A05"/>
    <w:rsid w:val="001750CB"/>
    <w:rsid w:val="00175533"/>
    <w:rsid w:val="001765B5"/>
    <w:rsid w:val="00176CEE"/>
    <w:rsid w:val="00177ECD"/>
    <w:rsid w:val="001802AE"/>
    <w:rsid w:val="00183B5B"/>
    <w:rsid w:val="001843B2"/>
    <w:rsid w:val="00185929"/>
    <w:rsid w:val="00186DD8"/>
    <w:rsid w:val="001871B0"/>
    <w:rsid w:val="001900D0"/>
    <w:rsid w:val="00190B6C"/>
    <w:rsid w:val="001912E9"/>
    <w:rsid w:val="00193F0B"/>
    <w:rsid w:val="0019441B"/>
    <w:rsid w:val="001957B4"/>
    <w:rsid w:val="00197061"/>
    <w:rsid w:val="00197924"/>
    <w:rsid w:val="001A06BA"/>
    <w:rsid w:val="001A217D"/>
    <w:rsid w:val="001A24B3"/>
    <w:rsid w:val="001A2E4E"/>
    <w:rsid w:val="001A31CC"/>
    <w:rsid w:val="001A335E"/>
    <w:rsid w:val="001A3525"/>
    <w:rsid w:val="001A35EC"/>
    <w:rsid w:val="001A42B8"/>
    <w:rsid w:val="001A5508"/>
    <w:rsid w:val="001A5872"/>
    <w:rsid w:val="001A590D"/>
    <w:rsid w:val="001A59EB"/>
    <w:rsid w:val="001A5FDE"/>
    <w:rsid w:val="001A653A"/>
    <w:rsid w:val="001A775B"/>
    <w:rsid w:val="001B0138"/>
    <w:rsid w:val="001B137C"/>
    <w:rsid w:val="001B13FE"/>
    <w:rsid w:val="001B2AA5"/>
    <w:rsid w:val="001B3121"/>
    <w:rsid w:val="001B4BD5"/>
    <w:rsid w:val="001B4C4F"/>
    <w:rsid w:val="001B5102"/>
    <w:rsid w:val="001B5F66"/>
    <w:rsid w:val="001B6AA8"/>
    <w:rsid w:val="001B70D4"/>
    <w:rsid w:val="001B784F"/>
    <w:rsid w:val="001C07F9"/>
    <w:rsid w:val="001C2D73"/>
    <w:rsid w:val="001C3532"/>
    <w:rsid w:val="001C36EB"/>
    <w:rsid w:val="001C38A1"/>
    <w:rsid w:val="001C3CA0"/>
    <w:rsid w:val="001C4277"/>
    <w:rsid w:val="001C4303"/>
    <w:rsid w:val="001C440D"/>
    <w:rsid w:val="001C4EEB"/>
    <w:rsid w:val="001C4F30"/>
    <w:rsid w:val="001C6255"/>
    <w:rsid w:val="001C6F62"/>
    <w:rsid w:val="001C79B0"/>
    <w:rsid w:val="001C7D61"/>
    <w:rsid w:val="001D0212"/>
    <w:rsid w:val="001D03F6"/>
    <w:rsid w:val="001D08EC"/>
    <w:rsid w:val="001D090B"/>
    <w:rsid w:val="001D0C5F"/>
    <w:rsid w:val="001D1052"/>
    <w:rsid w:val="001D2059"/>
    <w:rsid w:val="001D3AA0"/>
    <w:rsid w:val="001D415B"/>
    <w:rsid w:val="001D4668"/>
    <w:rsid w:val="001D4B49"/>
    <w:rsid w:val="001D5929"/>
    <w:rsid w:val="001D5AD6"/>
    <w:rsid w:val="001D62CA"/>
    <w:rsid w:val="001D6694"/>
    <w:rsid w:val="001D66C1"/>
    <w:rsid w:val="001D7356"/>
    <w:rsid w:val="001D7A55"/>
    <w:rsid w:val="001E1FCD"/>
    <w:rsid w:val="001E24FE"/>
    <w:rsid w:val="001E2A0E"/>
    <w:rsid w:val="001E2E07"/>
    <w:rsid w:val="001E2E37"/>
    <w:rsid w:val="001E2F79"/>
    <w:rsid w:val="001E3797"/>
    <w:rsid w:val="001E37CD"/>
    <w:rsid w:val="001E3E8B"/>
    <w:rsid w:val="001E50C5"/>
    <w:rsid w:val="001E5C6D"/>
    <w:rsid w:val="001E6C02"/>
    <w:rsid w:val="001E6FC4"/>
    <w:rsid w:val="001F04F9"/>
    <w:rsid w:val="001F15E1"/>
    <w:rsid w:val="001F218D"/>
    <w:rsid w:val="001F32D6"/>
    <w:rsid w:val="001F3338"/>
    <w:rsid w:val="001F39B4"/>
    <w:rsid w:val="001F3A0E"/>
    <w:rsid w:val="001F403E"/>
    <w:rsid w:val="001F4F22"/>
    <w:rsid w:val="001F6638"/>
    <w:rsid w:val="001F6AD8"/>
    <w:rsid w:val="001F782A"/>
    <w:rsid w:val="0020036F"/>
    <w:rsid w:val="002005F3"/>
    <w:rsid w:val="0020092A"/>
    <w:rsid w:val="00201DB4"/>
    <w:rsid w:val="00202030"/>
    <w:rsid w:val="00202BF5"/>
    <w:rsid w:val="00204051"/>
    <w:rsid w:val="0020599A"/>
    <w:rsid w:val="00206608"/>
    <w:rsid w:val="002068A1"/>
    <w:rsid w:val="00207220"/>
    <w:rsid w:val="00207A11"/>
    <w:rsid w:val="00210476"/>
    <w:rsid w:val="00210701"/>
    <w:rsid w:val="00210A45"/>
    <w:rsid w:val="00212792"/>
    <w:rsid w:val="002128DA"/>
    <w:rsid w:val="002140ED"/>
    <w:rsid w:val="00214F04"/>
    <w:rsid w:val="00216293"/>
    <w:rsid w:val="00220B9F"/>
    <w:rsid w:val="00220DAA"/>
    <w:rsid w:val="0022115C"/>
    <w:rsid w:val="002219C9"/>
    <w:rsid w:val="00222D06"/>
    <w:rsid w:val="00222FF3"/>
    <w:rsid w:val="00223BCA"/>
    <w:rsid w:val="002242A2"/>
    <w:rsid w:val="002243D1"/>
    <w:rsid w:val="002248A7"/>
    <w:rsid w:val="002254DC"/>
    <w:rsid w:val="0022555A"/>
    <w:rsid w:val="00226388"/>
    <w:rsid w:val="00226C19"/>
    <w:rsid w:val="00227D0F"/>
    <w:rsid w:val="00231428"/>
    <w:rsid w:val="00232A7B"/>
    <w:rsid w:val="00232DE5"/>
    <w:rsid w:val="0023386D"/>
    <w:rsid w:val="00233B0B"/>
    <w:rsid w:val="00233B68"/>
    <w:rsid w:val="00234B85"/>
    <w:rsid w:val="00234DC0"/>
    <w:rsid w:val="00234E82"/>
    <w:rsid w:val="00235822"/>
    <w:rsid w:val="002369D1"/>
    <w:rsid w:val="002374C4"/>
    <w:rsid w:val="00237C94"/>
    <w:rsid w:val="00237D21"/>
    <w:rsid w:val="0024036E"/>
    <w:rsid w:val="00240E07"/>
    <w:rsid w:val="002417DE"/>
    <w:rsid w:val="002418B1"/>
    <w:rsid w:val="00241D58"/>
    <w:rsid w:val="00243363"/>
    <w:rsid w:val="00243737"/>
    <w:rsid w:val="00244DB9"/>
    <w:rsid w:val="00244DD4"/>
    <w:rsid w:val="00244F31"/>
    <w:rsid w:val="00245501"/>
    <w:rsid w:val="0024659F"/>
    <w:rsid w:val="00246ADB"/>
    <w:rsid w:val="00247AED"/>
    <w:rsid w:val="0025069D"/>
    <w:rsid w:val="00250943"/>
    <w:rsid w:val="002513B1"/>
    <w:rsid w:val="00251E3A"/>
    <w:rsid w:val="002521B7"/>
    <w:rsid w:val="00253A79"/>
    <w:rsid w:val="00254D0A"/>
    <w:rsid w:val="00255602"/>
    <w:rsid w:val="002556BC"/>
    <w:rsid w:val="0025665F"/>
    <w:rsid w:val="00260BFE"/>
    <w:rsid w:val="00260D6F"/>
    <w:rsid w:val="00261311"/>
    <w:rsid w:val="002618C7"/>
    <w:rsid w:val="00261A46"/>
    <w:rsid w:val="00261D7C"/>
    <w:rsid w:val="00261F8E"/>
    <w:rsid w:val="00262BCB"/>
    <w:rsid w:val="00263936"/>
    <w:rsid w:val="00265C2E"/>
    <w:rsid w:val="002663DA"/>
    <w:rsid w:val="00266574"/>
    <w:rsid w:val="002674DB"/>
    <w:rsid w:val="002677A0"/>
    <w:rsid w:val="00267951"/>
    <w:rsid w:val="00270149"/>
    <w:rsid w:val="002703FD"/>
    <w:rsid w:val="0027091C"/>
    <w:rsid w:val="00270984"/>
    <w:rsid w:val="00272641"/>
    <w:rsid w:val="0027371D"/>
    <w:rsid w:val="00274FE4"/>
    <w:rsid w:val="00275051"/>
    <w:rsid w:val="00275708"/>
    <w:rsid w:val="00275962"/>
    <w:rsid w:val="00275AD3"/>
    <w:rsid w:val="00275B9D"/>
    <w:rsid w:val="00276C5A"/>
    <w:rsid w:val="0027752B"/>
    <w:rsid w:val="00277B97"/>
    <w:rsid w:val="00277E5F"/>
    <w:rsid w:val="0028141D"/>
    <w:rsid w:val="00282B97"/>
    <w:rsid w:val="002834B5"/>
    <w:rsid w:val="002843A7"/>
    <w:rsid w:val="00284C35"/>
    <w:rsid w:val="00285FD1"/>
    <w:rsid w:val="00286388"/>
    <w:rsid w:val="0029044D"/>
    <w:rsid w:val="00293004"/>
    <w:rsid w:val="0029524B"/>
    <w:rsid w:val="00296E00"/>
    <w:rsid w:val="00296FCC"/>
    <w:rsid w:val="00297A0A"/>
    <w:rsid w:val="00297E46"/>
    <w:rsid w:val="002A001C"/>
    <w:rsid w:val="002A0C0F"/>
    <w:rsid w:val="002A0F8A"/>
    <w:rsid w:val="002A268A"/>
    <w:rsid w:val="002A38FC"/>
    <w:rsid w:val="002A418D"/>
    <w:rsid w:val="002A4D17"/>
    <w:rsid w:val="002A5543"/>
    <w:rsid w:val="002A6302"/>
    <w:rsid w:val="002A636E"/>
    <w:rsid w:val="002A6767"/>
    <w:rsid w:val="002A692B"/>
    <w:rsid w:val="002A6A36"/>
    <w:rsid w:val="002A6CB2"/>
    <w:rsid w:val="002B0A9E"/>
    <w:rsid w:val="002B19FB"/>
    <w:rsid w:val="002B1A88"/>
    <w:rsid w:val="002B1C61"/>
    <w:rsid w:val="002B2005"/>
    <w:rsid w:val="002B3427"/>
    <w:rsid w:val="002B4186"/>
    <w:rsid w:val="002B4196"/>
    <w:rsid w:val="002B49BF"/>
    <w:rsid w:val="002B4F0D"/>
    <w:rsid w:val="002B54C9"/>
    <w:rsid w:val="002B5B83"/>
    <w:rsid w:val="002B7623"/>
    <w:rsid w:val="002C02FC"/>
    <w:rsid w:val="002C0967"/>
    <w:rsid w:val="002C3C80"/>
    <w:rsid w:val="002C7045"/>
    <w:rsid w:val="002C7ED8"/>
    <w:rsid w:val="002D0DF5"/>
    <w:rsid w:val="002D1F9D"/>
    <w:rsid w:val="002D2CB8"/>
    <w:rsid w:val="002D4D49"/>
    <w:rsid w:val="002D6B9A"/>
    <w:rsid w:val="002E13FC"/>
    <w:rsid w:val="002E16D3"/>
    <w:rsid w:val="002E2205"/>
    <w:rsid w:val="002E2B0B"/>
    <w:rsid w:val="002E3015"/>
    <w:rsid w:val="002E4142"/>
    <w:rsid w:val="002E4A73"/>
    <w:rsid w:val="002E4C16"/>
    <w:rsid w:val="002E6607"/>
    <w:rsid w:val="002E66EB"/>
    <w:rsid w:val="002E6E6D"/>
    <w:rsid w:val="002E7181"/>
    <w:rsid w:val="002E7320"/>
    <w:rsid w:val="002E7516"/>
    <w:rsid w:val="002E7532"/>
    <w:rsid w:val="002F03E9"/>
    <w:rsid w:val="002F0E2D"/>
    <w:rsid w:val="002F2E13"/>
    <w:rsid w:val="002F33F5"/>
    <w:rsid w:val="002F3701"/>
    <w:rsid w:val="002F4E88"/>
    <w:rsid w:val="002F57A6"/>
    <w:rsid w:val="002F6151"/>
    <w:rsid w:val="002F6AF1"/>
    <w:rsid w:val="002F7273"/>
    <w:rsid w:val="002F780F"/>
    <w:rsid w:val="00300780"/>
    <w:rsid w:val="003008FE"/>
    <w:rsid w:val="00301356"/>
    <w:rsid w:val="0030169D"/>
    <w:rsid w:val="003026A2"/>
    <w:rsid w:val="00303B7F"/>
    <w:rsid w:val="00304849"/>
    <w:rsid w:val="00305AA3"/>
    <w:rsid w:val="00305E1C"/>
    <w:rsid w:val="003060EB"/>
    <w:rsid w:val="003065A2"/>
    <w:rsid w:val="003101D7"/>
    <w:rsid w:val="00310231"/>
    <w:rsid w:val="0031051A"/>
    <w:rsid w:val="00310607"/>
    <w:rsid w:val="00312855"/>
    <w:rsid w:val="00313C23"/>
    <w:rsid w:val="00314089"/>
    <w:rsid w:val="00314A1A"/>
    <w:rsid w:val="003153EB"/>
    <w:rsid w:val="003155C7"/>
    <w:rsid w:val="00315661"/>
    <w:rsid w:val="003165E8"/>
    <w:rsid w:val="003166BD"/>
    <w:rsid w:val="00316AEF"/>
    <w:rsid w:val="0031778E"/>
    <w:rsid w:val="00320D89"/>
    <w:rsid w:val="0032136E"/>
    <w:rsid w:val="00321985"/>
    <w:rsid w:val="003221D1"/>
    <w:rsid w:val="003233D0"/>
    <w:rsid w:val="00323577"/>
    <w:rsid w:val="00324422"/>
    <w:rsid w:val="0032462B"/>
    <w:rsid w:val="00326B2D"/>
    <w:rsid w:val="00326F8C"/>
    <w:rsid w:val="0032750D"/>
    <w:rsid w:val="00327AA7"/>
    <w:rsid w:val="003304F1"/>
    <w:rsid w:val="003306EF"/>
    <w:rsid w:val="0033071E"/>
    <w:rsid w:val="00330884"/>
    <w:rsid w:val="00330ECD"/>
    <w:rsid w:val="003313C3"/>
    <w:rsid w:val="00331762"/>
    <w:rsid w:val="00331DBF"/>
    <w:rsid w:val="00331F07"/>
    <w:rsid w:val="003323B1"/>
    <w:rsid w:val="003326A1"/>
    <w:rsid w:val="00332A62"/>
    <w:rsid w:val="00332F3C"/>
    <w:rsid w:val="00333027"/>
    <w:rsid w:val="00333108"/>
    <w:rsid w:val="00334000"/>
    <w:rsid w:val="00334EC3"/>
    <w:rsid w:val="003359EF"/>
    <w:rsid w:val="00340567"/>
    <w:rsid w:val="00340B08"/>
    <w:rsid w:val="00342936"/>
    <w:rsid w:val="003429E3"/>
    <w:rsid w:val="00342B22"/>
    <w:rsid w:val="00342FC4"/>
    <w:rsid w:val="00343864"/>
    <w:rsid w:val="00344E50"/>
    <w:rsid w:val="00344F80"/>
    <w:rsid w:val="00346729"/>
    <w:rsid w:val="003471FA"/>
    <w:rsid w:val="00347E96"/>
    <w:rsid w:val="00350D5D"/>
    <w:rsid w:val="00350E37"/>
    <w:rsid w:val="00350E54"/>
    <w:rsid w:val="00351205"/>
    <w:rsid w:val="00351463"/>
    <w:rsid w:val="00351CD1"/>
    <w:rsid w:val="003528EA"/>
    <w:rsid w:val="00352A74"/>
    <w:rsid w:val="0035356F"/>
    <w:rsid w:val="00353A0A"/>
    <w:rsid w:val="00353B0A"/>
    <w:rsid w:val="00354E7C"/>
    <w:rsid w:val="00355042"/>
    <w:rsid w:val="00357350"/>
    <w:rsid w:val="00357F90"/>
    <w:rsid w:val="00361023"/>
    <w:rsid w:val="0036118F"/>
    <w:rsid w:val="00361637"/>
    <w:rsid w:val="00361742"/>
    <w:rsid w:val="00362F73"/>
    <w:rsid w:val="003635F2"/>
    <w:rsid w:val="00365708"/>
    <w:rsid w:val="00366028"/>
    <w:rsid w:val="0036605D"/>
    <w:rsid w:val="00366F55"/>
    <w:rsid w:val="00367160"/>
    <w:rsid w:val="00367358"/>
    <w:rsid w:val="00367D43"/>
    <w:rsid w:val="0037132D"/>
    <w:rsid w:val="003721C3"/>
    <w:rsid w:val="00372359"/>
    <w:rsid w:val="00372F22"/>
    <w:rsid w:val="00372F74"/>
    <w:rsid w:val="00373C32"/>
    <w:rsid w:val="00373F25"/>
    <w:rsid w:val="003740C3"/>
    <w:rsid w:val="00374142"/>
    <w:rsid w:val="00374746"/>
    <w:rsid w:val="0037476E"/>
    <w:rsid w:val="00374E40"/>
    <w:rsid w:val="00377047"/>
    <w:rsid w:val="00377295"/>
    <w:rsid w:val="003776A8"/>
    <w:rsid w:val="00380608"/>
    <w:rsid w:val="0038092E"/>
    <w:rsid w:val="00380AB7"/>
    <w:rsid w:val="00381360"/>
    <w:rsid w:val="00381973"/>
    <w:rsid w:val="00381DC1"/>
    <w:rsid w:val="00384955"/>
    <w:rsid w:val="00384C53"/>
    <w:rsid w:val="003867E3"/>
    <w:rsid w:val="0039059D"/>
    <w:rsid w:val="00390908"/>
    <w:rsid w:val="00390AB2"/>
    <w:rsid w:val="00390B6B"/>
    <w:rsid w:val="0039177F"/>
    <w:rsid w:val="00391833"/>
    <w:rsid w:val="00391A77"/>
    <w:rsid w:val="00391C49"/>
    <w:rsid w:val="00392C20"/>
    <w:rsid w:val="00394208"/>
    <w:rsid w:val="00395227"/>
    <w:rsid w:val="00395518"/>
    <w:rsid w:val="003959E6"/>
    <w:rsid w:val="00396F33"/>
    <w:rsid w:val="00397FA0"/>
    <w:rsid w:val="003A0352"/>
    <w:rsid w:val="003A062E"/>
    <w:rsid w:val="003A0A98"/>
    <w:rsid w:val="003A2D09"/>
    <w:rsid w:val="003A2E97"/>
    <w:rsid w:val="003A37B4"/>
    <w:rsid w:val="003A4A85"/>
    <w:rsid w:val="003A4F59"/>
    <w:rsid w:val="003A5632"/>
    <w:rsid w:val="003A5B84"/>
    <w:rsid w:val="003A715F"/>
    <w:rsid w:val="003A7A38"/>
    <w:rsid w:val="003A7C0A"/>
    <w:rsid w:val="003B0C98"/>
    <w:rsid w:val="003B17DA"/>
    <w:rsid w:val="003B2404"/>
    <w:rsid w:val="003B3DD9"/>
    <w:rsid w:val="003B5944"/>
    <w:rsid w:val="003B654F"/>
    <w:rsid w:val="003B6D5A"/>
    <w:rsid w:val="003C0092"/>
    <w:rsid w:val="003C0949"/>
    <w:rsid w:val="003C2B1F"/>
    <w:rsid w:val="003C2F8A"/>
    <w:rsid w:val="003C5D46"/>
    <w:rsid w:val="003C6D28"/>
    <w:rsid w:val="003C6FB8"/>
    <w:rsid w:val="003C77E2"/>
    <w:rsid w:val="003C7933"/>
    <w:rsid w:val="003C7EE8"/>
    <w:rsid w:val="003C7F80"/>
    <w:rsid w:val="003D139B"/>
    <w:rsid w:val="003D1F66"/>
    <w:rsid w:val="003D23D1"/>
    <w:rsid w:val="003D3140"/>
    <w:rsid w:val="003D4E00"/>
    <w:rsid w:val="003D6DAC"/>
    <w:rsid w:val="003D6ECB"/>
    <w:rsid w:val="003D7DB0"/>
    <w:rsid w:val="003E0E6E"/>
    <w:rsid w:val="003E26B9"/>
    <w:rsid w:val="003E2D77"/>
    <w:rsid w:val="003E3B1A"/>
    <w:rsid w:val="003E3B89"/>
    <w:rsid w:val="003E4A75"/>
    <w:rsid w:val="003E4C90"/>
    <w:rsid w:val="003E5B11"/>
    <w:rsid w:val="003E5D5B"/>
    <w:rsid w:val="003E7180"/>
    <w:rsid w:val="003E7245"/>
    <w:rsid w:val="003E7AA7"/>
    <w:rsid w:val="003E7B5F"/>
    <w:rsid w:val="003F080F"/>
    <w:rsid w:val="003F1A75"/>
    <w:rsid w:val="003F3D79"/>
    <w:rsid w:val="003F3F8D"/>
    <w:rsid w:val="003F41E8"/>
    <w:rsid w:val="003F7224"/>
    <w:rsid w:val="00400165"/>
    <w:rsid w:val="00400E54"/>
    <w:rsid w:val="00401344"/>
    <w:rsid w:val="0040157F"/>
    <w:rsid w:val="004027F3"/>
    <w:rsid w:val="004049AF"/>
    <w:rsid w:val="0040627D"/>
    <w:rsid w:val="0040643F"/>
    <w:rsid w:val="00410587"/>
    <w:rsid w:val="004105C3"/>
    <w:rsid w:val="00412180"/>
    <w:rsid w:val="00413833"/>
    <w:rsid w:val="00413A4D"/>
    <w:rsid w:val="00413B56"/>
    <w:rsid w:val="004163C9"/>
    <w:rsid w:val="00416931"/>
    <w:rsid w:val="00417554"/>
    <w:rsid w:val="00417F21"/>
    <w:rsid w:val="004201AB"/>
    <w:rsid w:val="00420CAA"/>
    <w:rsid w:val="00420E14"/>
    <w:rsid w:val="00422008"/>
    <w:rsid w:val="0042257C"/>
    <w:rsid w:val="004229D7"/>
    <w:rsid w:val="00422ACF"/>
    <w:rsid w:val="00422F88"/>
    <w:rsid w:val="004233C4"/>
    <w:rsid w:val="00423746"/>
    <w:rsid w:val="00423B6D"/>
    <w:rsid w:val="00424944"/>
    <w:rsid w:val="004250CE"/>
    <w:rsid w:val="004256D2"/>
    <w:rsid w:val="004259AE"/>
    <w:rsid w:val="00426BCA"/>
    <w:rsid w:val="00427D21"/>
    <w:rsid w:val="00430221"/>
    <w:rsid w:val="004307C0"/>
    <w:rsid w:val="0043128C"/>
    <w:rsid w:val="00432555"/>
    <w:rsid w:val="00434399"/>
    <w:rsid w:val="00434795"/>
    <w:rsid w:val="00435341"/>
    <w:rsid w:val="00435777"/>
    <w:rsid w:val="00436E3A"/>
    <w:rsid w:val="004375CA"/>
    <w:rsid w:val="00440FC2"/>
    <w:rsid w:val="0044114D"/>
    <w:rsid w:val="00441D3F"/>
    <w:rsid w:val="00444438"/>
    <w:rsid w:val="00445560"/>
    <w:rsid w:val="004456E4"/>
    <w:rsid w:val="00446CA1"/>
    <w:rsid w:val="00446CB6"/>
    <w:rsid w:val="00447093"/>
    <w:rsid w:val="0044719D"/>
    <w:rsid w:val="00447E17"/>
    <w:rsid w:val="00447F4A"/>
    <w:rsid w:val="004502DD"/>
    <w:rsid w:val="00450D6C"/>
    <w:rsid w:val="00451479"/>
    <w:rsid w:val="00451812"/>
    <w:rsid w:val="00452512"/>
    <w:rsid w:val="00452DED"/>
    <w:rsid w:val="00453073"/>
    <w:rsid w:val="00453350"/>
    <w:rsid w:val="00453782"/>
    <w:rsid w:val="00453E31"/>
    <w:rsid w:val="00454A09"/>
    <w:rsid w:val="00456A00"/>
    <w:rsid w:val="00456F62"/>
    <w:rsid w:val="00456F67"/>
    <w:rsid w:val="004619CA"/>
    <w:rsid w:val="004644C2"/>
    <w:rsid w:val="004647E0"/>
    <w:rsid w:val="0046584A"/>
    <w:rsid w:val="004658A1"/>
    <w:rsid w:val="00465A46"/>
    <w:rsid w:val="00466A5A"/>
    <w:rsid w:val="00467DDC"/>
    <w:rsid w:val="00467F9C"/>
    <w:rsid w:val="0047010F"/>
    <w:rsid w:val="00471015"/>
    <w:rsid w:val="00471212"/>
    <w:rsid w:val="00471FF9"/>
    <w:rsid w:val="0047246B"/>
    <w:rsid w:val="00473219"/>
    <w:rsid w:val="00474108"/>
    <w:rsid w:val="004748DE"/>
    <w:rsid w:val="00475A8A"/>
    <w:rsid w:val="00475F97"/>
    <w:rsid w:val="00477941"/>
    <w:rsid w:val="00477D3E"/>
    <w:rsid w:val="00480B2A"/>
    <w:rsid w:val="0048111D"/>
    <w:rsid w:val="004816F6"/>
    <w:rsid w:val="00482987"/>
    <w:rsid w:val="00482FCE"/>
    <w:rsid w:val="004839F6"/>
    <w:rsid w:val="00483CAB"/>
    <w:rsid w:val="00484AC4"/>
    <w:rsid w:val="00485019"/>
    <w:rsid w:val="00485A76"/>
    <w:rsid w:val="00487FD5"/>
    <w:rsid w:val="0049018F"/>
    <w:rsid w:val="0049282C"/>
    <w:rsid w:val="00492852"/>
    <w:rsid w:val="00492CAA"/>
    <w:rsid w:val="0049387B"/>
    <w:rsid w:val="00493FA1"/>
    <w:rsid w:val="00496888"/>
    <w:rsid w:val="004A00DF"/>
    <w:rsid w:val="004A0B63"/>
    <w:rsid w:val="004A0D8D"/>
    <w:rsid w:val="004A0DD3"/>
    <w:rsid w:val="004A11C1"/>
    <w:rsid w:val="004A1380"/>
    <w:rsid w:val="004A1780"/>
    <w:rsid w:val="004A1AED"/>
    <w:rsid w:val="004A223D"/>
    <w:rsid w:val="004A264A"/>
    <w:rsid w:val="004A2D47"/>
    <w:rsid w:val="004A4F5D"/>
    <w:rsid w:val="004A5012"/>
    <w:rsid w:val="004A5934"/>
    <w:rsid w:val="004A7AB0"/>
    <w:rsid w:val="004A7E72"/>
    <w:rsid w:val="004A7F50"/>
    <w:rsid w:val="004B0195"/>
    <w:rsid w:val="004B1487"/>
    <w:rsid w:val="004B1D14"/>
    <w:rsid w:val="004B2296"/>
    <w:rsid w:val="004B328B"/>
    <w:rsid w:val="004B3998"/>
    <w:rsid w:val="004B45CC"/>
    <w:rsid w:val="004B5D48"/>
    <w:rsid w:val="004B6D17"/>
    <w:rsid w:val="004C19FF"/>
    <w:rsid w:val="004C23D9"/>
    <w:rsid w:val="004C29AA"/>
    <w:rsid w:val="004C422D"/>
    <w:rsid w:val="004C568B"/>
    <w:rsid w:val="004C6BBC"/>
    <w:rsid w:val="004D0123"/>
    <w:rsid w:val="004D1ACF"/>
    <w:rsid w:val="004D1F7B"/>
    <w:rsid w:val="004D3900"/>
    <w:rsid w:val="004D4091"/>
    <w:rsid w:val="004D49F1"/>
    <w:rsid w:val="004D60F7"/>
    <w:rsid w:val="004D6CF9"/>
    <w:rsid w:val="004D79C7"/>
    <w:rsid w:val="004E063C"/>
    <w:rsid w:val="004E1E50"/>
    <w:rsid w:val="004E317D"/>
    <w:rsid w:val="004E35D7"/>
    <w:rsid w:val="004E3CFE"/>
    <w:rsid w:val="004E5920"/>
    <w:rsid w:val="004E6274"/>
    <w:rsid w:val="004E7F89"/>
    <w:rsid w:val="004F1436"/>
    <w:rsid w:val="004F1AB8"/>
    <w:rsid w:val="004F339D"/>
    <w:rsid w:val="004F42DD"/>
    <w:rsid w:val="004F5328"/>
    <w:rsid w:val="004F5622"/>
    <w:rsid w:val="004F576A"/>
    <w:rsid w:val="004F5FF0"/>
    <w:rsid w:val="004F610F"/>
    <w:rsid w:val="004F6620"/>
    <w:rsid w:val="004F6E74"/>
    <w:rsid w:val="004F6F3A"/>
    <w:rsid w:val="00500507"/>
    <w:rsid w:val="005005D1"/>
    <w:rsid w:val="005007E5"/>
    <w:rsid w:val="00501CE6"/>
    <w:rsid w:val="005029B8"/>
    <w:rsid w:val="00503C4A"/>
    <w:rsid w:val="00503FB7"/>
    <w:rsid w:val="00504875"/>
    <w:rsid w:val="00507C86"/>
    <w:rsid w:val="00510045"/>
    <w:rsid w:val="0051006C"/>
    <w:rsid w:val="00511158"/>
    <w:rsid w:val="00511624"/>
    <w:rsid w:val="00511ED5"/>
    <w:rsid w:val="0051278F"/>
    <w:rsid w:val="00513FB5"/>
    <w:rsid w:val="0051510D"/>
    <w:rsid w:val="005164F0"/>
    <w:rsid w:val="005166AD"/>
    <w:rsid w:val="00516BE8"/>
    <w:rsid w:val="005171CE"/>
    <w:rsid w:val="0052235D"/>
    <w:rsid w:val="00522410"/>
    <w:rsid w:val="005224AE"/>
    <w:rsid w:val="00524A05"/>
    <w:rsid w:val="005252E9"/>
    <w:rsid w:val="00526043"/>
    <w:rsid w:val="005316F8"/>
    <w:rsid w:val="00533617"/>
    <w:rsid w:val="00533EEE"/>
    <w:rsid w:val="00534681"/>
    <w:rsid w:val="0053564F"/>
    <w:rsid w:val="00535BA5"/>
    <w:rsid w:val="005361E4"/>
    <w:rsid w:val="00537244"/>
    <w:rsid w:val="005373EF"/>
    <w:rsid w:val="00537711"/>
    <w:rsid w:val="00540A31"/>
    <w:rsid w:val="0054375A"/>
    <w:rsid w:val="005442C8"/>
    <w:rsid w:val="0054799F"/>
    <w:rsid w:val="005500F1"/>
    <w:rsid w:val="00550F45"/>
    <w:rsid w:val="00551037"/>
    <w:rsid w:val="0055113D"/>
    <w:rsid w:val="0055148A"/>
    <w:rsid w:val="005514FF"/>
    <w:rsid w:val="00551660"/>
    <w:rsid w:val="005518F8"/>
    <w:rsid w:val="00551C77"/>
    <w:rsid w:val="00552F1C"/>
    <w:rsid w:val="00553282"/>
    <w:rsid w:val="0055439A"/>
    <w:rsid w:val="0055492C"/>
    <w:rsid w:val="00555385"/>
    <w:rsid w:val="00555FAD"/>
    <w:rsid w:val="005564C5"/>
    <w:rsid w:val="00557054"/>
    <w:rsid w:val="00557B94"/>
    <w:rsid w:val="0056068E"/>
    <w:rsid w:val="0056097D"/>
    <w:rsid w:val="00560FA4"/>
    <w:rsid w:val="005613B6"/>
    <w:rsid w:val="005616C2"/>
    <w:rsid w:val="005617E2"/>
    <w:rsid w:val="00562889"/>
    <w:rsid w:val="00563442"/>
    <w:rsid w:val="0056348E"/>
    <w:rsid w:val="005640DA"/>
    <w:rsid w:val="005643A0"/>
    <w:rsid w:val="00564DC2"/>
    <w:rsid w:val="00565B42"/>
    <w:rsid w:val="00565C32"/>
    <w:rsid w:val="005660CB"/>
    <w:rsid w:val="00566AD6"/>
    <w:rsid w:val="00566E61"/>
    <w:rsid w:val="0056795A"/>
    <w:rsid w:val="00570290"/>
    <w:rsid w:val="00570713"/>
    <w:rsid w:val="00570FCD"/>
    <w:rsid w:val="00572AAC"/>
    <w:rsid w:val="0057389F"/>
    <w:rsid w:val="00573E90"/>
    <w:rsid w:val="0057515D"/>
    <w:rsid w:val="00576AA2"/>
    <w:rsid w:val="00576B4D"/>
    <w:rsid w:val="00576D47"/>
    <w:rsid w:val="00580103"/>
    <w:rsid w:val="005806F6"/>
    <w:rsid w:val="005813DB"/>
    <w:rsid w:val="005848C9"/>
    <w:rsid w:val="00584CDC"/>
    <w:rsid w:val="00585E02"/>
    <w:rsid w:val="00585FD1"/>
    <w:rsid w:val="00586547"/>
    <w:rsid w:val="00587A41"/>
    <w:rsid w:val="00587A50"/>
    <w:rsid w:val="005904FA"/>
    <w:rsid w:val="0059203A"/>
    <w:rsid w:val="00592397"/>
    <w:rsid w:val="00594097"/>
    <w:rsid w:val="0059553D"/>
    <w:rsid w:val="00596053"/>
    <w:rsid w:val="00596F90"/>
    <w:rsid w:val="00597976"/>
    <w:rsid w:val="005A0CA3"/>
    <w:rsid w:val="005A28A9"/>
    <w:rsid w:val="005A41D2"/>
    <w:rsid w:val="005A463E"/>
    <w:rsid w:val="005A5586"/>
    <w:rsid w:val="005A5638"/>
    <w:rsid w:val="005A5C6C"/>
    <w:rsid w:val="005A5F6F"/>
    <w:rsid w:val="005A6E37"/>
    <w:rsid w:val="005A7078"/>
    <w:rsid w:val="005A7838"/>
    <w:rsid w:val="005B160D"/>
    <w:rsid w:val="005B184C"/>
    <w:rsid w:val="005B2629"/>
    <w:rsid w:val="005B27A7"/>
    <w:rsid w:val="005B35E2"/>
    <w:rsid w:val="005B3BD2"/>
    <w:rsid w:val="005B447F"/>
    <w:rsid w:val="005B641E"/>
    <w:rsid w:val="005B7CC0"/>
    <w:rsid w:val="005C1763"/>
    <w:rsid w:val="005C2242"/>
    <w:rsid w:val="005C3279"/>
    <w:rsid w:val="005C3368"/>
    <w:rsid w:val="005C371A"/>
    <w:rsid w:val="005C39BE"/>
    <w:rsid w:val="005C4CE6"/>
    <w:rsid w:val="005C5504"/>
    <w:rsid w:val="005C5E9F"/>
    <w:rsid w:val="005C6827"/>
    <w:rsid w:val="005C69B9"/>
    <w:rsid w:val="005C69BB"/>
    <w:rsid w:val="005C6DC8"/>
    <w:rsid w:val="005C71CC"/>
    <w:rsid w:val="005D060C"/>
    <w:rsid w:val="005D065E"/>
    <w:rsid w:val="005D0937"/>
    <w:rsid w:val="005D09AF"/>
    <w:rsid w:val="005D09D9"/>
    <w:rsid w:val="005D2454"/>
    <w:rsid w:val="005D3369"/>
    <w:rsid w:val="005D43EF"/>
    <w:rsid w:val="005D4EFC"/>
    <w:rsid w:val="005D6007"/>
    <w:rsid w:val="005D60AB"/>
    <w:rsid w:val="005D6CAB"/>
    <w:rsid w:val="005E058F"/>
    <w:rsid w:val="005E0AB2"/>
    <w:rsid w:val="005E0E48"/>
    <w:rsid w:val="005E3A93"/>
    <w:rsid w:val="005E443E"/>
    <w:rsid w:val="005E4841"/>
    <w:rsid w:val="005E68B0"/>
    <w:rsid w:val="005E7778"/>
    <w:rsid w:val="005F0D2C"/>
    <w:rsid w:val="005F0D78"/>
    <w:rsid w:val="005F13B7"/>
    <w:rsid w:val="005F1991"/>
    <w:rsid w:val="005F2F13"/>
    <w:rsid w:val="005F3BB5"/>
    <w:rsid w:val="005F509B"/>
    <w:rsid w:val="005F5472"/>
    <w:rsid w:val="005F5B2C"/>
    <w:rsid w:val="005F68F9"/>
    <w:rsid w:val="005F6EB6"/>
    <w:rsid w:val="005F6F70"/>
    <w:rsid w:val="00600182"/>
    <w:rsid w:val="00602138"/>
    <w:rsid w:val="00602370"/>
    <w:rsid w:val="006023FA"/>
    <w:rsid w:val="0060241A"/>
    <w:rsid w:val="00605AF3"/>
    <w:rsid w:val="006061C8"/>
    <w:rsid w:val="00606D8D"/>
    <w:rsid w:val="006071BC"/>
    <w:rsid w:val="006100D4"/>
    <w:rsid w:val="00610A28"/>
    <w:rsid w:val="00610BBC"/>
    <w:rsid w:val="006116BE"/>
    <w:rsid w:val="00611C79"/>
    <w:rsid w:val="00611D6D"/>
    <w:rsid w:val="00611EAD"/>
    <w:rsid w:val="006122BA"/>
    <w:rsid w:val="00612EB1"/>
    <w:rsid w:val="006130A3"/>
    <w:rsid w:val="00613178"/>
    <w:rsid w:val="00613322"/>
    <w:rsid w:val="0061359E"/>
    <w:rsid w:val="00613D44"/>
    <w:rsid w:val="00613F5A"/>
    <w:rsid w:val="00615315"/>
    <w:rsid w:val="00615948"/>
    <w:rsid w:val="00617680"/>
    <w:rsid w:val="00617FBB"/>
    <w:rsid w:val="00620E89"/>
    <w:rsid w:val="0062160E"/>
    <w:rsid w:val="0062283A"/>
    <w:rsid w:val="00623395"/>
    <w:rsid w:val="00623487"/>
    <w:rsid w:val="00623B05"/>
    <w:rsid w:val="00623BAC"/>
    <w:rsid w:val="006240AE"/>
    <w:rsid w:val="00624705"/>
    <w:rsid w:val="00624DBD"/>
    <w:rsid w:val="00625C04"/>
    <w:rsid w:val="00626B80"/>
    <w:rsid w:val="00627D54"/>
    <w:rsid w:val="00630DC2"/>
    <w:rsid w:val="00631D8E"/>
    <w:rsid w:val="0063245B"/>
    <w:rsid w:val="00632B63"/>
    <w:rsid w:val="00633094"/>
    <w:rsid w:val="0063389B"/>
    <w:rsid w:val="00634375"/>
    <w:rsid w:val="006346F2"/>
    <w:rsid w:val="006359BA"/>
    <w:rsid w:val="00637FD3"/>
    <w:rsid w:val="00640119"/>
    <w:rsid w:val="00640531"/>
    <w:rsid w:val="00641BEA"/>
    <w:rsid w:val="0064285B"/>
    <w:rsid w:val="00643DC8"/>
    <w:rsid w:val="00644390"/>
    <w:rsid w:val="0064513B"/>
    <w:rsid w:val="0064572A"/>
    <w:rsid w:val="00647311"/>
    <w:rsid w:val="006473F6"/>
    <w:rsid w:val="006478BF"/>
    <w:rsid w:val="00650B5F"/>
    <w:rsid w:val="00650F1B"/>
    <w:rsid w:val="00651FBA"/>
    <w:rsid w:val="00653DBA"/>
    <w:rsid w:val="00654E14"/>
    <w:rsid w:val="006556A5"/>
    <w:rsid w:val="0066079D"/>
    <w:rsid w:val="00661CA8"/>
    <w:rsid w:val="006627BE"/>
    <w:rsid w:val="00662976"/>
    <w:rsid w:val="00663EC7"/>
    <w:rsid w:val="00663F3D"/>
    <w:rsid w:val="00664031"/>
    <w:rsid w:val="00665531"/>
    <w:rsid w:val="006658A5"/>
    <w:rsid w:val="006658C3"/>
    <w:rsid w:val="00666AE0"/>
    <w:rsid w:val="00667D15"/>
    <w:rsid w:val="00667D2D"/>
    <w:rsid w:val="00667F45"/>
    <w:rsid w:val="006723BF"/>
    <w:rsid w:val="00673588"/>
    <w:rsid w:val="00673D1D"/>
    <w:rsid w:val="00674545"/>
    <w:rsid w:val="0067515D"/>
    <w:rsid w:val="0067603C"/>
    <w:rsid w:val="00676B32"/>
    <w:rsid w:val="00677A4F"/>
    <w:rsid w:val="006803E3"/>
    <w:rsid w:val="00681350"/>
    <w:rsid w:val="00681A1B"/>
    <w:rsid w:val="00681D34"/>
    <w:rsid w:val="0068288D"/>
    <w:rsid w:val="006829B3"/>
    <w:rsid w:val="006839D4"/>
    <w:rsid w:val="00683E00"/>
    <w:rsid w:val="00684417"/>
    <w:rsid w:val="00684DEE"/>
    <w:rsid w:val="00685680"/>
    <w:rsid w:val="00685733"/>
    <w:rsid w:val="006863AD"/>
    <w:rsid w:val="0068719F"/>
    <w:rsid w:val="0069153B"/>
    <w:rsid w:val="00691FDD"/>
    <w:rsid w:val="0069222B"/>
    <w:rsid w:val="006923FE"/>
    <w:rsid w:val="00692760"/>
    <w:rsid w:val="00692BA1"/>
    <w:rsid w:val="006930D6"/>
    <w:rsid w:val="00693A4B"/>
    <w:rsid w:val="006949D7"/>
    <w:rsid w:val="00697982"/>
    <w:rsid w:val="006A1301"/>
    <w:rsid w:val="006A2A7D"/>
    <w:rsid w:val="006A31A6"/>
    <w:rsid w:val="006A34B5"/>
    <w:rsid w:val="006A4887"/>
    <w:rsid w:val="006A5321"/>
    <w:rsid w:val="006A625A"/>
    <w:rsid w:val="006A7034"/>
    <w:rsid w:val="006A73C1"/>
    <w:rsid w:val="006B16C2"/>
    <w:rsid w:val="006B17E6"/>
    <w:rsid w:val="006B2290"/>
    <w:rsid w:val="006B233B"/>
    <w:rsid w:val="006B26C2"/>
    <w:rsid w:val="006B3FD3"/>
    <w:rsid w:val="006B49C1"/>
    <w:rsid w:val="006B5474"/>
    <w:rsid w:val="006B5C61"/>
    <w:rsid w:val="006B5FF8"/>
    <w:rsid w:val="006B61D0"/>
    <w:rsid w:val="006B6345"/>
    <w:rsid w:val="006B70BE"/>
    <w:rsid w:val="006B7A7A"/>
    <w:rsid w:val="006C0589"/>
    <w:rsid w:val="006C0ACB"/>
    <w:rsid w:val="006C20A4"/>
    <w:rsid w:val="006C2F42"/>
    <w:rsid w:val="006C3058"/>
    <w:rsid w:val="006C319A"/>
    <w:rsid w:val="006C3655"/>
    <w:rsid w:val="006C4ED7"/>
    <w:rsid w:val="006C5F1F"/>
    <w:rsid w:val="006C5F82"/>
    <w:rsid w:val="006C6926"/>
    <w:rsid w:val="006C724D"/>
    <w:rsid w:val="006C750D"/>
    <w:rsid w:val="006D09D2"/>
    <w:rsid w:val="006D0D94"/>
    <w:rsid w:val="006D3C1C"/>
    <w:rsid w:val="006D4969"/>
    <w:rsid w:val="006D5622"/>
    <w:rsid w:val="006E0AE1"/>
    <w:rsid w:val="006E1F00"/>
    <w:rsid w:val="006E24DB"/>
    <w:rsid w:val="006E3343"/>
    <w:rsid w:val="006E3C86"/>
    <w:rsid w:val="006E3D0E"/>
    <w:rsid w:val="006E5F5C"/>
    <w:rsid w:val="006E67FD"/>
    <w:rsid w:val="006E6B02"/>
    <w:rsid w:val="006E6BC2"/>
    <w:rsid w:val="006E6CFC"/>
    <w:rsid w:val="006E7994"/>
    <w:rsid w:val="006F08AF"/>
    <w:rsid w:val="006F1227"/>
    <w:rsid w:val="006F1646"/>
    <w:rsid w:val="006F2160"/>
    <w:rsid w:val="006F268F"/>
    <w:rsid w:val="006F3445"/>
    <w:rsid w:val="006F358B"/>
    <w:rsid w:val="006F3723"/>
    <w:rsid w:val="006F40EE"/>
    <w:rsid w:val="006F53CB"/>
    <w:rsid w:val="006F572E"/>
    <w:rsid w:val="006F6009"/>
    <w:rsid w:val="006F6111"/>
    <w:rsid w:val="006F6BC9"/>
    <w:rsid w:val="006F726D"/>
    <w:rsid w:val="007017AA"/>
    <w:rsid w:val="00701CFA"/>
    <w:rsid w:val="0070210F"/>
    <w:rsid w:val="007044B4"/>
    <w:rsid w:val="007070AB"/>
    <w:rsid w:val="007073DB"/>
    <w:rsid w:val="0070769C"/>
    <w:rsid w:val="007077B4"/>
    <w:rsid w:val="00707CE9"/>
    <w:rsid w:val="00707E37"/>
    <w:rsid w:val="00707FB1"/>
    <w:rsid w:val="00710631"/>
    <w:rsid w:val="00711A7D"/>
    <w:rsid w:val="00713292"/>
    <w:rsid w:val="007133DB"/>
    <w:rsid w:val="00714535"/>
    <w:rsid w:val="0071461F"/>
    <w:rsid w:val="00715A77"/>
    <w:rsid w:val="00716299"/>
    <w:rsid w:val="00717853"/>
    <w:rsid w:val="00717D88"/>
    <w:rsid w:val="00720414"/>
    <w:rsid w:val="00720AD9"/>
    <w:rsid w:val="007212A8"/>
    <w:rsid w:val="00721453"/>
    <w:rsid w:val="007220E7"/>
    <w:rsid w:val="007232D6"/>
    <w:rsid w:val="007242FF"/>
    <w:rsid w:val="007243FE"/>
    <w:rsid w:val="0072476E"/>
    <w:rsid w:val="00724E0A"/>
    <w:rsid w:val="00725745"/>
    <w:rsid w:val="00726A43"/>
    <w:rsid w:val="007271B2"/>
    <w:rsid w:val="00731B9D"/>
    <w:rsid w:val="0073206F"/>
    <w:rsid w:val="007324AF"/>
    <w:rsid w:val="00732D93"/>
    <w:rsid w:val="00732DB4"/>
    <w:rsid w:val="00733345"/>
    <w:rsid w:val="0073370C"/>
    <w:rsid w:val="00734F31"/>
    <w:rsid w:val="0073520C"/>
    <w:rsid w:val="007367C1"/>
    <w:rsid w:val="00737D69"/>
    <w:rsid w:val="0074064F"/>
    <w:rsid w:val="00740A6C"/>
    <w:rsid w:val="00740A73"/>
    <w:rsid w:val="00741314"/>
    <w:rsid w:val="007414EC"/>
    <w:rsid w:val="00742082"/>
    <w:rsid w:val="00744F99"/>
    <w:rsid w:val="0074540B"/>
    <w:rsid w:val="00745602"/>
    <w:rsid w:val="0074570E"/>
    <w:rsid w:val="00745A2A"/>
    <w:rsid w:val="0074613A"/>
    <w:rsid w:val="00746F17"/>
    <w:rsid w:val="00747B77"/>
    <w:rsid w:val="00750A11"/>
    <w:rsid w:val="00750C1D"/>
    <w:rsid w:val="00751062"/>
    <w:rsid w:val="007512BE"/>
    <w:rsid w:val="0075246C"/>
    <w:rsid w:val="007536CB"/>
    <w:rsid w:val="00754209"/>
    <w:rsid w:val="00754E93"/>
    <w:rsid w:val="0075521F"/>
    <w:rsid w:val="007552CD"/>
    <w:rsid w:val="0075729A"/>
    <w:rsid w:val="00757429"/>
    <w:rsid w:val="00760168"/>
    <w:rsid w:val="007616B5"/>
    <w:rsid w:val="00761CB5"/>
    <w:rsid w:val="007626E9"/>
    <w:rsid w:val="00762FF8"/>
    <w:rsid w:val="007633B9"/>
    <w:rsid w:val="00763D6E"/>
    <w:rsid w:val="0076473F"/>
    <w:rsid w:val="00765B6D"/>
    <w:rsid w:val="00765EB2"/>
    <w:rsid w:val="00766F00"/>
    <w:rsid w:val="007676AD"/>
    <w:rsid w:val="00767EBD"/>
    <w:rsid w:val="00770245"/>
    <w:rsid w:val="0077034E"/>
    <w:rsid w:val="007728BC"/>
    <w:rsid w:val="00773A4C"/>
    <w:rsid w:val="00774044"/>
    <w:rsid w:val="007740C9"/>
    <w:rsid w:val="0077424B"/>
    <w:rsid w:val="00774F6F"/>
    <w:rsid w:val="007751FA"/>
    <w:rsid w:val="00775530"/>
    <w:rsid w:val="00775A80"/>
    <w:rsid w:val="00776955"/>
    <w:rsid w:val="00780485"/>
    <w:rsid w:val="007809A9"/>
    <w:rsid w:val="00780A39"/>
    <w:rsid w:val="00780DFA"/>
    <w:rsid w:val="007827CC"/>
    <w:rsid w:val="00782CAA"/>
    <w:rsid w:val="00782D84"/>
    <w:rsid w:val="00782EB1"/>
    <w:rsid w:val="00782F8D"/>
    <w:rsid w:val="0078346A"/>
    <w:rsid w:val="00783C09"/>
    <w:rsid w:val="007845E6"/>
    <w:rsid w:val="00784961"/>
    <w:rsid w:val="00785400"/>
    <w:rsid w:val="0078593A"/>
    <w:rsid w:val="00785C3F"/>
    <w:rsid w:val="00785CE0"/>
    <w:rsid w:val="00786056"/>
    <w:rsid w:val="00786A9C"/>
    <w:rsid w:val="00787328"/>
    <w:rsid w:val="00787A60"/>
    <w:rsid w:val="007901A8"/>
    <w:rsid w:val="00790851"/>
    <w:rsid w:val="00790E7B"/>
    <w:rsid w:val="007942D3"/>
    <w:rsid w:val="007956C3"/>
    <w:rsid w:val="0079577B"/>
    <w:rsid w:val="007957E0"/>
    <w:rsid w:val="007958B0"/>
    <w:rsid w:val="00796C3B"/>
    <w:rsid w:val="00797836"/>
    <w:rsid w:val="00797EDF"/>
    <w:rsid w:val="00797F51"/>
    <w:rsid w:val="007A086F"/>
    <w:rsid w:val="007A1CAB"/>
    <w:rsid w:val="007A1DDC"/>
    <w:rsid w:val="007A1FC9"/>
    <w:rsid w:val="007A34FB"/>
    <w:rsid w:val="007A4619"/>
    <w:rsid w:val="007A49D3"/>
    <w:rsid w:val="007A504D"/>
    <w:rsid w:val="007A528C"/>
    <w:rsid w:val="007A6BEC"/>
    <w:rsid w:val="007A6D0B"/>
    <w:rsid w:val="007A7494"/>
    <w:rsid w:val="007B0998"/>
    <w:rsid w:val="007B158A"/>
    <w:rsid w:val="007B2099"/>
    <w:rsid w:val="007B2B9B"/>
    <w:rsid w:val="007B2F86"/>
    <w:rsid w:val="007B469D"/>
    <w:rsid w:val="007B46C4"/>
    <w:rsid w:val="007B5045"/>
    <w:rsid w:val="007B6585"/>
    <w:rsid w:val="007B6A1C"/>
    <w:rsid w:val="007B6C09"/>
    <w:rsid w:val="007B7741"/>
    <w:rsid w:val="007C05DA"/>
    <w:rsid w:val="007C2781"/>
    <w:rsid w:val="007C39B3"/>
    <w:rsid w:val="007C4122"/>
    <w:rsid w:val="007C45E5"/>
    <w:rsid w:val="007C4951"/>
    <w:rsid w:val="007C5DD7"/>
    <w:rsid w:val="007C6147"/>
    <w:rsid w:val="007C6A7A"/>
    <w:rsid w:val="007D00E7"/>
    <w:rsid w:val="007D04DD"/>
    <w:rsid w:val="007D165C"/>
    <w:rsid w:val="007D1D9B"/>
    <w:rsid w:val="007D2281"/>
    <w:rsid w:val="007D25AB"/>
    <w:rsid w:val="007D25F9"/>
    <w:rsid w:val="007D2D54"/>
    <w:rsid w:val="007D4C8C"/>
    <w:rsid w:val="007D64D7"/>
    <w:rsid w:val="007D6FB1"/>
    <w:rsid w:val="007E09DA"/>
    <w:rsid w:val="007E0C0F"/>
    <w:rsid w:val="007E0F8A"/>
    <w:rsid w:val="007E128C"/>
    <w:rsid w:val="007E16C1"/>
    <w:rsid w:val="007E1F31"/>
    <w:rsid w:val="007E2EC4"/>
    <w:rsid w:val="007E44ED"/>
    <w:rsid w:val="007E4B96"/>
    <w:rsid w:val="007E515B"/>
    <w:rsid w:val="007E5FEE"/>
    <w:rsid w:val="007E70BF"/>
    <w:rsid w:val="007E780E"/>
    <w:rsid w:val="007F00F7"/>
    <w:rsid w:val="007F1451"/>
    <w:rsid w:val="007F235A"/>
    <w:rsid w:val="007F45EB"/>
    <w:rsid w:val="007F536F"/>
    <w:rsid w:val="007F5F0E"/>
    <w:rsid w:val="007F6115"/>
    <w:rsid w:val="007F70DB"/>
    <w:rsid w:val="007F718D"/>
    <w:rsid w:val="008001A9"/>
    <w:rsid w:val="00801E18"/>
    <w:rsid w:val="00801FAD"/>
    <w:rsid w:val="00802AEF"/>
    <w:rsid w:val="008039D8"/>
    <w:rsid w:val="00803A86"/>
    <w:rsid w:val="00803CFA"/>
    <w:rsid w:val="00804387"/>
    <w:rsid w:val="0080615F"/>
    <w:rsid w:val="008063A7"/>
    <w:rsid w:val="0080695C"/>
    <w:rsid w:val="00810196"/>
    <w:rsid w:val="008115BC"/>
    <w:rsid w:val="00812236"/>
    <w:rsid w:val="0081234C"/>
    <w:rsid w:val="00813528"/>
    <w:rsid w:val="00813E49"/>
    <w:rsid w:val="00813ECF"/>
    <w:rsid w:val="00814B26"/>
    <w:rsid w:val="008170B1"/>
    <w:rsid w:val="00817406"/>
    <w:rsid w:val="008178B6"/>
    <w:rsid w:val="00820582"/>
    <w:rsid w:val="008206C9"/>
    <w:rsid w:val="00820D8F"/>
    <w:rsid w:val="00821D6F"/>
    <w:rsid w:val="0082236F"/>
    <w:rsid w:val="0082355E"/>
    <w:rsid w:val="00823889"/>
    <w:rsid w:val="008243A5"/>
    <w:rsid w:val="008248DF"/>
    <w:rsid w:val="008249DB"/>
    <w:rsid w:val="00824A36"/>
    <w:rsid w:val="008258F3"/>
    <w:rsid w:val="00826051"/>
    <w:rsid w:val="00826AC0"/>
    <w:rsid w:val="00826E6D"/>
    <w:rsid w:val="00827F8E"/>
    <w:rsid w:val="008300EC"/>
    <w:rsid w:val="0083026B"/>
    <w:rsid w:val="00830A77"/>
    <w:rsid w:val="00830D75"/>
    <w:rsid w:val="008312BC"/>
    <w:rsid w:val="0083283D"/>
    <w:rsid w:val="00833527"/>
    <w:rsid w:val="008339AA"/>
    <w:rsid w:val="0083446B"/>
    <w:rsid w:val="00835718"/>
    <w:rsid w:val="00835760"/>
    <w:rsid w:val="00835A4D"/>
    <w:rsid w:val="00835F80"/>
    <w:rsid w:val="0083627A"/>
    <w:rsid w:val="00836688"/>
    <w:rsid w:val="00836CAB"/>
    <w:rsid w:val="00836ED6"/>
    <w:rsid w:val="00837ADF"/>
    <w:rsid w:val="00837E21"/>
    <w:rsid w:val="00840177"/>
    <w:rsid w:val="00841642"/>
    <w:rsid w:val="0084252A"/>
    <w:rsid w:val="0084519B"/>
    <w:rsid w:val="00846216"/>
    <w:rsid w:val="00846584"/>
    <w:rsid w:val="00847230"/>
    <w:rsid w:val="00847246"/>
    <w:rsid w:val="00847440"/>
    <w:rsid w:val="008516C8"/>
    <w:rsid w:val="008519C4"/>
    <w:rsid w:val="00851FE5"/>
    <w:rsid w:val="00854109"/>
    <w:rsid w:val="00856A06"/>
    <w:rsid w:val="008578A9"/>
    <w:rsid w:val="00857D33"/>
    <w:rsid w:val="00860485"/>
    <w:rsid w:val="00860489"/>
    <w:rsid w:val="00860887"/>
    <w:rsid w:val="00860AEE"/>
    <w:rsid w:val="008611AB"/>
    <w:rsid w:val="0086153E"/>
    <w:rsid w:val="00862357"/>
    <w:rsid w:val="00863204"/>
    <w:rsid w:val="0086392D"/>
    <w:rsid w:val="00863D93"/>
    <w:rsid w:val="008649D6"/>
    <w:rsid w:val="00865B74"/>
    <w:rsid w:val="00865E89"/>
    <w:rsid w:val="00866063"/>
    <w:rsid w:val="00866190"/>
    <w:rsid w:val="00866A61"/>
    <w:rsid w:val="00870013"/>
    <w:rsid w:val="00870801"/>
    <w:rsid w:val="00870A55"/>
    <w:rsid w:val="00870C61"/>
    <w:rsid w:val="00871A4B"/>
    <w:rsid w:val="00873782"/>
    <w:rsid w:val="00873C7D"/>
    <w:rsid w:val="00873F6A"/>
    <w:rsid w:val="0087658C"/>
    <w:rsid w:val="008769D6"/>
    <w:rsid w:val="00880AD0"/>
    <w:rsid w:val="00881E62"/>
    <w:rsid w:val="00881F65"/>
    <w:rsid w:val="00882487"/>
    <w:rsid w:val="00882AA2"/>
    <w:rsid w:val="008838A4"/>
    <w:rsid w:val="0088618D"/>
    <w:rsid w:val="008865ED"/>
    <w:rsid w:val="00886C07"/>
    <w:rsid w:val="00886F53"/>
    <w:rsid w:val="0088735A"/>
    <w:rsid w:val="00890016"/>
    <w:rsid w:val="00890B7E"/>
    <w:rsid w:val="00891512"/>
    <w:rsid w:val="0089201E"/>
    <w:rsid w:val="008925B9"/>
    <w:rsid w:val="00893167"/>
    <w:rsid w:val="00893CED"/>
    <w:rsid w:val="0089497B"/>
    <w:rsid w:val="00896CEC"/>
    <w:rsid w:val="008974F0"/>
    <w:rsid w:val="00897503"/>
    <w:rsid w:val="00897724"/>
    <w:rsid w:val="00897EA6"/>
    <w:rsid w:val="008A0474"/>
    <w:rsid w:val="008A1499"/>
    <w:rsid w:val="008A1D90"/>
    <w:rsid w:val="008A2581"/>
    <w:rsid w:val="008A2D03"/>
    <w:rsid w:val="008A3C76"/>
    <w:rsid w:val="008A4822"/>
    <w:rsid w:val="008A58D0"/>
    <w:rsid w:val="008A602E"/>
    <w:rsid w:val="008A61B8"/>
    <w:rsid w:val="008A73BF"/>
    <w:rsid w:val="008A7AE8"/>
    <w:rsid w:val="008A7E52"/>
    <w:rsid w:val="008B012A"/>
    <w:rsid w:val="008B31A5"/>
    <w:rsid w:val="008B5C70"/>
    <w:rsid w:val="008B6295"/>
    <w:rsid w:val="008B64BF"/>
    <w:rsid w:val="008B6E84"/>
    <w:rsid w:val="008B77FD"/>
    <w:rsid w:val="008B7806"/>
    <w:rsid w:val="008B7EF7"/>
    <w:rsid w:val="008C0586"/>
    <w:rsid w:val="008C0A70"/>
    <w:rsid w:val="008C2907"/>
    <w:rsid w:val="008C2B19"/>
    <w:rsid w:val="008C3182"/>
    <w:rsid w:val="008C3628"/>
    <w:rsid w:val="008C3EF2"/>
    <w:rsid w:val="008C4794"/>
    <w:rsid w:val="008C5589"/>
    <w:rsid w:val="008C6A0D"/>
    <w:rsid w:val="008C7E01"/>
    <w:rsid w:val="008D01B7"/>
    <w:rsid w:val="008D2843"/>
    <w:rsid w:val="008D349A"/>
    <w:rsid w:val="008D3C7C"/>
    <w:rsid w:val="008D405D"/>
    <w:rsid w:val="008D41B1"/>
    <w:rsid w:val="008D47FF"/>
    <w:rsid w:val="008D5128"/>
    <w:rsid w:val="008D528F"/>
    <w:rsid w:val="008D57C0"/>
    <w:rsid w:val="008D7937"/>
    <w:rsid w:val="008E0AA5"/>
    <w:rsid w:val="008E1B2C"/>
    <w:rsid w:val="008E2028"/>
    <w:rsid w:val="008E23C4"/>
    <w:rsid w:val="008E250B"/>
    <w:rsid w:val="008E262D"/>
    <w:rsid w:val="008E2ABA"/>
    <w:rsid w:val="008E2F77"/>
    <w:rsid w:val="008E30A0"/>
    <w:rsid w:val="008E3A72"/>
    <w:rsid w:val="008E3FCF"/>
    <w:rsid w:val="008E404E"/>
    <w:rsid w:val="008E4428"/>
    <w:rsid w:val="008E46E3"/>
    <w:rsid w:val="008E4BFA"/>
    <w:rsid w:val="008E69D4"/>
    <w:rsid w:val="008E69FB"/>
    <w:rsid w:val="008E73B2"/>
    <w:rsid w:val="008E768F"/>
    <w:rsid w:val="008E7735"/>
    <w:rsid w:val="008F01E7"/>
    <w:rsid w:val="008F1827"/>
    <w:rsid w:val="008F3672"/>
    <w:rsid w:val="008F4864"/>
    <w:rsid w:val="008F4A27"/>
    <w:rsid w:val="008F5360"/>
    <w:rsid w:val="008F57DE"/>
    <w:rsid w:val="008F5B03"/>
    <w:rsid w:val="008F5EC6"/>
    <w:rsid w:val="008F6CFD"/>
    <w:rsid w:val="008F760A"/>
    <w:rsid w:val="008F7B14"/>
    <w:rsid w:val="00901A03"/>
    <w:rsid w:val="009021D8"/>
    <w:rsid w:val="009036DD"/>
    <w:rsid w:val="00903D20"/>
    <w:rsid w:val="00905247"/>
    <w:rsid w:val="00906E0C"/>
    <w:rsid w:val="00906E17"/>
    <w:rsid w:val="00907E50"/>
    <w:rsid w:val="00910329"/>
    <w:rsid w:val="00910ECB"/>
    <w:rsid w:val="00910F3B"/>
    <w:rsid w:val="009125A1"/>
    <w:rsid w:val="00912AAE"/>
    <w:rsid w:val="00912ACF"/>
    <w:rsid w:val="009145B9"/>
    <w:rsid w:val="009154A9"/>
    <w:rsid w:val="00915DA2"/>
    <w:rsid w:val="00917542"/>
    <w:rsid w:val="00917618"/>
    <w:rsid w:val="009176E4"/>
    <w:rsid w:val="00917892"/>
    <w:rsid w:val="00917BAE"/>
    <w:rsid w:val="009202F6"/>
    <w:rsid w:val="00920A3B"/>
    <w:rsid w:val="00920C7C"/>
    <w:rsid w:val="00920E77"/>
    <w:rsid w:val="009213E3"/>
    <w:rsid w:val="009223B8"/>
    <w:rsid w:val="0092316E"/>
    <w:rsid w:val="009232BD"/>
    <w:rsid w:val="009241BB"/>
    <w:rsid w:val="0092432D"/>
    <w:rsid w:val="009255BD"/>
    <w:rsid w:val="0092572A"/>
    <w:rsid w:val="009257E3"/>
    <w:rsid w:val="00925CE0"/>
    <w:rsid w:val="0092693F"/>
    <w:rsid w:val="00926F26"/>
    <w:rsid w:val="009273FE"/>
    <w:rsid w:val="00927638"/>
    <w:rsid w:val="009307F8"/>
    <w:rsid w:val="00930BA1"/>
    <w:rsid w:val="009313FE"/>
    <w:rsid w:val="0093169E"/>
    <w:rsid w:val="00931B4A"/>
    <w:rsid w:val="00932975"/>
    <w:rsid w:val="00934587"/>
    <w:rsid w:val="00934901"/>
    <w:rsid w:val="009354D2"/>
    <w:rsid w:val="0093595C"/>
    <w:rsid w:val="00936CF8"/>
    <w:rsid w:val="0094068F"/>
    <w:rsid w:val="00941380"/>
    <w:rsid w:val="00941DBF"/>
    <w:rsid w:val="0094330E"/>
    <w:rsid w:val="00943A38"/>
    <w:rsid w:val="00943B7D"/>
    <w:rsid w:val="00944544"/>
    <w:rsid w:val="009452F0"/>
    <w:rsid w:val="00945681"/>
    <w:rsid w:val="00945CC0"/>
    <w:rsid w:val="00946C1A"/>
    <w:rsid w:val="00946C69"/>
    <w:rsid w:val="0094777D"/>
    <w:rsid w:val="00947E95"/>
    <w:rsid w:val="0095014C"/>
    <w:rsid w:val="00950170"/>
    <w:rsid w:val="009505C9"/>
    <w:rsid w:val="00950752"/>
    <w:rsid w:val="00951A47"/>
    <w:rsid w:val="00952744"/>
    <w:rsid w:val="00953838"/>
    <w:rsid w:val="00953B2F"/>
    <w:rsid w:val="00953BE7"/>
    <w:rsid w:val="0095686F"/>
    <w:rsid w:val="00956A79"/>
    <w:rsid w:val="00956D05"/>
    <w:rsid w:val="009578F0"/>
    <w:rsid w:val="00957EB4"/>
    <w:rsid w:val="00960D72"/>
    <w:rsid w:val="00960E5C"/>
    <w:rsid w:val="00961E1F"/>
    <w:rsid w:val="009620B2"/>
    <w:rsid w:val="009639BF"/>
    <w:rsid w:val="00964112"/>
    <w:rsid w:val="0096416C"/>
    <w:rsid w:val="009662B7"/>
    <w:rsid w:val="00966424"/>
    <w:rsid w:val="00966E03"/>
    <w:rsid w:val="00970114"/>
    <w:rsid w:val="00970640"/>
    <w:rsid w:val="00970F57"/>
    <w:rsid w:val="009712B3"/>
    <w:rsid w:val="00971FEE"/>
    <w:rsid w:val="00972AB8"/>
    <w:rsid w:val="0097438B"/>
    <w:rsid w:val="00974A3A"/>
    <w:rsid w:val="00975047"/>
    <w:rsid w:val="009769BB"/>
    <w:rsid w:val="00977336"/>
    <w:rsid w:val="00977CB5"/>
    <w:rsid w:val="009808B4"/>
    <w:rsid w:val="00980937"/>
    <w:rsid w:val="00980CA4"/>
    <w:rsid w:val="00982E73"/>
    <w:rsid w:val="0098420F"/>
    <w:rsid w:val="00984A8B"/>
    <w:rsid w:val="00985368"/>
    <w:rsid w:val="00986F8B"/>
    <w:rsid w:val="0099038B"/>
    <w:rsid w:val="009903D3"/>
    <w:rsid w:val="00990F0D"/>
    <w:rsid w:val="00991681"/>
    <w:rsid w:val="00991A11"/>
    <w:rsid w:val="00992434"/>
    <w:rsid w:val="00992C50"/>
    <w:rsid w:val="00992D4D"/>
    <w:rsid w:val="00994E33"/>
    <w:rsid w:val="00995F30"/>
    <w:rsid w:val="00996713"/>
    <w:rsid w:val="00997931"/>
    <w:rsid w:val="009A11B6"/>
    <w:rsid w:val="009A17E2"/>
    <w:rsid w:val="009A18C8"/>
    <w:rsid w:val="009A2224"/>
    <w:rsid w:val="009A491B"/>
    <w:rsid w:val="009A50F5"/>
    <w:rsid w:val="009A54E9"/>
    <w:rsid w:val="009B0163"/>
    <w:rsid w:val="009B061C"/>
    <w:rsid w:val="009B068C"/>
    <w:rsid w:val="009B0BA1"/>
    <w:rsid w:val="009B128E"/>
    <w:rsid w:val="009B1636"/>
    <w:rsid w:val="009B21DB"/>
    <w:rsid w:val="009B24D5"/>
    <w:rsid w:val="009B283A"/>
    <w:rsid w:val="009B338B"/>
    <w:rsid w:val="009B3593"/>
    <w:rsid w:val="009B366D"/>
    <w:rsid w:val="009B3861"/>
    <w:rsid w:val="009B4012"/>
    <w:rsid w:val="009B4859"/>
    <w:rsid w:val="009B67FA"/>
    <w:rsid w:val="009B72AC"/>
    <w:rsid w:val="009B7335"/>
    <w:rsid w:val="009B78D4"/>
    <w:rsid w:val="009C02E5"/>
    <w:rsid w:val="009C0523"/>
    <w:rsid w:val="009C0B44"/>
    <w:rsid w:val="009C0D14"/>
    <w:rsid w:val="009C15EB"/>
    <w:rsid w:val="009C2443"/>
    <w:rsid w:val="009C2DE6"/>
    <w:rsid w:val="009C4E30"/>
    <w:rsid w:val="009C5193"/>
    <w:rsid w:val="009C58E9"/>
    <w:rsid w:val="009C5E1F"/>
    <w:rsid w:val="009C72A9"/>
    <w:rsid w:val="009C7B55"/>
    <w:rsid w:val="009C7E9E"/>
    <w:rsid w:val="009D0262"/>
    <w:rsid w:val="009D0A94"/>
    <w:rsid w:val="009D115D"/>
    <w:rsid w:val="009D1E0D"/>
    <w:rsid w:val="009D2A91"/>
    <w:rsid w:val="009D4849"/>
    <w:rsid w:val="009D70EE"/>
    <w:rsid w:val="009E0177"/>
    <w:rsid w:val="009E0218"/>
    <w:rsid w:val="009E2D98"/>
    <w:rsid w:val="009E3F77"/>
    <w:rsid w:val="009E4DC2"/>
    <w:rsid w:val="009E4DF3"/>
    <w:rsid w:val="009E597B"/>
    <w:rsid w:val="009E6A4E"/>
    <w:rsid w:val="009E7AE4"/>
    <w:rsid w:val="009F033D"/>
    <w:rsid w:val="009F0C24"/>
    <w:rsid w:val="009F1805"/>
    <w:rsid w:val="009F1EFA"/>
    <w:rsid w:val="009F2A06"/>
    <w:rsid w:val="009F2EA0"/>
    <w:rsid w:val="009F30C1"/>
    <w:rsid w:val="009F3104"/>
    <w:rsid w:val="009F3C86"/>
    <w:rsid w:val="009F5194"/>
    <w:rsid w:val="009F5F0D"/>
    <w:rsid w:val="009F5F90"/>
    <w:rsid w:val="009F6971"/>
    <w:rsid w:val="009F6CF9"/>
    <w:rsid w:val="00A000C9"/>
    <w:rsid w:val="00A00B72"/>
    <w:rsid w:val="00A01A9B"/>
    <w:rsid w:val="00A01E4E"/>
    <w:rsid w:val="00A03715"/>
    <w:rsid w:val="00A04AE5"/>
    <w:rsid w:val="00A05576"/>
    <w:rsid w:val="00A0674A"/>
    <w:rsid w:val="00A07A7B"/>
    <w:rsid w:val="00A1070A"/>
    <w:rsid w:val="00A111D1"/>
    <w:rsid w:val="00A12902"/>
    <w:rsid w:val="00A135E8"/>
    <w:rsid w:val="00A13F7E"/>
    <w:rsid w:val="00A1458E"/>
    <w:rsid w:val="00A147E9"/>
    <w:rsid w:val="00A14B89"/>
    <w:rsid w:val="00A15904"/>
    <w:rsid w:val="00A163F8"/>
    <w:rsid w:val="00A17069"/>
    <w:rsid w:val="00A170D1"/>
    <w:rsid w:val="00A17B0C"/>
    <w:rsid w:val="00A20C9B"/>
    <w:rsid w:val="00A21471"/>
    <w:rsid w:val="00A236EB"/>
    <w:rsid w:val="00A24450"/>
    <w:rsid w:val="00A2551D"/>
    <w:rsid w:val="00A27C9B"/>
    <w:rsid w:val="00A27CDA"/>
    <w:rsid w:val="00A302B3"/>
    <w:rsid w:val="00A318ED"/>
    <w:rsid w:val="00A32E35"/>
    <w:rsid w:val="00A3307E"/>
    <w:rsid w:val="00A347D3"/>
    <w:rsid w:val="00A350D6"/>
    <w:rsid w:val="00A35631"/>
    <w:rsid w:val="00A4015D"/>
    <w:rsid w:val="00A40ADC"/>
    <w:rsid w:val="00A41751"/>
    <w:rsid w:val="00A41C71"/>
    <w:rsid w:val="00A41D87"/>
    <w:rsid w:val="00A42B2B"/>
    <w:rsid w:val="00A44E59"/>
    <w:rsid w:val="00A45031"/>
    <w:rsid w:val="00A4531C"/>
    <w:rsid w:val="00A45C23"/>
    <w:rsid w:val="00A505FD"/>
    <w:rsid w:val="00A50DCB"/>
    <w:rsid w:val="00A512E1"/>
    <w:rsid w:val="00A51B32"/>
    <w:rsid w:val="00A51DD2"/>
    <w:rsid w:val="00A51FA3"/>
    <w:rsid w:val="00A52965"/>
    <w:rsid w:val="00A52E5A"/>
    <w:rsid w:val="00A5358C"/>
    <w:rsid w:val="00A53950"/>
    <w:rsid w:val="00A53AE6"/>
    <w:rsid w:val="00A53F59"/>
    <w:rsid w:val="00A541F2"/>
    <w:rsid w:val="00A54666"/>
    <w:rsid w:val="00A55277"/>
    <w:rsid w:val="00A56167"/>
    <w:rsid w:val="00A57072"/>
    <w:rsid w:val="00A608E6"/>
    <w:rsid w:val="00A60A3B"/>
    <w:rsid w:val="00A60D3E"/>
    <w:rsid w:val="00A60FE6"/>
    <w:rsid w:val="00A62359"/>
    <w:rsid w:val="00A62543"/>
    <w:rsid w:val="00A62D9D"/>
    <w:rsid w:val="00A636C7"/>
    <w:rsid w:val="00A63867"/>
    <w:rsid w:val="00A65589"/>
    <w:rsid w:val="00A66AEB"/>
    <w:rsid w:val="00A66CDC"/>
    <w:rsid w:val="00A67A9B"/>
    <w:rsid w:val="00A67C24"/>
    <w:rsid w:val="00A67E36"/>
    <w:rsid w:val="00A67F3D"/>
    <w:rsid w:val="00A709AF"/>
    <w:rsid w:val="00A70FD0"/>
    <w:rsid w:val="00A71114"/>
    <w:rsid w:val="00A72EB9"/>
    <w:rsid w:val="00A73BCD"/>
    <w:rsid w:val="00A74AA2"/>
    <w:rsid w:val="00A74D36"/>
    <w:rsid w:val="00A75455"/>
    <w:rsid w:val="00A75999"/>
    <w:rsid w:val="00A75CD1"/>
    <w:rsid w:val="00A75DE9"/>
    <w:rsid w:val="00A7610C"/>
    <w:rsid w:val="00A8074A"/>
    <w:rsid w:val="00A81597"/>
    <w:rsid w:val="00A820C5"/>
    <w:rsid w:val="00A832CE"/>
    <w:rsid w:val="00A834A1"/>
    <w:rsid w:val="00A83D90"/>
    <w:rsid w:val="00A83F9D"/>
    <w:rsid w:val="00A84565"/>
    <w:rsid w:val="00A84A25"/>
    <w:rsid w:val="00A85D45"/>
    <w:rsid w:val="00A86796"/>
    <w:rsid w:val="00A87B6C"/>
    <w:rsid w:val="00A91A06"/>
    <w:rsid w:val="00A91C74"/>
    <w:rsid w:val="00A91F5B"/>
    <w:rsid w:val="00A9350B"/>
    <w:rsid w:val="00A9381D"/>
    <w:rsid w:val="00A95185"/>
    <w:rsid w:val="00A958BA"/>
    <w:rsid w:val="00A97142"/>
    <w:rsid w:val="00A9795A"/>
    <w:rsid w:val="00A97D86"/>
    <w:rsid w:val="00AA0550"/>
    <w:rsid w:val="00AA0FE9"/>
    <w:rsid w:val="00AA137F"/>
    <w:rsid w:val="00AA1AE1"/>
    <w:rsid w:val="00AA2165"/>
    <w:rsid w:val="00AA26AD"/>
    <w:rsid w:val="00AA29CC"/>
    <w:rsid w:val="00AA3AF8"/>
    <w:rsid w:val="00AA434B"/>
    <w:rsid w:val="00AA59B9"/>
    <w:rsid w:val="00AA5A64"/>
    <w:rsid w:val="00AA5CCA"/>
    <w:rsid w:val="00AA6F92"/>
    <w:rsid w:val="00AA793B"/>
    <w:rsid w:val="00AA7DA8"/>
    <w:rsid w:val="00AB0D30"/>
    <w:rsid w:val="00AB0F28"/>
    <w:rsid w:val="00AB12DE"/>
    <w:rsid w:val="00AB15F5"/>
    <w:rsid w:val="00AB17F5"/>
    <w:rsid w:val="00AB2811"/>
    <w:rsid w:val="00AB3970"/>
    <w:rsid w:val="00AB43C0"/>
    <w:rsid w:val="00AB498D"/>
    <w:rsid w:val="00AB6934"/>
    <w:rsid w:val="00AB693F"/>
    <w:rsid w:val="00AB69AC"/>
    <w:rsid w:val="00AC01FB"/>
    <w:rsid w:val="00AC2543"/>
    <w:rsid w:val="00AC2D75"/>
    <w:rsid w:val="00AC2DC0"/>
    <w:rsid w:val="00AC36C8"/>
    <w:rsid w:val="00AC4501"/>
    <w:rsid w:val="00AC4621"/>
    <w:rsid w:val="00AC464C"/>
    <w:rsid w:val="00AC6B22"/>
    <w:rsid w:val="00AC7E6D"/>
    <w:rsid w:val="00AD199C"/>
    <w:rsid w:val="00AD1F85"/>
    <w:rsid w:val="00AD2A1B"/>
    <w:rsid w:val="00AD32D6"/>
    <w:rsid w:val="00AD38EF"/>
    <w:rsid w:val="00AD4214"/>
    <w:rsid w:val="00AD49D9"/>
    <w:rsid w:val="00AD5CC0"/>
    <w:rsid w:val="00AD6219"/>
    <w:rsid w:val="00AD6704"/>
    <w:rsid w:val="00AD719B"/>
    <w:rsid w:val="00AE0471"/>
    <w:rsid w:val="00AE0627"/>
    <w:rsid w:val="00AE0D63"/>
    <w:rsid w:val="00AE1574"/>
    <w:rsid w:val="00AE1597"/>
    <w:rsid w:val="00AE27EF"/>
    <w:rsid w:val="00AE3462"/>
    <w:rsid w:val="00AE51FA"/>
    <w:rsid w:val="00AE5611"/>
    <w:rsid w:val="00AE56C7"/>
    <w:rsid w:val="00AE5994"/>
    <w:rsid w:val="00AE71F2"/>
    <w:rsid w:val="00AF07BE"/>
    <w:rsid w:val="00AF0856"/>
    <w:rsid w:val="00AF08A5"/>
    <w:rsid w:val="00AF21D9"/>
    <w:rsid w:val="00AF3471"/>
    <w:rsid w:val="00AF35BD"/>
    <w:rsid w:val="00AF42DE"/>
    <w:rsid w:val="00AF4381"/>
    <w:rsid w:val="00AF480D"/>
    <w:rsid w:val="00AF4B10"/>
    <w:rsid w:val="00AF4C08"/>
    <w:rsid w:val="00AF4F57"/>
    <w:rsid w:val="00AF6B5A"/>
    <w:rsid w:val="00AF6D09"/>
    <w:rsid w:val="00AF7156"/>
    <w:rsid w:val="00AF7460"/>
    <w:rsid w:val="00AF7A1A"/>
    <w:rsid w:val="00B0152F"/>
    <w:rsid w:val="00B0168B"/>
    <w:rsid w:val="00B01DD3"/>
    <w:rsid w:val="00B05E8C"/>
    <w:rsid w:val="00B062A3"/>
    <w:rsid w:val="00B06E3C"/>
    <w:rsid w:val="00B125AD"/>
    <w:rsid w:val="00B141F5"/>
    <w:rsid w:val="00B143F1"/>
    <w:rsid w:val="00B148FD"/>
    <w:rsid w:val="00B14ACA"/>
    <w:rsid w:val="00B1597B"/>
    <w:rsid w:val="00B161DE"/>
    <w:rsid w:val="00B169CD"/>
    <w:rsid w:val="00B16E76"/>
    <w:rsid w:val="00B16E86"/>
    <w:rsid w:val="00B16FE6"/>
    <w:rsid w:val="00B1724E"/>
    <w:rsid w:val="00B1784C"/>
    <w:rsid w:val="00B2089D"/>
    <w:rsid w:val="00B20EC1"/>
    <w:rsid w:val="00B220B1"/>
    <w:rsid w:val="00B22910"/>
    <w:rsid w:val="00B22C78"/>
    <w:rsid w:val="00B23658"/>
    <w:rsid w:val="00B25F92"/>
    <w:rsid w:val="00B262F7"/>
    <w:rsid w:val="00B268E5"/>
    <w:rsid w:val="00B276A6"/>
    <w:rsid w:val="00B3039D"/>
    <w:rsid w:val="00B31CED"/>
    <w:rsid w:val="00B31EF8"/>
    <w:rsid w:val="00B32B6D"/>
    <w:rsid w:val="00B32DED"/>
    <w:rsid w:val="00B32E22"/>
    <w:rsid w:val="00B3369F"/>
    <w:rsid w:val="00B340FF"/>
    <w:rsid w:val="00B34256"/>
    <w:rsid w:val="00B34DA5"/>
    <w:rsid w:val="00B35366"/>
    <w:rsid w:val="00B355ED"/>
    <w:rsid w:val="00B35DC3"/>
    <w:rsid w:val="00B360F9"/>
    <w:rsid w:val="00B37269"/>
    <w:rsid w:val="00B37C02"/>
    <w:rsid w:val="00B42D26"/>
    <w:rsid w:val="00B4384A"/>
    <w:rsid w:val="00B444EA"/>
    <w:rsid w:val="00B4452E"/>
    <w:rsid w:val="00B45AE2"/>
    <w:rsid w:val="00B45CE3"/>
    <w:rsid w:val="00B47157"/>
    <w:rsid w:val="00B479F7"/>
    <w:rsid w:val="00B50162"/>
    <w:rsid w:val="00B501FB"/>
    <w:rsid w:val="00B50CCF"/>
    <w:rsid w:val="00B51FC6"/>
    <w:rsid w:val="00B5201C"/>
    <w:rsid w:val="00B5247D"/>
    <w:rsid w:val="00B527D5"/>
    <w:rsid w:val="00B539FD"/>
    <w:rsid w:val="00B553E5"/>
    <w:rsid w:val="00B55B5A"/>
    <w:rsid w:val="00B568F1"/>
    <w:rsid w:val="00B56F23"/>
    <w:rsid w:val="00B573A5"/>
    <w:rsid w:val="00B574F9"/>
    <w:rsid w:val="00B57BE4"/>
    <w:rsid w:val="00B60D8C"/>
    <w:rsid w:val="00B6121F"/>
    <w:rsid w:val="00B6274B"/>
    <w:rsid w:val="00B6303A"/>
    <w:rsid w:val="00B640D3"/>
    <w:rsid w:val="00B64A2E"/>
    <w:rsid w:val="00B64D35"/>
    <w:rsid w:val="00B64ECF"/>
    <w:rsid w:val="00B6565F"/>
    <w:rsid w:val="00B664D6"/>
    <w:rsid w:val="00B66B0D"/>
    <w:rsid w:val="00B66F61"/>
    <w:rsid w:val="00B70977"/>
    <w:rsid w:val="00B714CE"/>
    <w:rsid w:val="00B71643"/>
    <w:rsid w:val="00B720B6"/>
    <w:rsid w:val="00B723A9"/>
    <w:rsid w:val="00B72CE9"/>
    <w:rsid w:val="00B7360C"/>
    <w:rsid w:val="00B73E73"/>
    <w:rsid w:val="00B7604C"/>
    <w:rsid w:val="00B778AE"/>
    <w:rsid w:val="00B77CEC"/>
    <w:rsid w:val="00B80122"/>
    <w:rsid w:val="00B803EB"/>
    <w:rsid w:val="00B814EF"/>
    <w:rsid w:val="00B83790"/>
    <w:rsid w:val="00B8672D"/>
    <w:rsid w:val="00B86ED6"/>
    <w:rsid w:val="00B87542"/>
    <w:rsid w:val="00B90230"/>
    <w:rsid w:val="00B908D4"/>
    <w:rsid w:val="00B9165E"/>
    <w:rsid w:val="00B92063"/>
    <w:rsid w:val="00B92C57"/>
    <w:rsid w:val="00B9390B"/>
    <w:rsid w:val="00B9466C"/>
    <w:rsid w:val="00B94E6C"/>
    <w:rsid w:val="00B955E5"/>
    <w:rsid w:val="00B95B44"/>
    <w:rsid w:val="00B96BD3"/>
    <w:rsid w:val="00B96ECF"/>
    <w:rsid w:val="00BA41E2"/>
    <w:rsid w:val="00BA46DB"/>
    <w:rsid w:val="00BA492B"/>
    <w:rsid w:val="00BA6BDB"/>
    <w:rsid w:val="00BA7741"/>
    <w:rsid w:val="00BA7B83"/>
    <w:rsid w:val="00BA7F40"/>
    <w:rsid w:val="00BB204A"/>
    <w:rsid w:val="00BB3643"/>
    <w:rsid w:val="00BB3A4A"/>
    <w:rsid w:val="00BB425F"/>
    <w:rsid w:val="00BB4606"/>
    <w:rsid w:val="00BB4804"/>
    <w:rsid w:val="00BB4DE3"/>
    <w:rsid w:val="00BB6D33"/>
    <w:rsid w:val="00BB732B"/>
    <w:rsid w:val="00BC00B4"/>
    <w:rsid w:val="00BC0278"/>
    <w:rsid w:val="00BC1342"/>
    <w:rsid w:val="00BC2276"/>
    <w:rsid w:val="00BC2A68"/>
    <w:rsid w:val="00BC3155"/>
    <w:rsid w:val="00BC37F4"/>
    <w:rsid w:val="00BC4B1D"/>
    <w:rsid w:val="00BC4EBD"/>
    <w:rsid w:val="00BC50D6"/>
    <w:rsid w:val="00BC5399"/>
    <w:rsid w:val="00BC5E1A"/>
    <w:rsid w:val="00BC6528"/>
    <w:rsid w:val="00BD02F3"/>
    <w:rsid w:val="00BD0E39"/>
    <w:rsid w:val="00BD101B"/>
    <w:rsid w:val="00BD2707"/>
    <w:rsid w:val="00BD44F2"/>
    <w:rsid w:val="00BD6054"/>
    <w:rsid w:val="00BD667A"/>
    <w:rsid w:val="00BD6EDA"/>
    <w:rsid w:val="00BD7AAA"/>
    <w:rsid w:val="00BD7C06"/>
    <w:rsid w:val="00BD7C59"/>
    <w:rsid w:val="00BE08ED"/>
    <w:rsid w:val="00BE1329"/>
    <w:rsid w:val="00BE2470"/>
    <w:rsid w:val="00BE27F6"/>
    <w:rsid w:val="00BE33E5"/>
    <w:rsid w:val="00BE4723"/>
    <w:rsid w:val="00BE47CA"/>
    <w:rsid w:val="00BE620C"/>
    <w:rsid w:val="00BE6A39"/>
    <w:rsid w:val="00BE7379"/>
    <w:rsid w:val="00BF0693"/>
    <w:rsid w:val="00BF0D32"/>
    <w:rsid w:val="00BF31C7"/>
    <w:rsid w:val="00BF4275"/>
    <w:rsid w:val="00BF55DE"/>
    <w:rsid w:val="00BF5F0E"/>
    <w:rsid w:val="00BF5F7B"/>
    <w:rsid w:val="00BF6093"/>
    <w:rsid w:val="00BF6AC5"/>
    <w:rsid w:val="00BF759A"/>
    <w:rsid w:val="00BF7968"/>
    <w:rsid w:val="00BF7FF4"/>
    <w:rsid w:val="00C0107A"/>
    <w:rsid w:val="00C01C1E"/>
    <w:rsid w:val="00C02F34"/>
    <w:rsid w:val="00C03BC6"/>
    <w:rsid w:val="00C048FC"/>
    <w:rsid w:val="00C052D9"/>
    <w:rsid w:val="00C06CF6"/>
    <w:rsid w:val="00C07257"/>
    <w:rsid w:val="00C072F0"/>
    <w:rsid w:val="00C102C4"/>
    <w:rsid w:val="00C117D2"/>
    <w:rsid w:val="00C11BFB"/>
    <w:rsid w:val="00C1206F"/>
    <w:rsid w:val="00C127F1"/>
    <w:rsid w:val="00C13A7D"/>
    <w:rsid w:val="00C13CCF"/>
    <w:rsid w:val="00C1445D"/>
    <w:rsid w:val="00C144AF"/>
    <w:rsid w:val="00C1475A"/>
    <w:rsid w:val="00C14DC2"/>
    <w:rsid w:val="00C15726"/>
    <w:rsid w:val="00C15735"/>
    <w:rsid w:val="00C157F3"/>
    <w:rsid w:val="00C171AE"/>
    <w:rsid w:val="00C17B4D"/>
    <w:rsid w:val="00C2031A"/>
    <w:rsid w:val="00C20582"/>
    <w:rsid w:val="00C20BC8"/>
    <w:rsid w:val="00C22134"/>
    <w:rsid w:val="00C22AA0"/>
    <w:rsid w:val="00C22BB3"/>
    <w:rsid w:val="00C22C88"/>
    <w:rsid w:val="00C22F3A"/>
    <w:rsid w:val="00C23D2F"/>
    <w:rsid w:val="00C252DE"/>
    <w:rsid w:val="00C2655D"/>
    <w:rsid w:val="00C2677E"/>
    <w:rsid w:val="00C270DA"/>
    <w:rsid w:val="00C301B9"/>
    <w:rsid w:val="00C31BA9"/>
    <w:rsid w:val="00C32042"/>
    <w:rsid w:val="00C32593"/>
    <w:rsid w:val="00C32AE2"/>
    <w:rsid w:val="00C33BFF"/>
    <w:rsid w:val="00C33FF5"/>
    <w:rsid w:val="00C35385"/>
    <w:rsid w:val="00C3577A"/>
    <w:rsid w:val="00C36058"/>
    <w:rsid w:val="00C373DE"/>
    <w:rsid w:val="00C37AFC"/>
    <w:rsid w:val="00C37C23"/>
    <w:rsid w:val="00C40F90"/>
    <w:rsid w:val="00C4110F"/>
    <w:rsid w:val="00C41C58"/>
    <w:rsid w:val="00C423DE"/>
    <w:rsid w:val="00C423E7"/>
    <w:rsid w:val="00C42509"/>
    <w:rsid w:val="00C4265D"/>
    <w:rsid w:val="00C426A1"/>
    <w:rsid w:val="00C4278F"/>
    <w:rsid w:val="00C4326D"/>
    <w:rsid w:val="00C438A1"/>
    <w:rsid w:val="00C443BD"/>
    <w:rsid w:val="00C4509D"/>
    <w:rsid w:val="00C451C5"/>
    <w:rsid w:val="00C45477"/>
    <w:rsid w:val="00C46110"/>
    <w:rsid w:val="00C47FBA"/>
    <w:rsid w:val="00C508F0"/>
    <w:rsid w:val="00C514D0"/>
    <w:rsid w:val="00C530EA"/>
    <w:rsid w:val="00C54130"/>
    <w:rsid w:val="00C5449F"/>
    <w:rsid w:val="00C547E7"/>
    <w:rsid w:val="00C54842"/>
    <w:rsid w:val="00C54907"/>
    <w:rsid w:val="00C5527D"/>
    <w:rsid w:val="00C55B71"/>
    <w:rsid w:val="00C55BFB"/>
    <w:rsid w:val="00C55BFE"/>
    <w:rsid w:val="00C55D27"/>
    <w:rsid w:val="00C573A1"/>
    <w:rsid w:val="00C57C93"/>
    <w:rsid w:val="00C57F65"/>
    <w:rsid w:val="00C60FDF"/>
    <w:rsid w:val="00C6130B"/>
    <w:rsid w:val="00C61E7B"/>
    <w:rsid w:val="00C61FB3"/>
    <w:rsid w:val="00C62217"/>
    <w:rsid w:val="00C629B2"/>
    <w:rsid w:val="00C62C90"/>
    <w:rsid w:val="00C63D77"/>
    <w:rsid w:val="00C64539"/>
    <w:rsid w:val="00C6491D"/>
    <w:rsid w:val="00C67480"/>
    <w:rsid w:val="00C679B1"/>
    <w:rsid w:val="00C72948"/>
    <w:rsid w:val="00C72BEB"/>
    <w:rsid w:val="00C7371A"/>
    <w:rsid w:val="00C73C5B"/>
    <w:rsid w:val="00C74C97"/>
    <w:rsid w:val="00C75948"/>
    <w:rsid w:val="00C76097"/>
    <w:rsid w:val="00C779AC"/>
    <w:rsid w:val="00C77A85"/>
    <w:rsid w:val="00C77FD4"/>
    <w:rsid w:val="00C80C88"/>
    <w:rsid w:val="00C83B4A"/>
    <w:rsid w:val="00C8439E"/>
    <w:rsid w:val="00C84997"/>
    <w:rsid w:val="00C8540D"/>
    <w:rsid w:val="00C8542B"/>
    <w:rsid w:val="00C858EC"/>
    <w:rsid w:val="00C8590D"/>
    <w:rsid w:val="00C85F99"/>
    <w:rsid w:val="00C871E8"/>
    <w:rsid w:val="00C90E97"/>
    <w:rsid w:val="00C91493"/>
    <w:rsid w:val="00C9161D"/>
    <w:rsid w:val="00C91FDD"/>
    <w:rsid w:val="00C93357"/>
    <w:rsid w:val="00C93968"/>
    <w:rsid w:val="00C94768"/>
    <w:rsid w:val="00C95139"/>
    <w:rsid w:val="00C95400"/>
    <w:rsid w:val="00C9597E"/>
    <w:rsid w:val="00C95B36"/>
    <w:rsid w:val="00C96FCC"/>
    <w:rsid w:val="00C97415"/>
    <w:rsid w:val="00C9782E"/>
    <w:rsid w:val="00CA01B7"/>
    <w:rsid w:val="00CA08D8"/>
    <w:rsid w:val="00CA0908"/>
    <w:rsid w:val="00CA090A"/>
    <w:rsid w:val="00CA0940"/>
    <w:rsid w:val="00CA0A44"/>
    <w:rsid w:val="00CA0B0B"/>
    <w:rsid w:val="00CA0C1D"/>
    <w:rsid w:val="00CA2A19"/>
    <w:rsid w:val="00CA2AF9"/>
    <w:rsid w:val="00CA34B4"/>
    <w:rsid w:val="00CA3CA1"/>
    <w:rsid w:val="00CA3E73"/>
    <w:rsid w:val="00CA54C8"/>
    <w:rsid w:val="00CA553E"/>
    <w:rsid w:val="00CB1738"/>
    <w:rsid w:val="00CB19AD"/>
    <w:rsid w:val="00CB237D"/>
    <w:rsid w:val="00CB2559"/>
    <w:rsid w:val="00CB2E1D"/>
    <w:rsid w:val="00CB3513"/>
    <w:rsid w:val="00CB3845"/>
    <w:rsid w:val="00CB77BA"/>
    <w:rsid w:val="00CC0B40"/>
    <w:rsid w:val="00CC0D51"/>
    <w:rsid w:val="00CC1C4F"/>
    <w:rsid w:val="00CC2637"/>
    <w:rsid w:val="00CC4841"/>
    <w:rsid w:val="00CC4E18"/>
    <w:rsid w:val="00CC535D"/>
    <w:rsid w:val="00CC5381"/>
    <w:rsid w:val="00CC61A6"/>
    <w:rsid w:val="00CC6362"/>
    <w:rsid w:val="00CC6438"/>
    <w:rsid w:val="00CC75FD"/>
    <w:rsid w:val="00CD0B7C"/>
    <w:rsid w:val="00CD0DAB"/>
    <w:rsid w:val="00CD10B1"/>
    <w:rsid w:val="00CD16B3"/>
    <w:rsid w:val="00CD2BC2"/>
    <w:rsid w:val="00CD54EF"/>
    <w:rsid w:val="00CD5A2A"/>
    <w:rsid w:val="00CD5AB6"/>
    <w:rsid w:val="00CD6B52"/>
    <w:rsid w:val="00CD6F77"/>
    <w:rsid w:val="00CD725E"/>
    <w:rsid w:val="00CD75D3"/>
    <w:rsid w:val="00CD7865"/>
    <w:rsid w:val="00CE00F5"/>
    <w:rsid w:val="00CE16EE"/>
    <w:rsid w:val="00CE29C6"/>
    <w:rsid w:val="00CE38E7"/>
    <w:rsid w:val="00CE3E7D"/>
    <w:rsid w:val="00CE406C"/>
    <w:rsid w:val="00CE4493"/>
    <w:rsid w:val="00CE4D80"/>
    <w:rsid w:val="00CE4E34"/>
    <w:rsid w:val="00CE614B"/>
    <w:rsid w:val="00CE75B4"/>
    <w:rsid w:val="00CF03A9"/>
    <w:rsid w:val="00CF059A"/>
    <w:rsid w:val="00CF07FD"/>
    <w:rsid w:val="00CF0CCE"/>
    <w:rsid w:val="00CF1848"/>
    <w:rsid w:val="00CF2B19"/>
    <w:rsid w:val="00CF565E"/>
    <w:rsid w:val="00CF7339"/>
    <w:rsid w:val="00D004A6"/>
    <w:rsid w:val="00D00C82"/>
    <w:rsid w:val="00D02BEC"/>
    <w:rsid w:val="00D034E6"/>
    <w:rsid w:val="00D04D38"/>
    <w:rsid w:val="00D054EE"/>
    <w:rsid w:val="00D06415"/>
    <w:rsid w:val="00D064BF"/>
    <w:rsid w:val="00D06B85"/>
    <w:rsid w:val="00D06C7A"/>
    <w:rsid w:val="00D11250"/>
    <w:rsid w:val="00D11474"/>
    <w:rsid w:val="00D11971"/>
    <w:rsid w:val="00D11AE0"/>
    <w:rsid w:val="00D12044"/>
    <w:rsid w:val="00D137AD"/>
    <w:rsid w:val="00D14185"/>
    <w:rsid w:val="00D141AF"/>
    <w:rsid w:val="00D1472F"/>
    <w:rsid w:val="00D16C9C"/>
    <w:rsid w:val="00D16F70"/>
    <w:rsid w:val="00D170D9"/>
    <w:rsid w:val="00D20219"/>
    <w:rsid w:val="00D21E02"/>
    <w:rsid w:val="00D223B2"/>
    <w:rsid w:val="00D22567"/>
    <w:rsid w:val="00D236AB"/>
    <w:rsid w:val="00D242E9"/>
    <w:rsid w:val="00D243C6"/>
    <w:rsid w:val="00D2466B"/>
    <w:rsid w:val="00D25B35"/>
    <w:rsid w:val="00D26196"/>
    <w:rsid w:val="00D27C50"/>
    <w:rsid w:val="00D27F71"/>
    <w:rsid w:val="00D30168"/>
    <w:rsid w:val="00D301F9"/>
    <w:rsid w:val="00D3082F"/>
    <w:rsid w:val="00D32B68"/>
    <w:rsid w:val="00D33EFC"/>
    <w:rsid w:val="00D33F62"/>
    <w:rsid w:val="00D345AA"/>
    <w:rsid w:val="00D35C1B"/>
    <w:rsid w:val="00D3727B"/>
    <w:rsid w:val="00D3788D"/>
    <w:rsid w:val="00D40D61"/>
    <w:rsid w:val="00D40DBC"/>
    <w:rsid w:val="00D40E06"/>
    <w:rsid w:val="00D4143B"/>
    <w:rsid w:val="00D4196E"/>
    <w:rsid w:val="00D41DA6"/>
    <w:rsid w:val="00D41DC8"/>
    <w:rsid w:val="00D43003"/>
    <w:rsid w:val="00D43679"/>
    <w:rsid w:val="00D438BA"/>
    <w:rsid w:val="00D448E1"/>
    <w:rsid w:val="00D45D56"/>
    <w:rsid w:val="00D46AB5"/>
    <w:rsid w:val="00D47348"/>
    <w:rsid w:val="00D47839"/>
    <w:rsid w:val="00D47D44"/>
    <w:rsid w:val="00D5052A"/>
    <w:rsid w:val="00D50BD4"/>
    <w:rsid w:val="00D510D9"/>
    <w:rsid w:val="00D51B0A"/>
    <w:rsid w:val="00D5357F"/>
    <w:rsid w:val="00D5540F"/>
    <w:rsid w:val="00D55BAA"/>
    <w:rsid w:val="00D55ECC"/>
    <w:rsid w:val="00D57880"/>
    <w:rsid w:val="00D606FB"/>
    <w:rsid w:val="00D615D6"/>
    <w:rsid w:val="00D61C85"/>
    <w:rsid w:val="00D6252F"/>
    <w:rsid w:val="00D62A62"/>
    <w:rsid w:val="00D63319"/>
    <w:rsid w:val="00D636CD"/>
    <w:rsid w:val="00D64039"/>
    <w:rsid w:val="00D649BE"/>
    <w:rsid w:val="00D64B38"/>
    <w:rsid w:val="00D652A6"/>
    <w:rsid w:val="00D702AC"/>
    <w:rsid w:val="00D70A7F"/>
    <w:rsid w:val="00D7139C"/>
    <w:rsid w:val="00D727C3"/>
    <w:rsid w:val="00D729E9"/>
    <w:rsid w:val="00D74629"/>
    <w:rsid w:val="00D7586E"/>
    <w:rsid w:val="00D75A8F"/>
    <w:rsid w:val="00D75CA6"/>
    <w:rsid w:val="00D76A18"/>
    <w:rsid w:val="00D76F0A"/>
    <w:rsid w:val="00D80849"/>
    <w:rsid w:val="00D80D1A"/>
    <w:rsid w:val="00D813F2"/>
    <w:rsid w:val="00D82105"/>
    <w:rsid w:val="00D82237"/>
    <w:rsid w:val="00D82AF6"/>
    <w:rsid w:val="00D82E8F"/>
    <w:rsid w:val="00D83420"/>
    <w:rsid w:val="00D8364F"/>
    <w:rsid w:val="00D837C5"/>
    <w:rsid w:val="00D837E8"/>
    <w:rsid w:val="00D83995"/>
    <w:rsid w:val="00D83E7F"/>
    <w:rsid w:val="00D84819"/>
    <w:rsid w:val="00D85087"/>
    <w:rsid w:val="00D86209"/>
    <w:rsid w:val="00D86982"/>
    <w:rsid w:val="00D86D64"/>
    <w:rsid w:val="00D8737D"/>
    <w:rsid w:val="00D9284D"/>
    <w:rsid w:val="00D92A2F"/>
    <w:rsid w:val="00D93D00"/>
    <w:rsid w:val="00D941E1"/>
    <w:rsid w:val="00D9420D"/>
    <w:rsid w:val="00D94325"/>
    <w:rsid w:val="00D94361"/>
    <w:rsid w:val="00D944AC"/>
    <w:rsid w:val="00D946BF"/>
    <w:rsid w:val="00D950DE"/>
    <w:rsid w:val="00D957FD"/>
    <w:rsid w:val="00D959D3"/>
    <w:rsid w:val="00D95B26"/>
    <w:rsid w:val="00D95BB7"/>
    <w:rsid w:val="00D9683E"/>
    <w:rsid w:val="00DA0ABE"/>
    <w:rsid w:val="00DA1EC9"/>
    <w:rsid w:val="00DA30B9"/>
    <w:rsid w:val="00DA43E9"/>
    <w:rsid w:val="00DA4C22"/>
    <w:rsid w:val="00DA4DFC"/>
    <w:rsid w:val="00DA5A98"/>
    <w:rsid w:val="00DA7414"/>
    <w:rsid w:val="00DA7651"/>
    <w:rsid w:val="00DB0BCC"/>
    <w:rsid w:val="00DB2584"/>
    <w:rsid w:val="00DB312F"/>
    <w:rsid w:val="00DB336B"/>
    <w:rsid w:val="00DB37E3"/>
    <w:rsid w:val="00DB3F96"/>
    <w:rsid w:val="00DB54EC"/>
    <w:rsid w:val="00DB5A22"/>
    <w:rsid w:val="00DB5B22"/>
    <w:rsid w:val="00DB5E0F"/>
    <w:rsid w:val="00DB65D7"/>
    <w:rsid w:val="00DB6666"/>
    <w:rsid w:val="00DB69C8"/>
    <w:rsid w:val="00DB6A78"/>
    <w:rsid w:val="00DC06D6"/>
    <w:rsid w:val="00DC146F"/>
    <w:rsid w:val="00DC1C59"/>
    <w:rsid w:val="00DC20A0"/>
    <w:rsid w:val="00DC21F3"/>
    <w:rsid w:val="00DC26FE"/>
    <w:rsid w:val="00DC3595"/>
    <w:rsid w:val="00DC3C1C"/>
    <w:rsid w:val="00DC3CC8"/>
    <w:rsid w:val="00DC3F8E"/>
    <w:rsid w:val="00DC4136"/>
    <w:rsid w:val="00DC4382"/>
    <w:rsid w:val="00DC4568"/>
    <w:rsid w:val="00DC5079"/>
    <w:rsid w:val="00DC5119"/>
    <w:rsid w:val="00DC5185"/>
    <w:rsid w:val="00DC5918"/>
    <w:rsid w:val="00DC5973"/>
    <w:rsid w:val="00DC5A30"/>
    <w:rsid w:val="00DC5B4F"/>
    <w:rsid w:val="00DC61E7"/>
    <w:rsid w:val="00DC6B02"/>
    <w:rsid w:val="00DC70BC"/>
    <w:rsid w:val="00DC7DEE"/>
    <w:rsid w:val="00DD118C"/>
    <w:rsid w:val="00DD11C1"/>
    <w:rsid w:val="00DD1C8E"/>
    <w:rsid w:val="00DD1DE1"/>
    <w:rsid w:val="00DD20AD"/>
    <w:rsid w:val="00DD2694"/>
    <w:rsid w:val="00DD2769"/>
    <w:rsid w:val="00DD2CD9"/>
    <w:rsid w:val="00DD2D76"/>
    <w:rsid w:val="00DD2D7F"/>
    <w:rsid w:val="00DD2DCE"/>
    <w:rsid w:val="00DD2E70"/>
    <w:rsid w:val="00DD2F05"/>
    <w:rsid w:val="00DD3738"/>
    <w:rsid w:val="00DD3854"/>
    <w:rsid w:val="00DD3DED"/>
    <w:rsid w:val="00DD4E65"/>
    <w:rsid w:val="00DD5461"/>
    <w:rsid w:val="00DD56E8"/>
    <w:rsid w:val="00DD5E2D"/>
    <w:rsid w:val="00DD5E3A"/>
    <w:rsid w:val="00DD5F04"/>
    <w:rsid w:val="00DE36AA"/>
    <w:rsid w:val="00DE5675"/>
    <w:rsid w:val="00DE6F22"/>
    <w:rsid w:val="00DE708F"/>
    <w:rsid w:val="00DE765C"/>
    <w:rsid w:val="00DF0CF2"/>
    <w:rsid w:val="00DF0F28"/>
    <w:rsid w:val="00DF1826"/>
    <w:rsid w:val="00DF1A56"/>
    <w:rsid w:val="00DF2DF0"/>
    <w:rsid w:val="00DF39C9"/>
    <w:rsid w:val="00DF45E1"/>
    <w:rsid w:val="00DF46F9"/>
    <w:rsid w:val="00DF4889"/>
    <w:rsid w:val="00DF5971"/>
    <w:rsid w:val="00DF5F42"/>
    <w:rsid w:val="00DF6088"/>
    <w:rsid w:val="00DF732B"/>
    <w:rsid w:val="00E0017B"/>
    <w:rsid w:val="00E0034E"/>
    <w:rsid w:val="00E007DB"/>
    <w:rsid w:val="00E01C80"/>
    <w:rsid w:val="00E0215A"/>
    <w:rsid w:val="00E02F24"/>
    <w:rsid w:val="00E046D8"/>
    <w:rsid w:val="00E06026"/>
    <w:rsid w:val="00E06AB0"/>
    <w:rsid w:val="00E073A6"/>
    <w:rsid w:val="00E11052"/>
    <w:rsid w:val="00E11266"/>
    <w:rsid w:val="00E121FE"/>
    <w:rsid w:val="00E144A3"/>
    <w:rsid w:val="00E15154"/>
    <w:rsid w:val="00E15527"/>
    <w:rsid w:val="00E15630"/>
    <w:rsid w:val="00E15A5F"/>
    <w:rsid w:val="00E15A9C"/>
    <w:rsid w:val="00E15F96"/>
    <w:rsid w:val="00E16807"/>
    <w:rsid w:val="00E177B1"/>
    <w:rsid w:val="00E20C9F"/>
    <w:rsid w:val="00E20E90"/>
    <w:rsid w:val="00E2121F"/>
    <w:rsid w:val="00E21C01"/>
    <w:rsid w:val="00E21E23"/>
    <w:rsid w:val="00E221C6"/>
    <w:rsid w:val="00E2278E"/>
    <w:rsid w:val="00E23188"/>
    <w:rsid w:val="00E23870"/>
    <w:rsid w:val="00E2397D"/>
    <w:rsid w:val="00E23EAF"/>
    <w:rsid w:val="00E2480B"/>
    <w:rsid w:val="00E24F5C"/>
    <w:rsid w:val="00E25CDA"/>
    <w:rsid w:val="00E26B2B"/>
    <w:rsid w:val="00E26E52"/>
    <w:rsid w:val="00E27B60"/>
    <w:rsid w:val="00E312A5"/>
    <w:rsid w:val="00E31531"/>
    <w:rsid w:val="00E31883"/>
    <w:rsid w:val="00E31A22"/>
    <w:rsid w:val="00E31A70"/>
    <w:rsid w:val="00E31BD9"/>
    <w:rsid w:val="00E324E9"/>
    <w:rsid w:val="00E33794"/>
    <w:rsid w:val="00E343E3"/>
    <w:rsid w:val="00E34D07"/>
    <w:rsid w:val="00E35EBE"/>
    <w:rsid w:val="00E36332"/>
    <w:rsid w:val="00E37282"/>
    <w:rsid w:val="00E37F55"/>
    <w:rsid w:val="00E422EB"/>
    <w:rsid w:val="00E424F8"/>
    <w:rsid w:val="00E42F9B"/>
    <w:rsid w:val="00E432EC"/>
    <w:rsid w:val="00E43FC8"/>
    <w:rsid w:val="00E44031"/>
    <w:rsid w:val="00E4470A"/>
    <w:rsid w:val="00E45000"/>
    <w:rsid w:val="00E464FA"/>
    <w:rsid w:val="00E46E7F"/>
    <w:rsid w:val="00E47943"/>
    <w:rsid w:val="00E47DF0"/>
    <w:rsid w:val="00E5060B"/>
    <w:rsid w:val="00E53F72"/>
    <w:rsid w:val="00E5475A"/>
    <w:rsid w:val="00E54E2B"/>
    <w:rsid w:val="00E5585F"/>
    <w:rsid w:val="00E56585"/>
    <w:rsid w:val="00E56805"/>
    <w:rsid w:val="00E575C1"/>
    <w:rsid w:val="00E61DD1"/>
    <w:rsid w:val="00E6269E"/>
    <w:rsid w:val="00E62BD4"/>
    <w:rsid w:val="00E63CD1"/>
    <w:rsid w:val="00E64CCE"/>
    <w:rsid w:val="00E65FF7"/>
    <w:rsid w:val="00E66205"/>
    <w:rsid w:val="00E66235"/>
    <w:rsid w:val="00E66715"/>
    <w:rsid w:val="00E6673F"/>
    <w:rsid w:val="00E70842"/>
    <w:rsid w:val="00E7113E"/>
    <w:rsid w:val="00E722FD"/>
    <w:rsid w:val="00E737D1"/>
    <w:rsid w:val="00E74156"/>
    <w:rsid w:val="00E74852"/>
    <w:rsid w:val="00E75290"/>
    <w:rsid w:val="00E7596E"/>
    <w:rsid w:val="00E75A30"/>
    <w:rsid w:val="00E77F8B"/>
    <w:rsid w:val="00E801FD"/>
    <w:rsid w:val="00E8183B"/>
    <w:rsid w:val="00E8262B"/>
    <w:rsid w:val="00E828B8"/>
    <w:rsid w:val="00E82E91"/>
    <w:rsid w:val="00E83935"/>
    <w:rsid w:val="00E83C24"/>
    <w:rsid w:val="00E84218"/>
    <w:rsid w:val="00E84CC5"/>
    <w:rsid w:val="00E85679"/>
    <w:rsid w:val="00E86080"/>
    <w:rsid w:val="00E91464"/>
    <w:rsid w:val="00E929D3"/>
    <w:rsid w:val="00E92B20"/>
    <w:rsid w:val="00E9318D"/>
    <w:rsid w:val="00E93F3E"/>
    <w:rsid w:val="00E964DD"/>
    <w:rsid w:val="00E96806"/>
    <w:rsid w:val="00E96D83"/>
    <w:rsid w:val="00E976DE"/>
    <w:rsid w:val="00E97E38"/>
    <w:rsid w:val="00EA032E"/>
    <w:rsid w:val="00EA0449"/>
    <w:rsid w:val="00EA04BF"/>
    <w:rsid w:val="00EA1850"/>
    <w:rsid w:val="00EA1A23"/>
    <w:rsid w:val="00EA28EA"/>
    <w:rsid w:val="00EA30E7"/>
    <w:rsid w:val="00EA5647"/>
    <w:rsid w:val="00EA5CBB"/>
    <w:rsid w:val="00EA6908"/>
    <w:rsid w:val="00EA7679"/>
    <w:rsid w:val="00EA77BB"/>
    <w:rsid w:val="00EA7CD5"/>
    <w:rsid w:val="00EB1460"/>
    <w:rsid w:val="00EB2936"/>
    <w:rsid w:val="00EB303D"/>
    <w:rsid w:val="00EB381F"/>
    <w:rsid w:val="00EB6408"/>
    <w:rsid w:val="00EB66A7"/>
    <w:rsid w:val="00EB6BC4"/>
    <w:rsid w:val="00EC1B58"/>
    <w:rsid w:val="00EC1BD8"/>
    <w:rsid w:val="00EC22B0"/>
    <w:rsid w:val="00EC319B"/>
    <w:rsid w:val="00EC377B"/>
    <w:rsid w:val="00EC58EB"/>
    <w:rsid w:val="00EC629C"/>
    <w:rsid w:val="00EC6A7E"/>
    <w:rsid w:val="00EC6B1B"/>
    <w:rsid w:val="00EC6E62"/>
    <w:rsid w:val="00ED33FA"/>
    <w:rsid w:val="00ED3809"/>
    <w:rsid w:val="00ED4768"/>
    <w:rsid w:val="00ED5521"/>
    <w:rsid w:val="00ED60FF"/>
    <w:rsid w:val="00ED623F"/>
    <w:rsid w:val="00EE0739"/>
    <w:rsid w:val="00EE08A6"/>
    <w:rsid w:val="00EE24DE"/>
    <w:rsid w:val="00EE2823"/>
    <w:rsid w:val="00EE4767"/>
    <w:rsid w:val="00EE48D8"/>
    <w:rsid w:val="00EE5472"/>
    <w:rsid w:val="00EE6173"/>
    <w:rsid w:val="00EE67A9"/>
    <w:rsid w:val="00EE7830"/>
    <w:rsid w:val="00EE7DF6"/>
    <w:rsid w:val="00EF208F"/>
    <w:rsid w:val="00EF25A7"/>
    <w:rsid w:val="00EF37B8"/>
    <w:rsid w:val="00EF40DD"/>
    <w:rsid w:val="00EF4DAA"/>
    <w:rsid w:val="00EF58F6"/>
    <w:rsid w:val="00EF6402"/>
    <w:rsid w:val="00EF676B"/>
    <w:rsid w:val="00EF69F4"/>
    <w:rsid w:val="00EF6A94"/>
    <w:rsid w:val="00EF760F"/>
    <w:rsid w:val="00EF7A5B"/>
    <w:rsid w:val="00EF7F66"/>
    <w:rsid w:val="00F00B19"/>
    <w:rsid w:val="00F0182B"/>
    <w:rsid w:val="00F01BAA"/>
    <w:rsid w:val="00F02000"/>
    <w:rsid w:val="00F03749"/>
    <w:rsid w:val="00F041E5"/>
    <w:rsid w:val="00F04B5E"/>
    <w:rsid w:val="00F05628"/>
    <w:rsid w:val="00F05801"/>
    <w:rsid w:val="00F06329"/>
    <w:rsid w:val="00F063C2"/>
    <w:rsid w:val="00F06CEE"/>
    <w:rsid w:val="00F07D93"/>
    <w:rsid w:val="00F14701"/>
    <w:rsid w:val="00F148BE"/>
    <w:rsid w:val="00F16F1A"/>
    <w:rsid w:val="00F1738B"/>
    <w:rsid w:val="00F17DDB"/>
    <w:rsid w:val="00F22A08"/>
    <w:rsid w:val="00F22B3E"/>
    <w:rsid w:val="00F22B68"/>
    <w:rsid w:val="00F22F2B"/>
    <w:rsid w:val="00F23E01"/>
    <w:rsid w:val="00F2431A"/>
    <w:rsid w:val="00F24534"/>
    <w:rsid w:val="00F255AD"/>
    <w:rsid w:val="00F25C76"/>
    <w:rsid w:val="00F2652E"/>
    <w:rsid w:val="00F26540"/>
    <w:rsid w:val="00F2749C"/>
    <w:rsid w:val="00F31731"/>
    <w:rsid w:val="00F32203"/>
    <w:rsid w:val="00F326FF"/>
    <w:rsid w:val="00F3284E"/>
    <w:rsid w:val="00F33B58"/>
    <w:rsid w:val="00F33D39"/>
    <w:rsid w:val="00F341D5"/>
    <w:rsid w:val="00F34C15"/>
    <w:rsid w:val="00F359B0"/>
    <w:rsid w:val="00F36B5A"/>
    <w:rsid w:val="00F36CD3"/>
    <w:rsid w:val="00F370D0"/>
    <w:rsid w:val="00F37AC9"/>
    <w:rsid w:val="00F40033"/>
    <w:rsid w:val="00F4041C"/>
    <w:rsid w:val="00F412A5"/>
    <w:rsid w:val="00F41E8D"/>
    <w:rsid w:val="00F42088"/>
    <w:rsid w:val="00F42B98"/>
    <w:rsid w:val="00F439AC"/>
    <w:rsid w:val="00F4492D"/>
    <w:rsid w:val="00F4763E"/>
    <w:rsid w:val="00F50769"/>
    <w:rsid w:val="00F518ED"/>
    <w:rsid w:val="00F51B90"/>
    <w:rsid w:val="00F52B37"/>
    <w:rsid w:val="00F53193"/>
    <w:rsid w:val="00F5357E"/>
    <w:rsid w:val="00F543BA"/>
    <w:rsid w:val="00F547B7"/>
    <w:rsid w:val="00F548B3"/>
    <w:rsid w:val="00F55EFE"/>
    <w:rsid w:val="00F56373"/>
    <w:rsid w:val="00F56A0D"/>
    <w:rsid w:val="00F5772F"/>
    <w:rsid w:val="00F57F01"/>
    <w:rsid w:val="00F60B15"/>
    <w:rsid w:val="00F631C5"/>
    <w:rsid w:val="00F6325E"/>
    <w:rsid w:val="00F641F3"/>
    <w:rsid w:val="00F64BC8"/>
    <w:rsid w:val="00F64F19"/>
    <w:rsid w:val="00F6544B"/>
    <w:rsid w:val="00F6586C"/>
    <w:rsid w:val="00F65F18"/>
    <w:rsid w:val="00F6736E"/>
    <w:rsid w:val="00F6781A"/>
    <w:rsid w:val="00F678C9"/>
    <w:rsid w:val="00F7014A"/>
    <w:rsid w:val="00F70B7E"/>
    <w:rsid w:val="00F717B3"/>
    <w:rsid w:val="00F7189D"/>
    <w:rsid w:val="00F7341F"/>
    <w:rsid w:val="00F73A04"/>
    <w:rsid w:val="00F73C9E"/>
    <w:rsid w:val="00F747D3"/>
    <w:rsid w:val="00F7504E"/>
    <w:rsid w:val="00F7547F"/>
    <w:rsid w:val="00F755F7"/>
    <w:rsid w:val="00F76F6C"/>
    <w:rsid w:val="00F77FAA"/>
    <w:rsid w:val="00F82291"/>
    <w:rsid w:val="00F83443"/>
    <w:rsid w:val="00F844CF"/>
    <w:rsid w:val="00F851E6"/>
    <w:rsid w:val="00F856D8"/>
    <w:rsid w:val="00F86D52"/>
    <w:rsid w:val="00F87044"/>
    <w:rsid w:val="00F8767C"/>
    <w:rsid w:val="00F9038B"/>
    <w:rsid w:val="00F906EF"/>
    <w:rsid w:val="00F916FF"/>
    <w:rsid w:val="00F9179A"/>
    <w:rsid w:val="00F92537"/>
    <w:rsid w:val="00F9318B"/>
    <w:rsid w:val="00F936DD"/>
    <w:rsid w:val="00F93A18"/>
    <w:rsid w:val="00F941EF"/>
    <w:rsid w:val="00F94588"/>
    <w:rsid w:val="00F94774"/>
    <w:rsid w:val="00F94C4E"/>
    <w:rsid w:val="00F95EF1"/>
    <w:rsid w:val="00F97DDC"/>
    <w:rsid w:val="00FA044F"/>
    <w:rsid w:val="00FA0DDC"/>
    <w:rsid w:val="00FA1296"/>
    <w:rsid w:val="00FA1543"/>
    <w:rsid w:val="00FA3A29"/>
    <w:rsid w:val="00FA3ED0"/>
    <w:rsid w:val="00FA4516"/>
    <w:rsid w:val="00FA47D2"/>
    <w:rsid w:val="00FA4D94"/>
    <w:rsid w:val="00FA660F"/>
    <w:rsid w:val="00FA663B"/>
    <w:rsid w:val="00FB0312"/>
    <w:rsid w:val="00FB081E"/>
    <w:rsid w:val="00FB09F1"/>
    <w:rsid w:val="00FB193C"/>
    <w:rsid w:val="00FB1BC9"/>
    <w:rsid w:val="00FB2CBB"/>
    <w:rsid w:val="00FB4060"/>
    <w:rsid w:val="00FB4555"/>
    <w:rsid w:val="00FB4D10"/>
    <w:rsid w:val="00FB5E0C"/>
    <w:rsid w:val="00FB6C02"/>
    <w:rsid w:val="00FB6E44"/>
    <w:rsid w:val="00FC1001"/>
    <w:rsid w:val="00FC2FEE"/>
    <w:rsid w:val="00FC3242"/>
    <w:rsid w:val="00FC3622"/>
    <w:rsid w:val="00FC476D"/>
    <w:rsid w:val="00FC53DB"/>
    <w:rsid w:val="00FC5514"/>
    <w:rsid w:val="00FC59EA"/>
    <w:rsid w:val="00FC602B"/>
    <w:rsid w:val="00FC6334"/>
    <w:rsid w:val="00FC6423"/>
    <w:rsid w:val="00FC699C"/>
    <w:rsid w:val="00FC6C78"/>
    <w:rsid w:val="00FC6FF8"/>
    <w:rsid w:val="00FC75DF"/>
    <w:rsid w:val="00FD3DB0"/>
    <w:rsid w:val="00FD4443"/>
    <w:rsid w:val="00FD4686"/>
    <w:rsid w:val="00FD53B1"/>
    <w:rsid w:val="00FD5CA6"/>
    <w:rsid w:val="00FD6156"/>
    <w:rsid w:val="00FD6445"/>
    <w:rsid w:val="00FD6693"/>
    <w:rsid w:val="00FD6C7E"/>
    <w:rsid w:val="00FD78B3"/>
    <w:rsid w:val="00FD7F9E"/>
    <w:rsid w:val="00FE086E"/>
    <w:rsid w:val="00FE090F"/>
    <w:rsid w:val="00FE1057"/>
    <w:rsid w:val="00FE58BD"/>
    <w:rsid w:val="00FE59C8"/>
    <w:rsid w:val="00FE6C5C"/>
    <w:rsid w:val="00FE7D1E"/>
    <w:rsid w:val="00FF0DA9"/>
    <w:rsid w:val="00FF1732"/>
    <w:rsid w:val="00FF1FF5"/>
    <w:rsid w:val="00FF2006"/>
    <w:rsid w:val="00FF27D2"/>
    <w:rsid w:val="00FF30FA"/>
    <w:rsid w:val="00FF49C9"/>
    <w:rsid w:val="00FF4F23"/>
    <w:rsid w:val="00FF5B49"/>
    <w:rsid w:val="00FF622D"/>
    <w:rsid w:val="00FF66B4"/>
    <w:rsid w:val="00FF6C97"/>
    <w:rsid w:val="00FF6E8B"/>
    <w:rsid w:val="00FF7618"/>
    <w:rsid w:val="00FF76E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00DB8"/>
  <w15:docId w15:val="{39705A9B-FE09-45AA-BBC6-1D10C43A6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fr-FR"/>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fr-FR"/>
    </w:rPr>
  </w:style>
  <w:style w:type="character" w:styleId="PlaceholderText">
    <w:name w:val="Placeholder Text"/>
    <w:basedOn w:val="DefaultParagraphFont"/>
    <w:uiPriority w:val="99"/>
    <w:semiHidden/>
    <w:rsid w:val="00105372"/>
    <w:rPr>
      <w:color w:val="808080"/>
      <w:lang w:val="fr-FR"/>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fr-FR"/>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fr-FR"/>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fr-FR"/>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fr-FR"/>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fr-FR"/>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fr-FR"/>
    </w:rPr>
  </w:style>
  <w:style w:type="character" w:styleId="CommentReference">
    <w:name w:val="annotation reference"/>
    <w:basedOn w:val="DefaultParagraphFont"/>
    <w:uiPriority w:val="99"/>
    <w:semiHidden/>
    <w:unhideWhenUsed/>
    <w:rsid w:val="003F1A75"/>
    <w:rPr>
      <w:sz w:val="16"/>
      <w:szCs w:val="16"/>
      <w:lang w:val="fr-FR"/>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fr-FR"/>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fr-FR"/>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fr-FR"/>
    </w:rPr>
  </w:style>
  <w:style w:type="character" w:styleId="FollowedHyperlink">
    <w:name w:val="FollowedHyperlink"/>
    <w:rsid w:val="007E09DA"/>
    <w:rPr>
      <w:color w:val="800080"/>
      <w:u w:val="single"/>
      <w:lang w:val="fr-FR"/>
    </w:rPr>
  </w:style>
  <w:style w:type="character" w:styleId="FootnoteReference">
    <w:name w:val="footnote reference"/>
    <w:basedOn w:val="DefaultParagraphFont"/>
    <w:link w:val="BVIfnrChar"/>
    <w:uiPriority w:val="99"/>
    <w:unhideWhenUsed/>
    <w:rsid w:val="003F1A75"/>
    <w:rPr>
      <w:vertAlign w:val="superscript"/>
      <w:lang w:val="fr-FR"/>
    </w:rPr>
  </w:style>
  <w:style w:type="paragraph" w:styleId="FootnoteText">
    <w:name w:val="footnote text"/>
    <w:basedOn w:val="Normal"/>
    <w:link w:val="FootnoteTextChar"/>
    <w:uiPriority w:val="99"/>
    <w:unhideWhenUsed/>
    <w:rsid w:val="003F1A75"/>
    <w:pPr>
      <w:jc w:val="left"/>
    </w:pPr>
    <w:rPr>
      <w:sz w:val="18"/>
      <w:szCs w:val="20"/>
    </w:rPr>
  </w:style>
  <w:style w:type="character" w:customStyle="1" w:styleId="FootnoteTextChar">
    <w:name w:val="Footnote Text Char"/>
    <w:basedOn w:val="DefaultParagraphFont"/>
    <w:link w:val="FootnoteText"/>
    <w:uiPriority w:val="99"/>
    <w:rsid w:val="003F1A75"/>
    <w:rPr>
      <w:rFonts w:ascii="Times New Roman" w:eastAsia="SimSun" w:hAnsi="Times New Roman" w:cs="Times New Roman"/>
      <w:sz w:val="18"/>
      <w:szCs w:val="20"/>
      <w:lang w:val="fr-FR"/>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fr-FR"/>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fr-FR"/>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fr-FR"/>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fr-FR"/>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fr-FR"/>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fr-FR"/>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fr-FR"/>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fr-FR"/>
    </w:rPr>
  </w:style>
  <w:style w:type="character" w:styleId="PageNumber">
    <w:name w:val="page number"/>
    <w:rsid w:val="007E09DA"/>
    <w:rPr>
      <w:rFonts w:ascii="Times New Roman" w:hAnsi="Times New Roman"/>
      <w:sz w:val="22"/>
      <w:lang w:val="fr-FR"/>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fr-FR"/>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fr-FR"/>
    </w:rPr>
  </w:style>
  <w:style w:type="character" w:customStyle="1" w:styleId="Para1Char">
    <w:name w:val="Para1 Char"/>
    <w:link w:val="Para1"/>
    <w:locked/>
    <w:rsid w:val="005B35E2"/>
    <w:rPr>
      <w:rFonts w:ascii="Times New Roman" w:eastAsia="SimSun" w:hAnsi="Times New Roman" w:cs="Times New Roman"/>
      <w:snapToGrid w:val="0"/>
      <w:sz w:val="22"/>
      <w:szCs w:val="18"/>
      <w:lang w:val="fr-FR"/>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fr-FR"/>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fr-FR"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fr-FR"/>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fr-FR"/>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fr-FR"/>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fr-FR"/>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fr-FR"/>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fr-FR"/>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fr-FR"/>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fr-FR"/>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fr-FR"/>
    </w:rPr>
  </w:style>
  <w:style w:type="character" w:styleId="BookTitle">
    <w:name w:val="Book Title"/>
    <w:basedOn w:val="DefaultParagraphFont"/>
    <w:uiPriority w:val="33"/>
    <w:qFormat/>
    <w:rsid w:val="00A111D1"/>
    <w:rPr>
      <w:b/>
      <w:bCs/>
      <w:i/>
      <w:iCs/>
      <w:spacing w:val="5"/>
      <w:lang w:val="fr-FR"/>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fr-FR"/>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fr-FR"/>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fr-FR"/>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fr-FR"/>
    </w:rPr>
  </w:style>
  <w:style w:type="character" w:styleId="Emphasis">
    <w:name w:val="Emphasis"/>
    <w:basedOn w:val="DefaultParagraphFont"/>
    <w:uiPriority w:val="20"/>
    <w:qFormat/>
    <w:rsid w:val="00A111D1"/>
    <w:rPr>
      <w:i/>
      <w:iCs/>
      <w:lang w:val="fr-FR"/>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fr-FR"/>
    </w:rPr>
  </w:style>
  <w:style w:type="character" w:styleId="HTMLAcronym">
    <w:name w:val="HTML Acronym"/>
    <w:basedOn w:val="DefaultParagraphFont"/>
    <w:uiPriority w:val="99"/>
    <w:semiHidden/>
    <w:unhideWhenUsed/>
    <w:rsid w:val="00A111D1"/>
    <w:rPr>
      <w:lang w:val="fr-FR"/>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fr-FR"/>
    </w:rPr>
  </w:style>
  <w:style w:type="character" w:styleId="HTMLCite">
    <w:name w:val="HTML Cite"/>
    <w:basedOn w:val="DefaultParagraphFont"/>
    <w:uiPriority w:val="99"/>
    <w:semiHidden/>
    <w:unhideWhenUsed/>
    <w:rsid w:val="00A111D1"/>
    <w:rPr>
      <w:i/>
      <w:iCs/>
      <w:lang w:val="fr-FR"/>
    </w:rPr>
  </w:style>
  <w:style w:type="character" w:styleId="HTMLCode">
    <w:name w:val="HTML Code"/>
    <w:basedOn w:val="DefaultParagraphFont"/>
    <w:uiPriority w:val="99"/>
    <w:semiHidden/>
    <w:unhideWhenUsed/>
    <w:rsid w:val="00A111D1"/>
    <w:rPr>
      <w:rFonts w:ascii="Consolas" w:hAnsi="Consolas"/>
      <w:sz w:val="20"/>
      <w:szCs w:val="20"/>
      <w:lang w:val="fr-FR"/>
    </w:rPr>
  </w:style>
  <w:style w:type="character" w:styleId="HTMLDefinition">
    <w:name w:val="HTML Definition"/>
    <w:basedOn w:val="DefaultParagraphFont"/>
    <w:uiPriority w:val="99"/>
    <w:semiHidden/>
    <w:unhideWhenUsed/>
    <w:rsid w:val="00A111D1"/>
    <w:rPr>
      <w:i/>
      <w:iCs/>
      <w:lang w:val="fr-FR"/>
    </w:rPr>
  </w:style>
  <w:style w:type="character" w:styleId="HTMLKeyboard">
    <w:name w:val="HTML Keyboard"/>
    <w:basedOn w:val="DefaultParagraphFont"/>
    <w:uiPriority w:val="99"/>
    <w:semiHidden/>
    <w:unhideWhenUsed/>
    <w:rsid w:val="00A111D1"/>
    <w:rPr>
      <w:rFonts w:ascii="Consolas" w:hAnsi="Consolas"/>
      <w:sz w:val="20"/>
      <w:szCs w:val="20"/>
      <w:lang w:val="fr-FR"/>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fr-FR"/>
    </w:rPr>
  </w:style>
  <w:style w:type="character" w:styleId="HTMLSample">
    <w:name w:val="HTML Sample"/>
    <w:basedOn w:val="DefaultParagraphFont"/>
    <w:uiPriority w:val="99"/>
    <w:semiHidden/>
    <w:unhideWhenUsed/>
    <w:rsid w:val="00A111D1"/>
    <w:rPr>
      <w:rFonts w:ascii="Consolas" w:hAnsi="Consolas"/>
      <w:sz w:val="24"/>
      <w:szCs w:val="24"/>
      <w:lang w:val="fr-FR"/>
    </w:rPr>
  </w:style>
  <w:style w:type="character" w:styleId="HTMLTypewriter">
    <w:name w:val="HTML Typewriter"/>
    <w:basedOn w:val="DefaultParagraphFont"/>
    <w:uiPriority w:val="99"/>
    <w:semiHidden/>
    <w:unhideWhenUsed/>
    <w:rsid w:val="00A111D1"/>
    <w:rPr>
      <w:rFonts w:ascii="Consolas" w:hAnsi="Consolas"/>
      <w:sz w:val="20"/>
      <w:szCs w:val="20"/>
      <w:lang w:val="fr-FR"/>
    </w:rPr>
  </w:style>
  <w:style w:type="character" w:styleId="HTMLVariable">
    <w:name w:val="HTML Variable"/>
    <w:basedOn w:val="DefaultParagraphFont"/>
    <w:uiPriority w:val="99"/>
    <w:semiHidden/>
    <w:unhideWhenUsed/>
    <w:rsid w:val="00A111D1"/>
    <w:rPr>
      <w:i/>
      <w:iCs/>
      <w:lang w:val="fr-FR"/>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fr-FR"/>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fr-FR"/>
    </w:rPr>
  </w:style>
  <w:style w:type="character" w:styleId="IntenseReference">
    <w:name w:val="Intense Reference"/>
    <w:basedOn w:val="DefaultParagraphFont"/>
    <w:uiPriority w:val="32"/>
    <w:qFormat/>
    <w:rsid w:val="00A111D1"/>
    <w:rPr>
      <w:b/>
      <w:bCs/>
      <w:smallCaps/>
      <w:color w:val="4F81BD" w:themeColor="accent1"/>
      <w:spacing w:val="5"/>
      <w:lang w:val="fr-FR"/>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fr-FR"/>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fr-FR"/>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fr-FR"/>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fr-FR"/>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fr-FR"/>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fr-FR"/>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fr-FR"/>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fr-FR"/>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fr-FR"/>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fr-FR"/>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fr-FR"/>
    </w:rPr>
  </w:style>
  <w:style w:type="character" w:styleId="SmartHyperlink">
    <w:name w:val="Smart Hyperlink"/>
    <w:basedOn w:val="DefaultParagraphFont"/>
    <w:uiPriority w:val="99"/>
    <w:semiHidden/>
    <w:unhideWhenUsed/>
    <w:rsid w:val="00A111D1"/>
    <w:rPr>
      <w:u w:val="dotted"/>
      <w:lang w:val="fr-FR"/>
    </w:rPr>
  </w:style>
  <w:style w:type="character" w:styleId="SmartLink">
    <w:name w:val="Smart Link"/>
    <w:basedOn w:val="DefaultParagraphFont"/>
    <w:uiPriority w:val="99"/>
    <w:semiHidden/>
    <w:unhideWhenUsed/>
    <w:rsid w:val="00A111D1"/>
    <w:rPr>
      <w:color w:val="0000FF"/>
      <w:u w:val="single"/>
      <w:shd w:val="clear" w:color="auto" w:fill="F3F2F1"/>
      <w:lang w:val="fr-FR"/>
    </w:rPr>
  </w:style>
  <w:style w:type="character" w:styleId="Strong">
    <w:name w:val="Strong"/>
    <w:basedOn w:val="DefaultParagraphFont"/>
    <w:uiPriority w:val="22"/>
    <w:qFormat/>
    <w:rsid w:val="00A111D1"/>
    <w:rPr>
      <w:b/>
      <w:bCs/>
      <w:lang w:val="fr-FR"/>
    </w:rPr>
  </w:style>
  <w:style w:type="character" w:styleId="SubtleEmphasis">
    <w:name w:val="Subtle Emphasis"/>
    <w:basedOn w:val="DefaultParagraphFont"/>
    <w:uiPriority w:val="19"/>
    <w:qFormat/>
    <w:rsid w:val="00A111D1"/>
    <w:rPr>
      <w:i/>
      <w:iCs/>
      <w:color w:val="404040" w:themeColor="text1" w:themeTint="BF"/>
      <w:lang w:val="fr-FR"/>
    </w:rPr>
  </w:style>
  <w:style w:type="character" w:styleId="SubtleReference">
    <w:name w:val="Subtle Reference"/>
    <w:basedOn w:val="DefaultParagraphFont"/>
    <w:uiPriority w:val="31"/>
    <w:qFormat/>
    <w:rsid w:val="00A111D1"/>
    <w:rPr>
      <w:smallCaps/>
      <w:color w:val="5A5A5A" w:themeColor="text1" w:themeTint="A5"/>
      <w:lang w:val="fr-FR"/>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fr-FR"/>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Para10">
    <w:name w:val="Para 1"/>
    <w:basedOn w:val="Normal"/>
    <w:qFormat/>
    <w:rsid w:val="00951A47"/>
    <w:pPr>
      <w:numPr>
        <w:numId w:val="8"/>
      </w:numPr>
      <w:spacing w:before="120" w:after="120"/>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951A47"/>
    <w:pPr>
      <w:spacing w:after="160" w:line="240" w:lineRule="exact"/>
      <w:jc w:val="left"/>
    </w:pPr>
    <w:rPr>
      <w:rFonts w:asciiTheme="minorHAnsi" w:eastAsiaTheme="minorEastAsia" w:hAnsiTheme="minorHAnsi" w:cstheme="minorBidi"/>
      <w:sz w:val="24"/>
      <w:szCs w:val="24"/>
      <w:vertAlign w:val="superscript"/>
    </w:rPr>
  </w:style>
  <w:style w:type="paragraph" w:customStyle="1" w:styleId="isselectedend">
    <w:name w:val="isselectedend"/>
    <w:basedOn w:val="Normal"/>
    <w:rsid w:val="000E0C48"/>
    <w:pPr>
      <w:tabs>
        <w:tab w:val="clear" w:pos="567"/>
        <w:tab w:val="clear" w:pos="1134"/>
        <w:tab w:val="clear" w:pos="1701"/>
        <w:tab w:val="clear" w:pos="2268"/>
      </w:tabs>
      <w:spacing w:before="100" w:beforeAutospacing="1" w:after="100" w:afterAutospacing="1"/>
      <w:jc w:val="left"/>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notifications/2026-002"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ocuments/CBD/SBI/7/6/ADD1"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mop/?m=cp-mop-11"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mop/?m=cp-mop-10" TargetMode="External"/><Relationship Id="rId20" Type="http://schemas.openxmlformats.org/officeDocument/2006/relationships/hyperlink" Target="https://www.cbd.int/documents/CBD/SBI/7/6/ADD1"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mop?m=cp-mop-11" TargetMode="External"/><Relationship Id="rId5" Type="http://schemas.openxmlformats.org/officeDocument/2006/relationships/customXml" Target="../customXml/item5.xml"/><Relationship Id="rId15" Type="http://schemas.openxmlformats.org/officeDocument/2006/relationships/hyperlink" Target="https://s3.amazonaws.com/km.documents.attachments/0b17/b79a/e7653ab41c735a6d349a3b54" TargetMode="External"/><Relationship Id="rId23" Type="http://schemas.openxmlformats.org/officeDocument/2006/relationships/hyperlink" Target="https://www.cbd.int/documents/CBD/SBI/7/6/ADD1"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recommendations/sbi/?m=sbi-07"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meetings/CP-MOP-09" TargetMode="External"/><Relationship Id="rId27" Type="http://schemas.openxmlformats.org/officeDocument/2006/relationships/footer" Target="footer1.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mop?m=cp-mop-10" TargetMode="External"/><Relationship Id="rId3" Type="http://schemas.openxmlformats.org/officeDocument/2006/relationships/hyperlink" Target="https://www.cbd.int/documents/CBD/SBI/7/6/ADD1" TargetMode="External"/><Relationship Id="rId7" Type="http://schemas.openxmlformats.org/officeDocument/2006/relationships/hyperlink" Target="https://www.cbd.int/decisions/mop/?m=cp-mop-10" TargetMode="External"/><Relationship Id="rId2" Type="http://schemas.openxmlformats.org/officeDocument/2006/relationships/hyperlink" Target="https://www.cbd.int/documents/CBD/CP/MOP/11/11" TargetMode="External"/><Relationship Id="rId1" Type="http://schemas.openxmlformats.org/officeDocument/2006/relationships/hyperlink" Target="https://www.cbd.int/documents/CBD/CP/MOP/12/1" TargetMode="External"/><Relationship Id="rId6" Type="http://schemas.openxmlformats.org/officeDocument/2006/relationships/hyperlink" Target="https://s3.amazonaws.com/km.documents.attachments/0b17/b79a/e7653ab41c735a6d349a3b54" TargetMode="External"/><Relationship Id="rId5" Type="http://schemas.openxmlformats.org/officeDocument/2006/relationships/hyperlink" Target="https://www.cbd.int/decisions/mop/?m=cp-mop-11" TargetMode="External"/><Relationship Id="rId4" Type="http://schemas.openxmlformats.org/officeDocument/2006/relationships/hyperlink" Target="https://www.cbd.int/decisions/mop/?m=cp-mop-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DEUPMANN\Downloads\cp-mop-12-template-en%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8F5BB8B-ED2E-46B7-9663-FF320EAF2C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 (1)</Template>
  <TotalTime>127</TotalTime>
  <Pages>7</Pages>
  <Words>3831</Words>
  <Characters>21839</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Nagoya-Kuala Lumpur Supplementary Protocol on Liability and Redress</vt:lpstr>
    </vt:vector>
  </TitlesOfParts>
  <Company>SCBD</Company>
  <LinksUpToDate>false</LinksUpToDate>
  <CharactersWithSpaces>25619</CharactersWithSpaces>
  <SharedDoc>false</SharedDoc>
  <HLinks>
    <vt:vector size="132" baseType="variant">
      <vt:variant>
        <vt:i4>7340081</vt:i4>
      </vt:variant>
      <vt:variant>
        <vt:i4>27</vt:i4>
      </vt:variant>
      <vt:variant>
        <vt:i4>0</vt:i4>
      </vt:variant>
      <vt:variant>
        <vt:i4>5</vt:i4>
      </vt:variant>
      <vt:variant>
        <vt:lpwstr>https://www.cbd.int/doc/decisions/cp-mop-10/cp-mop-10-dec-04-en.pdf</vt:lpwstr>
      </vt:variant>
      <vt:variant>
        <vt:lpwstr/>
      </vt:variant>
      <vt:variant>
        <vt:i4>3407924</vt:i4>
      </vt:variant>
      <vt:variant>
        <vt:i4>24</vt:i4>
      </vt:variant>
      <vt:variant>
        <vt:i4>0</vt:i4>
      </vt:variant>
      <vt:variant>
        <vt:i4>5</vt:i4>
      </vt:variant>
      <vt:variant>
        <vt:lpwstr>https://www.cbd.int/documents/CBD/SBI/7/6/ADD1</vt:lpwstr>
      </vt:variant>
      <vt:variant>
        <vt:lpwstr/>
      </vt:variant>
      <vt:variant>
        <vt:i4>8126510</vt:i4>
      </vt:variant>
      <vt:variant>
        <vt:i4>21</vt:i4>
      </vt:variant>
      <vt:variant>
        <vt:i4>0</vt:i4>
      </vt:variant>
      <vt:variant>
        <vt:i4>5</vt:i4>
      </vt:variant>
      <vt:variant>
        <vt:lpwstr>https://www.cbd.int/meetings/CP-MOP-09</vt:lpwstr>
      </vt:variant>
      <vt:variant>
        <vt:lpwstr/>
      </vt:variant>
      <vt:variant>
        <vt:i4>3407924</vt:i4>
      </vt:variant>
      <vt:variant>
        <vt:i4>18</vt:i4>
      </vt:variant>
      <vt:variant>
        <vt:i4>0</vt:i4>
      </vt:variant>
      <vt:variant>
        <vt:i4>5</vt:i4>
      </vt:variant>
      <vt:variant>
        <vt:lpwstr>https://www.cbd.int/documents/CBD/SBI/7/6/ADD1</vt:lpwstr>
      </vt:variant>
      <vt:variant>
        <vt:lpwstr/>
      </vt:variant>
      <vt:variant>
        <vt:i4>3407924</vt:i4>
      </vt:variant>
      <vt:variant>
        <vt:i4>15</vt:i4>
      </vt:variant>
      <vt:variant>
        <vt:i4>0</vt:i4>
      </vt:variant>
      <vt:variant>
        <vt:i4>5</vt:i4>
      </vt:variant>
      <vt:variant>
        <vt:lpwstr>https://www.cbd.int/documents/CBD/SBI/7/6/ADD1</vt:lpwstr>
      </vt:variant>
      <vt:variant>
        <vt:lpwstr/>
      </vt:variant>
      <vt:variant>
        <vt:i4>983064</vt:i4>
      </vt:variant>
      <vt:variant>
        <vt:i4>12</vt:i4>
      </vt:variant>
      <vt:variant>
        <vt:i4>0</vt:i4>
      </vt:variant>
      <vt:variant>
        <vt:i4>5</vt:i4>
      </vt:variant>
      <vt:variant>
        <vt:lpwstr>https://www.cbd.int/recommendations/sbi/?m=sbi-07</vt:lpwstr>
      </vt:variant>
      <vt:variant>
        <vt:lpwstr/>
      </vt:variant>
      <vt:variant>
        <vt:i4>6750256</vt:i4>
      </vt:variant>
      <vt:variant>
        <vt:i4>9</vt:i4>
      </vt:variant>
      <vt:variant>
        <vt:i4>0</vt:i4>
      </vt:variant>
      <vt:variant>
        <vt:i4>5</vt:i4>
      </vt:variant>
      <vt:variant>
        <vt:lpwstr>https://www.cbd.int/notifications/2026-002</vt:lpwstr>
      </vt:variant>
      <vt:variant>
        <vt:lpwstr/>
      </vt:variant>
      <vt:variant>
        <vt:i4>7405681</vt:i4>
      </vt:variant>
      <vt:variant>
        <vt:i4>6</vt:i4>
      </vt:variant>
      <vt:variant>
        <vt:i4>0</vt:i4>
      </vt:variant>
      <vt:variant>
        <vt:i4>5</vt:i4>
      </vt:variant>
      <vt:variant>
        <vt:lpwstr>https://www.cbd.int/decisions/mop/?m=cp-mop-11</vt:lpwstr>
      </vt:variant>
      <vt:variant>
        <vt:lpwstr/>
      </vt:variant>
      <vt:variant>
        <vt:i4>7340145</vt:i4>
      </vt:variant>
      <vt:variant>
        <vt:i4>3</vt:i4>
      </vt:variant>
      <vt:variant>
        <vt:i4>0</vt:i4>
      </vt:variant>
      <vt:variant>
        <vt:i4>5</vt:i4>
      </vt:variant>
      <vt:variant>
        <vt:lpwstr>https://www.cbd.int/decisions/mop/?m=cp-mop-10</vt:lpwstr>
      </vt:variant>
      <vt:variant>
        <vt:lpwstr/>
      </vt:variant>
      <vt:variant>
        <vt:i4>8061039</vt:i4>
      </vt:variant>
      <vt:variant>
        <vt:i4>0</vt:i4>
      </vt:variant>
      <vt:variant>
        <vt:i4>0</vt:i4>
      </vt:variant>
      <vt:variant>
        <vt:i4>5</vt:i4>
      </vt:variant>
      <vt:variant>
        <vt:lpwstr>https://www.cbd.int/decisions/mop?m=mop-05</vt:lpwstr>
      </vt:variant>
      <vt:variant>
        <vt:lpwstr/>
      </vt:variant>
      <vt:variant>
        <vt:i4>5242958</vt:i4>
      </vt:variant>
      <vt:variant>
        <vt:i4>27</vt:i4>
      </vt:variant>
      <vt:variant>
        <vt:i4>0</vt:i4>
      </vt:variant>
      <vt:variant>
        <vt:i4>5</vt:i4>
      </vt:variant>
      <vt:variant>
        <vt:lpwstr>https://www.cbd.int/decisions/mop?m=cp-mop-10</vt:lpwstr>
      </vt:variant>
      <vt:variant>
        <vt:lpwstr/>
      </vt:variant>
      <vt:variant>
        <vt:i4>7340145</vt:i4>
      </vt:variant>
      <vt:variant>
        <vt:i4>24</vt:i4>
      </vt:variant>
      <vt:variant>
        <vt:i4>0</vt:i4>
      </vt:variant>
      <vt:variant>
        <vt:i4>5</vt:i4>
      </vt:variant>
      <vt:variant>
        <vt:lpwstr>https://www.cbd.int/decisions/mop/?m=cp-mop-10</vt:lpwstr>
      </vt:variant>
      <vt:variant>
        <vt:lpwstr/>
      </vt:variant>
      <vt:variant>
        <vt:i4>3473515</vt:i4>
      </vt:variant>
      <vt:variant>
        <vt:i4>21</vt:i4>
      </vt:variant>
      <vt:variant>
        <vt:i4>0</vt:i4>
      </vt:variant>
      <vt:variant>
        <vt:i4>5</vt:i4>
      </vt:variant>
      <vt:variant>
        <vt:lpwstr>https://www.cbd.int/decisions/?id=12324</vt:lpwstr>
      </vt:variant>
      <vt:variant>
        <vt:lpwstr/>
      </vt:variant>
      <vt:variant>
        <vt:i4>7405681</vt:i4>
      </vt:variant>
      <vt:variant>
        <vt:i4>18</vt:i4>
      </vt:variant>
      <vt:variant>
        <vt:i4>0</vt:i4>
      </vt:variant>
      <vt:variant>
        <vt:i4>5</vt:i4>
      </vt:variant>
      <vt:variant>
        <vt:lpwstr>https://www.cbd.int/decisions/mop/?m=cp-mop-11</vt:lpwstr>
      </vt:variant>
      <vt:variant>
        <vt:lpwstr/>
      </vt:variant>
      <vt:variant>
        <vt:i4>7340145</vt:i4>
      </vt:variant>
      <vt:variant>
        <vt:i4>15</vt:i4>
      </vt:variant>
      <vt:variant>
        <vt:i4>0</vt:i4>
      </vt:variant>
      <vt:variant>
        <vt:i4>5</vt:i4>
      </vt:variant>
      <vt:variant>
        <vt:lpwstr>https://www.cbd.int/decisions/mop/?m=cp-mop-10</vt:lpwstr>
      </vt:variant>
      <vt:variant>
        <vt:lpwstr/>
      </vt:variant>
      <vt:variant>
        <vt:i4>3407924</vt:i4>
      </vt:variant>
      <vt:variant>
        <vt:i4>12</vt:i4>
      </vt:variant>
      <vt:variant>
        <vt:i4>0</vt:i4>
      </vt:variant>
      <vt:variant>
        <vt:i4>5</vt:i4>
      </vt:variant>
      <vt:variant>
        <vt:lpwstr>https://www.cbd.int/documents/CBD/SBI/7/6/ADD1</vt:lpwstr>
      </vt:variant>
      <vt:variant>
        <vt:lpwstr/>
      </vt:variant>
      <vt:variant>
        <vt:i4>7208998</vt:i4>
      </vt:variant>
      <vt:variant>
        <vt:i4>3</vt:i4>
      </vt:variant>
      <vt:variant>
        <vt:i4>0</vt:i4>
      </vt:variant>
      <vt:variant>
        <vt:i4>5</vt:i4>
      </vt:variant>
      <vt:variant>
        <vt:lpwstr>https://www.cbd.int/documents/CBD/CP/MOP/11/11</vt:lpwstr>
      </vt:variant>
      <vt:variant>
        <vt:lpwstr/>
      </vt:variant>
      <vt:variant>
        <vt:i4>6225940</vt:i4>
      </vt:variant>
      <vt:variant>
        <vt:i4>0</vt:i4>
      </vt:variant>
      <vt:variant>
        <vt:i4>0</vt:i4>
      </vt:variant>
      <vt:variant>
        <vt:i4>5</vt:i4>
      </vt:variant>
      <vt:variant>
        <vt:lpwstr>https://www.cbd.int/documents/CBD/CP/MOP/12/1</vt:lpwstr>
      </vt:variant>
      <vt:variant>
        <vt:lpwstr/>
      </vt:variant>
      <vt:variant>
        <vt:i4>7929872</vt:i4>
      </vt:variant>
      <vt:variant>
        <vt:i4>9</vt:i4>
      </vt:variant>
      <vt:variant>
        <vt:i4>0</vt:i4>
      </vt:variant>
      <vt:variant>
        <vt:i4>5</vt:i4>
      </vt:variant>
      <vt:variant>
        <vt:lpwstr>https://bch.cbd.int/protocol/cpb_mopmeetings.shtml</vt:lpwstr>
      </vt:variant>
      <vt:variant>
        <vt:lpwstr>mop5</vt:lpwstr>
      </vt:variant>
      <vt:variant>
        <vt:i4>7405681</vt:i4>
      </vt:variant>
      <vt:variant>
        <vt:i4>6</vt:i4>
      </vt:variant>
      <vt:variant>
        <vt:i4>0</vt:i4>
      </vt:variant>
      <vt:variant>
        <vt:i4>5</vt:i4>
      </vt:variant>
      <vt:variant>
        <vt:lpwstr>https://www.cbd.int/decisions/mop/?m=cp-mop-11</vt:lpwstr>
      </vt:variant>
      <vt:variant>
        <vt:lpwstr/>
      </vt:variant>
      <vt:variant>
        <vt:i4>4784160</vt:i4>
      </vt:variant>
      <vt:variant>
        <vt:i4>3</vt:i4>
      </vt:variant>
      <vt:variant>
        <vt:i4>0</vt:i4>
      </vt:variant>
      <vt:variant>
        <vt:i4>5</vt:i4>
      </vt:variant>
      <vt:variant>
        <vt:lpwstr>mailto:kathryn.garforth@un.org</vt:lpwstr>
      </vt:variant>
      <vt:variant>
        <vt:lpwstr/>
      </vt:variant>
      <vt:variant>
        <vt:i4>7929872</vt:i4>
      </vt:variant>
      <vt:variant>
        <vt:i4>0</vt:i4>
      </vt:variant>
      <vt:variant>
        <vt:i4>0</vt:i4>
      </vt:variant>
      <vt:variant>
        <vt:i4>5</vt:i4>
      </vt:variant>
      <vt:variant>
        <vt:lpwstr>https://bch.cbd.int/protocol/cpb_mopmeetings.shtml</vt:lpwstr>
      </vt:variant>
      <vt:variant>
        <vt:lpwstr>mop5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Protocole additionnel de Nagoya-Kuala Lumpur sur la responsabilité et la réparation</dc:title>
  <dc:subject>CBD/CP/MOP/12/13</dc:subject>
  <dc:creator>Secretariat of the Convention on Biological Diversity</dc:creator>
  <cp:keywords>Convention sur la diversité biologique</cp:keywords>
  <cp:lastModifiedBy>catherine kinley</cp:lastModifiedBy>
  <cp:revision>106</cp:revision>
  <cp:lastPrinted>2020-01-21T19:56:00Z</cp:lastPrinted>
  <dcterms:created xsi:type="dcterms:W3CDTF">2026-09-17T19:30:00Z</dcterms:created>
  <dcterms:modified xsi:type="dcterms:W3CDTF">2026-09-23T09:19:00Z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