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739F3" w:rsidTr="00CF1848">
        <w:trPr>
          <w:trHeight w:val="709"/>
        </w:trPr>
        <w:tc>
          <w:tcPr>
            <w:tcW w:w="976" w:type="dxa"/>
            <w:tcBorders>
              <w:bottom w:val="single" w:sz="12" w:space="0" w:color="auto"/>
            </w:tcBorders>
          </w:tcPr>
          <w:p w:rsidR="00C9161D" w:rsidRPr="00A739F3" w:rsidRDefault="00C9161D">
            <w:r w:rsidRPr="00A739F3">
              <w:rPr>
                <w:noProof/>
                <w:lang w:val="en-US"/>
              </w:rPr>
              <w:drawing>
                <wp:inline distT="0" distB="0" distL="0" distR="0" wp14:anchorId="4C80E338" wp14:editId="0799C9D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A739F3" w:rsidRDefault="00C9161D">
            <w:r w:rsidRPr="00A739F3">
              <w:rPr>
                <w:noProof/>
                <w:lang w:val="en-US"/>
              </w:rPr>
              <w:drawing>
                <wp:inline distT="0" distB="0" distL="0" distR="0" wp14:anchorId="31E1FA0E" wp14:editId="4542AB9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A739F3" w:rsidRDefault="00C9161D" w:rsidP="00C9161D">
            <w:pPr>
              <w:jc w:val="right"/>
              <w:rPr>
                <w:rFonts w:ascii="Arial" w:hAnsi="Arial" w:cs="Arial"/>
                <w:b/>
                <w:sz w:val="32"/>
                <w:szCs w:val="32"/>
              </w:rPr>
            </w:pPr>
            <w:r w:rsidRPr="00A739F3">
              <w:rPr>
                <w:rFonts w:ascii="Arial" w:hAnsi="Arial" w:cs="Arial"/>
                <w:b/>
                <w:sz w:val="32"/>
                <w:szCs w:val="32"/>
              </w:rPr>
              <w:t>CBD</w:t>
            </w:r>
          </w:p>
        </w:tc>
      </w:tr>
      <w:tr w:rsidR="00C9161D" w:rsidRPr="00A739F3" w:rsidTr="00CF1848">
        <w:tc>
          <w:tcPr>
            <w:tcW w:w="6117" w:type="dxa"/>
            <w:gridSpan w:val="2"/>
            <w:tcBorders>
              <w:top w:val="single" w:sz="12" w:space="0" w:color="auto"/>
              <w:bottom w:val="single" w:sz="36" w:space="0" w:color="auto"/>
            </w:tcBorders>
            <w:vAlign w:val="center"/>
          </w:tcPr>
          <w:p w:rsidR="00C9161D" w:rsidRPr="00A739F3" w:rsidRDefault="00C9161D" w:rsidP="00C9161D">
            <w:r w:rsidRPr="00A739F3">
              <w:rPr>
                <w:noProof/>
                <w:lang w:val="en-US"/>
              </w:rPr>
              <w:drawing>
                <wp:inline distT="0" distB="0" distL="0" distR="0" wp14:anchorId="29BDF57C" wp14:editId="777F54E9">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A739F3" w:rsidRDefault="00C9161D" w:rsidP="00176CEE">
            <w:pPr>
              <w:ind w:left="1215"/>
              <w:rPr>
                <w:szCs w:val="22"/>
              </w:rPr>
            </w:pPr>
            <w:r w:rsidRPr="00A739F3">
              <w:rPr>
                <w:szCs w:val="22"/>
              </w:rPr>
              <w:t>Distr.</w:t>
            </w:r>
          </w:p>
          <w:p w:rsidR="00C9161D" w:rsidRPr="00A739F3" w:rsidRDefault="009D4331"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9D591F" w:rsidRPr="00A739F3">
                  <w:rPr>
                    <w:caps/>
                    <w:szCs w:val="22"/>
                  </w:rPr>
                  <w:t>GENERAL</w:t>
                </w:r>
              </w:sdtContent>
            </w:sdt>
          </w:p>
          <w:p w:rsidR="00C9161D" w:rsidRPr="00A739F3" w:rsidRDefault="00C9161D" w:rsidP="00176CEE">
            <w:pPr>
              <w:ind w:left="1215"/>
              <w:rPr>
                <w:szCs w:val="22"/>
              </w:rPr>
            </w:pPr>
          </w:p>
          <w:p w:rsidR="00C9161D" w:rsidRPr="00A739F3" w:rsidRDefault="009D4331"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830A9">
                  <w:rPr>
                    <w:lang w:val="en-US"/>
                  </w:rPr>
                  <w:t>CBD/SBI/2/INF/8</w:t>
                </w:r>
              </w:sdtContent>
            </w:sdt>
          </w:p>
          <w:p w:rsidR="00C9161D" w:rsidRPr="00A739F3" w:rsidRDefault="009D4331"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01T00:00:00Z">
                  <w:dateFormat w:val="d MMMM yyyy"/>
                  <w:lid w:val="en-US"/>
                  <w:storeMappedDataAs w:val="dateTime"/>
                  <w:calendar w:val="gregorian"/>
                </w:date>
              </w:sdtPr>
              <w:sdtContent>
                <w:r>
                  <w:rPr>
                    <w:szCs w:val="22"/>
                  </w:rPr>
                  <w:t>1</w:t>
                </w:r>
                <w:r w:rsidR="001731E7" w:rsidRPr="00A739F3">
                  <w:rPr>
                    <w:szCs w:val="22"/>
                  </w:rPr>
                  <w:t xml:space="preserve"> </w:t>
                </w:r>
                <w:r>
                  <w:rPr>
                    <w:szCs w:val="22"/>
                  </w:rPr>
                  <w:t>June</w:t>
                </w:r>
                <w:r w:rsidR="001731E7" w:rsidRPr="00A739F3">
                  <w:rPr>
                    <w:szCs w:val="22"/>
                  </w:rPr>
                  <w:t xml:space="preserve"> 2018</w:t>
                </w:r>
              </w:sdtContent>
            </w:sdt>
          </w:p>
          <w:p w:rsidR="00C9161D" w:rsidRPr="00A739F3" w:rsidRDefault="00C9161D" w:rsidP="00176CEE">
            <w:pPr>
              <w:ind w:left="1215"/>
              <w:rPr>
                <w:szCs w:val="22"/>
              </w:rPr>
            </w:pPr>
          </w:p>
          <w:p w:rsidR="00C9161D" w:rsidRPr="00A739F3" w:rsidRDefault="00C9161D" w:rsidP="00176CEE">
            <w:pPr>
              <w:ind w:left="1215"/>
              <w:rPr>
                <w:szCs w:val="22"/>
              </w:rPr>
            </w:pPr>
            <w:r w:rsidRPr="00A739F3">
              <w:rPr>
                <w:szCs w:val="22"/>
              </w:rPr>
              <w:t>ENGLISH</w:t>
            </w:r>
            <w:r w:rsidR="009D4331">
              <w:rPr>
                <w:szCs w:val="22"/>
              </w:rPr>
              <w:t xml:space="preserve"> ONLY</w:t>
            </w:r>
          </w:p>
          <w:p w:rsidR="00C9161D" w:rsidRPr="00A739F3" w:rsidRDefault="00C9161D"/>
        </w:tc>
      </w:tr>
    </w:tbl>
    <w:bookmarkStart w:id="0" w:name="Meeting"/>
    <w:p w:rsidR="001731E7" w:rsidRPr="00E830A9" w:rsidRDefault="009D4331" w:rsidP="001731E7">
      <w:pPr>
        <w:pStyle w:val="meetingname"/>
        <w:ind w:right="4398"/>
        <w:rPr>
          <w:kern w:val="22"/>
        </w:rPr>
      </w:pPr>
      <w:sdt>
        <w:sdtPr>
          <w:alias w:val="Meeting"/>
          <w:tag w:val="Meeting"/>
          <w:id w:val="1412045910"/>
          <w:placeholder>
            <w:docPart w:val="2C01EDD6A9204A44877968C7112FC33D"/>
          </w:placeholder>
          <w:text/>
        </w:sdtPr>
        <w:sdtContent>
          <w:r w:rsidR="00E830A9" w:rsidRPr="00E830A9">
            <w:t>SUBSIDIARY BODY ON IMPLEMENTATION</w:t>
          </w:r>
        </w:sdtContent>
      </w:sdt>
      <w:bookmarkEnd w:id="0"/>
    </w:p>
    <w:p w:rsidR="001731E7" w:rsidRPr="00E830A9" w:rsidRDefault="001731E7" w:rsidP="001731E7">
      <w:pPr>
        <w:rPr>
          <w:snapToGrid w:val="0"/>
          <w:kern w:val="22"/>
          <w:szCs w:val="22"/>
          <w:lang w:eastAsia="nb-NO"/>
        </w:rPr>
      </w:pPr>
      <w:r w:rsidRPr="00E830A9">
        <w:rPr>
          <w:snapToGrid w:val="0"/>
          <w:kern w:val="22"/>
          <w:szCs w:val="22"/>
          <w:lang w:eastAsia="nb-NO"/>
        </w:rPr>
        <w:t>Second meeting</w:t>
      </w:r>
    </w:p>
    <w:p w:rsidR="001731E7" w:rsidRPr="00E830A9" w:rsidRDefault="001731E7" w:rsidP="001731E7">
      <w:pPr>
        <w:rPr>
          <w:snapToGrid w:val="0"/>
          <w:kern w:val="22"/>
          <w:szCs w:val="22"/>
          <w:lang w:eastAsia="nb-NO"/>
        </w:rPr>
      </w:pPr>
      <w:r w:rsidRPr="00E830A9">
        <w:rPr>
          <w:snapToGrid w:val="0"/>
          <w:kern w:val="22"/>
          <w:szCs w:val="22"/>
          <w:lang w:eastAsia="nb-NO"/>
        </w:rPr>
        <w:t>Montreal, Canada, 9-13 July 2018</w:t>
      </w:r>
    </w:p>
    <w:p w:rsidR="00C9161D" w:rsidRPr="00E830A9" w:rsidRDefault="00E830A9" w:rsidP="00C9161D">
      <w:r w:rsidRPr="00E830A9">
        <w:t>Item 4 of the provisional agenda*</w:t>
      </w:r>
    </w:p>
    <w:p w:rsidR="00C9161D" w:rsidRPr="00A739F3" w:rsidRDefault="009D4331" w:rsidP="00172AF6">
      <w:pPr>
        <w:spacing w:before="120" w:after="240"/>
        <w:jc w:val="center"/>
        <w:rPr>
          <w:b/>
          <w:caps/>
        </w:rPr>
      </w:pPr>
      <w:sdt>
        <w:sdtPr>
          <w:rPr>
            <w:b/>
            <w:bCs/>
            <w:iC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785C78" w:rsidRPr="00785C78">
            <w:rPr>
              <w:b/>
              <w:bCs/>
              <w:iCs/>
            </w:rPr>
            <w:t>STOCK</w:t>
          </w:r>
          <w:r w:rsidR="009647DA">
            <w:rPr>
              <w:b/>
              <w:bCs/>
              <w:iCs/>
            </w:rPr>
            <w:t>-</w:t>
          </w:r>
          <w:r w:rsidR="00785C78" w:rsidRPr="00785C78">
            <w:rPr>
              <w:b/>
              <w:bCs/>
              <w:iCs/>
            </w:rPr>
            <w:t>TAKING OF MODEL CONTRACTUAL CLAUSES, CODES OF CONDUCT, GUIDELINES, BEST PRACTICES AND STANDARDS AS WELL AS INDIGENOUS PEOPLES AND LOCAL COMMUNITIES’ CUSTOMARY LAWS, COMMUNITY PROTOCOLS AND PROCEDURES</w:t>
          </w:r>
        </w:sdtContent>
      </w:sdt>
      <w:r w:rsidR="001731E7" w:rsidRPr="00A739F3">
        <w:rPr>
          <w:b/>
        </w:rPr>
        <w:t xml:space="preserve"> </w:t>
      </w:r>
    </w:p>
    <w:p w:rsidR="009505C9" w:rsidRPr="00A739F3" w:rsidRDefault="001731E7" w:rsidP="00FF7A15">
      <w:pPr>
        <w:pStyle w:val="Heading1"/>
        <w:numPr>
          <w:ilvl w:val="0"/>
          <w:numId w:val="5"/>
        </w:numPr>
      </w:pPr>
      <w:r w:rsidRPr="00A739F3">
        <w:t>Introduction</w:t>
      </w:r>
    </w:p>
    <w:p w:rsidR="007054B6" w:rsidRPr="00A739F3" w:rsidRDefault="007054B6" w:rsidP="007054B6"/>
    <w:p w:rsidR="00D87188" w:rsidRPr="00A739F3" w:rsidRDefault="00D87188" w:rsidP="00C20914">
      <w:pPr>
        <w:numPr>
          <w:ilvl w:val="0"/>
          <w:numId w:val="9"/>
        </w:numPr>
        <w:pBdr>
          <w:top w:val="nil"/>
          <w:left w:val="nil"/>
          <w:bottom w:val="nil"/>
          <w:right w:val="nil"/>
          <w:between w:val="nil"/>
          <w:bar w:val="nil"/>
        </w:pBdr>
        <w:spacing w:before="120" w:after="120"/>
      </w:pPr>
      <w:r>
        <w:t xml:space="preserve">At its first meeting, the </w:t>
      </w:r>
      <w:r w:rsidR="00C20914" w:rsidRPr="00C20914">
        <w:t>Conference of the Parties serving as the meeting of the Parties</w:t>
      </w:r>
      <w:r w:rsidR="00A30EDA">
        <w:t xml:space="preserve"> to the Protocol</w:t>
      </w:r>
      <w:r w:rsidR="00C20914" w:rsidRPr="00C20914">
        <w:t xml:space="preserve"> </w:t>
      </w:r>
      <w:r w:rsidR="00C20914">
        <w:t>(</w:t>
      </w:r>
      <w:r>
        <w:t>COP-MOP</w:t>
      </w:r>
      <w:r w:rsidR="00C20914">
        <w:t>)</w:t>
      </w:r>
      <w:r>
        <w:t xml:space="preserve"> adopted decision </w:t>
      </w:r>
      <w:hyperlink r:id="rId12" w:history="1">
        <w:r w:rsidRPr="009D4331">
          <w:rPr>
            <w:rStyle w:val="Hyperlink"/>
            <w:sz w:val="22"/>
          </w:rPr>
          <w:t>NP-1/5</w:t>
        </w:r>
      </w:hyperlink>
      <w:r>
        <w:t xml:space="preserve"> on model contractual clauses, voluntary codes of conduct, guidelines and best practices and/or standards (Articles 19 and 20).</w:t>
      </w:r>
      <w:r w:rsidRPr="00D87188">
        <w:t xml:space="preserve"> </w:t>
      </w:r>
      <w:r w:rsidR="00CA3A02">
        <w:t xml:space="preserve">In paragraph 3 of the decision, </w:t>
      </w:r>
      <w:r>
        <w:t xml:space="preserve">Parties decided to take stock of the use of </w:t>
      </w:r>
      <w:r w:rsidR="009D4331">
        <w:t xml:space="preserve">tools developed under </w:t>
      </w:r>
      <w:r>
        <w:t xml:space="preserve">Articles 19 and 20 as well as indigenous and local communities’ customary laws, community protocols and procedures four years </w:t>
      </w:r>
      <w:r w:rsidR="00086176">
        <w:t>after</w:t>
      </w:r>
      <w:r>
        <w:t xml:space="preserve"> the entry into force of the Protocol and in conjunction with the first assessment and rev</w:t>
      </w:r>
      <w:bookmarkStart w:id="1" w:name="_GoBack"/>
      <w:bookmarkEnd w:id="1"/>
      <w:r>
        <w:t>iew of the Protocol.</w:t>
      </w:r>
    </w:p>
    <w:p w:rsidR="00D87188" w:rsidRPr="00086176" w:rsidRDefault="00D87188" w:rsidP="00FF7A15">
      <w:pPr>
        <w:numPr>
          <w:ilvl w:val="0"/>
          <w:numId w:val="9"/>
        </w:numPr>
        <w:pBdr>
          <w:top w:val="nil"/>
          <w:left w:val="nil"/>
          <w:bottom w:val="nil"/>
          <w:right w:val="nil"/>
          <w:between w:val="nil"/>
          <w:bar w:val="nil"/>
        </w:pBdr>
        <w:spacing w:before="120" w:after="120"/>
        <w:rPr>
          <w:snapToGrid w:val="0"/>
          <w:kern w:val="22"/>
        </w:rPr>
      </w:pPr>
      <w:r w:rsidRPr="00D87188">
        <w:rPr>
          <w:snapToGrid w:val="0"/>
          <w:kern w:val="22"/>
        </w:rPr>
        <w:t xml:space="preserve">At the second meeting of </w:t>
      </w:r>
      <w:r w:rsidR="00CA3A02">
        <w:rPr>
          <w:snapToGrid w:val="0"/>
          <w:kern w:val="22"/>
        </w:rPr>
        <w:t>COP-MOP</w:t>
      </w:r>
      <w:r w:rsidRPr="00D87188">
        <w:rPr>
          <w:snapToGrid w:val="0"/>
          <w:kern w:val="22"/>
        </w:rPr>
        <w:t xml:space="preserve">, Parties </w:t>
      </w:r>
      <w:r>
        <w:rPr>
          <w:snapToGrid w:val="0"/>
          <w:kern w:val="22"/>
        </w:rPr>
        <w:t xml:space="preserve">included </w:t>
      </w:r>
      <w:r w:rsidR="00606E24">
        <w:rPr>
          <w:snapToGrid w:val="0"/>
          <w:kern w:val="22"/>
        </w:rPr>
        <w:t>stock</w:t>
      </w:r>
      <w:r w:rsidR="009647DA">
        <w:rPr>
          <w:snapToGrid w:val="0"/>
          <w:kern w:val="22"/>
        </w:rPr>
        <w:t>-</w:t>
      </w:r>
      <w:r w:rsidRPr="00D87188">
        <w:rPr>
          <w:snapToGrid w:val="0"/>
          <w:kern w:val="22"/>
        </w:rPr>
        <w:t xml:space="preserve">taking of the use of model contractual clauses, codes of conduct, guidelines, best practices and standards as well as indigenous peoples and local communities’ customary laws, community protocols and procedures as part of the first assessment and review of the Protocol in accordance with Article 31 of the Nagoya Protocol </w:t>
      </w:r>
      <w:r>
        <w:rPr>
          <w:snapToGrid w:val="0"/>
          <w:kern w:val="22"/>
        </w:rPr>
        <w:t>(</w:t>
      </w:r>
      <w:hyperlink r:id="rId13" w:history="1">
        <w:r w:rsidRPr="00D87188">
          <w:rPr>
            <w:snapToGrid w:val="0"/>
            <w:kern w:val="22"/>
          </w:rPr>
          <w:t>decision NP-2/4</w:t>
        </w:r>
      </w:hyperlink>
      <w:r w:rsidR="009D4331">
        <w:rPr>
          <w:snapToGrid w:val="0"/>
          <w:kern w:val="22"/>
        </w:rPr>
        <w:t>, annex</w:t>
      </w:r>
      <w:r>
        <w:rPr>
          <w:snapToGrid w:val="0"/>
          <w:kern w:val="22"/>
        </w:rPr>
        <w:t xml:space="preserve">). </w:t>
      </w:r>
    </w:p>
    <w:p w:rsidR="00CA3A02" w:rsidRPr="00AE6FC3" w:rsidRDefault="00CA3A02" w:rsidP="00AE6FC3">
      <w:pPr>
        <w:pStyle w:val="ListParagraph"/>
        <w:keepNext/>
        <w:pBdr>
          <w:top w:val="nil"/>
          <w:left w:val="nil"/>
          <w:bottom w:val="nil"/>
          <w:right w:val="nil"/>
          <w:between w:val="nil"/>
          <w:bar w:val="nil"/>
        </w:pBdr>
        <w:tabs>
          <w:tab w:val="left" w:pos="720"/>
        </w:tabs>
        <w:spacing w:before="120" w:after="120"/>
        <w:ind w:hanging="360"/>
        <w:jc w:val="center"/>
        <w:outlineLvl w:val="1"/>
        <w:rPr>
          <w:b/>
          <w:kern w:val="22"/>
          <w:szCs w:val="22"/>
        </w:rPr>
      </w:pPr>
      <w:r w:rsidRPr="00AE6FC3">
        <w:rPr>
          <w:b/>
          <w:kern w:val="22"/>
          <w:szCs w:val="22"/>
        </w:rPr>
        <w:t>A. Sources of information and methodology</w:t>
      </w:r>
    </w:p>
    <w:p w:rsidR="00CA3A02" w:rsidRPr="00AE6FC3" w:rsidRDefault="009D4331" w:rsidP="00AE6FC3">
      <w:pPr>
        <w:numPr>
          <w:ilvl w:val="0"/>
          <w:numId w:val="9"/>
        </w:numPr>
        <w:pBdr>
          <w:top w:val="nil"/>
          <w:left w:val="nil"/>
          <w:bottom w:val="nil"/>
          <w:right w:val="nil"/>
          <w:between w:val="nil"/>
          <w:bar w:val="nil"/>
        </w:pBdr>
        <w:spacing w:before="120" w:after="120"/>
      </w:pPr>
      <w:r>
        <w:rPr>
          <w:snapToGrid w:val="0"/>
          <w:kern w:val="22"/>
        </w:rPr>
        <w:t xml:space="preserve">Decision </w:t>
      </w:r>
      <w:r w:rsidR="00A30EDA">
        <w:rPr>
          <w:snapToGrid w:val="0"/>
          <w:kern w:val="22"/>
        </w:rPr>
        <w:t>NP-2/4 provided guidance on the sources of information that may form the basis of the stocktaking</w:t>
      </w:r>
      <w:r w:rsidR="002D0861">
        <w:rPr>
          <w:snapToGrid w:val="0"/>
          <w:kern w:val="22"/>
        </w:rPr>
        <w:t>.</w:t>
      </w:r>
      <w:r w:rsidR="00A30EDA" w:rsidRPr="00AE6FC3">
        <w:t xml:space="preserve"> </w:t>
      </w:r>
    </w:p>
    <w:p w:rsidR="00CA3A02" w:rsidRPr="00AE6FC3" w:rsidRDefault="00CA3A02" w:rsidP="00AE6FC3">
      <w:pPr>
        <w:numPr>
          <w:ilvl w:val="0"/>
          <w:numId w:val="9"/>
        </w:numPr>
        <w:pBdr>
          <w:top w:val="nil"/>
          <w:left w:val="nil"/>
          <w:bottom w:val="nil"/>
          <w:right w:val="nil"/>
          <w:between w:val="nil"/>
          <w:bar w:val="nil"/>
        </w:pBdr>
        <w:spacing w:before="120" w:after="120"/>
      </w:pPr>
      <w:r w:rsidRPr="00AE6FC3">
        <w:t xml:space="preserve">Decision NP-2/4, paragraph 3, requested the Executive Secretary to, among other things, assess any needs for additional information, including consideration of a targeted survey of access and benefit-sharing national focal points and/or users. In this regard, a notification 2017-104 dated 16 October 2017 was sent to ABS National Focal Points, CBD National Focal Points, indigenous peoples and local communities and relevant stakeholders to collect information, among other things, on the use of model contractual clauses, codes of conduct, guidelines, best practices and/or standards as well as indigenous peoples and local communities’ customary laws, community protocols and procedures. </w:t>
      </w:r>
      <w:r w:rsidR="00C41183" w:rsidRPr="00AE6FC3">
        <w:t xml:space="preserve">As of 22 February 2018, </w:t>
      </w:r>
      <w:r w:rsidR="00A42B75">
        <w:t xml:space="preserve">12 </w:t>
      </w:r>
      <w:r w:rsidR="007C4C21" w:rsidRPr="00AE6FC3">
        <w:t xml:space="preserve">submissions were received, </w:t>
      </w:r>
      <w:r w:rsidR="00A42B75">
        <w:t xml:space="preserve">2 </w:t>
      </w:r>
      <w:r w:rsidR="007C4C21" w:rsidRPr="00AE6FC3">
        <w:t>from Parties</w:t>
      </w:r>
      <w:r w:rsidR="009D4331">
        <w:t>,</w:t>
      </w:r>
      <w:r w:rsidR="00633130" w:rsidRPr="00AE6FC3">
        <w:rPr>
          <w:rStyle w:val="FootnoteReference"/>
          <w:snapToGrid w:val="0"/>
          <w:kern w:val="22"/>
          <w:sz w:val="22"/>
          <w:u w:val="none"/>
          <w:vertAlign w:val="superscript"/>
        </w:rPr>
        <w:footnoteReference w:id="1"/>
      </w:r>
      <w:r w:rsidR="007C4C21" w:rsidRPr="00AE6FC3">
        <w:t xml:space="preserve"> </w:t>
      </w:r>
      <w:r w:rsidR="00633130" w:rsidRPr="00AE6FC3">
        <w:t>one from a regional country group</w:t>
      </w:r>
      <w:r w:rsidR="00633130" w:rsidRPr="00AE6FC3">
        <w:rPr>
          <w:rStyle w:val="FootnoteReference"/>
          <w:snapToGrid w:val="0"/>
          <w:kern w:val="22"/>
          <w:sz w:val="22"/>
          <w:u w:val="none"/>
          <w:vertAlign w:val="superscript"/>
        </w:rPr>
        <w:footnoteReference w:id="2"/>
      </w:r>
      <w:r w:rsidR="00633130" w:rsidRPr="00AE6FC3">
        <w:t xml:space="preserve">, </w:t>
      </w:r>
      <w:r w:rsidR="00C20914" w:rsidRPr="00AE6FC3">
        <w:t xml:space="preserve">and </w:t>
      </w:r>
      <w:r w:rsidR="00A42B75">
        <w:t xml:space="preserve">9 </w:t>
      </w:r>
      <w:r w:rsidR="007C4C21" w:rsidRPr="00AE6FC3">
        <w:t xml:space="preserve">from relevant </w:t>
      </w:r>
      <w:r w:rsidR="00B56E0D" w:rsidRPr="00AE6FC3">
        <w:lastRenderedPageBreak/>
        <w:t>stakeholders</w:t>
      </w:r>
      <w:r w:rsidR="00633130" w:rsidRPr="00AE6FC3">
        <w:t xml:space="preserve"> and </w:t>
      </w:r>
      <w:r w:rsidR="00B56E0D" w:rsidRPr="00AE6FC3">
        <w:t>organi</w:t>
      </w:r>
      <w:r w:rsidR="009D4331">
        <w:t>z</w:t>
      </w:r>
      <w:r w:rsidR="00B56E0D" w:rsidRPr="00AE6FC3">
        <w:t>ati</w:t>
      </w:r>
      <w:r w:rsidR="00A42B75">
        <w:t>ons.</w:t>
      </w:r>
      <w:r w:rsidR="00633130" w:rsidRPr="00AE6FC3">
        <w:rPr>
          <w:rStyle w:val="FootnoteReference"/>
          <w:snapToGrid w:val="0"/>
          <w:kern w:val="22"/>
          <w:sz w:val="22"/>
          <w:u w:val="none"/>
          <w:vertAlign w:val="superscript"/>
        </w:rPr>
        <w:footnoteReference w:id="3"/>
      </w:r>
      <w:r w:rsidR="00C41183" w:rsidRPr="00C41183">
        <w:t xml:space="preserve"> </w:t>
      </w:r>
      <w:r w:rsidR="00E704D0">
        <w:t xml:space="preserve">All submissions are available at: </w:t>
      </w:r>
      <w:hyperlink r:id="rId14" w:history="1">
        <w:r w:rsidR="00605EED" w:rsidRPr="00AE6FC3">
          <w:t>https://www.cbd.int/abs/assessment-contribution/default.shtml</w:t>
        </w:r>
      </w:hyperlink>
    </w:p>
    <w:p w:rsidR="00A42B75" w:rsidRDefault="00A42B75"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Pr>
          <w:rFonts w:eastAsia="Calibri"/>
          <w:snapToGrid w:val="0"/>
          <w:kern w:val="22"/>
          <w:bdr w:val="none" w:sz="0" w:space="0" w:color="auto" w:frame="1"/>
        </w:rPr>
        <w:t>With respect to the ABS Clearing-House, a</w:t>
      </w:r>
      <w:r w:rsidR="00605EED" w:rsidRPr="00AE6FC3">
        <w:rPr>
          <w:rFonts w:eastAsia="Calibri"/>
          <w:snapToGrid w:val="0"/>
          <w:kern w:val="22"/>
          <w:bdr w:val="none" w:sz="0" w:space="0" w:color="auto" w:frame="1"/>
        </w:rPr>
        <w:t xml:space="preserve">s of 22 February 2018, </w:t>
      </w:r>
      <w:r w:rsidR="008041AC" w:rsidRPr="00AE6FC3">
        <w:rPr>
          <w:rFonts w:eastAsia="Calibri"/>
          <w:snapToGrid w:val="0"/>
          <w:kern w:val="22"/>
          <w:bdr w:val="none" w:sz="0" w:space="0" w:color="auto" w:frame="1"/>
        </w:rPr>
        <w:t xml:space="preserve">30 reference records were published in the ABS Clearing-House: </w:t>
      </w:r>
      <w:r w:rsidRPr="000D1AA2">
        <w:rPr>
          <w:rFonts w:eastAsia="Calibri"/>
          <w:snapToGrid w:val="0"/>
          <w:kern w:val="22"/>
          <w:bdr w:val="none" w:sz="0" w:space="0" w:color="auto" w:frame="1"/>
        </w:rPr>
        <w:t>10</w:t>
      </w:r>
      <w:r w:rsidR="00C20914" w:rsidRPr="00AE6FC3">
        <w:rPr>
          <w:rFonts w:eastAsia="Calibri"/>
          <w:snapToGrid w:val="0"/>
          <w:kern w:val="22"/>
          <w:bdr w:val="none" w:sz="0" w:space="0" w:color="auto" w:frame="1"/>
        </w:rPr>
        <w:t xml:space="preserve"> </w:t>
      </w:r>
      <w:r w:rsidR="008041AC" w:rsidRPr="00AE6FC3">
        <w:rPr>
          <w:rFonts w:eastAsia="Calibri"/>
          <w:snapToGrid w:val="0"/>
          <w:kern w:val="22"/>
          <w:bdr w:val="none" w:sz="0" w:space="0" w:color="auto" w:frame="1"/>
        </w:rPr>
        <w:t xml:space="preserve">model contractual clauses, </w:t>
      </w:r>
      <w:r>
        <w:rPr>
          <w:rFonts w:eastAsia="Calibri"/>
          <w:snapToGrid w:val="0"/>
          <w:kern w:val="22"/>
          <w:bdr w:val="none" w:sz="0" w:space="0" w:color="auto" w:frame="1"/>
        </w:rPr>
        <w:t xml:space="preserve">22 </w:t>
      </w:r>
      <w:r w:rsidR="008041AC" w:rsidRPr="00AE6FC3">
        <w:rPr>
          <w:rFonts w:eastAsia="Calibri"/>
          <w:snapToGrid w:val="0"/>
          <w:kern w:val="22"/>
          <w:bdr w:val="none" w:sz="0" w:space="0" w:color="auto" w:frame="1"/>
        </w:rPr>
        <w:t>codes of conduct, guidelines, best practices and/or standards</w:t>
      </w:r>
      <w:r w:rsidR="007E7F2B" w:rsidRPr="000D1AA2">
        <w:rPr>
          <w:rFonts w:eastAsia="Calibri"/>
        </w:rPr>
        <w:t xml:space="preserve"> </w:t>
      </w:r>
      <w:r w:rsidR="008041AC" w:rsidRPr="00AE6FC3">
        <w:rPr>
          <w:rFonts w:eastAsia="Calibri"/>
          <w:snapToGrid w:val="0"/>
          <w:kern w:val="22"/>
          <w:bdr w:val="none" w:sz="0" w:space="0" w:color="auto" w:frame="1"/>
        </w:rPr>
        <w:t xml:space="preserve">and </w:t>
      </w:r>
      <w:r>
        <w:rPr>
          <w:rFonts w:eastAsia="Calibri"/>
          <w:snapToGrid w:val="0"/>
          <w:kern w:val="22"/>
          <w:bdr w:val="none" w:sz="0" w:space="0" w:color="auto" w:frame="1"/>
        </w:rPr>
        <w:t xml:space="preserve">3 </w:t>
      </w:r>
      <w:r w:rsidR="008041AC" w:rsidRPr="00AE6FC3">
        <w:rPr>
          <w:rFonts w:eastAsia="Calibri"/>
          <w:snapToGrid w:val="0"/>
          <w:kern w:val="22"/>
          <w:bdr w:val="none" w:sz="0" w:space="0" w:color="auto" w:frame="1"/>
        </w:rPr>
        <w:t>community protocol</w:t>
      </w:r>
      <w:r w:rsidR="00E704D0" w:rsidRPr="00AE6FC3">
        <w:rPr>
          <w:rFonts w:eastAsia="Calibri"/>
          <w:snapToGrid w:val="0"/>
          <w:kern w:val="22"/>
          <w:bdr w:val="none" w:sz="0" w:space="0" w:color="auto" w:frame="1"/>
        </w:rPr>
        <w:t>s</w:t>
      </w:r>
      <w:r w:rsidR="008041AC" w:rsidRPr="00AE6FC3">
        <w:rPr>
          <w:rFonts w:eastAsia="Calibri"/>
          <w:snapToGrid w:val="0"/>
          <w:kern w:val="22"/>
          <w:bdr w:val="none" w:sz="0" w:space="0" w:color="auto" w:frame="1"/>
        </w:rPr>
        <w:t xml:space="preserve"> and procedures and customary law</w:t>
      </w:r>
      <w:r w:rsidR="00E704D0" w:rsidRPr="00AE6FC3">
        <w:rPr>
          <w:rFonts w:eastAsia="Calibri"/>
          <w:snapToGrid w:val="0"/>
          <w:kern w:val="22"/>
          <w:bdr w:val="none" w:sz="0" w:space="0" w:color="auto" w:frame="1"/>
        </w:rPr>
        <w:t>s</w:t>
      </w:r>
      <w:r w:rsidR="00B13CEA" w:rsidRPr="00AE6FC3">
        <w:rPr>
          <w:rFonts w:eastAsia="Calibri"/>
          <w:snapToGrid w:val="0"/>
          <w:kern w:val="22"/>
          <w:bdr w:val="none" w:sz="0" w:space="0" w:color="auto" w:frame="1"/>
        </w:rPr>
        <w:t>.</w:t>
      </w:r>
      <w:r w:rsidR="00605EED" w:rsidRPr="00605EED">
        <w:t xml:space="preserve"> </w:t>
      </w:r>
      <w:r w:rsidR="00605EED" w:rsidRPr="00AE6FC3">
        <w:rPr>
          <w:rFonts w:eastAsia="Calibri"/>
          <w:snapToGrid w:val="0"/>
          <w:kern w:val="22"/>
          <w:bdr w:val="none" w:sz="0" w:space="0" w:color="auto" w:frame="1"/>
        </w:rPr>
        <w:t>Some codes of conduct, guidelines, best practices and standards also include model contractual clauses.</w:t>
      </w:r>
      <w:r w:rsidR="00B13CEA" w:rsidRPr="00AE6FC3">
        <w:rPr>
          <w:rFonts w:eastAsia="Calibri"/>
          <w:snapToGrid w:val="0"/>
          <w:kern w:val="22"/>
          <w:bdr w:val="none" w:sz="0" w:space="0" w:color="auto" w:frame="1"/>
        </w:rPr>
        <w:t xml:space="preserve"> </w:t>
      </w:r>
    </w:p>
    <w:p w:rsidR="00913A35" w:rsidRPr="00AE6FC3" w:rsidRDefault="00B13CEA"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rFonts w:eastAsia="Calibri"/>
          <w:snapToGrid w:val="0"/>
          <w:kern w:val="22"/>
          <w:bdr w:val="none" w:sz="0" w:space="0" w:color="auto" w:frame="1"/>
        </w:rPr>
        <w:t xml:space="preserve">In addition to the reference records, </w:t>
      </w:r>
      <w:r w:rsidR="00E704D0" w:rsidRPr="00AE6FC3">
        <w:rPr>
          <w:rFonts w:eastAsia="Calibri"/>
          <w:snapToGrid w:val="0"/>
          <w:kern w:val="22"/>
          <w:bdr w:val="none" w:sz="0" w:space="0" w:color="auto" w:frame="1"/>
        </w:rPr>
        <w:t xml:space="preserve">this analysis also considers Article 19 or 20 tools contained in </w:t>
      </w:r>
      <w:r w:rsidRPr="00AE6FC3">
        <w:rPr>
          <w:rFonts w:eastAsia="Calibri"/>
          <w:snapToGrid w:val="0"/>
          <w:kern w:val="22"/>
          <w:bdr w:val="none" w:sz="0" w:space="0" w:color="auto" w:frame="1"/>
        </w:rPr>
        <w:t>national records in the ABS Clearing-House</w:t>
      </w:r>
      <w:r w:rsidR="00C20914" w:rsidRPr="00AE6FC3">
        <w:rPr>
          <w:rFonts w:eastAsia="Calibri"/>
          <w:snapToGrid w:val="0"/>
          <w:kern w:val="22"/>
          <w:bdr w:val="none" w:sz="0" w:space="0" w:color="auto" w:frame="1"/>
        </w:rPr>
        <w:t>.</w:t>
      </w:r>
      <w:r w:rsidR="00C20914" w:rsidRPr="00B569BC">
        <w:rPr>
          <w:rStyle w:val="FootnoteReference"/>
          <w:rFonts w:eastAsia="Calibri"/>
          <w:snapToGrid w:val="0"/>
          <w:kern w:val="22"/>
          <w:u w:val="none"/>
          <w:bdr w:val="none" w:sz="0" w:space="0" w:color="auto" w:frame="1"/>
          <w:vertAlign w:val="superscript"/>
        </w:rPr>
        <w:footnoteReference w:id="4"/>
      </w:r>
      <w:r w:rsidR="00E704D0" w:rsidRPr="00B569BC">
        <w:rPr>
          <w:rFonts w:eastAsia="Calibri"/>
          <w:snapToGrid w:val="0"/>
          <w:kern w:val="22"/>
          <w:bdr w:val="none" w:sz="0" w:space="0" w:color="auto" w:frame="1"/>
          <w:vertAlign w:val="superscript"/>
        </w:rPr>
        <w:t xml:space="preserve"> </w:t>
      </w:r>
      <w:r w:rsidR="00E704D0" w:rsidRPr="00AE6FC3">
        <w:rPr>
          <w:rFonts w:eastAsia="Calibri"/>
          <w:snapToGrid w:val="0"/>
          <w:kern w:val="22"/>
          <w:bdr w:val="none" w:sz="0" w:space="0" w:color="auto" w:frame="1"/>
        </w:rPr>
        <w:t>The following table summari</w:t>
      </w:r>
      <w:r w:rsidR="00F05420">
        <w:rPr>
          <w:rFonts w:eastAsia="Calibri"/>
          <w:snapToGrid w:val="0"/>
          <w:kern w:val="22"/>
          <w:bdr w:val="none" w:sz="0" w:space="0" w:color="auto" w:frame="1"/>
        </w:rPr>
        <w:t>z</w:t>
      </w:r>
      <w:r w:rsidR="00E704D0" w:rsidRPr="00AE6FC3">
        <w:rPr>
          <w:rFonts w:eastAsia="Calibri"/>
          <w:snapToGrid w:val="0"/>
          <w:kern w:val="22"/>
          <w:bdr w:val="none" w:sz="0" w:space="0" w:color="auto" w:frame="1"/>
        </w:rPr>
        <w:t xml:space="preserve">es the information available in the ABS Clearing-House. </w:t>
      </w:r>
    </w:p>
    <w:p w:rsidR="0092383F" w:rsidRDefault="00F13057" w:rsidP="00BD64ED">
      <w:pPr>
        <w:pStyle w:val="Caption"/>
        <w:jc w:val="center"/>
        <w:rPr>
          <w:rFonts w:eastAsia="Calibri"/>
          <w:snapToGrid w:val="0"/>
          <w:kern w:val="22"/>
          <w:bdr w:val="none" w:sz="0" w:space="0" w:color="auto" w:frame="1"/>
        </w:rPr>
      </w:pPr>
      <w:r>
        <w:t xml:space="preserve">Table </w:t>
      </w:r>
      <w:r>
        <w:fldChar w:fldCharType="begin"/>
      </w:r>
      <w:r>
        <w:instrText xml:space="preserve"> SEQ Table \* ARABIC </w:instrText>
      </w:r>
      <w:r>
        <w:fldChar w:fldCharType="separate"/>
      </w:r>
      <w:r w:rsidR="00A30EDA">
        <w:rPr>
          <w:noProof/>
        </w:rPr>
        <w:t>1</w:t>
      </w:r>
      <w:r>
        <w:fldChar w:fldCharType="end"/>
      </w:r>
      <w:r>
        <w:t xml:space="preserve">: </w:t>
      </w:r>
      <w:r w:rsidR="00E704D0">
        <w:t xml:space="preserve">Tools available in </w:t>
      </w:r>
      <w:r w:rsidR="0092383F">
        <w:rPr>
          <w:rFonts w:eastAsia="Calibri"/>
          <w:snapToGrid w:val="0"/>
          <w:kern w:val="22"/>
          <w:bdr w:val="none" w:sz="0" w:space="0" w:color="auto" w:frame="1"/>
        </w:rPr>
        <w:t>the ABS Clearing-House</w:t>
      </w:r>
      <w:r w:rsidR="00E704D0">
        <w:rPr>
          <w:rFonts w:eastAsia="Calibri"/>
          <w:snapToGrid w:val="0"/>
          <w:kern w:val="22"/>
          <w:bdr w:val="none" w:sz="0" w:space="0" w:color="auto" w:frame="1"/>
        </w:rPr>
        <w:t xml:space="preserve"> as of 22 February 2018</w:t>
      </w:r>
    </w:p>
    <w:tbl>
      <w:tblPr>
        <w:tblStyle w:val="TableGrid"/>
        <w:tblW w:w="0" w:type="auto"/>
        <w:jc w:val="center"/>
        <w:tblBorders>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060"/>
        <w:gridCol w:w="1412"/>
        <w:gridCol w:w="1288"/>
      </w:tblGrid>
      <w:tr w:rsidR="0092383F" w:rsidRPr="00E704D0" w:rsidTr="00BD64ED">
        <w:trPr>
          <w:jc w:val="center"/>
        </w:trPr>
        <w:tc>
          <w:tcPr>
            <w:tcW w:w="3060" w:type="dxa"/>
          </w:tcPr>
          <w:p w:rsidR="0092383F" w:rsidRPr="00BD64ED" w:rsidRDefault="0092383F" w:rsidP="00BD64ED">
            <w:pPr>
              <w:pStyle w:val="ListParagraph"/>
              <w:spacing w:line="228" w:lineRule="auto"/>
              <w:ind w:left="0"/>
              <w:contextualSpacing w:val="0"/>
              <w:jc w:val="center"/>
              <w:rPr>
                <w:rFonts w:eastAsia="Calibri"/>
                <w:snapToGrid w:val="0"/>
                <w:kern w:val="22"/>
                <w:sz w:val="20"/>
                <w:szCs w:val="20"/>
                <w:bdr w:val="none" w:sz="0" w:space="0" w:color="auto" w:frame="1"/>
              </w:rPr>
            </w:pPr>
          </w:p>
        </w:tc>
        <w:tc>
          <w:tcPr>
            <w:tcW w:w="1412" w:type="dxa"/>
          </w:tcPr>
          <w:p w:rsidR="0092383F" w:rsidRPr="00BD64ED" w:rsidRDefault="0092383F"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rFonts w:eastAsia="Calibri"/>
                <w:snapToGrid w:val="0"/>
                <w:kern w:val="22"/>
                <w:sz w:val="20"/>
                <w:szCs w:val="20"/>
                <w:bdr w:val="none" w:sz="0" w:space="0" w:color="auto" w:frame="1"/>
              </w:rPr>
              <w:t>National Records</w:t>
            </w:r>
          </w:p>
        </w:tc>
        <w:tc>
          <w:tcPr>
            <w:tcW w:w="1288" w:type="dxa"/>
          </w:tcPr>
          <w:p w:rsidR="0092383F" w:rsidRPr="00BD64ED" w:rsidRDefault="0092383F"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rFonts w:eastAsia="Calibri"/>
                <w:snapToGrid w:val="0"/>
                <w:kern w:val="22"/>
                <w:sz w:val="20"/>
                <w:szCs w:val="20"/>
                <w:bdr w:val="none" w:sz="0" w:space="0" w:color="auto" w:frame="1"/>
              </w:rPr>
              <w:t>Reference Records</w:t>
            </w:r>
          </w:p>
        </w:tc>
      </w:tr>
      <w:tr w:rsidR="0092383F" w:rsidRPr="00E704D0" w:rsidTr="00BD64ED">
        <w:trPr>
          <w:jc w:val="center"/>
        </w:trPr>
        <w:tc>
          <w:tcPr>
            <w:tcW w:w="3060" w:type="dxa"/>
          </w:tcPr>
          <w:p w:rsidR="0092383F" w:rsidRPr="00BD64ED" w:rsidRDefault="0092383F"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rFonts w:eastAsia="Calibri"/>
                <w:snapToGrid w:val="0"/>
                <w:kern w:val="22"/>
                <w:sz w:val="20"/>
                <w:szCs w:val="20"/>
                <w:bdr w:val="none" w:sz="0" w:space="0" w:color="auto" w:frame="1"/>
              </w:rPr>
              <w:t>Model Contractual Clauses (Article 19)</w:t>
            </w:r>
          </w:p>
        </w:tc>
        <w:tc>
          <w:tcPr>
            <w:tcW w:w="1412" w:type="dxa"/>
          </w:tcPr>
          <w:p w:rsidR="0092383F" w:rsidRPr="00BD64ED" w:rsidRDefault="00892A9D" w:rsidP="00BD64ED">
            <w:pPr>
              <w:pStyle w:val="ListParagraph"/>
              <w:spacing w:line="228" w:lineRule="auto"/>
              <w:ind w:left="0"/>
              <w:contextualSpacing w:val="0"/>
              <w:jc w:val="center"/>
              <w:rPr>
                <w:rFonts w:eastAsia="Calibri"/>
                <w:snapToGrid w:val="0"/>
                <w:kern w:val="22"/>
                <w:sz w:val="20"/>
                <w:szCs w:val="20"/>
                <w:bdr w:val="none" w:sz="0" w:space="0" w:color="auto" w:frame="1"/>
              </w:rPr>
            </w:pPr>
            <w:r>
              <w:rPr>
                <w:rFonts w:eastAsia="Calibri"/>
                <w:snapToGrid w:val="0"/>
                <w:kern w:val="22"/>
                <w:sz w:val="20"/>
                <w:szCs w:val="20"/>
                <w:bdr w:val="none" w:sz="0" w:space="0" w:color="auto" w:frame="1"/>
              </w:rPr>
              <w:t>6</w:t>
            </w:r>
          </w:p>
        </w:tc>
        <w:tc>
          <w:tcPr>
            <w:tcW w:w="1288" w:type="dxa"/>
          </w:tcPr>
          <w:p w:rsidR="0092383F" w:rsidRPr="00BD64ED" w:rsidRDefault="00892A9D" w:rsidP="00BD64ED">
            <w:pPr>
              <w:pStyle w:val="ListParagraph"/>
              <w:spacing w:line="228" w:lineRule="auto"/>
              <w:ind w:left="0"/>
              <w:contextualSpacing w:val="0"/>
              <w:jc w:val="center"/>
              <w:rPr>
                <w:rFonts w:eastAsia="Calibri"/>
                <w:snapToGrid w:val="0"/>
                <w:kern w:val="22"/>
                <w:sz w:val="20"/>
                <w:szCs w:val="20"/>
                <w:bdr w:val="none" w:sz="0" w:space="0" w:color="auto" w:frame="1"/>
              </w:rPr>
            </w:pPr>
            <w:r>
              <w:rPr>
                <w:rFonts w:eastAsia="Calibri"/>
                <w:snapToGrid w:val="0"/>
                <w:kern w:val="22"/>
                <w:sz w:val="20"/>
                <w:szCs w:val="20"/>
                <w:bdr w:val="none" w:sz="0" w:space="0" w:color="auto" w:frame="1"/>
              </w:rPr>
              <w:t>11</w:t>
            </w:r>
          </w:p>
        </w:tc>
      </w:tr>
      <w:tr w:rsidR="00F13057" w:rsidRPr="00E704D0" w:rsidTr="00BD64ED">
        <w:trPr>
          <w:jc w:val="center"/>
        </w:trPr>
        <w:tc>
          <w:tcPr>
            <w:tcW w:w="3060" w:type="dxa"/>
          </w:tcPr>
          <w:p w:rsidR="0092383F" w:rsidRPr="00BD64ED" w:rsidRDefault="0092383F"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sz w:val="20"/>
                <w:szCs w:val="20"/>
              </w:rPr>
              <w:t>Codes of Conduct, Guidelines, Best Practices and Standards</w:t>
            </w:r>
            <w:r w:rsidRPr="00BD64ED">
              <w:rPr>
                <w:rFonts w:eastAsia="Calibri"/>
                <w:snapToGrid w:val="0"/>
                <w:kern w:val="22"/>
                <w:sz w:val="20"/>
                <w:szCs w:val="20"/>
                <w:bdr w:val="none" w:sz="0" w:space="0" w:color="auto" w:frame="1"/>
              </w:rPr>
              <w:t xml:space="preserve"> (Article 20)</w:t>
            </w:r>
          </w:p>
        </w:tc>
        <w:tc>
          <w:tcPr>
            <w:tcW w:w="1412" w:type="dxa"/>
          </w:tcPr>
          <w:p w:rsidR="0092383F" w:rsidRPr="00BD64ED" w:rsidRDefault="00892A9D" w:rsidP="00BD64ED">
            <w:pPr>
              <w:pStyle w:val="ListParagraph"/>
              <w:spacing w:line="228" w:lineRule="auto"/>
              <w:ind w:left="0"/>
              <w:contextualSpacing w:val="0"/>
              <w:jc w:val="center"/>
              <w:rPr>
                <w:rFonts w:eastAsia="Calibri"/>
                <w:snapToGrid w:val="0"/>
                <w:kern w:val="22"/>
                <w:sz w:val="20"/>
                <w:szCs w:val="20"/>
                <w:bdr w:val="none" w:sz="0" w:space="0" w:color="auto" w:frame="1"/>
              </w:rPr>
            </w:pPr>
            <w:r>
              <w:rPr>
                <w:rFonts w:eastAsia="Calibri"/>
                <w:snapToGrid w:val="0"/>
                <w:kern w:val="22"/>
                <w:sz w:val="20"/>
                <w:szCs w:val="20"/>
                <w:bdr w:val="none" w:sz="0" w:space="0" w:color="auto" w:frame="1"/>
              </w:rPr>
              <w:t>3</w:t>
            </w:r>
          </w:p>
        </w:tc>
        <w:tc>
          <w:tcPr>
            <w:tcW w:w="1288" w:type="dxa"/>
          </w:tcPr>
          <w:p w:rsidR="0092383F" w:rsidRPr="00BD64ED" w:rsidRDefault="00F13057"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rFonts w:eastAsia="Calibri"/>
                <w:snapToGrid w:val="0"/>
                <w:kern w:val="22"/>
                <w:sz w:val="20"/>
                <w:szCs w:val="20"/>
                <w:bdr w:val="none" w:sz="0" w:space="0" w:color="auto" w:frame="1"/>
              </w:rPr>
              <w:t>22</w:t>
            </w:r>
          </w:p>
        </w:tc>
      </w:tr>
      <w:tr w:rsidR="0092383F" w:rsidRPr="00E704D0" w:rsidTr="00BD64ED">
        <w:trPr>
          <w:jc w:val="center"/>
        </w:trPr>
        <w:tc>
          <w:tcPr>
            <w:tcW w:w="3060" w:type="dxa"/>
          </w:tcPr>
          <w:p w:rsidR="0092383F" w:rsidRPr="00BD64ED" w:rsidRDefault="0092383F"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rFonts w:eastAsia="Calibri"/>
                <w:snapToGrid w:val="0"/>
                <w:kern w:val="22"/>
                <w:sz w:val="20"/>
                <w:szCs w:val="20"/>
                <w:bdr w:val="none" w:sz="0" w:space="0" w:color="auto" w:frame="1"/>
              </w:rPr>
              <w:t>Community protocols</w:t>
            </w:r>
            <w:r w:rsidR="00E704D0">
              <w:rPr>
                <w:rFonts w:eastAsia="Calibri"/>
                <w:snapToGrid w:val="0"/>
                <w:kern w:val="22"/>
                <w:sz w:val="20"/>
                <w:szCs w:val="20"/>
                <w:bdr w:val="none" w:sz="0" w:space="0" w:color="auto" w:frame="1"/>
              </w:rPr>
              <w:t xml:space="preserve"> and procedures and customary laws (Article 12)</w:t>
            </w:r>
          </w:p>
        </w:tc>
        <w:tc>
          <w:tcPr>
            <w:tcW w:w="1412" w:type="dxa"/>
          </w:tcPr>
          <w:p w:rsidR="0092383F" w:rsidRPr="00BD64ED" w:rsidRDefault="00F13057"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rFonts w:eastAsia="Calibri"/>
                <w:snapToGrid w:val="0"/>
                <w:kern w:val="22"/>
                <w:sz w:val="20"/>
                <w:szCs w:val="20"/>
                <w:bdr w:val="none" w:sz="0" w:space="0" w:color="auto" w:frame="1"/>
              </w:rPr>
              <w:t>0</w:t>
            </w:r>
          </w:p>
        </w:tc>
        <w:tc>
          <w:tcPr>
            <w:tcW w:w="1288" w:type="dxa"/>
          </w:tcPr>
          <w:p w:rsidR="0092383F" w:rsidRPr="00BD64ED" w:rsidRDefault="00F13057" w:rsidP="00BD64ED">
            <w:pPr>
              <w:pStyle w:val="ListParagraph"/>
              <w:spacing w:line="228" w:lineRule="auto"/>
              <w:ind w:left="0"/>
              <w:contextualSpacing w:val="0"/>
              <w:jc w:val="center"/>
              <w:rPr>
                <w:rFonts w:eastAsia="Calibri"/>
                <w:snapToGrid w:val="0"/>
                <w:kern w:val="22"/>
                <w:sz w:val="20"/>
                <w:szCs w:val="20"/>
                <w:bdr w:val="none" w:sz="0" w:space="0" w:color="auto" w:frame="1"/>
              </w:rPr>
            </w:pPr>
            <w:r w:rsidRPr="00BD64ED">
              <w:rPr>
                <w:rFonts w:eastAsia="Calibri"/>
                <w:snapToGrid w:val="0"/>
                <w:kern w:val="22"/>
                <w:sz w:val="20"/>
                <w:szCs w:val="20"/>
                <w:bdr w:val="none" w:sz="0" w:space="0" w:color="auto" w:frame="1"/>
              </w:rPr>
              <w:t>3</w:t>
            </w:r>
          </w:p>
        </w:tc>
      </w:tr>
    </w:tbl>
    <w:p w:rsidR="0092383F" w:rsidRPr="00BD64ED" w:rsidRDefault="0092383F" w:rsidP="00BD64ED">
      <w:pPr>
        <w:pBdr>
          <w:top w:val="nil"/>
          <w:left w:val="nil"/>
          <w:bottom w:val="nil"/>
          <w:right w:val="nil"/>
          <w:between w:val="nil"/>
          <w:bar w:val="nil"/>
        </w:pBdr>
        <w:spacing w:before="120" w:after="120"/>
        <w:rPr>
          <w:snapToGrid w:val="0"/>
          <w:kern w:val="22"/>
        </w:rPr>
      </w:pPr>
    </w:p>
    <w:p w:rsidR="00913A35" w:rsidRPr="00AE6FC3" w:rsidRDefault="002D0861" w:rsidP="00AE6FC3">
      <w:pPr>
        <w:pStyle w:val="ListParagraph"/>
        <w:numPr>
          <w:ilvl w:val="0"/>
          <w:numId w:val="9"/>
        </w:numPr>
        <w:rPr>
          <w:snapToGrid w:val="0"/>
          <w:kern w:val="22"/>
        </w:rPr>
      </w:pPr>
      <w:r w:rsidRPr="002D0861">
        <w:rPr>
          <w:snapToGrid w:val="0"/>
          <w:kern w:val="22"/>
        </w:rPr>
        <w:t xml:space="preserve">As of 22 of February 2018, 69 interim national reports were received from Parties and 6 from non-Parties. </w:t>
      </w:r>
      <w:r>
        <w:t xml:space="preserve">Questions 42, 51, 52 and 53 of the </w:t>
      </w:r>
      <w:r>
        <w:rPr>
          <w:rFonts w:eastAsia="Calibri"/>
          <w:snapToGrid w:val="0"/>
          <w:kern w:val="22"/>
          <w:bdr w:val="none" w:sz="0" w:space="0" w:color="auto" w:frame="1"/>
        </w:rPr>
        <w:t>i</w:t>
      </w:r>
      <w:r w:rsidRPr="004325DE">
        <w:rPr>
          <w:rFonts w:eastAsia="Calibri"/>
          <w:snapToGrid w:val="0"/>
          <w:kern w:val="22"/>
          <w:bdr w:val="none" w:sz="0" w:space="0" w:color="auto" w:frame="1"/>
        </w:rPr>
        <w:t>nterim national reports</w:t>
      </w:r>
      <w:r>
        <w:rPr>
          <w:rFonts w:eastAsia="Calibri"/>
          <w:snapToGrid w:val="0"/>
          <w:kern w:val="22"/>
          <w:bdr w:val="none" w:sz="0" w:space="0" w:color="auto" w:frame="1"/>
        </w:rPr>
        <w:t xml:space="preserve"> address the obligations by Parties under Articles 19 and 20 as well as Article 12, paragraph 3. Some also provided information on tools developed or under development in their country. </w:t>
      </w:r>
      <w:r w:rsidR="00EE621B" w:rsidRPr="00AE6FC3">
        <w:rPr>
          <w:snapToGrid w:val="0"/>
          <w:kern w:val="22"/>
        </w:rPr>
        <w:t>Information on</w:t>
      </w:r>
      <w:r w:rsidR="007A148F" w:rsidRPr="00AE6FC3">
        <w:rPr>
          <w:snapToGrid w:val="0"/>
          <w:kern w:val="22"/>
        </w:rPr>
        <w:t xml:space="preserve"> the extent of</w:t>
      </w:r>
      <w:r w:rsidR="00EE621B" w:rsidRPr="00AE6FC3">
        <w:rPr>
          <w:snapToGrid w:val="0"/>
          <w:kern w:val="22"/>
        </w:rPr>
        <w:t xml:space="preserve"> implementation </w:t>
      </w:r>
      <w:r w:rsidR="007A148F" w:rsidRPr="00AE6FC3">
        <w:rPr>
          <w:snapToGrid w:val="0"/>
          <w:kern w:val="22"/>
        </w:rPr>
        <w:t xml:space="preserve">by Parties </w:t>
      </w:r>
      <w:r w:rsidR="00EE621B" w:rsidRPr="00AE6FC3">
        <w:rPr>
          <w:snapToGrid w:val="0"/>
          <w:kern w:val="22"/>
        </w:rPr>
        <w:t>of the</w:t>
      </w:r>
      <w:r w:rsidR="007A148F" w:rsidRPr="00AE6FC3">
        <w:rPr>
          <w:snapToGrid w:val="0"/>
          <w:kern w:val="22"/>
        </w:rPr>
        <w:t xml:space="preserve">ir obligations </w:t>
      </w:r>
      <w:r w:rsidR="00EE621B" w:rsidRPr="00AE6FC3">
        <w:rPr>
          <w:snapToGrid w:val="0"/>
          <w:kern w:val="22"/>
        </w:rPr>
        <w:t xml:space="preserve">is provided in document </w:t>
      </w:r>
      <w:r w:rsidR="00F05420">
        <w:rPr>
          <w:snapToGrid w:val="0"/>
          <w:kern w:val="22"/>
        </w:rPr>
        <w:t>CBD/</w:t>
      </w:r>
      <w:r w:rsidR="00EE621B" w:rsidRPr="00AE6FC3">
        <w:rPr>
          <w:snapToGrid w:val="0"/>
          <w:kern w:val="22"/>
        </w:rPr>
        <w:t>SBI/2/INF/3 which analyse</w:t>
      </w:r>
      <w:r w:rsidR="00605EED" w:rsidRPr="00AE6FC3">
        <w:rPr>
          <w:snapToGrid w:val="0"/>
          <w:kern w:val="22"/>
        </w:rPr>
        <w:t>s</w:t>
      </w:r>
      <w:r w:rsidR="00EE621B" w:rsidRPr="00AE6FC3">
        <w:rPr>
          <w:snapToGrid w:val="0"/>
          <w:kern w:val="22"/>
        </w:rPr>
        <w:t xml:space="preserve"> information contained in the interim national reports and information published in the ABS Clearing-House.</w:t>
      </w:r>
    </w:p>
    <w:p w:rsidR="002D0861" w:rsidRPr="009D4331" w:rsidRDefault="007B6896" w:rsidP="00B569BC">
      <w:pPr>
        <w:numPr>
          <w:ilvl w:val="0"/>
          <w:numId w:val="9"/>
        </w:numPr>
        <w:pBdr>
          <w:top w:val="nil"/>
          <w:left w:val="nil"/>
          <w:bottom w:val="nil"/>
          <w:right w:val="nil"/>
          <w:between w:val="nil"/>
          <w:bar w:val="nil"/>
        </w:pBdr>
        <w:spacing w:before="120" w:after="120"/>
        <w:rPr>
          <w:snapToGrid w:val="0"/>
          <w:kern w:val="22"/>
        </w:rPr>
      </w:pPr>
      <w:r w:rsidRPr="00AE6FC3">
        <w:rPr>
          <w:snapToGrid w:val="0"/>
          <w:kern w:val="22"/>
        </w:rPr>
        <w:t>In section II, t</w:t>
      </w:r>
      <w:r w:rsidR="0055703F" w:rsidRPr="00AE6FC3">
        <w:rPr>
          <w:snapToGrid w:val="0"/>
          <w:kern w:val="22"/>
        </w:rPr>
        <w:t xml:space="preserve">his document </w:t>
      </w:r>
      <w:r w:rsidR="00A42B75" w:rsidRPr="00AE6FC3">
        <w:rPr>
          <w:snapToGrid w:val="0"/>
          <w:kern w:val="22"/>
        </w:rPr>
        <w:t xml:space="preserve">takes stock of the development and use of </w:t>
      </w:r>
      <w:r w:rsidRPr="00AE6FC3">
        <w:rPr>
          <w:snapToGrid w:val="0"/>
          <w:kern w:val="22"/>
        </w:rPr>
        <w:t>m</w:t>
      </w:r>
      <w:r w:rsidR="00A7211B" w:rsidRPr="00AE6FC3">
        <w:rPr>
          <w:snapToGrid w:val="0"/>
          <w:kern w:val="22"/>
        </w:rPr>
        <w:t>odel contractual c</w:t>
      </w:r>
      <w:r w:rsidR="00E4238D" w:rsidRPr="00AE6FC3">
        <w:rPr>
          <w:snapToGrid w:val="0"/>
          <w:kern w:val="22"/>
        </w:rPr>
        <w:t>l</w:t>
      </w:r>
      <w:r w:rsidR="00A7211B" w:rsidRPr="00AE6FC3">
        <w:rPr>
          <w:snapToGrid w:val="0"/>
          <w:kern w:val="22"/>
        </w:rPr>
        <w:t xml:space="preserve">auses </w:t>
      </w:r>
      <w:r w:rsidR="007054B6" w:rsidRPr="00AE6FC3">
        <w:rPr>
          <w:snapToGrid w:val="0"/>
          <w:kern w:val="22"/>
        </w:rPr>
        <w:t>based on the sources of information listed above</w:t>
      </w:r>
      <w:r w:rsidR="00A7211B" w:rsidRPr="00AE6FC3">
        <w:rPr>
          <w:snapToGrid w:val="0"/>
          <w:kern w:val="22"/>
        </w:rPr>
        <w:t xml:space="preserve">. </w:t>
      </w:r>
      <w:r w:rsidR="00A42B75" w:rsidRPr="00AE6FC3">
        <w:rPr>
          <w:snapToGrid w:val="0"/>
          <w:kern w:val="22"/>
        </w:rPr>
        <w:t xml:space="preserve">Section III </w:t>
      </w:r>
      <w:r w:rsidR="007054B6" w:rsidRPr="00AE6FC3">
        <w:rPr>
          <w:snapToGrid w:val="0"/>
          <w:kern w:val="22"/>
        </w:rPr>
        <w:t>equally</w:t>
      </w:r>
      <w:r w:rsidR="00A7211B" w:rsidRPr="00AE6FC3">
        <w:rPr>
          <w:snapToGrid w:val="0"/>
          <w:kern w:val="22"/>
        </w:rPr>
        <w:t xml:space="preserve"> looks at codes of conduct, guidelines, best practices and</w:t>
      </w:r>
      <w:r w:rsidR="00A42B75" w:rsidRPr="00AE6FC3">
        <w:rPr>
          <w:snapToGrid w:val="0"/>
          <w:kern w:val="22"/>
        </w:rPr>
        <w:t>/or</w:t>
      </w:r>
      <w:r w:rsidR="00A7211B" w:rsidRPr="00AE6FC3">
        <w:rPr>
          <w:snapToGrid w:val="0"/>
          <w:kern w:val="22"/>
        </w:rPr>
        <w:t xml:space="preserve"> standards</w:t>
      </w:r>
      <w:r w:rsidR="00A42B75" w:rsidRPr="00AE6FC3">
        <w:rPr>
          <w:snapToGrid w:val="0"/>
          <w:kern w:val="22"/>
        </w:rPr>
        <w:t xml:space="preserve">, and section IV takes stock of </w:t>
      </w:r>
      <w:r w:rsidRPr="00AE6FC3">
        <w:t>indigenous peoples and local communities’ customary laws</w:t>
      </w:r>
      <w:r w:rsidR="00A7211B" w:rsidRPr="00AE6FC3">
        <w:rPr>
          <w:snapToGrid w:val="0"/>
          <w:kern w:val="22"/>
        </w:rPr>
        <w:t xml:space="preserve">, </w:t>
      </w:r>
      <w:r w:rsidRPr="00AE6FC3">
        <w:rPr>
          <w:snapToGrid w:val="0"/>
          <w:kern w:val="22"/>
        </w:rPr>
        <w:t>c</w:t>
      </w:r>
      <w:r w:rsidR="00A7211B" w:rsidRPr="00AE6FC3">
        <w:rPr>
          <w:snapToGrid w:val="0"/>
          <w:kern w:val="22"/>
        </w:rPr>
        <w:t xml:space="preserve">ommunity </w:t>
      </w:r>
      <w:r w:rsidRPr="00AE6FC3">
        <w:rPr>
          <w:snapToGrid w:val="0"/>
          <w:kern w:val="22"/>
        </w:rPr>
        <w:t>p</w:t>
      </w:r>
      <w:r w:rsidR="00A7211B" w:rsidRPr="00AE6FC3">
        <w:rPr>
          <w:snapToGrid w:val="0"/>
          <w:kern w:val="22"/>
        </w:rPr>
        <w:t xml:space="preserve">rotocol and </w:t>
      </w:r>
      <w:r w:rsidRPr="00AE6FC3">
        <w:rPr>
          <w:snapToGrid w:val="0"/>
          <w:kern w:val="22"/>
        </w:rPr>
        <w:t>p</w:t>
      </w:r>
      <w:r w:rsidR="00A7211B" w:rsidRPr="00AE6FC3">
        <w:rPr>
          <w:snapToGrid w:val="0"/>
          <w:kern w:val="22"/>
        </w:rPr>
        <w:t>rocedures.</w:t>
      </w:r>
      <w:r w:rsidRPr="00AE6FC3">
        <w:rPr>
          <w:snapToGrid w:val="0"/>
          <w:kern w:val="22"/>
        </w:rPr>
        <w:t xml:space="preserve"> </w:t>
      </w:r>
      <w:r w:rsidR="00A42B75" w:rsidRPr="00AE6FC3">
        <w:rPr>
          <w:snapToGrid w:val="0"/>
          <w:kern w:val="22"/>
        </w:rPr>
        <w:t>S</w:t>
      </w:r>
      <w:r w:rsidRPr="00AE6FC3">
        <w:rPr>
          <w:snapToGrid w:val="0"/>
          <w:kern w:val="22"/>
        </w:rPr>
        <w:t xml:space="preserve">ection </w:t>
      </w:r>
      <w:r w:rsidR="00A42B75" w:rsidRPr="00AE6FC3">
        <w:rPr>
          <w:snapToGrid w:val="0"/>
          <w:kern w:val="22"/>
        </w:rPr>
        <w:t xml:space="preserve">V of </w:t>
      </w:r>
      <w:r w:rsidR="00300C5A" w:rsidRPr="00AE6FC3">
        <w:rPr>
          <w:snapToGrid w:val="0"/>
          <w:kern w:val="22"/>
        </w:rPr>
        <w:t>the document</w:t>
      </w:r>
      <w:r w:rsidR="00A42B75" w:rsidRPr="00AE6FC3">
        <w:rPr>
          <w:snapToGrid w:val="0"/>
          <w:kern w:val="22"/>
        </w:rPr>
        <w:t xml:space="preserve"> briefly summari</w:t>
      </w:r>
      <w:r w:rsidR="009D4331">
        <w:rPr>
          <w:snapToGrid w:val="0"/>
          <w:kern w:val="22"/>
        </w:rPr>
        <w:t>z</w:t>
      </w:r>
      <w:r w:rsidR="00A42B75" w:rsidRPr="00AE6FC3">
        <w:rPr>
          <w:snapToGrid w:val="0"/>
          <w:kern w:val="22"/>
        </w:rPr>
        <w:t>es the challenges</w:t>
      </w:r>
      <w:r w:rsidR="002D0861">
        <w:rPr>
          <w:snapToGrid w:val="0"/>
          <w:kern w:val="22"/>
        </w:rPr>
        <w:t xml:space="preserve"> and lessons learned</w:t>
      </w:r>
      <w:r w:rsidR="00A42B75" w:rsidRPr="00AE6FC3">
        <w:rPr>
          <w:snapToGrid w:val="0"/>
          <w:kern w:val="22"/>
        </w:rPr>
        <w:t xml:space="preserve"> </w:t>
      </w:r>
      <w:r w:rsidR="002D0861">
        <w:rPr>
          <w:snapToGrid w:val="0"/>
          <w:kern w:val="22"/>
        </w:rPr>
        <w:t xml:space="preserve">identified </w:t>
      </w:r>
      <w:r w:rsidR="00A42B75" w:rsidRPr="00AE6FC3">
        <w:rPr>
          <w:snapToGrid w:val="0"/>
          <w:kern w:val="22"/>
        </w:rPr>
        <w:t>by Parties and organi</w:t>
      </w:r>
      <w:r w:rsidR="009D4331">
        <w:rPr>
          <w:snapToGrid w:val="0"/>
          <w:kern w:val="22"/>
        </w:rPr>
        <w:t>z</w:t>
      </w:r>
      <w:r w:rsidR="00A42B75" w:rsidRPr="00AE6FC3">
        <w:rPr>
          <w:snapToGrid w:val="0"/>
          <w:kern w:val="22"/>
        </w:rPr>
        <w:t>ations; and finally se</w:t>
      </w:r>
      <w:r w:rsidRPr="00AE6FC3">
        <w:rPr>
          <w:snapToGrid w:val="0"/>
          <w:kern w:val="22"/>
        </w:rPr>
        <w:t>ction V</w:t>
      </w:r>
      <w:r w:rsidR="00A42B75" w:rsidRPr="00AE6FC3">
        <w:rPr>
          <w:snapToGrid w:val="0"/>
          <w:kern w:val="22"/>
        </w:rPr>
        <w:t>I</w:t>
      </w:r>
      <w:r w:rsidRPr="00AE6FC3">
        <w:rPr>
          <w:snapToGrid w:val="0"/>
          <w:kern w:val="22"/>
        </w:rPr>
        <w:t xml:space="preserve"> </w:t>
      </w:r>
      <w:r w:rsidR="00A42B75" w:rsidRPr="00AE6FC3">
        <w:rPr>
          <w:snapToGrid w:val="0"/>
          <w:kern w:val="22"/>
        </w:rPr>
        <w:t>draws conclusions as an input for the first assessment and review of the Protocol (document CBD/SBI/2/3)</w:t>
      </w:r>
      <w:r w:rsidR="0055703F" w:rsidRPr="00AE6FC3">
        <w:rPr>
          <w:snapToGrid w:val="0"/>
          <w:kern w:val="22"/>
        </w:rPr>
        <w:t xml:space="preserve">. </w:t>
      </w:r>
    </w:p>
    <w:p w:rsidR="00302043" w:rsidRPr="00AE6FC3" w:rsidRDefault="00606E24" w:rsidP="00B569BC">
      <w:pPr>
        <w:pStyle w:val="Heading1"/>
        <w:numPr>
          <w:ilvl w:val="0"/>
          <w:numId w:val="5"/>
        </w:numPr>
        <w:tabs>
          <w:tab w:val="clear" w:pos="720"/>
          <w:tab w:val="left" w:pos="1418"/>
        </w:tabs>
        <w:ind w:left="1418"/>
        <w:jc w:val="left"/>
      </w:pPr>
      <w:r>
        <w:t>Stock</w:t>
      </w:r>
      <w:r w:rsidR="009647DA">
        <w:t>-</w:t>
      </w:r>
      <w:r w:rsidR="003E2B05" w:rsidRPr="00AE6FC3">
        <w:t xml:space="preserve">taking of </w:t>
      </w:r>
      <w:r w:rsidR="008B05B9" w:rsidRPr="00AE6FC3">
        <w:t xml:space="preserve">the </w:t>
      </w:r>
      <w:r w:rsidR="003E2B05" w:rsidRPr="00AE6FC3">
        <w:t xml:space="preserve">development and use of </w:t>
      </w:r>
      <w:r w:rsidR="00302043" w:rsidRPr="00AE6FC3">
        <w:t>Model contractual clauses</w:t>
      </w:r>
    </w:p>
    <w:p w:rsidR="009775E7" w:rsidRPr="00AE6FC3" w:rsidRDefault="008041AC" w:rsidP="00FF7A15">
      <w:pPr>
        <w:numPr>
          <w:ilvl w:val="0"/>
          <w:numId w:val="9"/>
        </w:numPr>
        <w:pBdr>
          <w:top w:val="nil"/>
          <w:left w:val="nil"/>
          <w:bottom w:val="nil"/>
          <w:right w:val="nil"/>
          <w:between w:val="nil"/>
          <w:bar w:val="nil"/>
        </w:pBdr>
        <w:spacing w:before="120" w:after="120"/>
        <w:rPr>
          <w:snapToGrid w:val="0"/>
          <w:kern w:val="22"/>
        </w:rPr>
      </w:pPr>
      <w:r w:rsidRPr="00AE6FC3">
        <w:rPr>
          <w:snapToGrid w:val="0"/>
          <w:kern w:val="22"/>
        </w:rPr>
        <w:t>This section provides an overview of</w:t>
      </w:r>
      <w:r w:rsidR="009775E7" w:rsidRPr="00AE6FC3">
        <w:rPr>
          <w:snapToGrid w:val="0"/>
          <w:kern w:val="22"/>
        </w:rPr>
        <w:t xml:space="preserve"> </w:t>
      </w:r>
      <w:r w:rsidR="005F60A0" w:rsidRPr="00AE6FC3">
        <w:rPr>
          <w:snapToGrid w:val="0"/>
          <w:kern w:val="22"/>
        </w:rPr>
        <w:t xml:space="preserve">information provided on the </w:t>
      </w:r>
      <w:r w:rsidR="00644B3A" w:rsidRPr="00AE6FC3">
        <w:rPr>
          <w:snapToGrid w:val="0"/>
          <w:kern w:val="22"/>
        </w:rPr>
        <w:t xml:space="preserve">development and </w:t>
      </w:r>
      <w:r w:rsidR="005F60A0" w:rsidRPr="00AE6FC3">
        <w:rPr>
          <w:snapToGrid w:val="0"/>
          <w:kern w:val="22"/>
        </w:rPr>
        <w:t xml:space="preserve">use of </w:t>
      </w:r>
      <w:r w:rsidR="009775E7" w:rsidRPr="00AE6FC3">
        <w:rPr>
          <w:snapToGrid w:val="0"/>
          <w:kern w:val="22"/>
        </w:rPr>
        <w:t>model contractual clause</w:t>
      </w:r>
      <w:r w:rsidR="005F60A0" w:rsidRPr="00AE6FC3">
        <w:rPr>
          <w:snapToGrid w:val="0"/>
          <w:kern w:val="22"/>
        </w:rPr>
        <w:t>s</w:t>
      </w:r>
      <w:r w:rsidR="002D0481" w:rsidRPr="00AE6FC3">
        <w:rPr>
          <w:snapToGrid w:val="0"/>
          <w:kern w:val="22"/>
        </w:rPr>
        <w:t>.</w:t>
      </w:r>
      <w:r w:rsidR="005F60A0" w:rsidRPr="00AE6FC3">
        <w:t xml:space="preserve"> However, it should be noted that m</w:t>
      </w:r>
      <w:r w:rsidR="00F44FBD" w:rsidRPr="00AE6FC3">
        <w:rPr>
          <w:snapToGrid w:val="0"/>
          <w:kern w:val="22"/>
        </w:rPr>
        <w:t>ore countries and organizations reported on the development of model contractual clauses than specifically on their use.</w:t>
      </w:r>
      <w:r w:rsidR="005F60A0" w:rsidRPr="00AE6FC3">
        <w:rPr>
          <w:snapToGrid w:val="0"/>
          <w:kern w:val="22"/>
        </w:rPr>
        <w:t xml:space="preserve"> </w:t>
      </w:r>
      <w:r w:rsidR="000A5123" w:rsidRPr="00AE6FC3">
        <w:rPr>
          <w:snapToGrid w:val="0"/>
          <w:kern w:val="22"/>
        </w:rPr>
        <w:t xml:space="preserve">Subsection A below </w:t>
      </w:r>
      <w:r w:rsidR="00DD4A0F" w:rsidRPr="00AE6FC3">
        <w:t>look</w:t>
      </w:r>
      <w:r w:rsidR="000A5123" w:rsidRPr="00AE6FC3">
        <w:t>s</w:t>
      </w:r>
      <w:r w:rsidR="00DD4A0F" w:rsidRPr="00AE6FC3">
        <w:t xml:space="preserve"> more </w:t>
      </w:r>
      <w:r w:rsidR="00DD4A0F" w:rsidRPr="00AE6FC3">
        <w:lastRenderedPageBreak/>
        <w:t>closely at the model contractual clauses developed</w:t>
      </w:r>
      <w:r w:rsidR="000A5123" w:rsidRPr="00AE6FC3">
        <w:t xml:space="preserve"> and under development, including </w:t>
      </w:r>
      <w:r w:rsidR="00DD4A0F" w:rsidRPr="00AE6FC3">
        <w:rPr>
          <w:snapToGrid w:val="0"/>
          <w:kern w:val="22"/>
        </w:rPr>
        <w:t>the</w:t>
      </w:r>
      <w:r w:rsidR="000A5123" w:rsidRPr="00AE6FC3">
        <w:rPr>
          <w:snapToGrid w:val="0"/>
          <w:kern w:val="22"/>
        </w:rPr>
        <w:t>ir</w:t>
      </w:r>
      <w:r w:rsidR="00DD4A0F" w:rsidRPr="00AE6FC3">
        <w:rPr>
          <w:snapToGrid w:val="0"/>
          <w:kern w:val="22"/>
        </w:rPr>
        <w:t xml:space="preserve"> </w:t>
      </w:r>
      <w:r w:rsidR="007E7F2B" w:rsidRPr="00AE6FC3">
        <w:rPr>
          <w:snapToGrid w:val="0"/>
          <w:kern w:val="22"/>
        </w:rPr>
        <w:t>intended use</w:t>
      </w:r>
      <w:r w:rsidR="002D0861">
        <w:rPr>
          <w:snapToGrid w:val="0"/>
          <w:kern w:val="22"/>
        </w:rPr>
        <w:t xml:space="preserve">, and </w:t>
      </w:r>
      <w:r w:rsidR="000A5123" w:rsidRPr="00AE6FC3">
        <w:rPr>
          <w:snapToGrid w:val="0"/>
          <w:kern w:val="22"/>
        </w:rPr>
        <w:t>subsection B</w:t>
      </w:r>
      <w:r w:rsidR="002D0861">
        <w:rPr>
          <w:snapToGrid w:val="0"/>
          <w:kern w:val="22"/>
        </w:rPr>
        <w:t xml:space="preserve"> provides</w:t>
      </w:r>
      <w:r w:rsidR="000A5123" w:rsidRPr="00AE6FC3">
        <w:rPr>
          <w:snapToGrid w:val="0"/>
          <w:kern w:val="22"/>
        </w:rPr>
        <w:t xml:space="preserve"> information on their use.</w:t>
      </w:r>
    </w:p>
    <w:p w:rsidR="00EA44CF" w:rsidRPr="00AE6FC3" w:rsidRDefault="00332B8A" w:rsidP="00FF7A15">
      <w:pPr>
        <w:pStyle w:val="Heading2"/>
        <w:numPr>
          <w:ilvl w:val="0"/>
          <w:numId w:val="11"/>
        </w:numPr>
      </w:pPr>
      <w:r w:rsidRPr="00AE6FC3">
        <w:t>Development</w:t>
      </w:r>
      <w:r w:rsidR="00EA44CF" w:rsidRPr="00AE6FC3">
        <w:t xml:space="preserve"> of </w:t>
      </w:r>
      <w:r w:rsidR="0044282E" w:rsidRPr="00AE6FC3">
        <w:t>m</w:t>
      </w:r>
      <w:r w:rsidR="00EA44CF" w:rsidRPr="00AE6FC3">
        <w:t xml:space="preserve">odel </w:t>
      </w:r>
      <w:r w:rsidR="0044282E" w:rsidRPr="00AE6FC3">
        <w:t>c</w:t>
      </w:r>
      <w:r w:rsidR="00EA44CF" w:rsidRPr="00AE6FC3">
        <w:t xml:space="preserve">ontractual </w:t>
      </w:r>
      <w:r w:rsidR="0044282E" w:rsidRPr="00AE6FC3">
        <w:t>c</w:t>
      </w:r>
      <w:r w:rsidR="00EA44CF" w:rsidRPr="00AE6FC3">
        <w:t>lauses</w:t>
      </w:r>
    </w:p>
    <w:p w:rsidR="00EB4122" w:rsidRDefault="00FE3BAB" w:rsidP="00FF7A15">
      <w:pPr>
        <w:numPr>
          <w:ilvl w:val="0"/>
          <w:numId w:val="9"/>
        </w:numPr>
        <w:pBdr>
          <w:top w:val="nil"/>
          <w:left w:val="nil"/>
          <w:bottom w:val="nil"/>
          <w:right w:val="nil"/>
          <w:between w:val="nil"/>
          <w:bar w:val="nil"/>
        </w:pBdr>
        <w:spacing w:before="120" w:after="120"/>
        <w:rPr>
          <w:snapToGrid w:val="0"/>
          <w:kern w:val="22"/>
        </w:rPr>
      </w:pPr>
      <w:r w:rsidRPr="002A00AF">
        <w:rPr>
          <w:snapToGrid w:val="0"/>
          <w:kern w:val="22"/>
        </w:rPr>
        <w:t xml:space="preserve">According to information available, as of </w:t>
      </w:r>
      <w:r w:rsidR="008871D8" w:rsidRPr="002A00AF">
        <w:rPr>
          <w:snapToGrid w:val="0"/>
          <w:kern w:val="22"/>
        </w:rPr>
        <w:t xml:space="preserve">22 February </w:t>
      </w:r>
      <w:r w:rsidR="008E3270" w:rsidRPr="002A00AF">
        <w:rPr>
          <w:snapToGrid w:val="0"/>
          <w:kern w:val="22"/>
        </w:rPr>
        <w:t xml:space="preserve">2018, </w:t>
      </w:r>
      <w:r w:rsidRPr="002A00AF">
        <w:rPr>
          <w:snapToGrid w:val="0"/>
          <w:kern w:val="22"/>
        </w:rPr>
        <w:t xml:space="preserve">a total of </w:t>
      </w:r>
      <w:r w:rsidR="00723ED1">
        <w:rPr>
          <w:snapToGrid w:val="0"/>
          <w:kern w:val="22"/>
        </w:rPr>
        <w:t>29</w:t>
      </w:r>
      <w:r w:rsidRPr="003102F7">
        <w:rPr>
          <w:snapToGrid w:val="0"/>
          <w:kern w:val="22"/>
        </w:rPr>
        <w:t xml:space="preserve"> model</w:t>
      </w:r>
      <w:r w:rsidRPr="002A00AF">
        <w:rPr>
          <w:snapToGrid w:val="0"/>
          <w:kern w:val="22"/>
        </w:rPr>
        <w:t xml:space="preserve"> contractual clauses have been developed in the context of Article 19 of the Protocol</w:t>
      </w:r>
      <w:r w:rsidR="002A00AF">
        <w:rPr>
          <w:snapToGrid w:val="0"/>
          <w:kern w:val="22"/>
        </w:rPr>
        <w:t>.</w:t>
      </w:r>
      <w:r w:rsidR="00913A35" w:rsidRPr="002A00AF">
        <w:rPr>
          <w:snapToGrid w:val="0"/>
          <w:kern w:val="22"/>
        </w:rPr>
        <w:t xml:space="preserve"> </w:t>
      </w:r>
    </w:p>
    <w:p w:rsidR="00FE3BAB" w:rsidRPr="00EB4122" w:rsidRDefault="00EB4122" w:rsidP="00FF7A15">
      <w:pPr>
        <w:numPr>
          <w:ilvl w:val="0"/>
          <w:numId w:val="9"/>
        </w:numPr>
        <w:pBdr>
          <w:top w:val="nil"/>
          <w:left w:val="nil"/>
          <w:bottom w:val="nil"/>
          <w:right w:val="nil"/>
          <w:between w:val="nil"/>
          <w:bar w:val="nil"/>
        </w:pBdr>
        <w:spacing w:before="120" w:after="120"/>
        <w:rPr>
          <w:snapToGrid w:val="0"/>
          <w:kern w:val="22"/>
        </w:rPr>
      </w:pPr>
      <w:r w:rsidRPr="002A00AF">
        <w:rPr>
          <w:snapToGrid w:val="0"/>
          <w:kern w:val="22"/>
        </w:rPr>
        <w:t xml:space="preserve">Out of </w:t>
      </w:r>
      <w:r w:rsidRPr="00250306">
        <w:rPr>
          <w:snapToGrid w:val="0"/>
          <w:kern w:val="22"/>
        </w:rPr>
        <w:t xml:space="preserve">the </w:t>
      </w:r>
      <w:r w:rsidR="00723ED1">
        <w:rPr>
          <w:snapToGrid w:val="0"/>
          <w:kern w:val="22"/>
        </w:rPr>
        <w:t>29</w:t>
      </w:r>
      <w:r w:rsidRPr="00250306">
        <w:rPr>
          <w:snapToGrid w:val="0"/>
          <w:kern w:val="22"/>
        </w:rPr>
        <w:t xml:space="preserve"> model</w:t>
      </w:r>
      <w:r w:rsidRPr="002A00AF">
        <w:rPr>
          <w:snapToGrid w:val="0"/>
          <w:kern w:val="22"/>
        </w:rPr>
        <w:t xml:space="preserve"> clauses</w:t>
      </w:r>
      <w:r w:rsidRPr="00250306">
        <w:rPr>
          <w:snapToGrid w:val="0"/>
          <w:kern w:val="22"/>
        </w:rPr>
        <w:t>, 1</w:t>
      </w:r>
      <w:r w:rsidR="00723ED1">
        <w:rPr>
          <w:snapToGrid w:val="0"/>
          <w:kern w:val="22"/>
        </w:rPr>
        <w:t>4</w:t>
      </w:r>
      <w:r w:rsidRPr="00250306">
        <w:rPr>
          <w:snapToGrid w:val="0"/>
          <w:kern w:val="22"/>
        </w:rPr>
        <w:t xml:space="preserve"> were</w:t>
      </w:r>
      <w:r w:rsidRPr="002A00AF">
        <w:rPr>
          <w:snapToGrid w:val="0"/>
          <w:kern w:val="22"/>
        </w:rPr>
        <w:t xml:space="preserve"> developed by Parties</w:t>
      </w:r>
      <w:r w:rsidR="00644B3A">
        <w:rPr>
          <w:snapToGrid w:val="0"/>
          <w:kern w:val="22"/>
        </w:rPr>
        <w:t>,</w:t>
      </w:r>
      <w:r w:rsidRPr="001D1725">
        <w:rPr>
          <w:rStyle w:val="FootnoteReference"/>
          <w:snapToGrid w:val="0"/>
          <w:kern w:val="22"/>
          <w:sz w:val="22"/>
          <w:u w:val="none"/>
          <w:vertAlign w:val="superscript"/>
        </w:rPr>
        <w:footnoteReference w:id="5"/>
      </w:r>
      <w:r w:rsidRPr="002A00AF">
        <w:rPr>
          <w:snapToGrid w:val="0"/>
          <w:kern w:val="22"/>
        </w:rPr>
        <w:t xml:space="preserve"> one by a non-Party</w:t>
      </w:r>
      <w:r w:rsidRPr="00B655A2">
        <w:rPr>
          <w:rStyle w:val="FootnoteReference"/>
          <w:snapToGrid w:val="0"/>
          <w:kern w:val="22"/>
          <w:sz w:val="22"/>
          <w:u w:val="none"/>
          <w:vertAlign w:val="superscript"/>
        </w:rPr>
        <w:footnoteReference w:id="6"/>
      </w:r>
      <w:r w:rsidRPr="002A00AF">
        <w:rPr>
          <w:snapToGrid w:val="0"/>
          <w:kern w:val="22"/>
        </w:rPr>
        <w:t xml:space="preserve">, </w:t>
      </w:r>
      <w:r w:rsidR="006E3999">
        <w:rPr>
          <w:snapToGrid w:val="0"/>
          <w:kern w:val="22"/>
        </w:rPr>
        <w:t xml:space="preserve">2 </w:t>
      </w:r>
      <w:r w:rsidRPr="002A00AF">
        <w:rPr>
          <w:snapToGrid w:val="0"/>
          <w:kern w:val="22"/>
        </w:rPr>
        <w:t>by regional groups</w:t>
      </w:r>
      <w:r w:rsidRPr="001D1725">
        <w:rPr>
          <w:rStyle w:val="FootnoteReference"/>
          <w:snapToGrid w:val="0"/>
          <w:kern w:val="22"/>
          <w:sz w:val="22"/>
          <w:u w:val="none"/>
          <w:vertAlign w:val="superscript"/>
        </w:rPr>
        <w:footnoteReference w:id="7"/>
      </w:r>
      <w:r w:rsidRPr="002A00AF">
        <w:rPr>
          <w:snapToGrid w:val="0"/>
          <w:kern w:val="22"/>
        </w:rPr>
        <w:t xml:space="preserve"> </w:t>
      </w:r>
      <w:r w:rsidRPr="00250306">
        <w:rPr>
          <w:snapToGrid w:val="0"/>
          <w:kern w:val="22"/>
        </w:rPr>
        <w:t>and 12</w:t>
      </w:r>
      <w:r w:rsidRPr="002A00AF">
        <w:rPr>
          <w:snapToGrid w:val="0"/>
          <w:kern w:val="22"/>
        </w:rPr>
        <w:t xml:space="preserve"> by organizations</w:t>
      </w:r>
      <w:r w:rsidRPr="001D1725">
        <w:rPr>
          <w:rStyle w:val="FootnoteReference"/>
          <w:snapToGrid w:val="0"/>
          <w:kern w:val="22"/>
          <w:sz w:val="22"/>
          <w:u w:val="none"/>
          <w:vertAlign w:val="superscript"/>
        </w:rPr>
        <w:footnoteReference w:id="8"/>
      </w:r>
      <w:r w:rsidRPr="002A00AF">
        <w:rPr>
          <w:snapToGrid w:val="0"/>
          <w:kern w:val="22"/>
        </w:rPr>
        <w:t>. Therefore</w:t>
      </w:r>
      <w:r w:rsidR="009D4331">
        <w:rPr>
          <w:snapToGrid w:val="0"/>
          <w:kern w:val="22"/>
        </w:rPr>
        <w:t>,</w:t>
      </w:r>
      <w:r w:rsidRPr="002A00AF">
        <w:rPr>
          <w:snapToGrid w:val="0"/>
          <w:kern w:val="22"/>
        </w:rPr>
        <w:t xml:space="preserve"> most of the model contractual clauses (</w:t>
      </w:r>
      <w:r w:rsidR="005A2ACF">
        <w:rPr>
          <w:snapToGrid w:val="0"/>
          <w:kern w:val="22"/>
        </w:rPr>
        <w:t>59</w:t>
      </w:r>
      <w:r w:rsidRPr="002A00AF">
        <w:rPr>
          <w:snapToGrid w:val="0"/>
          <w:kern w:val="22"/>
        </w:rPr>
        <w:t xml:space="preserve">%) have been developed by governments. </w:t>
      </w:r>
    </w:p>
    <w:p w:rsidR="00C80846" w:rsidRPr="00EB4122" w:rsidRDefault="00C80846" w:rsidP="00644B3A">
      <w:pPr>
        <w:numPr>
          <w:ilvl w:val="0"/>
          <w:numId w:val="9"/>
        </w:numPr>
        <w:pBdr>
          <w:top w:val="nil"/>
          <w:left w:val="nil"/>
          <w:bottom w:val="nil"/>
          <w:right w:val="nil"/>
          <w:between w:val="nil"/>
          <w:bar w:val="nil"/>
        </w:pBdr>
        <w:spacing w:before="120" w:after="120"/>
        <w:rPr>
          <w:snapToGrid w:val="0"/>
          <w:kern w:val="22"/>
        </w:rPr>
      </w:pPr>
      <w:r w:rsidRPr="004325DE">
        <w:rPr>
          <w:snapToGrid w:val="0"/>
          <w:kern w:val="22"/>
        </w:rPr>
        <w:t>Of all the mo</w:t>
      </w:r>
      <w:r>
        <w:rPr>
          <w:snapToGrid w:val="0"/>
          <w:kern w:val="22"/>
        </w:rPr>
        <w:t>del contractual clauses reported</w:t>
      </w:r>
      <w:r w:rsidRPr="004325DE">
        <w:rPr>
          <w:snapToGrid w:val="0"/>
          <w:kern w:val="22"/>
        </w:rPr>
        <w:t xml:space="preserve">, </w:t>
      </w:r>
      <w:r w:rsidR="00E92DDB">
        <w:rPr>
          <w:snapToGrid w:val="0"/>
          <w:kern w:val="22"/>
        </w:rPr>
        <w:t>more than half (</w:t>
      </w:r>
      <w:r w:rsidR="005A2ACF">
        <w:rPr>
          <w:snapToGrid w:val="0"/>
          <w:kern w:val="22"/>
        </w:rPr>
        <w:t>59</w:t>
      </w:r>
      <w:r w:rsidR="00E92DDB">
        <w:rPr>
          <w:snapToGrid w:val="0"/>
          <w:kern w:val="22"/>
        </w:rPr>
        <w:t>%)</w:t>
      </w:r>
      <w:r w:rsidRPr="004325DE">
        <w:rPr>
          <w:snapToGrid w:val="0"/>
          <w:kern w:val="22"/>
        </w:rPr>
        <w:t xml:space="preserve"> are available in the A</w:t>
      </w:r>
      <w:r>
        <w:rPr>
          <w:snapToGrid w:val="0"/>
          <w:kern w:val="22"/>
        </w:rPr>
        <w:t>BS Clearing-House, either as a reference r</w:t>
      </w:r>
      <w:r w:rsidRPr="004325DE">
        <w:rPr>
          <w:snapToGrid w:val="0"/>
          <w:kern w:val="22"/>
        </w:rPr>
        <w:t>ecord</w:t>
      </w:r>
      <w:r w:rsidRPr="005B599A">
        <w:rPr>
          <w:rStyle w:val="FootnoteReference"/>
          <w:snapToGrid w:val="0"/>
          <w:kern w:val="22"/>
          <w:sz w:val="22"/>
          <w:u w:val="none"/>
          <w:vertAlign w:val="superscript"/>
        </w:rPr>
        <w:footnoteReference w:id="9"/>
      </w:r>
      <w:r w:rsidRPr="004325DE">
        <w:rPr>
          <w:snapToGrid w:val="0"/>
          <w:kern w:val="22"/>
        </w:rPr>
        <w:t xml:space="preserve"> or as </w:t>
      </w:r>
      <w:r>
        <w:rPr>
          <w:snapToGrid w:val="0"/>
          <w:kern w:val="22"/>
        </w:rPr>
        <w:t>part of a national record</w:t>
      </w:r>
      <w:r w:rsidR="009D4331">
        <w:rPr>
          <w:snapToGrid w:val="0"/>
          <w:kern w:val="22"/>
        </w:rPr>
        <w:t>.</w:t>
      </w:r>
      <w:r w:rsidRPr="00D41DA4">
        <w:rPr>
          <w:rStyle w:val="FootnoteReference"/>
          <w:snapToGrid w:val="0"/>
          <w:kern w:val="22"/>
          <w:sz w:val="22"/>
          <w:u w:val="none"/>
          <w:vertAlign w:val="superscript"/>
        </w:rPr>
        <w:footnoteReference w:id="10"/>
      </w:r>
      <w:r>
        <w:rPr>
          <w:snapToGrid w:val="0"/>
          <w:kern w:val="22"/>
        </w:rPr>
        <w:t xml:space="preserve"> </w:t>
      </w:r>
      <w:r w:rsidR="00EB4122" w:rsidRPr="00EB4122">
        <w:rPr>
          <w:snapToGrid w:val="0"/>
          <w:kern w:val="22"/>
        </w:rPr>
        <w:t>A list of these model clauses, including links to the resource when available, is found in Annex to this document.</w:t>
      </w:r>
      <w:r w:rsidR="00644B3A" w:rsidRPr="00644B3A">
        <w:t xml:space="preserve"> </w:t>
      </w:r>
      <w:r w:rsidR="00644B3A" w:rsidRPr="00644B3A">
        <w:rPr>
          <w:snapToGrid w:val="0"/>
          <w:kern w:val="22"/>
        </w:rPr>
        <w:t>It is worth noting that some codes of conduct, guidelines, best practices and standards contain model contractual clauses</w:t>
      </w:r>
      <w:r w:rsidR="00644B3A">
        <w:rPr>
          <w:snapToGrid w:val="0"/>
          <w:kern w:val="22"/>
        </w:rPr>
        <w:t>.</w:t>
      </w:r>
    </w:p>
    <w:p w:rsidR="002A00AF" w:rsidRPr="00C80846" w:rsidRDefault="00F958D9" w:rsidP="00FF7A15">
      <w:pPr>
        <w:numPr>
          <w:ilvl w:val="0"/>
          <w:numId w:val="9"/>
        </w:numPr>
        <w:pBdr>
          <w:top w:val="nil"/>
          <w:left w:val="nil"/>
          <w:bottom w:val="nil"/>
          <w:right w:val="nil"/>
          <w:between w:val="nil"/>
          <w:bar w:val="nil"/>
        </w:pBdr>
        <w:spacing w:before="120" w:after="120"/>
        <w:rPr>
          <w:snapToGrid w:val="0"/>
          <w:kern w:val="22"/>
        </w:rPr>
      </w:pPr>
      <w:r w:rsidRPr="00C80846">
        <w:rPr>
          <w:snapToGrid w:val="0"/>
          <w:kern w:val="22"/>
        </w:rPr>
        <w:t xml:space="preserve">In addition, </w:t>
      </w:r>
      <w:r w:rsidR="00C80846" w:rsidRPr="00C80846">
        <w:rPr>
          <w:snapToGrid w:val="0"/>
          <w:kern w:val="22"/>
        </w:rPr>
        <w:t xml:space="preserve">the following </w:t>
      </w:r>
      <w:r w:rsidR="00A51ACF">
        <w:rPr>
          <w:snapToGrid w:val="0"/>
          <w:kern w:val="22"/>
        </w:rPr>
        <w:t xml:space="preserve">6 </w:t>
      </w:r>
      <w:r w:rsidR="002C13E3" w:rsidRPr="00C80846">
        <w:rPr>
          <w:snapToGrid w:val="0"/>
          <w:kern w:val="22"/>
        </w:rPr>
        <w:t>Parties</w:t>
      </w:r>
      <w:r w:rsidR="00A51ACF">
        <w:rPr>
          <w:snapToGrid w:val="0"/>
          <w:kern w:val="22"/>
        </w:rPr>
        <w:t xml:space="preserve"> and</w:t>
      </w:r>
      <w:r w:rsidR="00A83DD4">
        <w:rPr>
          <w:snapToGrid w:val="0"/>
          <w:kern w:val="22"/>
        </w:rPr>
        <w:t xml:space="preserve"> </w:t>
      </w:r>
      <w:r w:rsidR="006E3999">
        <w:rPr>
          <w:snapToGrid w:val="0"/>
          <w:kern w:val="22"/>
        </w:rPr>
        <w:t xml:space="preserve">one </w:t>
      </w:r>
      <w:r w:rsidR="00A51ACF">
        <w:rPr>
          <w:snapToGrid w:val="0"/>
          <w:kern w:val="22"/>
        </w:rPr>
        <w:t>organization</w:t>
      </w:r>
      <w:r w:rsidR="002C13E3" w:rsidRPr="00C80846">
        <w:rPr>
          <w:snapToGrid w:val="0"/>
          <w:kern w:val="22"/>
        </w:rPr>
        <w:t xml:space="preserve"> reported work underway to develop model contractual clauses</w:t>
      </w:r>
      <w:r w:rsidR="00C80846" w:rsidRPr="00C80846">
        <w:rPr>
          <w:snapToGrid w:val="0"/>
          <w:kern w:val="22"/>
        </w:rPr>
        <w:t>:</w:t>
      </w:r>
      <w:r w:rsidR="002A00AF" w:rsidRPr="00C80846">
        <w:rPr>
          <w:snapToGrid w:val="0"/>
          <w:kern w:val="22"/>
        </w:rPr>
        <w:t xml:space="preserve"> </w:t>
      </w:r>
    </w:p>
    <w:p w:rsidR="002C13E3" w:rsidRPr="002C13E3" w:rsidRDefault="002C13E3" w:rsidP="00FF7A15">
      <w:pPr>
        <w:pStyle w:val="ListParagraph"/>
        <w:numPr>
          <w:ilvl w:val="0"/>
          <w:numId w:val="21"/>
        </w:numPr>
        <w:spacing w:before="120" w:after="120" w:line="228" w:lineRule="auto"/>
        <w:ind w:left="0" w:firstLine="709"/>
        <w:contextualSpacing w:val="0"/>
        <w:rPr>
          <w:snapToGrid w:val="0"/>
          <w:kern w:val="22"/>
        </w:rPr>
      </w:pPr>
      <w:r w:rsidRPr="002C13E3">
        <w:rPr>
          <w:snapToGrid w:val="0"/>
          <w:kern w:val="22"/>
        </w:rPr>
        <w:t>Côte d’Ivoire</w:t>
      </w:r>
      <w:r>
        <w:rPr>
          <w:snapToGrid w:val="0"/>
          <w:kern w:val="22"/>
        </w:rPr>
        <w:t xml:space="preserve"> </w:t>
      </w:r>
      <w:r w:rsidRPr="002C13E3">
        <w:rPr>
          <w:snapToGrid w:val="0"/>
          <w:kern w:val="22"/>
        </w:rPr>
        <w:t xml:space="preserve">indicated </w:t>
      </w:r>
      <w:r>
        <w:rPr>
          <w:snapToGrid w:val="0"/>
          <w:kern w:val="22"/>
        </w:rPr>
        <w:t xml:space="preserve">that </w:t>
      </w:r>
      <w:r w:rsidRPr="002C13E3">
        <w:rPr>
          <w:snapToGrid w:val="0"/>
          <w:kern w:val="22"/>
        </w:rPr>
        <w:t>model contractual clauses for animal genetic resources will be developed in the context of an ABS project</w:t>
      </w:r>
      <w:r w:rsidR="009D4331">
        <w:rPr>
          <w:snapToGrid w:val="0"/>
          <w:kern w:val="22"/>
        </w:rPr>
        <w:t>;</w:t>
      </w:r>
      <w:r w:rsidRPr="002C13E3">
        <w:rPr>
          <w:snapToGrid w:val="0"/>
          <w:kern w:val="22"/>
        </w:rPr>
        <w:t xml:space="preserve"> </w:t>
      </w:r>
    </w:p>
    <w:p w:rsidR="002C13E3" w:rsidRDefault="002C13E3" w:rsidP="00FF7A15">
      <w:pPr>
        <w:pStyle w:val="ListParagraph"/>
        <w:numPr>
          <w:ilvl w:val="0"/>
          <w:numId w:val="21"/>
        </w:numPr>
        <w:spacing w:before="120" w:after="120" w:line="228" w:lineRule="auto"/>
        <w:ind w:left="0" w:firstLine="709"/>
        <w:contextualSpacing w:val="0"/>
        <w:rPr>
          <w:snapToGrid w:val="0"/>
          <w:kern w:val="22"/>
        </w:rPr>
      </w:pPr>
      <w:r>
        <w:rPr>
          <w:snapToGrid w:val="0"/>
          <w:kern w:val="22"/>
        </w:rPr>
        <w:t xml:space="preserve">In response to the notification, Finland indicated that </w:t>
      </w:r>
      <w:r w:rsidRPr="002C13E3">
        <w:rPr>
          <w:snapToGrid w:val="0"/>
          <w:kern w:val="22"/>
        </w:rPr>
        <w:t>Finland’s Natural Resources Institute (LUKE) is working on material transfer agreements to enable accessibility to the accessions of nationally conserved, vegetatively propagated plant genetic resources held in the LUKE field collections</w:t>
      </w:r>
      <w:r w:rsidR="009D4331">
        <w:rPr>
          <w:snapToGrid w:val="0"/>
          <w:kern w:val="22"/>
        </w:rPr>
        <w:t>;</w:t>
      </w:r>
    </w:p>
    <w:p w:rsidR="002C13E3" w:rsidRPr="002C13E3" w:rsidRDefault="002C13E3" w:rsidP="00FF7A15">
      <w:pPr>
        <w:pStyle w:val="ListParagraph"/>
        <w:numPr>
          <w:ilvl w:val="0"/>
          <w:numId w:val="21"/>
        </w:numPr>
        <w:spacing w:before="120" w:after="120" w:line="228" w:lineRule="auto"/>
        <w:ind w:left="0" w:firstLine="709"/>
        <w:contextualSpacing w:val="0"/>
        <w:rPr>
          <w:snapToGrid w:val="0"/>
          <w:kern w:val="22"/>
        </w:rPr>
      </w:pPr>
      <w:r w:rsidRPr="002C13E3">
        <w:rPr>
          <w:snapToGrid w:val="0"/>
          <w:kern w:val="22"/>
        </w:rPr>
        <w:t>Japan stated</w:t>
      </w:r>
      <w:r w:rsidR="00C80846">
        <w:rPr>
          <w:snapToGrid w:val="0"/>
          <w:kern w:val="22"/>
        </w:rPr>
        <w:t xml:space="preserve"> </w:t>
      </w:r>
      <w:r w:rsidRPr="002C13E3">
        <w:rPr>
          <w:snapToGrid w:val="0"/>
          <w:kern w:val="22"/>
        </w:rPr>
        <w:t xml:space="preserve">that the National Institute of Genetics under the Ministry of Education, Culture, Sports, Science and Technology </w:t>
      </w:r>
      <w:r w:rsidR="00C80846">
        <w:rPr>
          <w:snapToGrid w:val="0"/>
          <w:kern w:val="22"/>
        </w:rPr>
        <w:t xml:space="preserve">is </w:t>
      </w:r>
      <w:r w:rsidRPr="002C13E3">
        <w:rPr>
          <w:snapToGrid w:val="0"/>
          <w:kern w:val="22"/>
        </w:rPr>
        <w:t>preparing model contracts for universities and other research institutes</w:t>
      </w:r>
      <w:r w:rsidR="009D4331">
        <w:rPr>
          <w:snapToGrid w:val="0"/>
          <w:kern w:val="22"/>
        </w:rPr>
        <w:t>;</w:t>
      </w:r>
      <w:r w:rsidRPr="002C13E3">
        <w:rPr>
          <w:snapToGrid w:val="0"/>
          <w:kern w:val="22"/>
        </w:rPr>
        <w:t xml:space="preserve"> </w:t>
      </w:r>
    </w:p>
    <w:p w:rsidR="002A00AF" w:rsidRDefault="00C80846" w:rsidP="00FF7A15">
      <w:pPr>
        <w:pStyle w:val="ListParagraph"/>
        <w:numPr>
          <w:ilvl w:val="0"/>
          <w:numId w:val="21"/>
        </w:numPr>
        <w:spacing w:before="120" w:after="120" w:line="228" w:lineRule="auto"/>
        <w:ind w:left="0" w:firstLine="709"/>
        <w:contextualSpacing w:val="0"/>
        <w:rPr>
          <w:snapToGrid w:val="0"/>
          <w:kern w:val="22"/>
        </w:rPr>
      </w:pPr>
      <w:r>
        <w:rPr>
          <w:snapToGrid w:val="0"/>
          <w:kern w:val="22"/>
        </w:rPr>
        <w:t xml:space="preserve">Peru indicated that there is </w:t>
      </w:r>
      <w:r w:rsidR="002C13E3" w:rsidRPr="002C13E3">
        <w:rPr>
          <w:snapToGrid w:val="0"/>
          <w:kern w:val="22"/>
        </w:rPr>
        <w:t>work underway to develop model contractual clauses for biotrade activities with the support of the United Nations Conference on</w:t>
      </w:r>
      <w:r w:rsidR="004839DE">
        <w:rPr>
          <w:snapToGrid w:val="0"/>
          <w:kern w:val="22"/>
        </w:rPr>
        <w:t xml:space="preserve"> Trade and Development (UNCTAD). They are also developing model clauses in the context of work underway on draft guidelines for procedures on access to genetic resources</w:t>
      </w:r>
      <w:r w:rsidR="009D4331">
        <w:rPr>
          <w:snapToGrid w:val="0"/>
          <w:kern w:val="22"/>
        </w:rPr>
        <w:t>;</w:t>
      </w:r>
    </w:p>
    <w:p w:rsidR="00A51ACF" w:rsidRDefault="00A51ACF" w:rsidP="00A51ACF">
      <w:pPr>
        <w:pStyle w:val="ListParagraph"/>
        <w:numPr>
          <w:ilvl w:val="0"/>
          <w:numId w:val="21"/>
        </w:numPr>
        <w:spacing w:before="120" w:after="120" w:line="228" w:lineRule="auto"/>
        <w:ind w:left="0" w:firstLine="709"/>
        <w:contextualSpacing w:val="0"/>
        <w:rPr>
          <w:snapToGrid w:val="0"/>
          <w:kern w:val="22"/>
        </w:rPr>
      </w:pPr>
      <w:r w:rsidRPr="00A51ACF">
        <w:rPr>
          <w:snapToGrid w:val="0"/>
          <w:kern w:val="22"/>
        </w:rPr>
        <w:t>China is developing a specialized regulation on access to genetic resources and benefit-sharing from their utilization, which will provide model contracts for ABS</w:t>
      </w:r>
      <w:r w:rsidR="009D4331">
        <w:rPr>
          <w:snapToGrid w:val="0"/>
          <w:kern w:val="22"/>
        </w:rPr>
        <w:t>;</w:t>
      </w:r>
    </w:p>
    <w:p w:rsidR="00A51ACF" w:rsidRDefault="00A51ACF" w:rsidP="00A51ACF">
      <w:pPr>
        <w:pStyle w:val="ListParagraph"/>
        <w:numPr>
          <w:ilvl w:val="0"/>
          <w:numId w:val="21"/>
        </w:numPr>
        <w:spacing w:before="120" w:after="120" w:line="228" w:lineRule="auto"/>
        <w:ind w:left="0" w:firstLine="709"/>
        <w:contextualSpacing w:val="0"/>
        <w:rPr>
          <w:snapToGrid w:val="0"/>
          <w:kern w:val="22"/>
        </w:rPr>
      </w:pPr>
      <w:r>
        <w:rPr>
          <w:snapToGrid w:val="0"/>
          <w:kern w:val="22"/>
        </w:rPr>
        <w:t>South Africa reported</w:t>
      </w:r>
      <w:r w:rsidR="006E3999">
        <w:rPr>
          <w:snapToGrid w:val="0"/>
          <w:kern w:val="22"/>
        </w:rPr>
        <w:t xml:space="preserve"> that</w:t>
      </w:r>
      <w:r>
        <w:rPr>
          <w:snapToGrid w:val="0"/>
          <w:kern w:val="22"/>
        </w:rPr>
        <w:t xml:space="preserve"> they are c</w:t>
      </w:r>
      <w:r w:rsidRPr="00A51ACF">
        <w:rPr>
          <w:snapToGrid w:val="0"/>
          <w:kern w:val="22"/>
        </w:rPr>
        <w:t>urrent</w:t>
      </w:r>
      <w:r>
        <w:rPr>
          <w:snapToGrid w:val="0"/>
          <w:kern w:val="22"/>
        </w:rPr>
        <w:t>ly</w:t>
      </w:r>
      <w:r w:rsidRPr="00A51ACF">
        <w:rPr>
          <w:snapToGrid w:val="0"/>
          <w:kern w:val="22"/>
        </w:rPr>
        <w:t xml:space="preserve"> amend</w:t>
      </w:r>
      <w:r>
        <w:rPr>
          <w:snapToGrid w:val="0"/>
          <w:kern w:val="22"/>
        </w:rPr>
        <w:t>ing</w:t>
      </w:r>
      <w:r w:rsidRPr="00A51ACF">
        <w:rPr>
          <w:snapToGrid w:val="0"/>
          <w:kern w:val="22"/>
        </w:rPr>
        <w:t xml:space="preserve"> the National Environmental Management: Biodiversity Act, 2004 (Act No. 10 of 2004) and its BABS Regulations</w:t>
      </w:r>
      <w:r>
        <w:rPr>
          <w:snapToGrid w:val="0"/>
          <w:kern w:val="22"/>
        </w:rPr>
        <w:t xml:space="preserve"> to be in line with ABS. These amendments include </w:t>
      </w:r>
      <w:r w:rsidRPr="00A51ACF">
        <w:rPr>
          <w:snapToGrid w:val="0"/>
          <w:kern w:val="22"/>
        </w:rPr>
        <w:t xml:space="preserve">updating the model contractual clauses for </w:t>
      </w:r>
      <w:r w:rsidR="006E3999">
        <w:rPr>
          <w:snapToGrid w:val="0"/>
          <w:kern w:val="22"/>
        </w:rPr>
        <w:t>mutually agreed terms (</w:t>
      </w:r>
      <w:r w:rsidRPr="00A51ACF">
        <w:rPr>
          <w:snapToGrid w:val="0"/>
          <w:kern w:val="22"/>
        </w:rPr>
        <w:t>MAT</w:t>
      </w:r>
      <w:r w:rsidR="006E3999">
        <w:rPr>
          <w:snapToGrid w:val="0"/>
          <w:kern w:val="22"/>
        </w:rPr>
        <w:t>)</w:t>
      </w:r>
      <w:r w:rsidR="009D4331">
        <w:rPr>
          <w:snapToGrid w:val="0"/>
          <w:kern w:val="22"/>
        </w:rPr>
        <w:t>;</w:t>
      </w:r>
    </w:p>
    <w:p w:rsidR="00A51ACF" w:rsidRPr="00C80846" w:rsidRDefault="006E3999" w:rsidP="00AE6FC3">
      <w:pPr>
        <w:pStyle w:val="ListParagraph"/>
        <w:numPr>
          <w:ilvl w:val="0"/>
          <w:numId w:val="21"/>
        </w:numPr>
        <w:spacing w:before="120" w:after="120" w:line="228" w:lineRule="auto"/>
        <w:ind w:left="0" w:firstLine="709"/>
        <w:contextualSpacing w:val="0"/>
        <w:rPr>
          <w:snapToGrid w:val="0"/>
          <w:kern w:val="22"/>
        </w:rPr>
      </w:pPr>
      <w:r>
        <w:rPr>
          <w:snapToGrid w:val="0"/>
          <w:kern w:val="22"/>
        </w:rPr>
        <w:t xml:space="preserve">The </w:t>
      </w:r>
      <w:r w:rsidRPr="006E3999">
        <w:rPr>
          <w:snapToGrid w:val="0"/>
          <w:kern w:val="22"/>
        </w:rPr>
        <w:t xml:space="preserve">Centre for Agriculture and Biosciences International (CABI) </w:t>
      </w:r>
      <w:r w:rsidR="00A51ACF">
        <w:rPr>
          <w:snapToGrid w:val="0"/>
          <w:kern w:val="22"/>
        </w:rPr>
        <w:t xml:space="preserve">reported that they are in process of developing MAT and </w:t>
      </w:r>
      <w:r>
        <w:rPr>
          <w:snapToGrid w:val="0"/>
          <w:kern w:val="22"/>
        </w:rPr>
        <w:t>prior informed consent (</w:t>
      </w:r>
      <w:r w:rsidR="00A51ACF">
        <w:rPr>
          <w:snapToGrid w:val="0"/>
          <w:kern w:val="22"/>
        </w:rPr>
        <w:t>PIC</w:t>
      </w:r>
      <w:r>
        <w:rPr>
          <w:snapToGrid w:val="0"/>
          <w:kern w:val="22"/>
        </w:rPr>
        <w:t>)</w:t>
      </w:r>
      <w:r w:rsidR="00A51ACF">
        <w:rPr>
          <w:snapToGrid w:val="0"/>
          <w:kern w:val="22"/>
        </w:rPr>
        <w:t xml:space="preserve"> models for the countries in which they work.</w:t>
      </w:r>
    </w:p>
    <w:p w:rsidR="002A00AF" w:rsidRPr="00B569BC" w:rsidRDefault="009D4331" w:rsidP="00B569BC">
      <w:pPr>
        <w:keepNext/>
        <w:suppressLineNumbers/>
        <w:tabs>
          <w:tab w:val="left" w:pos="360"/>
        </w:tabs>
        <w:suppressAutoHyphens/>
        <w:kinsoku w:val="0"/>
        <w:overflowPunct w:val="0"/>
        <w:autoSpaceDE w:val="0"/>
        <w:autoSpaceDN w:val="0"/>
        <w:spacing w:before="120" w:after="120"/>
        <w:ind w:left="540"/>
        <w:jc w:val="center"/>
        <w:rPr>
          <w:rFonts w:eastAsia="Calibri"/>
          <w:b/>
          <w:noProof/>
          <w:snapToGrid w:val="0"/>
          <w:color w:val="000000"/>
          <w:kern w:val="22"/>
          <w:szCs w:val="22"/>
          <w:u w:color="000000"/>
        </w:rPr>
      </w:pPr>
      <w:r>
        <w:rPr>
          <w:rFonts w:eastAsia="Calibri"/>
          <w:b/>
          <w:noProof/>
          <w:snapToGrid w:val="0"/>
          <w:color w:val="000000"/>
          <w:kern w:val="22"/>
          <w:szCs w:val="22"/>
          <w:u w:color="000000"/>
        </w:rPr>
        <w:lastRenderedPageBreak/>
        <w:t>A.</w:t>
      </w:r>
      <w:r>
        <w:rPr>
          <w:rFonts w:eastAsia="Calibri"/>
          <w:b/>
          <w:noProof/>
          <w:snapToGrid w:val="0"/>
          <w:color w:val="000000"/>
          <w:kern w:val="22"/>
          <w:szCs w:val="22"/>
          <w:u w:color="000000"/>
        </w:rPr>
        <w:tab/>
      </w:r>
      <w:r w:rsidR="00EB4122" w:rsidRPr="00B569BC">
        <w:rPr>
          <w:rFonts w:eastAsia="Calibri"/>
          <w:b/>
          <w:noProof/>
          <w:snapToGrid w:val="0"/>
          <w:color w:val="000000"/>
          <w:kern w:val="22"/>
          <w:szCs w:val="22"/>
          <w:u w:color="000000"/>
        </w:rPr>
        <w:t>Intended use of model contractual clauses</w:t>
      </w:r>
    </w:p>
    <w:p w:rsidR="008041AC" w:rsidRPr="00423915" w:rsidRDefault="00EB4122" w:rsidP="00FF7A15">
      <w:pPr>
        <w:numPr>
          <w:ilvl w:val="0"/>
          <w:numId w:val="9"/>
        </w:numPr>
        <w:pBdr>
          <w:top w:val="nil"/>
          <w:left w:val="nil"/>
          <w:bottom w:val="nil"/>
          <w:right w:val="nil"/>
          <w:between w:val="nil"/>
          <w:bar w:val="nil"/>
        </w:pBdr>
        <w:spacing w:before="120" w:after="120"/>
        <w:rPr>
          <w:snapToGrid w:val="0"/>
          <w:kern w:val="22"/>
        </w:rPr>
      </w:pPr>
      <w:r>
        <w:rPr>
          <w:snapToGrid w:val="0"/>
          <w:kern w:val="22"/>
        </w:rPr>
        <w:t xml:space="preserve">The intended use </w:t>
      </w:r>
      <w:r w:rsidR="0046720A" w:rsidRPr="005F67BC">
        <w:rPr>
          <w:snapToGrid w:val="0"/>
          <w:kern w:val="22"/>
        </w:rPr>
        <w:t xml:space="preserve">for these documents </w:t>
      </w:r>
      <w:r w:rsidR="00AB78C0">
        <w:rPr>
          <w:snapToGrid w:val="0"/>
          <w:kern w:val="22"/>
        </w:rPr>
        <w:t>is varied.</w:t>
      </w:r>
      <w:r w:rsidR="0046720A" w:rsidRPr="005F67BC">
        <w:rPr>
          <w:snapToGrid w:val="0"/>
          <w:kern w:val="22"/>
        </w:rPr>
        <w:t xml:space="preserve"> </w:t>
      </w:r>
      <w:r w:rsidR="00064552" w:rsidRPr="005F67BC">
        <w:rPr>
          <w:snapToGrid w:val="0"/>
          <w:kern w:val="22"/>
        </w:rPr>
        <w:t xml:space="preserve">Of the </w:t>
      </w:r>
      <w:r w:rsidR="00BF4299">
        <w:rPr>
          <w:snapToGrid w:val="0"/>
          <w:kern w:val="22"/>
        </w:rPr>
        <w:t>29</w:t>
      </w:r>
      <w:r w:rsidR="00D7586A" w:rsidRPr="005F67BC">
        <w:rPr>
          <w:snapToGrid w:val="0"/>
          <w:kern w:val="22"/>
        </w:rPr>
        <w:t xml:space="preserve"> model contractual clauses </w:t>
      </w:r>
      <w:r w:rsidR="005B7DAF" w:rsidRPr="005F67BC">
        <w:rPr>
          <w:snapToGrid w:val="0"/>
          <w:kern w:val="22"/>
        </w:rPr>
        <w:t>developed</w:t>
      </w:r>
      <w:r w:rsidR="00D7586A" w:rsidRPr="005F67BC">
        <w:rPr>
          <w:snapToGrid w:val="0"/>
          <w:kern w:val="22"/>
        </w:rPr>
        <w:t xml:space="preserve">, </w:t>
      </w:r>
      <w:r w:rsidR="00D7586A" w:rsidRPr="00423915">
        <w:rPr>
          <w:snapToGrid w:val="0"/>
          <w:kern w:val="22"/>
        </w:rPr>
        <w:t>16</w:t>
      </w:r>
      <w:r w:rsidR="00D7586A" w:rsidRPr="005F67BC">
        <w:rPr>
          <w:snapToGrid w:val="0"/>
          <w:kern w:val="22"/>
        </w:rPr>
        <w:t xml:space="preserve"> were </w:t>
      </w:r>
      <w:r w:rsidR="005B7DAF" w:rsidRPr="005F67BC">
        <w:rPr>
          <w:snapToGrid w:val="0"/>
          <w:kern w:val="22"/>
        </w:rPr>
        <w:t>created</w:t>
      </w:r>
      <w:r w:rsidR="00D7586A" w:rsidRPr="005F67BC">
        <w:rPr>
          <w:snapToGrid w:val="0"/>
          <w:kern w:val="22"/>
        </w:rPr>
        <w:t xml:space="preserve"> </w:t>
      </w:r>
      <w:r w:rsidR="005C49F3">
        <w:rPr>
          <w:snapToGrid w:val="0"/>
          <w:kern w:val="22"/>
        </w:rPr>
        <w:t xml:space="preserve">as part of the ABS </w:t>
      </w:r>
      <w:r w:rsidR="00D7586A" w:rsidRPr="005F67BC">
        <w:rPr>
          <w:snapToGrid w:val="0"/>
          <w:kern w:val="22"/>
        </w:rPr>
        <w:t>national or regional</w:t>
      </w:r>
      <w:r w:rsidR="005C49F3">
        <w:rPr>
          <w:snapToGrid w:val="0"/>
          <w:kern w:val="22"/>
        </w:rPr>
        <w:t xml:space="preserve"> framework</w:t>
      </w:r>
      <w:r w:rsidR="00D7586A" w:rsidRPr="005F67BC">
        <w:rPr>
          <w:snapToGrid w:val="0"/>
          <w:kern w:val="22"/>
        </w:rPr>
        <w:t xml:space="preserve">; </w:t>
      </w:r>
      <w:r w:rsidR="00AB78C0">
        <w:rPr>
          <w:snapToGrid w:val="0"/>
          <w:kern w:val="22"/>
        </w:rPr>
        <w:t xml:space="preserve">the rest (13) </w:t>
      </w:r>
      <w:r w:rsidR="00D7586A" w:rsidRPr="005F67BC">
        <w:rPr>
          <w:snapToGrid w:val="0"/>
          <w:kern w:val="22"/>
        </w:rPr>
        <w:t>of the documents were developed for a specific sector</w:t>
      </w:r>
      <w:r w:rsidR="00AB78C0">
        <w:rPr>
          <w:snapToGrid w:val="0"/>
          <w:kern w:val="22"/>
        </w:rPr>
        <w:t xml:space="preserve"> or </w:t>
      </w:r>
      <w:r w:rsidR="00D7586A" w:rsidRPr="005F67BC">
        <w:rPr>
          <w:snapToGrid w:val="0"/>
          <w:kern w:val="22"/>
        </w:rPr>
        <w:t xml:space="preserve">can be used </w:t>
      </w:r>
      <w:r w:rsidR="00D7586A" w:rsidRPr="000D1AA2">
        <w:rPr>
          <w:snapToGrid w:val="0"/>
          <w:kern w:val="22"/>
        </w:rPr>
        <w:t>across sectors</w:t>
      </w:r>
      <w:r w:rsidR="006E3999" w:rsidRPr="00AE6FC3">
        <w:rPr>
          <w:rStyle w:val="FootnoteReference"/>
          <w:snapToGrid w:val="0"/>
          <w:kern w:val="22"/>
          <w:u w:val="none"/>
          <w:vertAlign w:val="superscript"/>
        </w:rPr>
        <w:footnoteReference w:id="11"/>
      </w:r>
      <w:r w:rsidR="00D7586A" w:rsidRPr="000D1AA2">
        <w:rPr>
          <w:snapToGrid w:val="0"/>
          <w:kern w:val="22"/>
        </w:rPr>
        <w:t xml:space="preserve">. </w:t>
      </w:r>
      <w:r w:rsidR="00AB78C0">
        <w:rPr>
          <w:snapToGrid w:val="0"/>
          <w:kern w:val="22"/>
        </w:rPr>
        <w:t xml:space="preserve">Examples of model contractual clauses </w:t>
      </w:r>
      <w:r w:rsidR="009647DA">
        <w:rPr>
          <w:snapToGrid w:val="0"/>
          <w:kern w:val="22"/>
        </w:rPr>
        <w:t>and a description of</w:t>
      </w:r>
      <w:r w:rsidR="00AB78C0">
        <w:rPr>
          <w:snapToGrid w:val="0"/>
          <w:kern w:val="22"/>
        </w:rPr>
        <w:t xml:space="preserve"> their intended use are </w:t>
      </w:r>
      <w:r w:rsidR="00423915" w:rsidRPr="00423915">
        <w:rPr>
          <w:snapToGrid w:val="0"/>
          <w:kern w:val="22"/>
        </w:rPr>
        <w:t>provided</w:t>
      </w:r>
      <w:r w:rsidR="00AB78C0">
        <w:rPr>
          <w:snapToGrid w:val="0"/>
          <w:kern w:val="22"/>
        </w:rPr>
        <w:t xml:space="preserve"> below</w:t>
      </w:r>
      <w:r w:rsidR="00D401F2">
        <w:rPr>
          <w:snapToGrid w:val="0"/>
          <w:kern w:val="22"/>
        </w:rPr>
        <w:t>.</w:t>
      </w:r>
    </w:p>
    <w:p w:rsidR="001A7299" w:rsidRPr="004325DE" w:rsidRDefault="00423915" w:rsidP="00FF7A15">
      <w:pPr>
        <w:numPr>
          <w:ilvl w:val="0"/>
          <w:numId w:val="9"/>
        </w:numPr>
        <w:pBdr>
          <w:top w:val="nil"/>
          <w:left w:val="nil"/>
          <w:bottom w:val="nil"/>
          <w:right w:val="nil"/>
          <w:between w:val="nil"/>
          <w:bar w:val="nil"/>
        </w:pBdr>
        <w:spacing w:before="120" w:after="120"/>
        <w:rPr>
          <w:snapToGrid w:val="0"/>
          <w:kern w:val="22"/>
        </w:rPr>
      </w:pPr>
      <w:r w:rsidRPr="00423915">
        <w:rPr>
          <w:snapToGrid w:val="0"/>
          <w:kern w:val="22"/>
        </w:rPr>
        <w:t>13</w:t>
      </w:r>
      <w:r w:rsidR="00E2056E" w:rsidRPr="00423915">
        <w:rPr>
          <w:snapToGrid w:val="0"/>
          <w:kern w:val="22"/>
        </w:rPr>
        <w:t xml:space="preserve"> </w:t>
      </w:r>
      <w:r w:rsidR="00FE4A63" w:rsidRPr="00423915">
        <w:rPr>
          <w:snapToGrid w:val="0"/>
          <w:kern w:val="22"/>
        </w:rPr>
        <w:t>Parties</w:t>
      </w:r>
      <w:r w:rsidR="009D4331">
        <w:rPr>
          <w:snapToGrid w:val="0"/>
          <w:kern w:val="22"/>
        </w:rPr>
        <w:t>,</w:t>
      </w:r>
      <w:r w:rsidR="009A7479" w:rsidRPr="00423915">
        <w:rPr>
          <w:snapToGrid w:val="0"/>
          <w:kern w:val="22"/>
          <w:vertAlign w:val="superscript"/>
        </w:rPr>
        <w:footnoteReference w:id="12"/>
      </w:r>
      <w:r w:rsidR="00FE4A63" w:rsidRPr="00423915">
        <w:rPr>
          <w:snapToGrid w:val="0"/>
          <w:kern w:val="22"/>
        </w:rPr>
        <w:t xml:space="preserve"> a non-Party</w:t>
      </w:r>
      <w:r w:rsidR="00FE4A63" w:rsidRPr="00423915">
        <w:rPr>
          <w:rStyle w:val="FootnoteReference"/>
          <w:snapToGrid w:val="0"/>
          <w:kern w:val="22"/>
          <w:sz w:val="22"/>
          <w:u w:val="none"/>
          <w:vertAlign w:val="superscript"/>
        </w:rPr>
        <w:footnoteReference w:id="13"/>
      </w:r>
      <w:r w:rsidR="00BB71AF">
        <w:rPr>
          <w:snapToGrid w:val="0"/>
          <w:kern w:val="22"/>
        </w:rPr>
        <w:t xml:space="preserve"> </w:t>
      </w:r>
      <w:r w:rsidR="00360CA7" w:rsidRPr="00423915">
        <w:rPr>
          <w:snapToGrid w:val="0"/>
          <w:kern w:val="22"/>
        </w:rPr>
        <w:t xml:space="preserve">and two regional </w:t>
      </w:r>
      <w:r w:rsidRPr="00423915">
        <w:rPr>
          <w:snapToGrid w:val="0"/>
          <w:kern w:val="22"/>
        </w:rPr>
        <w:t>organi</w:t>
      </w:r>
      <w:r w:rsidR="009D4331">
        <w:rPr>
          <w:snapToGrid w:val="0"/>
          <w:kern w:val="22"/>
        </w:rPr>
        <w:t>z</w:t>
      </w:r>
      <w:r w:rsidRPr="00423915">
        <w:rPr>
          <w:snapToGrid w:val="0"/>
          <w:kern w:val="22"/>
        </w:rPr>
        <w:t>ations</w:t>
      </w:r>
      <w:r w:rsidR="009A7479" w:rsidRPr="00423915">
        <w:rPr>
          <w:snapToGrid w:val="0"/>
          <w:kern w:val="22"/>
          <w:vertAlign w:val="superscript"/>
        </w:rPr>
        <w:footnoteReference w:id="14"/>
      </w:r>
      <w:r w:rsidR="00E2056E" w:rsidRPr="00423915">
        <w:rPr>
          <w:snapToGrid w:val="0"/>
          <w:kern w:val="22"/>
        </w:rPr>
        <w:t xml:space="preserve"> </w:t>
      </w:r>
      <w:r w:rsidR="00D001FA">
        <w:rPr>
          <w:snapToGrid w:val="0"/>
          <w:kern w:val="22"/>
        </w:rPr>
        <w:t xml:space="preserve">reported having developed </w:t>
      </w:r>
      <w:r w:rsidR="00360CA7" w:rsidRPr="00423915">
        <w:rPr>
          <w:snapToGrid w:val="0"/>
          <w:kern w:val="22"/>
        </w:rPr>
        <w:t>model contractual</w:t>
      </w:r>
      <w:r w:rsidR="00360CA7">
        <w:rPr>
          <w:snapToGrid w:val="0"/>
          <w:kern w:val="22"/>
        </w:rPr>
        <w:t xml:space="preserve"> clauses </w:t>
      </w:r>
      <w:r w:rsidR="00E2056E" w:rsidRPr="004325DE">
        <w:rPr>
          <w:snapToGrid w:val="0"/>
          <w:kern w:val="22"/>
        </w:rPr>
        <w:t xml:space="preserve">as part of </w:t>
      </w:r>
      <w:r w:rsidR="00606E24">
        <w:rPr>
          <w:snapToGrid w:val="0"/>
          <w:kern w:val="22"/>
        </w:rPr>
        <w:t xml:space="preserve">a </w:t>
      </w:r>
      <w:r w:rsidR="00E2056E" w:rsidRPr="004325DE">
        <w:rPr>
          <w:snapToGrid w:val="0"/>
          <w:kern w:val="22"/>
        </w:rPr>
        <w:t>broader national</w:t>
      </w:r>
      <w:r w:rsidR="000C2778" w:rsidRPr="004325DE">
        <w:rPr>
          <w:snapToGrid w:val="0"/>
          <w:kern w:val="22"/>
        </w:rPr>
        <w:t>/regional</w:t>
      </w:r>
      <w:r w:rsidR="00E2056E" w:rsidRPr="004325DE">
        <w:rPr>
          <w:snapToGrid w:val="0"/>
          <w:kern w:val="22"/>
        </w:rPr>
        <w:t xml:space="preserve"> framework on </w:t>
      </w:r>
      <w:r w:rsidR="00E841FD" w:rsidRPr="004325DE">
        <w:rPr>
          <w:snapToGrid w:val="0"/>
          <w:kern w:val="22"/>
        </w:rPr>
        <w:t>access and benefit</w:t>
      </w:r>
      <w:r w:rsidR="006E3999">
        <w:rPr>
          <w:snapToGrid w:val="0"/>
          <w:kern w:val="22"/>
        </w:rPr>
        <w:t>-</w:t>
      </w:r>
      <w:r w:rsidR="00E841FD" w:rsidRPr="004325DE">
        <w:rPr>
          <w:snapToGrid w:val="0"/>
          <w:kern w:val="22"/>
        </w:rPr>
        <w:t>sharing</w:t>
      </w:r>
      <w:r w:rsidR="0001117A" w:rsidRPr="004325DE">
        <w:rPr>
          <w:snapToGrid w:val="0"/>
          <w:kern w:val="22"/>
        </w:rPr>
        <w:t xml:space="preserve">. </w:t>
      </w:r>
      <w:r w:rsidR="001A7299" w:rsidRPr="004325DE">
        <w:rPr>
          <w:snapToGrid w:val="0"/>
          <w:kern w:val="22"/>
        </w:rPr>
        <w:t>For example:</w:t>
      </w:r>
    </w:p>
    <w:p w:rsidR="001A7299" w:rsidRPr="00250366" w:rsidRDefault="001A7299" w:rsidP="00FF7A15">
      <w:pPr>
        <w:pStyle w:val="ListParagraph"/>
        <w:numPr>
          <w:ilvl w:val="0"/>
          <w:numId w:val="14"/>
        </w:numPr>
        <w:spacing w:before="120" w:after="120" w:line="228" w:lineRule="auto"/>
        <w:ind w:left="0" w:firstLine="720"/>
        <w:contextualSpacing w:val="0"/>
        <w:rPr>
          <w:rFonts w:eastAsia="Calibri"/>
          <w:snapToGrid w:val="0"/>
          <w:kern w:val="22"/>
          <w:bdr w:val="none" w:sz="0" w:space="0" w:color="auto" w:frame="1"/>
        </w:rPr>
      </w:pPr>
      <w:r w:rsidRPr="00250366">
        <w:rPr>
          <w:rFonts w:eastAsia="Calibri"/>
          <w:snapToGrid w:val="0"/>
          <w:kern w:val="22"/>
          <w:bdr w:val="none" w:sz="0" w:space="0" w:color="auto" w:frame="1"/>
        </w:rPr>
        <w:t>Bhutan indicated that they have four different model contract agreements: scoping agreements, ABS agreements, material transfer agreements and standard material transfer agreements</w:t>
      </w:r>
      <w:r w:rsidR="009D4331">
        <w:rPr>
          <w:rFonts w:eastAsia="Calibri"/>
          <w:snapToGrid w:val="0"/>
          <w:kern w:val="22"/>
          <w:bdr w:val="none" w:sz="0" w:space="0" w:color="auto" w:frame="1"/>
        </w:rPr>
        <w:t>;</w:t>
      </w:r>
    </w:p>
    <w:p w:rsidR="00CA335D" w:rsidRDefault="001A7299" w:rsidP="00FF7A15">
      <w:pPr>
        <w:pStyle w:val="ListParagraph"/>
        <w:numPr>
          <w:ilvl w:val="0"/>
          <w:numId w:val="14"/>
        </w:numPr>
        <w:spacing w:before="120" w:after="120" w:line="228" w:lineRule="auto"/>
        <w:ind w:left="0" w:firstLine="709"/>
        <w:contextualSpacing w:val="0"/>
        <w:rPr>
          <w:rFonts w:eastAsia="Calibri"/>
          <w:snapToGrid w:val="0"/>
          <w:kern w:val="22"/>
          <w:bdr w:val="none" w:sz="0" w:space="0" w:color="auto" w:frame="1"/>
        </w:rPr>
      </w:pPr>
      <w:r>
        <w:rPr>
          <w:rFonts w:eastAsia="Calibri"/>
          <w:snapToGrid w:val="0"/>
          <w:kern w:val="22"/>
          <w:bdr w:val="none" w:sz="0" w:space="0" w:color="auto" w:frame="1"/>
        </w:rPr>
        <w:t>India reported having four different types of model contractual agreements. These relate to: research or commercial utili</w:t>
      </w:r>
      <w:r w:rsidR="00F05420">
        <w:rPr>
          <w:rFonts w:eastAsia="Calibri"/>
          <w:snapToGrid w:val="0"/>
          <w:kern w:val="22"/>
          <w:bdr w:val="none" w:sz="0" w:space="0" w:color="auto" w:frame="1"/>
        </w:rPr>
        <w:t>z</w:t>
      </w:r>
      <w:r>
        <w:rPr>
          <w:rFonts w:eastAsia="Calibri"/>
          <w:snapToGrid w:val="0"/>
          <w:kern w:val="22"/>
          <w:bdr w:val="none" w:sz="0" w:space="0" w:color="auto" w:frame="1"/>
        </w:rPr>
        <w:t>ation or bio-survey and bio-utili</w:t>
      </w:r>
      <w:r w:rsidR="00F05420">
        <w:rPr>
          <w:rFonts w:eastAsia="Calibri"/>
          <w:snapToGrid w:val="0"/>
          <w:kern w:val="22"/>
          <w:bdr w:val="none" w:sz="0" w:space="0" w:color="auto" w:frame="1"/>
        </w:rPr>
        <w:t>z</w:t>
      </w:r>
      <w:r>
        <w:rPr>
          <w:rFonts w:eastAsia="Calibri"/>
          <w:snapToGrid w:val="0"/>
          <w:kern w:val="22"/>
          <w:bdr w:val="none" w:sz="0" w:space="0" w:color="auto" w:frame="1"/>
        </w:rPr>
        <w:t>ation</w:t>
      </w:r>
      <w:r w:rsidR="00D001FA">
        <w:rPr>
          <w:rFonts w:eastAsia="Calibri"/>
          <w:snapToGrid w:val="0"/>
          <w:kern w:val="22"/>
          <w:bdr w:val="none" w:sz="0" w:space="0" w:color="auto" w:frame="1"/>
        </w:rPr>
        <w:t>,</w:t>
      </w:r>
      <w:r>
        <w:rPr>
          <w:rFonts w:eastAsia="Calibri"/>
          <w:snapToGrid w:val="0"/>
          <w:kern w:val="22"/>
          <w:bdr w:val="none" w:sz="0" w:space="0" w:color="auto" w:frame="1"/>
        </w:rPr>
        <w:t xml:space="preserve"> transferring the results of research</w:t>
      </w:r>
      <w:r w:rsidR="00D001FA">
        <w:rPr>
          <w:rFonts w:eastAsia="Calibri"/>
          <w:snapToGrid w:val="0"/>
          <w:kern w:val="22"/>
          <w:bdr w:val="none" w:sz="0" w:space="0" w:color="auto" w:frame="1"/>
        </w:rPr>
        <w:t>,</w:t>
      </w:r>
      <w:r>
        <w:rPr>
          <w:rFonts w:eastAsia="Calibri"/>
          <w:snapToGrid w:val="0"/>
          <w:kern w:val="22"/>
          <w:bdr w:val="none" w:sz="0" w:space="0" w:color="auto" w:frame="1"/>
        </w:rPr>
        <w:t xml:space="preserve"> seeking intellectual property rights</w:t>
      </w:r>
      <w:r w:rsidR="00D001FA">
        <w:rPr>
          <w:rFonts w:eastAsia="Calibri"/>
          <w:snapToGrid w:val="0"/>
          <w:kern w:val="22"/>
          <w:bdr w:val="none" w:sz="0" w:space="0" w:color="auto" w:frame="1"/>
        </w:rPr>
        <w:t>,</w:t>
      </w:r>
      <w:r>
        <w:rPr>
          <w:rFonts w:eastAsia="Calibri"/>
          <w:snapToGrid w:val="0"/>
          <w:kern w:val="22"/>
          <w:bdr w:val="none" w:sz="0" w:space="0" w:color="auto" w:frame="1"/>
        </w:rPr>
        <w:t xml:space="preserve"> and third party transfer of resources. In addition, there are other clauses which are case specific and depend on the pur</w:t>
      </w:r>
      <w:r w:rsidR="00CA335D">
        <w:rPr>
          <w:rFonts w:eastAsia="Calibri"/>
          <w:snapToGrid w:val="0"/>
          <w:kern w:val="22"/>
          <w:bdr w:val="none" w:sz="0" w:space="0" w:color="auto" w:frame="1"/>
        </w:rPr>
        <w:t>pose for which access is sought</w:t>
      </w:r>
      <w:r w:rsidR="009D4331">
        <w:rPr>
          <w:rFonts w:eastAsia="Calibri"/>
          <w:snapToGrid w:val="0"/>
          <w:kern w:val="22"/>
          <w:bdr w:val="none" w:sz="0" w:space="0" w:color="auto" w:frame="1"/>
        </w:rPr>
        <w:t>;</w:t>
      </w:r>
    </w:p>
    <w:p w:rsidR="00C34520" w:rsidRDefault="00CA335D" w:rsidP="00FF7A15">
      <w:pPr>
        <w:pStyle w:val="ListParagraph"/>
        <w:numPr>
          <w:ilvl w:val="0"/>
          <w:numId w:val="14"/>
        </w:numPr>
        <w:spacing w:before="120" w:after="120" w:line="228" w:lineRule="auto"/>
        <w:ind w:left="0" w:firstLine="709"/>
        <w:contextualSpacing w:val="0"/>
        <w:rPr>
          <w:rFonts w:eastAsia="Calibri"/>
          <w:snapToGrid w:val="0"/>
          <w:kern w:val="22"/>
          <w:bdr w:val="none" w:sz="0" w:space="0" w:color="auto" w:frame="1"/>
        </w:rPr>
      </w:pPr>
      <w:r w:rsidRPr="00CA335D">
        <w:rPr>
          <w:rFonts w:eastAsia="Calibri"/>
          <w:snapToGrid w:val="0"/>
          <w:kern w:val="22"/>
          <w:bdr w:val="none" w:sz="0" w:space="0" w:color="auto" w:frame="1"/>
        </w:rPr>
        <w:t>Following the provisions of Decision 391, the governing body of the Andean Community</w:t>
      </w:r>
      <w:r w:rsidR="006E3999" w:rsidRPr="00B569BC">
        <w:rPr>
          <w:rStyle w:val="FootnoteReference"/>
          <w:rFonts w:eastAsia="Calibri"/>
          <w:snapToGrid w:val="0"/>
          <w:kern w:val="22"/>
          <w:u w:val="none"/>
          <w:bdr w:val="none" w:sz="0" w:space="0" w:color="auto" w:frame="1"/>
          <w:vertAlign w:val="superscript"/>
        </w:rPr>
        <w:footnoteReference w:id="15"/>
      </w:r>
      <w:r w:rsidRPr="00CA335D">
        <w:rPr>
          <w:rFonts w:eastAsia="Calibri"/>
          <w:snapToGrid w:val="0"/>
          <w:kern w:val="22"/>
          <w:bdr w:val="none" w:sz="0" w:space="0" w:color="auto" w:frame="1"/>
        </w:rPr>
        <w:t xml:space="preserve"> approved resolution 415 which provides a model contract for access</w:t>
      </w:r>
      <w:r w:rsidR="009D4331">
        <w:rPr>
          <w:rFonts w:eastAsia="Calibri"/>
          <w:snapToGrid w:val="0"/>
          <w:kern w:val="22"/>
          <w:bdr w:val="none" w:sz="0" w:space="0" w:color="auto" w:frame="1"/>
        </w:rPr>
        <w:t>;</w:t>
      </w:r>
      <w:r w:rsidRPr="00CA335D">
        <w:rPr>
          <w:rFonts w:eastAsia="Calibri"/>
          <w:snapToGrid w:val="0"/>
          <w:kern w:val="22"/>
          <w:bdr w:val="none" w:sz="0" w:space="0" w:color="auto" w:frame="1"/>
        </w:rPr>
        <w:t xml:space="preserve"> </w:t>
      </w:r>
    </w:p>
    <w:p w:rsidR="00C34520" w:rsidRDefault="003A1727" w:rsidP="00FF7A15">
      <w:pPr>
        <w:pStyle w:val="ListParagraph"/>
        <w:numPr>
          <w:ilvl w:val="0"/>
          <w:numId w:val="14"/>
        </w:numPr>
        <w:spacing w:before="120" w:after="120" w:line="228" w:lineRule="auto"/>
        <w:ind w:left="0" w:firstLine="709"/>
        <w:contextualSpacing w:val="0"/>
        <w:rPr>
          <w:rFonts w:eastAsia="Calibri"/>
          <w:snapToGrid w:val="0"/>
          <w:kern w:val="22"/>
          <w:bdr w:val="none" w:sz="0" w:space="0" w:color="auto" w:frame="1"/>
        </w:rPr>
      </w:pPr>
      <w:r>
        <w:rPr>
          <w:rFonts w:eastAsia="Calibri"/>
          <w:snapToGrid w:val="0"/>
          <w:kern w:val="22"/>
          <w:bdr w:val="none" w:sz="0" w:space="0" w:color="auto" w:frame="1"/>
        </w:rPr>
        <w:t>The “African Union Guidelines for Coordinated implementation of the Nagoya Protocol on ABS: the Practical Guidelines” also include model contractual clauses</w:t>
      </w:r>
      <w:r w:rsidR="009D4331">
        <w:rPr>
          <w:rFonts w:eastAsia="Calibri"/>
          <w:snapToGrid w:val="0"/>
          <w:kern w:val="22"/>
          <w:bdr w:val="none" w:sz="0" w:space="0" w:color="auto" w:frame="1"/>
        </w:rPr>
        <w:t>;</w:t>
      </w:r>
    </w:p>
    <w:p w:rsidR="00250366" w:rsidRDefault="00250366" w:rsidP="00250366">
      <w:pPr>
        <w:pStyle w:val="ListParagraph"/>
        <w:numPr>
          <w:ilvl w:val="0"/>
          <w:numId w:val="14"/>
        </w:numPr>
        <w:spacing w:before="120" w:after="120" w:line="228" w:lineRule="auto"/>
        <w:ind w:left="0" w:firstLine="709"/>
        <w:contextualSpacing w:val="0"/>
        <w:rPr>
          <w:rFonts w:eastAsia="Calibri"/>
          <w:snapToGrid w:val="0"/>
          <w:kern w:val="22"/>
          <w:bdr w:val="none" w:sz="0" w:space="0" w:color="auto" w:frame="1"/>
        </w:rPr>
      </w:pPr>
      <w:r>
        <w:rPr>
          <w:rFonts w:eastAsia="Calibri"/>
          <w:snapToGrid w:val="0"/>
          <w:kern w:val="22"/>
          <w:bdr w:val="none" w:sz="0" w:space="0" w:color="auto" w:frame="1"/>
        </w:rPr>
        <w:t xml:space="preserve">Kenya has developed an ABS toolkit, with the aim of </w:t>
      </w:r>
      <w:r w:rsidR="009647DA">
        <w:rPr>
          <w:rFonts w:eastAsia="Calibri"/>
          <w:snapToGrid w:val="0"/>
          <w:kern w:val="22"/>
          <w:bdr w:val="none" w:sz="0" w:space="0" w:color="auto" w:frame="1"/>
        </w:rPr>
        <w:t>stimulating the development</w:t>
      </w:r>
      <w:r w:rsidRPr="00250366">
        <w:rPr>
          <w:rFonts w:eastAsia="Calibri"/>
          <w:snapToGrid w:val="0"/>
          <w:kern w:val="22"/>
          <w:bdr w:val="none" w:sz="0" w:space="0" w:color="auto" w:frame="1"/>
        </w:rPr>
        <w:t xml:space="preserve">, and support </w:t>
      </w:r>
      <w:r w:rsidR="00606E24">
        <w:rPr>
          <w:rFonts w:eastAsia="Calibri"/>
          <w:snapToGrid w:val="0"/>
          <w:kern w:val="22"/>
          <w:bdr w:val="none" w:sz="0" w:space="0" w:color="auto" w:frame="1"/>
        </w:rPr>
        <w:t xml:space="preserve">of </w:t>
      </w:r>
      <w:r w:rsidRPr="00250366">
        <w:rPr>
          <w:rFonts w:eastAsia="Calibri"/>
          <w:snapToGrid w:val="0"/>
          <w:kern w:val="22"/>
          <w:bdr w:val="none" w:sz="0" w:space="0" w:color="auto" w:frame="1"/>
        </w:rPr>
        <w:t>a national research agenda as well as strengthening adherence to genetic resources access and benefit</w:t>
      </w:r>
      <w:r w:rsidR="00816EA5">
        <w:rPr>
          <w:rFonts w:eastAsia="Calibri"/>
          <w:snapToGrid w:val="0"/>
          <w:kern w:val="22"/>
          <w:bdr w:val="none" w:sz="0" w:space="0" w:color="auto" w:frame="1"/>
        </w:rPr>
        <w:t>-</w:t>
      </w:r>
      <w:r w:rsidRPr="00250366">
        <w:rPr>
          <w:rFonts w:eastAsia="Calibri"/>
          <w:snapToGrid w:val="0"/>
          <w:kern w:val="22"/>
          <w:bdr w:val="none" w:sz="0" w:space="0" w:color="auto" w:frame="1"/>
        </w:rPr>
        <w:t xml:space="preserve">sharing </w:t>
      </w:r>
      <w:r w:rsidR="00816EA5">
        <w:rPr>
          <w:rFonts w:eastAsia="Calibri"/>
          <w:snapToGrid w:val="0"/>
          <w:kern w:val="22"/>
          <w:bdr w:val="none" w:sz="0" w:space="0" w:color="auto" w:frame="1"/>
        </w:rPr>
        <w:t>r</w:t>
      </w:r>
      <w:r w:rsidRPr="00250366">
        <w:rPr>
          <w:rFonts w:eastAsia="Calibri"/>
          <w:snapToGrid w:val="0"/>
          <w:kern w:val="22"/>
          <w:bdr w:val="none" w:sz="0" w:space="0" w:color="auto" w:frame="1"/>
        </w:rPr>
        <w:t>egulations. This toolkit contains model contracts</w:t>
      </w:r>
      <w:r w:rsidR="009D4331">
        <w:rPr>
          <w:rFonts w:eastAsia="Calibri"/>
          <w:snapToGrid w:val="0"/>
          <w:kern w:val="22"/>
          <w:bdr w:val="none" w:sz="0" w:space="0" w:color="auto" w:frame="1"/>
        </w:rPr>
        <w:t>;</w:t>
      </w:r>
      <w:r w:rsidRPr="00250366">
        <w:rPr>
          <w:rFonts w:eastAsia="Calibri"/>
          <w:snapToGrid w:val="0"/>
          <w:kern w:val="22"/>
          <w:bdr w:val="none" w:sz="0" w:space="0" w:color="auto" w:frame="1"/>
        </w:rPr>
        <w:t xml:space="preserve"> </w:t>
      </w:r>
    </w:p>
    <w:p w:rsidR="00250366" w:rsidRDefault="00250366" w:rsidP="00DE3DFA">
      <w:pPr>
        <w:pStyle w:val="ListParagraph"/>
        <w:numPr>
          <w:ilvl w:val="0"/>
          <w:numId w:val="14"/>
        </w:numPr>
        <w:spacing w:before="120" w:after="120" w:line="228" w:lineRule="auto"/>
        <w:ind w:left="0" w:firstLine="709"/>
        <w:contextualSpacing w:val="0"/>
        <w:rPr>
          <w:rFonts w:eastAsia="Calibri"/>
          <w:snapToGrid w:val="0"/>
          <w:kern w:val="22"/>
          <w:bdr w:val="none" w:sz="0" w:space="0" w:color="auto" w:frame="1"/>
        </w:rPr>
      </w:pPr>
      <w:r>
        <w:rPr>
          <w:rFonts w:eastAsia="Calibri"/>
          <w:snapToGrid w:val="0"/>
          <w:kern w:val="22"/>
          <w:bdr w:val="none" w:sz="0" w:space="0" w:color="auto" w:frame="1"/>
        </w:rPr>
        <w:t xml:space="preserve">Model contractual clauses were developed by Morocco, </w:t>
      </w:r>
      <w:r w:rsidRPr="00250366">
        <w:rPr>
          <w:rFonts w:eastAsia="Calibri"/>
          <w:snapToGrid w:val="0"/>
          <w:kern w:val="22"/>
          <w:bdr w:val="none" w:sz="0" w:space="0" w:color="auto" w:frame="1"/>
        </w:rPr>
        <w:t xml:space="preserve">under </w:t>
      </w:r>
      <w:r>
        <w:rPr>
          <w:rFonts w:eastAsia="Calibri"/>
          <w:snapToGrid w:val="0"/>
          <w:kern w:val="22"/>
          <w:bdr w:val="none" w:sz="0" w:space="0" w:color="auto" w:frame="1"/>
        </w:rPr>
        <w:t>an ABS project with the support of</w:t>
      </w:r>
      <w:r w:rsidRPr="00250366">
        <w:rPr>
          <w:rFonts w:eastAsia="Calibri"/>
          <w:snapToGrid w:val="0"/>
          <w:kern w:val="22"/>
          <w:bdr w:val="none" w:sz="0" w:space="0" w:color="auto" w:frame="1"/>
        </w:rPr>
        <w:t xml:space="preserve"> GIZ</w:t>
      </w:r>
      <w:r w:rsidR="00DE3DFA">
        <w:rPr>
          <w:rFonts w:eastAsia="Calibri"/>
          <w:snapToGrid w:val="0"/>
          <w:kern w:val="22"/>
          <w:bdr w:val="none" w:sz="0" w:space="0" w:color="auto" w:frame="1"/>
        </w:rPr>
        <w:t>.</w:t>
      </w:r>
      <w:r w:rsidRPr="00250366">
        <w:rPr>
          <w:rFonts w:eastAsia="Calibri"/>
          <w:snapToGrid w:val="0"/>
          <w:kern w:val="22"/>
          <w:bdr w:val="none" w:sz="0" w:space="0" w:color="auto" w:frame="1"/>
        </w:rPr>
        <w:t xml:space="preserve"> These models were developed on an experimental basis to test standard contractual clauses, and to collect evidence for their maintenance or readjustment, based on practical experience.</w:t>
      </w:r>
    </w:p>
    <w:p w:rsidR="00752ADB" w:rsidRPr="002C6EEA" w:rsidRDefault="00F2682C" w:rsidP="00FF7A15">
      <w:pPr>
        <w:numPr>
          <w:ilvl w:val="0"/>
          <w:numId w:val="9"/>
        </w:numPr>
        <w:pBdr>
          <w:top w:val="nil"/>
          <w:left w:val="nil"/>
          <w:bottom w:val="nil"/>
          <w:right w:val="nil"/>
          <w:between w:val="nil"/>
          <w:bar w:val="nil"/>
        </w:pBdr>
        <w:spacing w:before="120" w:after="120"/>
        <w:rPr>
          <w:snapToGrid w:val="0"/>
          <w:kern w:val="22"/>
        </w:rPr>
      </w:pPr>
      <w:r w:rsidRPr="002C6EEA">
        <w:rPr>
          <w:snapToGrid w:val="0"/>
          <w:kern w:val="22"/>
        </w:rPr>
        <w:t xml:space="preserve">Some </w:t>
      </w:r>
      <w:r w:rsidR="00833956" w:rsidRPr="002C6EEA">
        <w:rPr>
          <w:snapToGrid w:val="0"/>
          <w:kern w:val="22"/>
        </w:rPr>
        <w:t>organizations</w:t>
      </w:r>
      <w:r w:rsidR="00070521" w:rsidRPr="002C6EEA">
        <w:rPr>
          <w:snapToGrid w:val="0"/>
          <w:kern w:val="22"/>
        </w:rPr>
        <w:t xml:space="preserve"> </w:t>
      </w:r>
      <w:r w:rsidR="006E3999">
        <w:rPr>
          <w:snapToGrid w:val="0"/>
          <w:kern w:val="22"/>
        </w:rPr>
        <w:t>have</w:t>
      </w:r>
      <w:r w:rsidR="00070521" w:rsidRPr="002C6EEA">
        <w:rPr>
          <w:snapToGrid w:val="0"/>
          <w:kern w:val="22"/>
        </w:rPr>
        <w:t xml:space="preserve"> develop</w:t>
      </w:r>
      <w:r w:rsidR="006E3999">
        <w:rPr>
          <w:snapToGrid w:val="0"/>
          <w:kern w:val="22"/>
        </w:rPr>
        <w:t>ed</w:t>
      </w:r>
      <w:r w:rsidR="00070521" w:rsidRPr="002C6EEA">
        <w:rPr>
          <w:snapToGrid w:val="0"/>
          <w:kern w:val="22"/>
        </w:rPr>
        <w:t xml:space="preserve"> </w:t>
      </w:r>
      <w:r w:rsidR="00833956" w:rsidRPr="002C6EEA">
        <w:rPr>
          <w:snapToGrid w:val="0"/>
          <w:kern w:val="22"/>
        </w:rPr>
        <w:t>model contractual clauses for their members</w:t>
      </w:r>
      <w:r w:rsidR="00847225">
        <w:rPr>
          <w:snapToGrid w:val="0"/>
          <w:kern w:val="22"/>
        </w:rPr>
        <w:t xml:space="preserve"> or those using their services</w:t>
      </w:r>
      <w:r w:rsidR="00833956" w:rsidRPr="002C6EEA">
        <w:rPr>
          <w:snapToGrid w:val="0"/>
          <w:kern w:val="22"/>
        </w:rPr>
        <w:t>, for example</w:t>
      </w:r>
      <w:r w:rsidR="00082060" w:rsidRPr="002C6EEA">
        <w:rPr>
          <w:snapToGrid w:val="0"/>
          <w:kern w:val="22"/>
        </w:rPr>
        <w:t>:</w:t>
      </w:r>
    </w:p>
    <w:p w:rsidR="00833956" w:rsidRDefault="00833956" w:rsidP="00D401F2">
      <w:pPr>
        <w:pStyle w:val="ListParagraph"/>
        <w:numPr>
          <w:ilvl w:val="0"/>
          <w:numId w:val="26"/>
        </w:numPr>
        <w:spacing w:before="120" w:after="120" w:line="228" w:lineRule="auto"/>
        <w:ind w:left="0" w:firstLine="720"/>
        <w:contextualSpacing w:val="0"/>
        <w:rPr>
          <w:rFonts w:eastAsia="Calibri"/>
          <w:snapToGrid w:val="0"/>
          <w:kern w:val="22"/>
          <w:bdr w:val="none" w:sz="0" w:space="0" w:color="auto" w:frame="1"/>
        </w:rPr>
      </w:pPr>
      <w:r w:rsidRPr="00833956">
        <w:rPr>
          <w:rFonts w:eastAsia="Calibri"/>
          <w:snapToGrid w:val="0"/>
          <w:kern w:val="22"/>
          <w:bdr w:val="none" w:sz="0" w:space="0" w:color="auto" w:frame="1"/>
        </w:rPr>
        <w:t>Biotechnology Innovation Organization (BIO), a trade association representing mainly biotechnology companies and research centre</w:t>
      </w:r>
      <w:r w:rsidR="00CB5C46">
        <w:rPr>
          <w:rFonts w:eastAsia="Calibri"/>
          <w:snapToGrid w:val="0"/>
          <w:kern w:val="22"/>
          <w:bdr w:val="none" w:sz="0" w:space="0" w:color="auto" w:frame="1"/>
        </w:rPr>
        <w:t>s</w:t>
      </w:r>
      <w:r w:rsidRPr="00833956">
        <w:rPr>
          <w:rFonts w:eastAsia="Calibri"/>
          <w:snapToGrid w:val="0"/>
          <w:kern w:val="22"/>
          <w:bdr w:val="none" w:sz="0" w:space="0" w:color="auto" w:frame="1"/>
        </w:rPr>
        <w:t xml:space="preserve"> involved in the research and development in healthcare, agricultural, industrial and environmental biotechnology products, has developed “Guidelines for BIO Members Engaging in Bioprospecting and Suggested Model Material Transfer Agreement” for its members</w:t>
      </w:r>
      <w:r w:rsidR="009D4331">
        <w:rPr>
          <w:rFonts w:eastAsia="Calibri"/>
          <w:snapToGrid w:val="0"/>
          <w:kern w:val="22"/>
          <w:bdr w:val="none" w:sz="0" w:space="0" w:color="auto" w:frame="1"/>
        </w:rPr>
        <w:t>;</w:t>
      </w:r>
      <w:r w:rsidRPr="00833956">
        <w:rPr>
          <w:rFonts w:eastAsia="Calibri"/>
          <w:snapToGrid w:val="0"/>
          <w:kern w:val="22"/>
          <w:bdr w:val="none" w:sz="0" w:space="0" w:color="auto" w:frame="1"/>
        </w:rPr>
        <w:t xml:space="preserve"> </w:t>
      </w:r>
    </w:p>
    <w:p w:rsidR="0016393A" w:rsidRPr="00D401F2" w:rsidRDefault="0046720A" w:rsidP="00D401F2">
      <w:pPr>
        <w:pStyle w:val="ListParagraph"/>
        <w:numPr>
          <w:ilvl w:val="0"/>
          <w:numId w:val="26"/>
        </w:numPr>
        <w:spacing w:before="120" w:after="120" w:line="228" w:lineRule="auto"/>
        <w:ind w:left="0" w:firstLine="720"/>
        <w:contextualSpacing w:val="0"/>
        <w:rPr>
          <w:rFonts w:eastAsia="Calibri"/>
          <w:snapToGrid w:val="0"/>
          <w:kern w:val="22"/>
          <w:bdr w:val="none" w:sz="0" w:space="0" w:color="auto" w:frame="1"/>
        </w:rPr>
      </w:pPr>
      <w:r w:rsidRPr="00D401F2">
        <w:rPr>
          <w:rFonts w:eastAsia="Calibri"/>
          <w:snapToGrid w:val="0"/>
          <w:kern w:val="22"/>
          <w:bdr w:val="none" w:sz="0" w:space="0" w:color="auto" w:frame="1"/>
        </w:rPr>
        <w:t xml:space="preserve">The Swiss Academy of Sciences developed </w:t>
      </w:r>
      <w:r w:rsidR="00606E24">
        <w:rPr>
          <w:rFonts w:eastAsia="Calibri"/>
          <w:snapToGrid w:val="0"/>
          <w:kern w:val="22"/>
          <w:bdr w:val="none" w:sz="0" w:space="0" w:color="auto" w:frame="1"/>
        </w:rPr>
        <w:t xml:space="preserve">a manual entitled </w:t>
      </w:r>
      <w:r w:rsidR="0016393A" w:rsidRPr="00D401F2">
        <w:rPr>
          <w:rFonts w:eastAsia="Calibri"/>
          <w:snapToGrid w:val="0"/>
          <w:kern w:val="22"/>
          <w:bdr w:val="none" w:sz="0" w:space="0" w:color="auto" w:frame="1"/>
        </w:rPr>
        <w:t xml:space="preserve">“Agreement on Access and Benefit-sharing for Academic Research – A toolbox for drafting Mutually Agreed Terms for access to Genetic Resources and to Associated Traditional Knowledge and Benefit-sharing”. </w:t>
      </w:r>
      <w:r w:rsidR="00606E24">
        <w:rPr>
          <w:rFonts w:eastAsia="Calibri"/>
          <w:snapToGrid w:val="0"/>
          <w:kern w:val="22"/>
          <w:bdr w:val="none" w:sz="0" w:space="0" w:color="auto" w:frame="1"/>
        </w:rPr>
        <w:t>This</w:t>
      </w:r>
      <w:r w:rsidRPr="00D401F2">
        <w:rPr>
          <w:rFonts w:eastAsia="Calibri"/>
          <w:snapToGrid w:val="0"/>
          <w:kern w:val="22"/>
          <w:bdr w:val="none" w:sz="0" w:space="0" w:color="auto" w:frame="1"/>
        </w:rPr>
        <w:t xml:space="preserve"> </w:t>
      </w:r>
      <w:r w:rsidR="0016393A" w:rsidRPr="00D401F2">
        <w:rPr>
          <w:rFonts w:eastAsia="Calibri"/>
          <w:snapToGrid w:val="0"/>
          <w:kern w:val="22"/>
          <w:bdr w:val="none" w:sz="0" w:space="0" w:color="auto" w:frame="1"/>
        </w:rPr>
        <w:t xml:space="preserve">manual </w:t>
      </w:r>
      <w:r w:rsidR="00606E24">
        <w:rPr>
          <w:rFonts w:eastAsia="Calibri"/>
          <w:snapToGrid w:val="0"/>
          <w:kern w:val="22"/>
          <w:bdr w:val="none" w:sz="0" w:space="0" w:color="auto" w:frame="1"/>
        </w:rPr>
        <w:t>contains</w:t>
      </w:r>
      <w:r w:rsidR="0016393A" w:rsidRPr="00D401F2">
        <w:rPr>
          <w:rFonts w:eastAsia="Calibri"/>
          <w:snapToGrid w:val="0"/>
          <w:kern w:val="22"/>
          <w:bdr w:val="none" w:sz="0" w:space="0" w:color="auto" w:frame="1"/>
        </w:rPr>
        <w:t xml:space="preserve"> a set of model clauses to enable users and providers of </w:t>
      </w:r>
      <w:r w:rsidRPr="00D401F2">
        <w:rPr>
          <w:rFonts w:eastAsia="Calibri"/>
          <w:snapToGrid w:val="0"/>
          <w:kern w:val="22"/>
          <w:bdr w:val="none" w:sz="0" w:space="0" w:color="auto" w:frame="1"/>
        </w:rPr>
        <w:t xml:space="preserve">genetic resources and/or traditional knowledge </w:t>
      </w:r>
      <w:r w:rsidR="0016393A" w:rsidRPr="00D401F2">
        <w:rPr>
          <w:rFonts w:eastAsia="Calibri"/>
          <w:snapToGrid w:val="0"/>
          <w:kern w:val="22"/>
          <w:bdr w:val="none" w:sz="0" w:space="0" w:color="auto" w:frame="1"/>
        </w:rPr>
        <w:t>to set up an agreement that is adapted to the individ</w:t>
      </w:r>
      <w:r w:rsidR="00D401F2" w:rsidRPr="00D401F2">
        <w:rPr>
          <w:rFonts w:eastAsia="Calibri"/>
          <w:snapToGrid w:val="0"/>
          <w:kern w:val="22"/>
          <w:bdr w:val="none" w:sz="0" w:space="0" w:color="auto" w:frame="1"/>
        </w:rPr>
        <w:t>ual academic research situation</w:t>
      </w:r>
      <w:r w:rsidR="009D4331">
        <w:rPr>
          <w:rFonts w:eastAsia="Calibri"/>
          <w:snapToGrid w:val="0"/>
          <w:kern w:val="22"/>
          <w:bdr w:val="none" w:sz="0" w:space="0" w:color="auto" w:frame="1"/>
        </w:rPr>
        <w:t>;</w:t>
      </w:r>
    </w:p>
    <w:p w:rsidR="00D3416C" w:rsidRPr="0016393A" w:rsidRDefault="00D0446C" w:rsidP="00D401F2">
      <w:pPr>
        <w:pStyle w:val="ListParagraph"/>
        <w:numPr>
          <w:ilvl w:val="0"/>
          <w:numId w:val="26"/>
        </w:numPr>
        <w:spacing w:before="120" w:after="120" w:line="228" w:lineRule="auto"/>
        <w:ind w:left="0" w:firstLine="720"/>
        <w:contextualSpacing w:val="0"/>
        <w:rPr>
          <w:rFonts w:eastAsia="Calibri"/>
          <w:snapToGrid w:val="0"/>
          <w:kern w:val="22"/>
          <w:bdr w:val="none" w:sz="0" w:space="0" w:color="auto" w:frame="1"/>
        </w:rPr>
      </w:pPr>
      <w:r w:rsidRPr="0016393A">
        <w:rPr>
          <w:rFonts w:eastAsia="Calibri"/>
          <w:snapToGrid w:val="0"/>
          <w:kern w:val="22"/>
          <w:bdr w:val="none" w:sz="0" w:space="0" w:color="auto" w:frame="1"/>
        </w:rPr>
        <w:t xml:space="preserve">The European Culture Collections' Organisation (ECCO) </w:t>
      </w:r>
      <w:r w:rsidR="00B225A8" w:rsidRPr="0016393A">
        <w:rPr>
          <w:rFonts w:eastAsia="Calibri"/>
          <w:snapToGrid w:val="0"/>
          <w:kern w:val="22"/>
          <w:bdr w:val="none" w:sz="0" w:space="0" w:color="auto" w:frame="1"/>
        </w:rPr>
        <w:t>has produced “The ECCO core Material Transfer Agreement for the supply of samples of biological material from the public collection” for their members, holders of biological cultures, and for users of these cultures</w:t>
      </w:r>
      <w:r w:rsidR="009D4331">
        <w:rPr>
          <w:rFonts w:eastAsia="Calibri"/>
          <w:snapToGrid w:val="0"/>
          <w:kern w:val="22"/>
          <w:bdr w:val="none" w:sz="0" w:space="0" w:color="auto" w:frame="1"/>
        </w:rPr>
        <w:t>;</w:t>
      </w:r>
      <w:r w:rsidR="00B225A8" w:rsidRPr="0016393A">
        <w:rPr>
          <w:rFonts w:eastAsia="Calibri"/>
          <w:snapToGrid w:val="0"/>
          <w:kern w:val="22"/>
          <w:bdr w:val="none" w:sz="0" w:space="0" w:color="auto" w:frame="1"/>
        </w:rPr>
        <w:t xml:space="preserve"> </w:t>
      </w:r>
    </w:p>
    <w:p w:rsidR="00F2682C" w:rsidRDefault="00F7395A" w:rsidP="00D401F2">
      <w:pPr>
        <w:pStyle w:val="ListParagraph"/>
        <w:numPr>
          <w:ilvl w:val="0"/>
          <w:numId w:val="26"/>
        </w:numPr>
        <w:spacing w:before="120" w:after="120" w:line="228" w:lineRule="auto"/>
        <w:ind w:left="0" w:firstLine="720"/>
        <w:contextualSpacing w:val="0"/>
        <w:rPr>
          <w:rFonts w:eastAsia="Calibri"/>
          <w:snapToGrid w:val="0"/>
          <w:kern w:val="22"/>
          <w:bdr w:val="none" w:sz="0" w:space="0" w:color="auto" w:frame="1"/>
        </w:rPr>
      </w:pPr>
      <w:r w:rsidRPr="00D3416C">
        <w:rPr>
          <w:rFonts w:eastAsia="Calibri"/>
          <w:snapToGrid w:val="0"/>
          <w:kern w:val="22"/>
          <w:bdr w:val="none" w:sz="0" w:space="0" w:color="auto" w:frame="1"/>
        </w:rPr>
        <w:lastRenderedPageBreak/>
        <w:t>Likewise, the Global Genome Biodiversity Network (GGBN) is a</w:t>
      </w:r>
      <w:r w:rsidR="009647DA">
        <w:rPr>
          <w:rFonts w:eastAsia="Calibri"/>
          <w:snapToGrid w:val="0"/>
          <w:kern w:val="22"/>
          <w:bdr w:val="none" w:sz="0" w:space="0" w:color="auto" w:frame="1"/>
        </w:rPr>
        <w:t>n international</w:t>
      </w:r>
      <w:r w:rsidRPr="00D3416C">
        <w:rPr>
          <w:rFonts w:eastAsia="Calibri"/>
          <w:snapToGrid w:val="0"/>
          <w:kern w:val="22"/>
          <w:bdr w:val="none" w:sz="0" w:space="0" w:color="auto" w:frame="1"/>
        </w:rPr>
        <w:t xml:space="preserve"> network of gene banks and they </w:t>
      </w:r>
      <w:r w:rsidR="009647DA">
        <w:rPr>
          <w:rFonts w:eastAsia="Calibri"/>
          <w:snapToGrid w:val="0"/>
          <w:kern w:val="22"/>
          <w:bdr w:val="none" w:sz="0" w:space="0" w:color="auto" w:frame="1"/>
        </w:rPr>
        <w:t xml:space="preserve">have </w:t>
      </w:r>
      <w:r w:rsidRPr="00D3416C">
        <w:rPr>
          <w:rFonts w:eastAsia="Calibri"/>
          <w:snapToGrid w:val="0"/>
          <w:kern w:val="22"/>
          <w:bdr w:val="none" w:sz="0" w:space="0" w:color="auto" w:frame="1"/>
        </w:rPr>
        <w:t xml:space="preserve">developed model contractual clauses for their </w:t>
      </w:r>
      <w:r w:rsidR="009647DA">
        <w:rPr>
          <w:rFonts w:eastAsia="Calibri"/>
          <w:snapToGrid w:val="0"/>
          <w:kern w:val="22"/>
          <w:bdr w:val="none" w:sz="0" w:space="0" w:color="auto" w:frame="1"/>
        </w:rPr>
        <w:t xml:space="preserve">members and for users of genes entitled </w:t>
      </w:r>
      <w:r w:rsidRPr="00D3416C">
        <w:rPr>
          <w:rFonts w:eastAsia="Calibri"/>
          <w:snapToGrid w:val="0"/>
          <w:kern w:val="22"/>
          <w:bdr w:val="none" w:sz="0" w:space="0" w:color="auto" w:frame="1"/>
        </w:rPr>
        <w:t>“Global Genome Biodiversity Network Guidance: Material Transfer Agreements”</w:t>
      </w:r>
      <w:r w:rsidR="009D4331">
        <w:rPr>
          <w:rFonts w:eastAsia="Calibri"/>
          <w:snapToGrid w:val="0"/>
          <w:kern w:val="22"/>
          <w:bdr w:val="none" w:sz="0" w:space="0" w:color="auto" w:frame="1"/>
        </w:rPr>
        <w:t>;</w:t>
      </w:r>
    </w:p>
    <w:p w:rsidR="00847225" w:rsidRPr="00847225" w:rsidRDefault="00847225" w:rsidP="00847225">
      <w:pPr>
        <w:pStyle w:val="ListParagraph"/>
        <w:numPr>
          <w:ilvl w:val="0"/>
          <w:numId w:val="26"/>
        </w:numPr>
        <w:spacing w:before="120" w:after="120" w:line="228" w:lineRule="auto"/>
        <w:ind w:left="0" w:firstLine="720"/>
        <w:contextualSpacing w:val="0"/>
        <w:rPr>
          <w:rFonts w:eastAsia="Calibri"/>
          <w:snapToGrid w:val="0"/>
          <w:kern w:val="22"/>
          <w:bdr w:val="none" w:sz="0" w:space="0" w:color="auto" w:frame="1"/>
        </w:rPr>
      </w:pPr>
      <w:r w:rsidRPr="002C6EEA">
        <w:rPr>
          <w:rFonts w:eastAsia="Calibri"/>
          <w:snapToGrid w:val="0"/>
          <w:kern w:val="22"/>
          <w:bdr w:val="none" w:sz="0" w:space="0" w:color="auto" w:frame="1"/>
        </w:rPr>
        <w:t>Germany reported that the German Research Foundation (Deutsche Forschungsgemeinschaft - DFG) has developed model contractual clauses for researchers applying for funding</w:t>
      </w:r>
      <w:r w:rsidRPr="003A1727">
        <w:rPr>
          <w:rFonts w:eastAsia="Calibri"/>
          <w:snapToGrid w:val="0"/>
          <w:kern w:val="22"/>
          <w:bdr w:val="none" w:sz="0" w:space="0" w:color="auto" w:frame="1"/>
        </w:rPr>
        <w:t>.</w:t>
      </w:r>
    </w:p>
    <w:p w:rsidR="002C6EEA" w:rsidRPr="002C6EEA" w:rsidRDefault="002C6EEA" w:rsidP="002C6EEA">
      <w:pPr>
        <w:pStyle w:val="ListParagraph"/>
        <w:numPr>
          <w:ilvl w:val="0"/>
          <w:numId w:val="9"/>
        </w:numPr>
        <w:spacing w:before="120" w:after="120" w:line="228" w:lineRule="auto"/>
        <w:contextualSpacing w:val="0"/>
        <w:rPr>
          <w:rFonts w:eastAsia="Calibri"/>
          <w:snapToGrid w:val="0"/>
          <w:kern w:val="22"/>
          <w:bdr w:val="none" w:sz="0" w:space="0" w:color="auto" w:frame="1"/>
        </w:rPr>
      </w:pPr>
      <w:r w:rsidRPr="002C6EEA">
        <w:rPr>
          <w:rFonts w:eastAsia="Calibri"/>
          <w:snapToGrid w:val="0"/>
          <w:kern w:val="22"/>
          <w:bdr w:val="none" w:sz="0" w:space="0" w:color="auto" w:frame="1"/>
        </w:rPr>
        <w:t>Sometimes, model contractual clauses are developed by governments for a particular group of actors or sectors. For example, Qatar indicated that material transfer agreements for genetic resources have been prepared as a model for the Qatar Gene Bank.</w:t>
      </w:r>
    </w:p>
    <w:p w:rsidR="00F2682C" w:rsidRPr="002C6EEA" w:rsidRDefault="00F2682C" w:rsidP="002C6EEA">
      <w:pPr>
        <w:pStyle w:val="ListParagraph"/>
        <w:numPr>
          <w:ilvl w:val="0"/>
          <w:numId w:val="9"/>
        </w:numPr>
        <w:spacing w:before="120" w:after="120" w:line="228" w:lineRule="auto"/>
        <w:contextualSpacing w:val="0"/>
        <w:rPr>
          <w:rFonts w:eastAsia="Calibri"/>
          <w:snapToGrid w:val="0"/>
          <w:kern w:val="22"/>
          <w:bdr w:val="none" w:sz="0" w:space="0" w:color="auto" w:frame="1"/>
        </w:rPr>
      </w:pPr>
      <w:r w:rsidRPr="002C6EEA">
        <w:rPr>
          <w:rFonts w:eastAsia="Calibri"/>
          <w:snapToGrid w:val="0"/>
          <w:kern w:val="22"/>
          <w:bdr w:val="none" w:sz="0" w:space="0" w:color="auto" w:frame="1"/>
        </w:rPr>
        <w:t>Other organizations</w:t>
      </w:r>
      <w:r w:rsidR="002D0861">
        <w:rPr>
          <w:rFonts w:eastAsia="Calibri"/>
          <w:snapToGrid w:val="0"/>
          <w:kern w:val="22"/>
          <w:bdr w:val="none" w:sz="0" w:space="0" w:color="auto" w:frame="1"/>
        </w:rPr>
        <w:t xml:space="preserve"> have</w:t>
      </w:r>
      <w:r w:rsidRPr="002C6EEA">
        <w:rPr>
          <w:rFonts w:eastAsia="Calibri"/>
          <w:snapToGrid w:val="0"/>
          <w:kern w:val="22"/>
          <w:bdr w:val="none" w:sz="0" w:space="0" w:color="auto" w:frame="1"/>
        </w:rPr>
        <w:t xml:space="preserve"> develop</w:t>
      </w:r>
      <w:r w:rsidR="002D0861">
        <w:rPr>
          <w:rFonts w:eastAsia="Calibri"/>
          <w:snapToGrid w:val="0"/>
          <w:kern w:val="22"/>
          <w:bdr w:val="none" w:sz="0" w:space="0" w:color="auto" w:frame="1"/>
        </w:rPr>
        <w:t>ed</w:t>
      </w:r>
      <w:r w:rsidRPr="002C6EEA">
        <w:rPr>
          <w:rFonts w:eastAsia="Calibri"/>
          <w:snapToGrid w:val="0"/>
          <w:kern w:val="22"/>
          <w:bdr w:val="none" w:sz="0" w:space="0" w:color="auto" w:frame="1"/>
        </w:rPr>
        <w:t xml:space="preserve"> model contractual clauses to facilitate access to the genetic resources they hold</w:t>
      </w:r>
      <w:r w:rsidR="00977D7F" w:rsidRPr="002C6EEA">
        <w:rPr>
          <w:rFonts w:eastAsia="Calibri"/>
          <w:snapToGrid w:val="0"/>
          <w:kern w:val="22"/>
          <w:bdr w:val="none" w:sz="0" w:space="0" w:color="auto" w:frame="1"/>
        </w:rPr>
        <w:t xml:space="preserve"> or to deposit material in their collection</w:t>
      </w:r>
      <w:r w:rsidRPr="002C6EEA">
        <w:rPr>
          <w:rFonts w:eastAsia="Calibri"/>
          <w:snapToGrid w:val="0"/>
          <w:kern w:val="22"/>
          <w:bdr w:val="none" w:sz="0" w:space="0" w:color="auto" w:frame="1"/>
        </w:rPr>
        <w:t>, for example:</w:t>
      </w:r>
    </w:p>
    <w:p w:rsidR="0016393A" w:rsidRDefault="00F2682C" w:rsidP="00FF7A15">
      <w:pPr>
        <w:pStyle w:val="ListParagraph"/>
        <w:numPr>
          <w:ilvl w:val="0"/>
          <w:numId w:val="22"/>
        </w:numPr>
        <w:spacing w:before="120" w:after="120" w:line="228" w:lineRule="auto"/>
        <w:ind w:left="0" w:firstLine="720"/>
        <w:contextualSpacing w:val="0"/>
        <w:rPr>
          <w:rFonts w:eastAsia="Calibri"/>
          <w:snapToGrid w:val="0"/>
          <w:kern w:val="22"/>
          <w:bdr w:val="none" w:sz="0" w:space="0" w:color="auto" w:frame="1"/>
        </w:rPr>
      </w:pPr>
      <w:r w:rsidRPr="00F2682C">
        <w:rPr>
          <w:rFonts w:eastAsia="Calibri"/>
          <w:snapToGrid w:val="0"/>
          <w:kern w:val="22"/>
          <w:bdr w:val="none" w:sz="0" w:space="0" w:color="auto" w:frame="1"/>
        </w:rPr>
        <w:t>The Nordic Genetic Resource Center (Nordgen) has three model transfer agreements</w:t>
      </w:r>
      <w:r w:rsidR="00F9200E">
        <w:rPr>
          <w:rFonts w:eastAsia="Calibri"/>
          <w:snapToGrid w:val="0"/>
          <w:kern w:val="22"/>
          <w:bdr w:val="none" w:sz="0" w:space="0" w:color="auto" w:frame="1"/>
        </w:rPr>
        <w:t>:</w:t>
      </w:r>
      <w:r w:rsidRPr="00F2682C">
        <w:rPr>
          <w:rFonts w:eastAsia="Calibri"/>
          <w:snapToGrid w:val="0"/>
          <w:kern w:val="22"/>
          <w:bdr w:val="none" w:sz="0" w:space="0" w:color="auto" w:frame="1"/>
        </w:rPr>
        <w:t xml:space="preserve"> </w:t>
      </w:r>
      <w:r w:rsidR="00F9200E">
        <w:rPr>
          <w:rFonts w:eastAsia="Calibri"/>
          <w:snapToGrid w:val="0"/>
          <w:kern w:val="22"/>
          <w:bdr w:val="none" w:sz="0" w:space="0" w:color="auto" w:frame="1"/>
        </w:rPr>
        <w:t xml:space="preserve">(i) </w:t>
      </w:r>
      <w:r w:rsidR="00C2451C">
        <w:rPr>
          <w:rFonts w:eastAsia="Calibri"/>
          <w:snapToGrid w:val="0"/>
          <w:kern w:val="22"/>
          <w:bdr w:val="none" w:sz="0" w:space="0" w:color="auto" w:frame="1"/>
        </w:rPr>
        <w:t xml:space="preserve">a transfer agreement </w:t>
      </w:r>
      <w:r w:rsidR="004447A5">
        <w:rPr>
          <w:rFonts w:eastAsia="Calibri"/>
          <w:snapToGrid w:val="0"/>
          <w:kern w:val="22"/>
          <w:bdr w:val="none" w:sz="0" w:space="0" w:color="auto" w:frame="1"/>
        </w:rPr>
        <w:t>when</w:t>
      </w:r>
      <w:r w:rsidR="0016393A" w:rsidRPr="00F2682C">
        <w:rPr>
          <w:rFonts w:eastAsia="Calibri"/>
          <w:snapToGrid w:val="0"/>
          <w:kern w:val="22"/>
          <w:bdr w:val="none" w:sz="0" w:space="0" w:color="auto" w:frame="1"/>
        </w:rPr>
        <w:t xml:space="preserve"> the receiver will use the material for research, breeding and training for food and agriculture</w:t>
      </w:r>
      <w:r w:rsidR="00C2451C">
        <w:rPr>
          <w:rFonts w:eastAsia="Calibri"/>
          <w:snapToGrid w:val="0"/>
          <w:kern w:val="22"/>
          <w:bdr w:val="none" w:sz="0" w:space="0" w:color="auto" w:frame="1"/>
        </w:rPr>
        <w:t xml:space="preserve"> (</w:t>
      </w:r>
      <w:r w:rsidR="00D21FFE">
        <w:rPr>
          <w:rFonts w:eastAsia="Calibri"/>
          <w:snapToGrid w:val="0"/>
          <w:kern w:val="22"/>
          <w:bdr w:val="none" w:sz="0" w:space="0" w:color="auto" w:frame="1"/>
        </w:rPr>
        <w:t>in these cases the receiver must accept</w:t>
      </w:r>
      <w:r w:rsidR="0016393A" w:rsidRPr="00F2682C">
        <w:rPr>
          <w:rFonts w:eastAsia="Calibri"/>
          <w:snapToGrid w:val="0"/>
          <w:kern w:val="22"/>
          <w:bdr w:val="none" w:sz="0" w:space="0" w:color="auto" w:frame="1"/>
        </w:rPr>
        <w:t xml:space="preserve"> th</w:t>
      </w:r>
      <w:r w:rsidR="00F9200E">
        <w:rPr>
          <w:rFonts w:eastAsia="Calibri"/>
          <w:snapToGrid w:val="0"/>
          <w:kern w:val="22"/>
          <w:bdr w:val="none" w:sz="0" w:space="0" w:color="auto" w:frame="1"/>
        </w:rPr>
        <w:t>e terms and conditions of the S</w:t>
      </w:r>
      <w:r w:rsidR="0016393A" w:rsidRPr="00F2682C">
        <w:rPr>
          <w:rFonts w:eastAsia="Calibri"/>
          <w:snapToGrid w:val="0"/>
          <w:kern w:val="22"/>
          <w:bdr w:val="none" w:sz="0" w:space="0" w:color="auto" w:frame="1"/>
        </w:rPr>
        <w:t xml:space="preserve">tandard Material Transfer Agreement </w:t>
      </w:r>
      <w:r w:rsidR="00C2451C">
        <w:rPr>
          <w:rFonts w:eastAsia="Calibri"/>
          <w:snapToGrid w:val="0"/>
          <w:kern w:val="22"/>
          <w:bdr w:val="none" w:sz="0" w:space="0" w:color="auto" w:frame="1"/>
        </w:rPr>
        <w:t>of ITPGRFA Multilateral System)</w:t>
      </w:r>
      <w:r w:rsidR="00F9200E">
        <w:rPr>
          <w:rFonts w:eastAsia="Calibri"/>
          <w:snapToGrid w:val="0"/>
          <w:kern w:val="22"/>
          <w:bdr w:val="none" w:sz="0" w:space="0" w:color="auto" w:frame="1"/>
        </w:rPr>
        <w:t xml:space="preserve">; (ii) </w:t>
      </w:r>
      <w:r w:rsidR="00C2451C">
        <w:rPr>
          <w:rFonts w:eastAsia="Calibri"/>
          <w:snapToGrid w:val="0"/>
          <w:kern w:val="22"/>
          <w:bdr w:val="none" w:sz="0" w:space="0" w:color="auto" w:frame="1"/>
        </w:rPr>
        <w:t xml:space="preserve"> a transfer agreement </w:t>
      </w:r>
      <w:r w:rsidR="00F9200E">
        <w:rPr>
          <w:rFonts w:eastAsia="Calibri"/>
          <w:snapToGrid w:val="0"/>
          <w:kern w:val="22"/>
          <w:bdr w:val="none" w:sz="0" w:space="0" w:color="auto" w:frame="1"/>
        </w:rPr>
        <w:t>w</w:t>
      </w:r>
      <w:r w:rsidR="0016393A" w:rsidRPr="0016393A">
        <w:rPr>
          <w:rFonts w:eastAsia="Calibri"/>
          <w:snapToGrid w:val="0"/>
          <w:kern w:val="22"/>
          <w:bdr w:val="none" w:sz="0" w:space="0" w:color="auto" w:frame="1"/>
        </w:rPr>
        <w:t>hen the request is made for other scientific purposes</w:t>
      </w:r>
      <w:r w:rsidR="00C2451C">
        <w:rPr>
          <w:rFonts w:eastAsia="Calibri"/>
          <w:snapToGrid w:val="0"/>
          <w:kern w:val="22"/>
          <w:bdr w:val="none" w:sz="0" w:space="0" w:color="auto" w:frame="1"/>
        </w:rPr>
        <w:t xml:space="preserve">  (</w:t>
      </w:r>
      <w:r w:rsidR="00D21FFE">
        <w:rPr>
          <w:rFonts w:eastAsia="Calibri"/>
          <w:snapToGrid w:val="0"/>
          <w:kern w:val="22"/>
          <w:bdr w:val="none" w:sz="0" w:space="0" w:color="auto" w:frame="1"/>
        </w:rPr>
        <w:t xml:space="preserve">in these cases </w:t>
      </w:r>
      <w:r w:rsidR="00F9200E">
        <w:rPr>
          <w:rFonts w:eastAsia="Calibri"/>
          <w:snapToGrid w:val="0"/>
          <w:kern w:val="22"/>
          <w:bdr w:val="none" w:sz="0" w:space="0" w:color="auto" w:frame="1"/>
        </w:rPr>
        <w:t xml:space="preserve">the </w:t>
      </w:r>
      <w:r w:rsidR="0016393A" w:rsidRPr="0016393A">
        <w:rPr>
          <w:rFonts w:eastAsia="Calibri"/>
          <w:snapToGrid w:val="0"/>
          <w:kern w:val="22"/>
          <w:bdr w:val="none" w:sz="0" w:space="0" w:color="auto" w:frame="1"/>
        </w:rPr>
        <w:t>NordG</w:t>
      </w:r>
      <w:r w:rsidR="00F9200E">
        <w:rPr>
          <w:rFonts w:eastAsia="Calibri"/>
          <w:snapToGrid w:val="0"/>
          <w:kern w:val="22"/>
          <w:bdr w:val="none" w:sz="0" w:space="0" w:color="auto" w:frame="1"/>
        </w:rPr>
        <w:t>en Material Transfer Agreement</w:t>
      </w:r>
      <w:r w:rsidR="006E3999">
        <w:rPr>
          <w:rFonts w:eastAsia="Calibri"/>
          <w:snapToGrid w:val="0"/>
          <w:kern w:val="22"/>
          <w:bdr w:val="none" w:sz="0" w:space="0" w:color="auto" w:frame="1"/>
        </w:rPr>
        <w:t xml:space="preserve"> (MTA)</w:t>
      </w:r>
      <w:r w:rsidR="00F9200E">
        <w:rPr>
          <w:rFonts w:eastAsia="Calibri"/>
          <w:snapToGrid w:val="0"/>
          <w:kern w:val="22"/>
          <w:bdr w:val="none" w:sz="0" w:space="0" w:color="auto" w:frame="1"/>
        </w:rPr>
        <w:t xml:space="preserve"> is used</w:t>
      </w:r>
      <w:r w:rsidR="00C2451C">
        <w:rPr>
          <w:rFonts w:eastAsia="Calibri"/>
          <w:snapToGrid w:val="0"/>
          <w:kern w:val="22"/>
          <w:bdr w:val="none" w:sz="0" w:space="0" w:color="auto" w:frame="1"/>
        </w:rPr>
        <w:t>)</w:t>
      </w:r>
      <w:r w:rsidR="00F9200E">
        <w:rPr>
          <w:rFonts w:eastAsia="Calibri"/>
          <w:snapToGrid w:val="0"/>
          <w:kern w:val="22"/>
          <w:bdr w:val="none" w:sz="0" w:space="0" w:color="auto" w:frame="1"/>
        </w:rPr>
        <w:t xml:space="preserve">; (iii) </w:t>
      </w:r>
      <w:r w:rsidR="00C2451C">
        <w:rPr>
          <w:rFonts w:eastAsia="Calibri"/>
          <w:snapToGrid w:val="0"/>
          <w:kern w:val="22"/>
          <w:bdr w:val="none" w:sz="0" w:space="0" w:color="auto" w:frame="1"/>
        </w:rPr>
        <w:t xml:space="preserve">a transfer agreement </w:t>
      </w:r>
      <w:r w:rsidR="00F9200E">
        <w:rPr>
          <w:rFonts w:eastAsia="Calibri"/>
          <w:snapToGrid w:val="0"/>
          <w:kern w:val="22"/>
          <w:bdr w:val="none" w:sz="0" w:space="0" w:color="auto" w:frame="1"/>
        </w:rPr>
        <w:t>for private orders</w:t>
      </w:r>
      <w:r w:rsidR="009D4331">
        <w:rPr>
          <w:rFonts w:eastAsia="Calibri"/>
          <w:snapToGrid w:val="0"/>
          <w:kern w:val="22"/>
          <w:bdr w:val="none" w:sz="0" w:space="0" w:color="auto" w:frame="1"/>
        </w:rPr>
        <w:t>;</w:t>
      </w:r>
    </w:p>
    <w:p w:rsidR="00977D7F" w:rsidRDefault="00977D7F" w:rsidP="00FF7A15">
      <w:pPr>
        <w:pStyle w:val="ListParagraph"/>
        <w:numPr>
          <w:ilvl w:val="0"/>
          <w:numId w:val="22"/>
        </w:numPr>
        <w:spacing w:before="120" w:after="120" w:line="228" w:lineRule="auto"/>
        <w:ind w:left="0" w:firstLine="720"/>
        <w:contextualSpacing w:val="0"/>
        <w:rPr>
          <w:rFonts w:eastAsia="Calibri"/>
          <w:snapToGrid w:val="0"/>
          <w:kern w:val="22"/>
          <w:bdr w:val="none" w:sz="0" w:space="0" w:color="auto" w:frame="1"/>
        </w:rPr>
      </w:pPr>
      <w:r w:rsidRPr="00977D7F">
        <w:rPr>
          <w:rFonts w:eastAsia="Calibri"/>
          <w:snapToGrid w:val="0"/>
          <w:kern w:val="22"/>
          <w:bdr w:val="none" w:sz="0" w:space="0" w:color="auto" w:frame="1"/>
        </w:rPr>
        <w:t>HAMBI (University of Helsinki, Faculty of Agriculture and Forestry, Division of Microbiology and</w:t>
      </w:r>
      <w:r>
        <w:rPr>
          <w:rFonts w:eastAsia="Calibri"/>
          <w:snapToGrid w:val="0"/>
          <w:kern w:val="22"/>
          <w:bdr w:val="none" w:sz="0" w:space="0" w:color="auto" w:frame="1"/>
        </w:rPr>
        <w:t xml:space="preserve"> </w:t>
      </w:r>
      <w:r w:rsidRPr="00977D7F">
        <w:rPr>
          <w:rFonts w:eastAsia="Calibri"/>
          <w:snapToGrid w:val="0"/>
          <w:kern w:val="22"/>
          <w:bdr w:val="none" w:sz="0" w:space="0" w:color="auto" w:frame="1"/>
        </w:rPr>
        <w:t>Biotechnology) Culture Collection is a resource of living microorganisms for teaching, research and</w:t>
      </w:r>
      <w:r>
        <w:rPr>
          <w:rFonts w:eastAsia="Calibri"/>
          <w:snapToGrid w:val="0"/>
          <w:kern w:val="22"/>
          <w:bdr w:val="none" w:sz="0" w:space="0" w:color="auto" w:frame="1"/>
        </w:rPr>
        <w:t xml:space="preserve"> </w:t>
      </w:r>
      <w:r w:rsidRPr="00977D7F">
        <w:rPr>
          <w:rFonts w:eastAsia="Calibri"/>
          <w:snapToGrid w:val="0"/>
          <w:kern w:val="22"/>
          <w:bdr w:val="none" w:sz="0" w:space="0" w:color="auto" w:frame="1"/>
        </w:rPr>
        <w:t>application.</w:t>
      </w:r>
      <w:r w:rsidRPr="00977D7F">
        <w:t xml:space="preserve"> </w:t>
      </w:r>
      <w:r>
        <w:rPr>
          <w:rFonts w:eastAsia="Calibri"/>
          <w:snapToGrid w:val="0"/>
          <w:kern w:val="22"/>
          <w:bdr w:val="none" w:sz="0" w:space="0" w:color="auto" w:frame="1"/>
        </w:rPr>
        <w:t>HAMBI uses a m</w:t>
      </w:r>
      <w:r w:rsidRPr="00977D7F">
        <w:rPr>
          <w:rFonts w:eastAsia="Calibri"/>
          <w:snapToGrid w:val="0"/>
          <w:kern w:val="22"/>
          <w:bdr w:val="none" w:sz="0" w:space="0" w:color="auto" w:frame="1"/>
        </w:rPr>
        <w:t>aterial deposit form</w:t>
      </w:r>
      <w:r>
        <w:rPr>
          <w:rFonts w:eastAsia="Calibri"/>
          <w:snapToGrid w:val="0"/>
          <w:kern w:val="22"/>
          <w:bdr w:val="none" w:sz="0" w:space="0" w:color="auto" w:frame="1"/>
        </w:rPr>
        <w:t xml:space="preserve"> for including material in the collection (</w:t>
      </w:r>
      <w:r w:rsidRPr="00977D7F">
        <w:rPr>
          <w:rFonts w:eastAsia="Calibri"/>
          <w:snapToGrid w:val="0"/>
          <w:kern w:val="22"/>
          <w:bdr w:val="none" w:sz="0" w:space="0" w:color="auto" w:frame="1"/>
        </w:rPr>
        <w:t>which inquires information on access date, authorization and</w:t>
      </w:r>
      <w:r>
        <w:rPr>
          <w:rFonts w:eastAsia="Calibri"/>
          <w:snapToGrid w:val="0"/>
          <w:kern w:val="22"/>
          <w:bdr w:val="none" w:sz="0" w:space="0" w:color="auto" w:frame="1"/>
        </w:rPr>
        <w:t xml:space="preserve"> possible PIC of the material) and </w:t>
      </w:r>
      <w:r w:rsidRPr="00977D7F">
        <w:rPr>
          <w:rFonts w:eastAsia="Calibri"/>
          <w:snapToGrid w:val="0"/>
          <w:kern w:val="22"/>
          <w:bdr w:val="none" w:sz="0" w:space="0" w:color="auto" w:frame="1"/>
        </w:rPr>
        <w:t>uses a Material Transfer Agreement for accessions</w:t>
      </w:r>
      <w:r>
        <w:rPr>
          <w:rFonts w:eastAsia="Calibri"/>
          <w:snapToGrid w:val="0"/>
          <w:kern w:val="22"/>
          <w:bdr w:val="none" w:sz="0" w:space="0" w:color="auto" w:frame="1"/>
        </w:rPr>
        <w:t xml:space="preserve"> to the material they hold</w:t>
      </w:r>
      <w:r w:rsidR="009D4331">
        <w:rPr>
          <w:rFonts w:eastAsia="Calibri"/>
          <w:snapToGrid w:val="0"/>
          <w:kern w:val="22"/>
          <w:bdr w:val="none" w:sz="0" w:space="0" w:color="auto" w:frame="1"/>
        </w:rPr>
        <w:t>;</w:t>
      </w:r>
    </w:p>
    <w:p w:rsidR="002D0861" w:rsidRPr="00977D7F" w:rsidRDefault="00680843" w:rsidP="00FF7A15">
      <w:pPr>
        <w:pStyle w:val="ListParagraph"/>
        <w:numPr>
          <w:ilvl w:val="0"/>
          <w:numId w:val="22"/>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The Natural History Museum uses a standard form for acceptance of material into the museum collection and a Material Transfer Form for sending material to others.</w:t>
      </w:r>
    </w:p>
    <w:p w:rsidR="003A1727" w:rsidRPr="006E6BE7" w:rsidRDefault="00360CA7" w:rsidP="00AE6FC3">
      <w:pPr>
        <w:pStyle w:val="ListParagraph"/>
        <w:numPr>
          <w:ilvl w:val="0"/>
          <w:numId w:val="9"/>
        </w:numPr>
      </w:pPr>
      <w:r w:rsidRPr="00AE6FC3">
        <w:rPr>
          <w:rFonts w:eastAsia="Calibri"/>
          <w:snapToGrid w:val="0"/>
          <w:kern w:val="22"/>
          <w:bdr w:val="none" w:sz="0" w:space="0" w:color="auto" w:frame="1"/>
        </w:rPr>
        <w:t xml:space="preserve">Some </w:t>
      </w:r>
      <w:r w:rsidR="00F7395A" w:rsidRPr="00AE6FC3">
        <w:rPr>
          <w:rFonts w:eastAsia="Calibri"/>
          <w:snapToGrid w:val="0"/>
          <w:kern w:val="22"/>
          <w:bdr w:val="none" w:sz="0" w:space="0" w:color="auto" w:frame="1"/>
        </w:rPr>
        <w:t xml:space="preserve">model contractual clauses </w:t>
      </w:r>
      <w:r w:rsidR="009647DA">
        <w:rPr>
          <w:rFonts w:eastAsia="Calibri"/>
          <w:snapToGrid w:val="0"/>
          <w:kern w:val="22"/>
          <w:bdr w:val="none" w:sz="0" w:space="0" w:color="auto" w:frame="1"/>
        </w:rPr>
        <w:t xml:space="preserve">developed are </w:t>
      </w:r>
      <w:r w:rsidR="00F7395A" w:rsidRPr="00AE6FC3">
        <w:rPr>
          <w:rFonts w:eastAsia="Calibri"/>
          <w:snapToGrid w:val="0"/>
          <w:kern w:val="22"/>
          <w:bdr w:val="none" w:sz="0" w:space="0" w:color="auto" w:frame="1"/>
        </w:rPr>
        <w:t>targeted to</w:t>
      </w:r>
      <w:r w:rsidR="00D401F2" w:rsidRPr="00AE6FC3">
        <w:rPr>
          <w:rFonts w:eastAsia="Calibri"/>
          <w:snapToGrid w:val="0"/>
          <w:kern w:val="22"/>
          <w:bdr w:val="none" w:sz="0" w:space="0" w:color="auto" w:frame="1"/>
        </w:rPr>
        <w:t xml:space="preserve"> both users and providers</w:t>
      </w:r>
      <w:r w:rsidR="002D0861" w:rsidRPr="00AE6FC3">
        <w:rPr>
          <w:rFonts w:eastAsia="Calibri"/>
          <w:snapToGrid w:val="0"/>
          <w:kern w:val="22"/>
          <w:bdr w:val="none" w:sz="0" w:space="0" w:color="auto" w:frame="1"/>
        </w:rPr>
        <w:t xml:space="preserve"> and </w:t>
      </w:r>
      <w:r w:rsidR="00202081">
        <w:rPr>
          <w:rFonts w:eastAsia="Calibri"/>
          <w:snapToGrid w:val="0"/>
          <w:kern w:val="22"/>
          <w:bdr w:val="none" w:sz="0" w:space="0" w:color="auto" w:frame="1"/>
        </w:rPr>
        <w:t xml:space="preserve">that can be used </w:t>
      </w:r>
      <w:r w:rsidR="002D0861" w:rsidRPr="00AE6FC3">
        <w:rPr>
          <w:rFonts w:eastAsia="Calibri"/>
          <w:snapToGrid w:val="0"/>
          <w:kern w:val="22"/>
          <w:bdr w:val="none" w:sz="0" w:space="0" w:color="auto" w:frame="1"/>
        </w:rPr>
        <w:t>in a variety of sectors</w:t>
      </w:r>
      <w:r w:rsidR="00F7395A" w:rsidRPr="00AE6FC3">
        <w:rPr>
          <w:rFonts w:eastAsia="Calibri"/>
          <w:snapToGrid w:val="0"/>
          <w:kern w:val="22"/>
          <w:bdr w:val="none" w:sz="0" w:space="0" w:color="auto" w:frame="1"/>
        </w:rPr>
        <w:t xml:space="preserve">. </w:t>
      </w:r>
      <w:r w:rsidR="00FA4583" w:rsidRPr="00AE6FC3">
        <w:rPr>
          <w:rFonts w:eastAsia="Calibri"/>
          <w:snapToGrid w:val="0"/>
          <w:kern w:val="22"/>
          <w:bdr w:val="none" w:sz="0" w:space="0" w:color="auto" w:frame="1"/>
        </w:rPr>
        <w:t xml:space="preserve">The </w:t>
      </w:r>
      <w:r w:rsidR="00F7395A" w:rsidRPr="00AE6FC3">
        <w:rPr>
          <w:rFonts w:eastAsia="Calibri"/>
          <w:snapToGrid w:val="0"/>
          <w:kern w:val="22"/>
          <w:bdr w:val="none" w:sz="0" w:space="0" w:color="auto" w:frame="1"/>
        </w:rPr>
        <w:t>World Intellectual Property Organization (WIPO</w:t>
      </w:r>
      <w:r w:rsidR="00E84400" w:rsidRPr="00AE6FC3">
        <w:rPr>
          <w:rFonts w:eastAsia="Calibri"/>
          <w:snapToGrid w:val="0"/>
          <w:kern w:val="22"/>
          <w:bdr w:val="none" w:sz="0" w:space="0" w:color="auto" w:frame="1"/>
        </w:rPr>
        <w:t>)</w:t>
      </w:r>
      <w:r w:rsidR="00F7395A" w:rsidRPr="00AE6FC3">
        <w:rPr>
          <w:rFonts w:eastAsia="Calibri"/>
          <w:snapToGrid w:val="0"/>
          <w:kern w:val="22"/>
          <w:bdr w:val="none" w:sz="0" w:space="0" w:color="auto" w:frame="1"/>
        </w:rPr>
        <w:t xml:space="preserve"> produced “Draft Intellectual </w:t>
      </w:r>
      <w:r w:rsidR="00F7395A" w:rsidRPr="00AE6FC3">
        <w:rPr>
          <w:snapToGrid w:val="0"/>
          <w:kern w:val="22"/>
        </w:rPr>
        <w:t>Property</w:t>
      </w:r>
      <w:r w:rsidR="00F7395A" w:rsidRPr="00AE6FC3">
        <w:rPr>
          <w:rFonts w:eastAsia="Calibri"/>
          <w:snapToGrid w:val="0"/>
          <w:kern w:val="22"/>
          <w:bdr w:val="none" w:sz="0" w:space="0" w:color="auto" w:frame="1"/>
        </w:rPr>
        <w:t xml:space="preserve"> Guidelines for Access to Genetic Resources and Equitable Sharing of the Benefits arising from their Utilization” for both providers and recipients of genetic resources that negotiate an agreement, contract or license. </w:t>
      </w:r>
    </w:p>
    <w:p w:rsidR="00BD64ED" w:rsidRDefault="00BD64ED" w:rsidP="00FF7A15">
      <w:pPr>
        <w:pStyle w:val="Heading2"/>
        <w:numPr>
          <w:ilvl w:val="0"/>
          <w:numId w:val="11"/>
        </w:numPr>
      </w:pPr>
      <w:r>
        <w:t xml:space="preserve">Use of </w:t>
      </w:r>
      <w:r w:rsidR="0044282E">
        <w:t>m</w:t>
      </w:r>
      <w:r>
        <w:t xml:space="preserve">odel </w:t>
      </w:r>
      <w:r w:rsidR="0044282E">
        <w:t>c</w:t>
      </w:r>
      <w:r>
        <w:t xml:space="preserve">ontractual </w:t>
      </w:r>
      <w:r w:rsidR="0044282E">
        <w:t>c</w:t>
      </w:r>
      <w:r>
        <w:t>lauses</w:t>
      </w:r>
    </w:p>
    <w:p w:rsidR="004925D9" w:rsidRDefault="00680843" w:rsidP="00FF7A15">
      <w:pPr>
        <w:pStyle w:val="ListParagraph"/>
        <w:numPr>
          <w:ilvl w:val="0"/>
          <w:numId w:val="9"/>
        </w:numPr>
        <w:spacing w:before="120" w:after="120" w:line="228" w:lineRule="auto"/>
        <w:contextualSpacing w:val="0"/>
        <w:rPr>
          <w:rFonts w:eastAsia="Calibri"/>
          <w:snapToGrid w:val="0"/>
          <w:kern w:val="22"/>
          <w:bdr w:val="none" w:sz="0" w:space="0" w:color="auto" w:frame="1"/>
        </w:rPr>
      </w:pPr>
      <w:r>
        <w:rPr>
          <w:rFonts w:eastAsia="Calibri"/>
          <w:snapToGrid w:val="0"/>
          <w:kern w:val="22"/>
          <w:bdr w:val="none" w:sz="0" w:space="0" w:color="auto" w:frame="1"/>
        </w:rPr>
        <w:t>M</w:t>
      </w:r>
      <w:r w:rsidR="006E6BE7" w:rsidRPr="00680843">
        <w:rPr>
          <w:rFonts w:eastAsia="Calibri"/>
          <w:snapToGrid w:val="0"/>
          <w:kern w:val="22"/>
          <w:bdr w:val="none" w:sz="0" w:space="0" w:color="auto" w:frame="1"/>
        </w:rPr>
        <w:t>ore countries and organizations reported on the development of model contractual clauses than specifically on their use</w:t>
      </w:r>
      <w:r>
        <w:rPr>
          <w:rFonts w:eastAsia="Calibri"/>
          <w:snapToGrid w:val="0"/>
          <w:kern w:val="22"/>
          <w:bdr w:val="none" w:sz="0" w:space="0" w:color="auto" w:frame="1"/>
        </w:rPr>
        <w:t xml:space="preserve">. </w:t>
      </w:r>
      <w:r w:rsidR="00471367">
        <w:rPr>
          <w:rFonts w:eastAsia="Calibri"/>
          <w:snapToGrid w:val="0"/>
          <w:kern w:val="22"/>
          <w:bdr w:val="none" w:sz="0" w:space="0" w:color="auto" w:frame="1"/>
        </w:rPr>
        <w:t xml:space="preserve">However, </w:t>
      </w:r>
      <w:r w:rsidR="004925D9">
        <w:rPr>
          <w:rFonts w:eastAsia="Calibri"/>
          <w:snapToGrid w:val="0"/>
          <w:kern w:val="22"/>
          <w:bdr w:val="none" w:sz="0" w:space="0" w:color="auto" w:frame="1"/>
        </w:rPr>
        <w:t xml:space="preserve">some reported </w:t>
      </w:r>
      <w:r w:rsidR="00BD64ED" w:rsidRPr="004925D9">
        <w:rPr>
          <w:rFonts w:eastAsia="Calibri"/>
          <w:snapToGrid w:val="0"/>
          <w:kern w:val="22"/>
          <w:bdr w:val="none" w:sz="0" w:space="0" w:color="auto" w:frame="1"/>
        </w:rPr>
        <w:t xml:space="preserve">using </w:t>
      </w:r>
      <w:r w:rsidR="004925D9">
        <w:rPr>
          <w:rFonts w:eastAsia="Calibri"/>
          <w:snapToGrid w:val="0"/>
          <w:kern w:val="22"/>
          <w:bdr w:val="none" w:sz="0" w:space="0" w:color="auto" w:frame="1"/>
        </w:rPr>
        <w:t xml:space="preserve">the </w:t>
      </w:r>
      <w:r w:rsidR="00BD64ED" w:rsidRPr="004925D9">
        <w:rPr>
          <w:rFonts w:eastAsia="Calibri"/>
          <w:snapToGrid w:val="0"/>
          <w:kern w:val="22"/>
          <w:bdr w:val="none" w:sz="0" w:space="0" w:color="auto" w:frame="1"/>
        </w:rPr>
        <w:t xml:space="preserve">material transfer agreements </w:t>
      </w:r>
      <w:r w:rsidR="004925D9">
        <w:rPr>
          <w:rFonts w:eastAsia="Calibri"/>
          <w:snapToGrid w:val="0"/>
          <w:kern w:val="22"/>
          <w:bdr w:val="none" w:sz="0" w:space="0" w:color="auto" w:frame="1"/>
        </w:rPr>
        <w:t xml:space="preserve">developed by </w:t>
      </w:r>
      <w:r w:rsidR="00847225">
        <w:rPr>
          <w:rFonts w:eastAsia="Calibri"/>
          <w:snapToGrid w:val="0"/>
          <w:kern w:val="22"/>
          <w:bdr w:val="none" w:sz="0" w:space="0" w:color="auto" w:frame="1"/>
        </w:rPr>
        <w:t>an umbrella organization for a specific sector.</w:t>
      </w:r>
      <w:r w:rsidR="004925D9">
        <w:rPr>
          <w:rFonts w:eastAsia="Calibri"/>
          <w:snapToGrid w:val="0"/>
          <w:kern w:val="22"/>
          <w:bdr w:val="none" w:sz="0" w:space="0" w:color="auto" w:frame="1"/>
        </w:rPr>
        <w:t xml:space="preserve"> For example:</w:t>
      </w:r>
    </w:p>
    <w:p w:rsidR="00077E41" w:rsidRDefault="00077E41" w:rsidP="00986D6A">
      <w:pPr>
        <w:pStyle w:val="ListParagraph"/>
        <w:numPr>
          <w:ilvl w:val="0"/>
          <w:numId w:val="27"/>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The MTA </w:t>
      </w:r>
      <w:r w:rsidR="00FB1E88">
        <w:rPr>
          <w:rFonts w:eastAsia="Calibri"/>
          <w:snapToGrid w:val="0"/>
          <w:kern w:val="22"/>
          <w:bdr w:val="none" w:sz="0" w:space="0" w:color="auto" w:frame="1"/>
        </w:rPr>
        <w:t xml:space="preserve">used by HAMBI is constructed to match the </w:t>
      </w:r>
      <w:r w:rsidR="00FB1E88" w:rsidRPr="004925D9">
        <w:rPr>
          <w:rFonts w:eastAsia="Calibri"/>
          <w:snapToGrid w:val="0"/>
          <w:kern w:val="22"/>
          <w:bdr w:val="none" w:sz="0" w:space="0" w:color="auto" w:frame="1"/>
        </w:rPr>
        <w:t>European Culture Collections' Organisation</w:t>
      </w:r>
      <w:r w:rsidR="00FB1E88">
        <w:rPr>
          <w:rFonts w:eastAsia="Calibri"/>
          <w:snapToGrid w:val="0"/>
          <w:kern w:val="22"/>
          <w:bdr w:val="none" w:sz="0" w:space="0" w:color="auto" w:frame="1"/>
        </w:rPr>
        <w:t xml:space="preserve"> (ECCO) core MTA</w:t>
      </w:r>
      <w:r w:rsidR="008B05B9">
        <w:rPr>
          <w:rFonts w:eastAsia="Calibri"/>
          <w:snapToGrid w:val="0"/>
          <w:kern w:val="22"/>
          <w:bdr w:val="none" w:sz="0" w:space="0" w:color="auto" w:frame="1"/>
        </w:rPr>
        <w:t>.</w:t>
      </w:r>
    </w:p>
    <w:p w:rsidR="00986D6A" w:rsidRDefault="00FB1E88" w:rsidP="00986D6A">
      <w:pPr>
        <w:pStyle w:val="ListParagraph"/>
        <w:numPr>
          <w:ilvl w:val="0"/>
          <w:numId w:val="27"/>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The </w:t>
      </w:r>
      <w:r w:rsidRPr="00FB1E88">
        <w:rPr>
          <w:rFonts w:eastAsia="Calibri"/>
          <w:snapToGrid w:val="0"/>
          <w:kern w:val="22"/>
          <w:bdr w:val="none" w:sz="0" w:space="0" w:color="auto" w:frame="1"/>
        </w:rPr>
        <w:t>Centre for Agriculture and Biosciences Internat</w:t>
      </w:r>
      <w:r>
        <w:rPr>
          <w:rFonts w:eastAsia="Calibri"/>
          <w:snapToGrid w:val="0"/>
          <w:kern w:val="22"/>
          <w:bdr w:val="none" w:sz="0" w:space="0" w:color="auto" w:frame="1"/>
        </w:rPr>
        <w:t>ional (CABI) has introduced a generic MTA to ensure recipients of genetic resource from CABI are aware of their responsibilities. They reported that they take into consideration ECCO core MTA</w:t>
      </w:r>
      <w:r w:rsidR="00B2387C">
        <w:rPr>
          <w:rFonts w:eastAsia="Calibri"/>
          <w:snapToGrid w:val="0"/>
          <w:kern w:val="22"/>
          <w:bdr w:val="none" w:sz="0" w:space="0" w:color="auto" w:frame="1"/>
        </w:rPr>
        <w:t xml:space="preserve"> and the </w:t>
      </w:r>
      <w:r w:rsidR="00B2387C" w:rsidRPr="00B2387C">
        <w:rPr>
          <w:rFonts w:eastAsia="Calibri"/>
          <w:snapToGrid w:val="0"/>
          <w:kern w:val="22"/>
          <w:bdr w:val="none" w:sz="0" w:space="0" w:color="auto" w:frame="1"/>
        </w:rPr>
        <w:t>Consortium of European Taxonomic Facilities (CETAF)</w:t>
      </w:r>
      <w:r w:rsidR="00B2387C">
        <w:rPr>
          <w:rFonts w:eastAsia="Calibri"/>
          <w:snapToGrid w:val="0"/>
          <w:kern w:val="22"/>
          <w:bdr w:val="none" w:sz="0" w:space="0" w:color="auto" w:frame="1"/>
        </w:rPr>
        <w:t xml:space="preserve"> code of conduct and best practices (which includes model clauses), among other tools developed by other groups.</w:t>
      </w:r>
    </w:p>
    <w:p w:rsidR="00FB1E88" w:rsidRPr="00986D6A" w:rsidRDefault="00FB1E88" w:rsidP="00986D6A">
      <w:pPr>
        <w:pStyle w:val="ListParagraph"/>
        <w:numPr>
          <w:ilvl w:val="0"/>
          <w:numId w:val="27"/>
        </w:numPr>
        <w:spacing w:before="120" w:after="120" w:line="228" w:lineRule="auto"/>
        <w:ind w:left="0" w:firstLine="720"/>
        <w:contextualSpacing w:val="0"/>
        <w:rPr>
          <w:rFonts w:eastAsia="Calibri"/>
          <w:snapToGrid w:val="0"/>
          <w:kern w:val="22"/>
          <w:bdr w:val="none" w:sz="0" w:space="0" w:color="auto" w:frame="1"/>
        </w:rPr>
      </w:pPr>
      <w:r w:rsidRPr="00986D6A">
        <w:rPr>
          <w:rFonts w:eastAsia="Calibri"/>
          <w:snapToGrid w:val="0"/>
          <w:kern w:val="22"/>
          <w:bdr w:val="none" w:sz="0" w:space="0" w:color="auto" w:frame="1"/>
        </w:rPr>
        <w:t>The Natural History Museum</w:t>
      </w:r>
      <w:r w:rsidR="00CD3E26" w:rsidRPr="00986D6A">
        <w:rPr>
          <w:rFonts w:eastAsia="Calibri"/>
          <w:snapToGrid w:val="0"/>
          <w:kern w:val="22"/>
          <w:bdr w:val="none" w:sz="0" w:space="0" w:color="auto" w:frame="1"/>
        </w:rPr>
        <w:t xml:space="preserve"> indicated that they have contributed significantly to the development of the work of two consortia to</w:t>
      </w:r>
      <w:r w:rsidR="00D819C7" w:rsidRPr="00986D6A">
        <w:rPr>
          <w:rFonts w:eastAsia="Calibri"/>
          <w:snapToGrid w:val="0"/>
          <w:kern w:val="22"/>
          <w:bdr w:val="none" w:sz="0" w:space="0" w:color="auto" w:frame="1"/>
        </w:rPr>
        <w:t xml:space="preserve"> </w:t>
      </w:r>
      <w:r w:rsidR="00B2387C" w:rsidRPr="00986D6A">
        <w:rPr>
          <w:rFonts w:eastAsia="Calibri"/>
          <w:snapToGrid w:val="0"/>
          <w:kern w:val="22"/>
          <w:bdr w:val="none" w:sz="0" w:space="0" w:color="auto" w:frame="1"/>
        </w:rPr>
        <w:t>which the Museum belongs: CETAF</w:t>
      </w:r>
      <w:r w:rsidR="00D819C7" w:rsidRPr="00986D6A">
        <w:rPr>
          <w:rFonts w:eastAsia="Calibri"/>
          <w:snapToGrid w:val="0"/>
          <w:kern w:val="22"/>
          <w:bdr w:val="none" w:sz="0" w:space="0" w:color="auto" w:frame="1"/>
        </w:rPr>
        <w:t xml:space="preserve"> </w:t>
      </w:r>
      <w:r w:rsidR="00CD3E26" w:rsidRPr="00986D6A">
        <w:rPr>
          <w:rFonts w:eastAsia="Calibri"/>
          <w:snapToGrid w:val="0"/>
          <w:kern w:val="22"/>
          <w:bdr w:val="none" w:sz="0" w:space="0" w:color="auto" w:frame="1"/>
        </w:rPr>
        <w:t>and the Global Genome Biodiversity</w:t>
      </w:r>
      <w:r w:rsidR="00D819C7" w:rsidRPr="00986D6A">
        <w:rPr>
          <w:rFonts w:eastAsia="Calibri"/>
          <w:snapToGrid w:val="0"/>
          <w:kern w:val="22"/>
          <w:bdr w:val="none" w:sz="0" w:space="0" w:color="auto" w:frame="1"/>
        </w:rPr>
        <w:t xml:space="preserve"> </w:t>
      </w:r>
      <w:r w:rsidR="00CD3E26" w:rsidRPr="00986D6A">
        <w:rPr>
          <w:rFonts w:eastAsia="Calibri"/>
          <w:snapToGrid w:val="0"/>
          <w:kern w:val="22"/>
          <w:bdr w:val="none" w:sz="0" w:space="0" w:color="auto" w:frame="1"/>
        </w:rPr>
        <w:t>Network</w:t>
      </w:r>
      <w:r w:rsidR="00D819C7" w:rsidRPr="00986D6A">
        <w:rPr>
          <w:rFonts w:eastAsia="Calibri"/>
          <w:snapToGrid w:val="0"/>
          <w:kern w:val="22"/>
          <w:bdr w:val="none" w:sz="0" w:space="0" w:color="auto" w:frame="1"/>
        </w:rPr>
        <w:t xml:space="preserve"> (</w:t>
      </w:r>
      <w:r w:rsidR="00CD3E26" w:rsidRPr="00986D6A">
        <w:rPr>
          <w:rFonts w:eastAsia="Calibri"/>
          <w:snapToGrid w:val="0"/>
          <w:kern w:val="22"/>
          <w:bdr w:val="none" w:sz="0" w:space="0" w:color="auto" w:frame="1"/>
        </w:rPr>
        <w:t>GGBN</w:t>
      </w:r>
      <w:r w:rsidR="00D819C7" w:rsidRPr="00986D6A">
        <w:rPr>
          <w:rFonts w:eastAsia="Calibri"/>
          <w:snapToGrid w:val="0"/>
          <w:kern w:val="22"/>
          <w:bdr w:val="none" w:sz="0" w:space="0" w:color="auto" w:frame="1"/>
        </w:rPr>
        <w:t>). The GGBN</w:t>
      </w:r>
      <w:r w:rsidR="00CD3E26" w:rsidRPr="00986D6A">
        <w:rPr>
          <w:rFonts w:eastAsia="Calibri"/>
          <w:snapToGrid w:val="0"/>
          <w:kern w:val="22"/>
          <w:bdr w:val="none" w:sz="0" w:space="0" w:color="auto" w:frame="1"/>
        </w:rPr>
        <w:t xml:space="preserve"> documents are based</w:t>
      </w:r>
      <w:r w:rsidR="00D819C7" w:rsidRPr="00986D6A">
        <w:rPr>
          <w:rFonts w:eastAsia="Calibri"/>
          <w:snapToGrid w:val="0"/>
          <w:kern w:val="22"/>
          <w:bdr w:val="none" w:sz="0" w:space="0" w:color="auto" w:frame="1"/>
        </w:rPr>
        <w:t xml:space="preserve"> </w:t>
      </w:r>
      <w:r w:rsidR="00CD3E26" w:rsidRPr="00986D6A">
        <w:rPr>
          <w:rFonts w:eastAsia="Calibri"/>
          <w:snapToGrid w:val="0"/>
          <w:kern w:val="22"/>
          <w:bdr w:val="none" w:sz="0" w:space="0" w:color="auto" w:frame="1"/>
        </w:rPr>
        <w:t>on those of CETAF, modified for the particular needs of t</w:t>
      </w:r>
      <w:r w:rsidR="00D819C7" w:rsidRPr="00986D6A">
        <w:rPr>
          <w:rFonts w:eastAsia="Calibri"/>
          <w:snapToGrid w:val="0"/>
          <w:kern w:val="22"/>
          <w:bdr w:val="none" w:sz="0" w:space="0" w:color="auto" w:frame="1"/>
        </w:rPr>
        <w:t>he GGBN members and operations. T</w:t>
      </w:r>
      <w:r w:rsidR="00CD3E26" w:rsidRPr="00986D6A">
        <w:rPr>
          <w:rFonts w:eastAsia="Calibri"/>
          <w:snapToGrid w:val="0"/>
          <w:kern w:val="22"/>
          <w:bdr w:val="none" w:sz="0" w:space="0" w:color="auto" w:frame="1"/>
        </w:rPr>
        <w:t xml:space="preserve">he tools that have been developed </w:t>
      </w:r>
      <w:r w:rsidR="00B2387C" w:rsidRPr="00986D6A">
        <w:rPr>
          <w:rFonts w:eastAsia="Calibri"/>
          <w:snapToGrid w:val="0"/>
          <w:kern w:val="22"/>
          <w:bdr w:val="none" w:sz="0" w:space="0" w:color="auto" w:frame="1"/>
        </w:rPr>
        <w:t>with them</w:t>
      </w:r>
      <w:r w:rsidR="00363296">
        <w:rPr>
          <w:rFonts w:eastAsia="Calibri"/>
          <w:snapToGrid w:val="0"/>
          <w:kern w:val="22"/>
          <w:bdr w:val="none" w:sz="0" w:space="0" w:color="auto" w:frame="1"/>
        </w:rPr>
        <w:t xml:space="preserve">, namely </w:t>
      </w:r>
      <w:r w:rsidR="00B2387C" w:rsidRPr="00986D6A">
        <w:rPr>
          <w:rFonts w:eastAsia="Calibri"/>
          <w:snapToGrid w:val="0"/>
          <w:kern w:val="22"/>
          <w:bdr w:val="none" w:sz="0" w:space="0" w:color="auto" w:frame="1"/>
        </w:rPr>
        <w:t>a ‘use of materials’ statement for informing provider countries and a template MTA</w:t>
      </w:r>
      <w:r w:rsidR="00363296">
        <w:rPr>
          <w:rFonts w:eastAsia="Calibri"/>
          <w:snapToGrid w:val="0"/>
          <w:kern w:val="22"/>
          <w:bdr w:val="none" w:sz="0" w:space="0" w:color="auto" w:frame="1"/>
        </w:rPr>
        <w:t>,</w:t>
      </w:r>
      <w:r w:rsidR="00B2387C" w:rsidRPr="00986D6A">
        <w:rPr>
          <w:rFonts w:eastAsia="Calibri"/>
          <w:snapToGrid w:val="0"/>
          <w:kern w:val="22"/>
          <w:bdr w:val="none" w:sz="0" w:space="0" w:color="auto" w:frame="1"/>
        </w:rPr>
        <w:t xml:space="preserve"> have been adapted by the Museum and are being used and implemented.</w:t>
      </w:r>
    </w:p>
    <w:p w:rsidR="00EA44CF" w:rsidRDefault="00606E24" w:rsidP="00B569BC">
      <w:pPr>
        <w:pStyle w:val="Heading1"/>
        <w:numPr>
          <w:ilvl w:val="0"/>
          <w:numId w:val="5"/>
        </w:numPr>
        <w:tabs>
          <w:tab w:val="clear" w:pos="720"/>
          <w:tab w:val="left" w:pos="1276"/>
        </w:tabs>
        <w:ind w:left="1276"/>
        <w:jc w:val="left"/>
      </w:pPr>
      <w:r>
        <w:lastRenderedPageBreak/>
        <w:t>stock</w:t>
      </w:r>
      <w:r w:rsidR="009647DA">
        <w:t>-</w:t>
      </w:r>
      <w:r w:rsidR="008B05B9">
        <w:t xml:space="preserve">taking of THE DEVELOPMENT and use </w:t>
      </w:r>
      <w:r w:rsidR="005761ED" w:rsidRPr="00A739F3">
        <w:t>CODES OF CONDUCT, GUIDELINES, BEST PRACTICES,</w:t>
      </w:r>
      <w:r w:rsidR="008B05B9">
        <w:t xml:space="preserve"> and/or</w:t>
      </w:r>
      <w:r w:rsidR="005761ED" w:rsidRPr="00A739F3">
        <w:t xml:space="preserve"> STANDARDS</w:t>
      </w:r>
    </w:p>
    <w:p w:rsidR="008B05B9" w:rsidRPr="008B05B9" w:rsidRDefault="00015F11" w:rsidP="008B05B9">
      <w:pPr>
        <w:pStyle w:val="ListParagraph"/>
        <w:numPr>
          <w:ilvl w:val="0"/>
          <w:numId w:val="9"/>
        </w:numPr>
        <w:rPr>
          <w:snapToGrid w:val="0"/>
          <w:kern w:val="22"/>
        </w:rPr>
      </w:pPr>
      <w:r w:rsidRPr="008B05B9">
        <w:rPr>
          <w:snapToGrid w:val="0"/>
          <w:kern w:val="22"/>
        </w:rPr>
        <w:t xml:space="preserve">This section provides an overview of </w:t>
      </w:r>
      <w:r w:rsidR="009C711B" w:rsidRPr="008B05B9">
        <w:rPr>
          <w:snapToGrid w:val="0"/>
          <w:kern w:val="22"/>
        </w:rPr>
        <w:t>information provided on</w:t>
      </w:r>
      <w:r w:rsidR="00586601" w:rsidRPr="008B05B9">
        <w:rPr>
          <w:snapToGrid w:val="0"/>
          <w:kern w:val="22"/>
        </w:rPr>
        <w:t xml:space="preserve"> </w:t>
      </w:r>
      <w:r w:rsidR="00606E24">
        <w:rPr>
          <w:snapToGrid w:val="0"/>
          <w:kern w:val="22"/>
        </w:rPr>
        <w:t xml:space="preserve">the </w:t>
      </w:r>
      <w:r w:rsidR="00586601" w:rsidRPr="008B05B9">
        <w:rPr>
          <w:snapToGrid w:val="0"/>
          <w:kern w:val="22"/>
        </w:rPr>
        <w:t xml:space="preserve">development and </w:t>
      </w:r>
      <w:r w:rsidRPr="008B05B9">
        <w:rPr>
          <w:snapToGrid w:val="0"/>
          <w:kern w:val="22"/>
        </w:rPr>
        <w:t>use of codes of conduct, guidelines, best practices and</w:t>
      </w:r>
      <w:r w:rsidR="008B05B9" w:rsidRPr="008B05B9">
        <w:rPr>
          <w:snapToGrid w:val="0"/>
          <w:kern w:val="22"/>
        </w:rPr>
        <w:t>/or</w:t>
      </w:r>
      <w:r w:rsidRPr="008B05B9">
        <w:rPr>
          <w:snapToGrid w:val="0"/>
          <w:kern w:val="22"/>
        </w:rPr>
        <w:t xml:space="preserve"> </w:t>
      </w:r>
      <w:r w:rsidR="009C711B" w:rsidRPr="008B05B9">
        <w:rPr>
          <w:snapToGrid w:val="0"/>
          <w:kern w:val="22"/>
        </w:rPr>
        <w:t>standards</w:t>
      </w:r>
      <w:r w:rsidR="008B05B9">
        <w:rPr>
          <w:snapToGrid w:val="0"/>
          <w:kern w:val="22"/>
        </w:rPr>
        <w:t xml:space="preserve"> (Article 20 tools)</w:t>
      </w:r>
      <w:r w:rsidR="009C711B" w:rsidRPr="008B05B9">
        <w:rPr>
          <w:snapToGrid w:val="0"/>
          <w:kern w:val="22"/>
        </w:rPr>
        <w:t>. As in the section above, it should be noted that</w:t>
      </w:r>
      <w:r w:rsidRPr="008B05B9">
        <w:rPr>
          <w:snapToGrid w:val="0"/>
          <w:kern w:val="22"/>
        </w:rPr>
        <w:t xml:space="preserve"> Parties and organizations have reported </w:t>
      </w:r>
      <w:r w:rsidR="009C711B" w:rsidRPr="008B05B9">
        <w:rPr>
          <w:snapToGrid w:val="0"/>
          <w:kern w:val="22"/>
        </w:rPr>
        <w:t xml:space="preserve">more </w:t>
      </w:r>
      <w:r w:rsidRPr="008B05B9">
        <w:rPr>
          <w:snapToGrid w:val="0"/>
          <w:kern w:val="22"/>
        </w:rPr>
        <w:t xml:space="preserve">on </w:t>
      </w:r>
      <w:r w:rsidR="009C711B" w:rsidRPr="008B05B9">
        <w:rPr>
          <w:snapToGrid w:val="0"/>
          <w:kern w:val="22"/>
        </w:rPr>
        <w:t xml:space="preserve">the development of </w:t>
      </w:r>
      <w:r w:rsidR="006439EA" w:rsidRPr="008B05B9">
        <w:rPr>
          <w:snapToGrid w:val="0"/>
          <w:kern w:val="22"/>
        </w:rPr>
        <w:t>codes of conduct, guidelines, best practices and standards</w:t>
      </w:r>
      <w:r w:rsidR="009C711B" w:rsidRPr="008B05B9">
        <w:rPr>
          <w:snapToGrid w:val="0"/>
          <w:kern w:val="22"/>
        </w:rPr>
        <w:t xml:space="preserve"> </w:t>
      </w:r>
      <w:r w:rsidRPr="008B05B9">
        <w:rPr>
          <w:snapToGrid w:val="0"/>
          <w:kern w:val="22"/>
        </w:rPr>
        <w:t xml:space="preserve">than specifically on their use. </w:t>
      </w:r>
      <w:r w:rsidR="008B05B9" w:rsidRPr="008B05B9">
        <w:rPr>
          <w:snapToGrid w:val="0"/>
          <w:kern w:val="22"/>
        </w:rPr>
        <w:t xml:space="preserve">Subsection A below looks more closely at </w:t>
      </w:r>
      <w:r w:rsidR="008B05B9">
        <w:rPr>
          <w:snapToGrid w:val="0"/>
          <w:kern w:val="22"/>
        </w:rPr>
        <w:t xml:space="preserve">Article 20 tools </w:t>
      </w:r>
      <w:r w:rsidR="008B05B9" w:rsidRPr="008B05B9">
        <w:rPr>
          <w:snapToGrid w:val="0"/>
          <w:kern w:val="22"/>
        </w:rPr>
        <w:t xml:space="preserve">developed and under development, including their intended use, and subsection B </w:t>
      </w:r>
      <w:r w:rsidR="002D0861">
        <w:rPr>
          <w:snapToGrid w:val="0"/>
          <w:kern w:val="22"/>
        </w:rPr>
        <w:t xml:space="preserve">provides </w:t>
      </w:r>
      <w:r w:rsidR="008B05B9" w:rsidRPr="008B05B9">
        <w:rPr>
          <w:snapToGrid w:val="0"/>
          <w:kern w:val="22"/>
        </w:rPr>
        <w:t>information on their use.</w:t>
      </w:r>
    </w:p>
    <w:p w:rsidR="000B754A" w:rsidRPr="000B754A" w:rsidRDefault="000B754A" w:rsidP="00FF7A15">
      <w:pPr>
        <w:pStyle w:val="Heading2"/>
        <w:numPr>
          <w:ilvl w:val="0"/>
          <w:numId w:val="12"/>
        </w:numPr>
      </w:pPr>
      <w:r>
        <w:t>Development</w:t>
      </w:r>
      <w:r w:rsidR="00332B8A">
        <w:t xml:space="preserve"> of </w:t>
      </w:r>
      <w:r w:rsidR="0044282E">
        <w:t>c</w:t>
      </w:r>
      <w:r w:rsidR="00A222D5" w:rsidRPr="00A103E7">
        <w:t xml:space="preserve">odes of </w:t>
      </w:r>
      <w:r w:rsidR="0044282E">
        <w:t>c</w:t>
      </w:r>
      <w:r w:rsidR="00A222D5" w:rsidRPr="00A103E7">
        <w:t xml:space="preserve">onduct, </w:t>
      </w:r>
      <w:r w:rsidR="0044282E">
        <w:t>g</w:t>
      </w:r>
      <w:r w:rsidR="00A222D5" w:rsidRPr="00A103E7">
        <w:t xml:space="preserve">uidelines, </w:t>
      </w:r>
      <w:r w:rsidR="0044282E">
        <w:t>b</w:t>
      </w:r>
      <w:r w:rsidR="00A222D5" w:rsidRPr="00A103E7">
        <w:t xml:space="preserve">est </w:t>
      </w:r>
      <w:r w:rsidR="0044282E">
        <w:t>p</w:t>
      </w:r>
      <w:r w:rsidR="00A222D5" w:rsidRPr="00A103E7">
        <w:t xml:space="preserve">ractices </w:t>
      </w:r>
      <w:r w:rsidR="00A222D5">
        <w:t>and</w:t>
      </w:r>
      <w:r w:rsidR="008B05B9">
        <w:t>/or</w:t>
      </w:r>
      <w:r w:rsidR="00A222D5">
        <w:t xml:space="preserve"> </w:t>
      </w:r>
      <w:r w:rsidR="0044282E">
        <w:t>s</w:t>
      </w:r>
      <w:r w:rsidR="00A222D5" w:rsidRPr="00A103E7">
        <w:t>tandards</w:t>
      </w:r>
    </w:p>
    <w:p w:rsidR="00A73FCF" w:rsidRPr="00A73FCF" w:rsidRDefault="00A73FCF" w:rsidP="00A73FCF">
      <w:pPr>
        <w:numPr>
          <w:ilvl w:val="0"/>
          <w:numId w:val="9"/>
        </w:numPr>
        <w:pBdr>
          <w:top w:val="nil"/>
          <w:left w:val="nil"/>
          <w:bottom w:val="nil"/>
          <w:right w:val="nil"/>
          <w:between w:val="nil"/>
          <w:bar w:val="nil"/>
        </w:pBdr>
        <w:spacing w:before="120" w:after="120"/>
        <w:rPr>
          <w:snapToGrid w:val="0"/>
          <w:kern w:val="22"/>
        </w:rPr>
      </w:pPr>
      <w:r w:rsidRPr="002A00AF">
        <w:rPr>
          <w:snapToGrid w:val="0"/>
          <w:kern w:val="22"/>
        </w:rPr>
        <w:t xml:space="preserve">According to information available, as of 22 February 2018, a total of </w:t>
      </w:r>
      <w:r>
        <w:rPr>
          <w:snapToGrid w:val="0"/>
          <w:kern w:val="22"/>
        </w:rPr>
        <w:t>33</w:t>
      </w:r>
      <w:r w:rsidRPr="003102F7">
        <w:rPr>
          <w:snapToGrid w:val="0"/>
          <w:kern w:val="22"/>
        </w:rPr>
        <w:t xml:space="preserve"> </w:t>
      </w:r>
      <w:r>
        <w:t>codes of conduct, guidelines, best practices, and</w:t>
      </w:r>
      <w:r w:rsidR="009F0103">
        <w:t>/or</w:t>
      </w:r>
      <w:r>
        <w:t xml:space="preserve"> standards</w:t>
      </w:r>
      <w:r w:rsidRPr="003102F7">
        <w:rPr>
          <w:snapToGrid w:val="0"/>
          <w:kern w:val="22"/>
        </w:rPr>
        <w:t xml:space="preserve"> </w:t>
      </w:r>
      <w:r w:rsidRPr="002A00AF">
        <w:rPr>
          <w:snapToGrid w:val="0"/>
          <w:kern w:val="22"/>
        </w:rPr>
        <w:t xml:space="preserve">have been developed in the context of Article </w:t>
      </w:r>
      <w:r>
        <w:rPr>
          <w:snapToGrid w:val="0"/>
          <w:kern w:val="22"/>
        </w:rPr>
        <w:t>20</w:t>
      </w:r>
      <w:r w:rsidRPr="002A00AF">
        <w:rPr>
          <w:snapToGrid w:val="0"/>
          <w:kern w:val="22"/>
        </w:rPr>
        <w:t xml:space="preserve"> of the Protocol</w:t>
      </w:r>
      <w:r>
        <w:rPr>
          <w:snapToGrid w:val="0"/>
          <w:kern w:val="22"/>
        </w:rPr>
        <w:t>.</w:t>
      </w:r>
      <w:r w:rsidRPr="002A00AF">
        <w:rPr>
          <w:snapToGrid w:val="0"/>
          <w:kern w:val="22"/>
        </w:rPr>
        <w:t xml:space="preserve"> </w:t>
      </w:r>
      <w:r w:rsidR="00586601">
        <w:rPr>
          <w:snapToGrid w:val="0"/>
          <w:kern w:val="22"/>
        </w:rPr>
        <w:t>Some documents contain various tools within them (for instance a document may contain both ABS standards and codes of conduct)</w:t>
      </w:r>
      <w:r w:rsidR="009F0103">
        <w:rPr>
          <w:snapToGrid w:val="0"/>
          <w:kern w:val="22"/>
        </w:rPr>
        <w:t xml:space="preserve">. </w:t>
      </w:r>
      <w:r w:rsidR="009F0103" w:rsidRPr="002F311B">
        <w:rPr>
          <w:snapToGrid w:val="0"/>
          <w:kern w:val="22"/>
        </w:rPr>
        <w:t xml:space="preserve">A list of these </w:t>
      </w:r>
      <w:r w:rsidR="009F0103">
        <w:rPr>
          <w:snapToGrid w:val="0"/>
          <w:kern w:val="22"/>
        </w:rPr>
        <w:t xml:space="preserve">tools </w:t>
      </w:r>
      <w:r w:rsidR="009F0103" w:rsidRPr="002F311B">
        <w:rPr>
          <w:snapToGrid w:val="0"/>
          <w:kern w:val="22"/>
        </w:rPr>
        <w:t xml:space="preserve">is found in </w:t>
      </w:r>
      <w:r w:rsidR="009D4331">
        <w:rPr>
          <w:snapToGrid w:val="0"/>
          <w:kern w:val="22"/>
        </w:rPr>
        <w:t>the a</w:t>
      </w:r>
      <w:r w:rsidR="009F0103" w:rsidRPr="002F311B">
        <w:rPr>
          <w:snapToGrid w:val="0"/>
          <w:kern w:val="22"/>
        </w:rPr>
        <w:t xml:space="preserve">nnex to this </w:t>
      </w:r>
      <w:r w:rsidR="0044282E" w:rsidRPr="002F311B">
        <w:rPr>
          <w:snapToGrid w:val="0"/>
          <w:kern w:val="22"/>
        </w:rPr>
        <w:t>document</w:t>
      </w:r>
      <w:r w:rsidR="009F0103">
        <w:rPr>
          <w:snapToGrid w:val="0"/>
          <w:kern w:val="22"/>
        </w:rPr>
        <w:t>, including links to the document when available</w:t>
      </w:r>
      <w:r w:rsidR="00586601">
        <w:rPr>
          <w:snapToGrid w:val="0"/>
          <w:kern w:val="22"/>
        </w:rPr>
        <w:t>.</w:t>
      </w:r>
    </w:p>
    <w:p w:rsidR="00A73FCF" w:rsidRDefault="00A73FCF" w:rsidP="00FF7A15">
      <w:pPr>
        <w:numPr>
          <w:ilvl w:val="0"/>
          <w:numId w:val="9"/>
        </w:numPr>
        <w:pBdr>
          <w:top w:val="nil"/>
          <w:left w:val="nil"/>
          <w:bottom w:val="nil"/>
          <w:right w:val="nil"/>
          <w:between w:val="nil"/>
          <w:bar w:val="nil"/>
        </w:pBdr>
        <w:spacing w:before="120" w:after="120"/>
        <w:rPr>
          <w:snapToGrid w:val="0"/>
          <w:kern w:val="22"/>
        </w:rPr>
      </w:pPr>
      <w:r>
        <w:rPr>
          <w:snapToGrid w:val="0"/>
          <w:kern w:val="22"/>
        </w:rPr>
        <w:t>Of the 33 ABS tools, seven</w:t>
      </w:r>
      <w:r w:rsidRPr="002F311B">
        <w:rPr>
          <w:snapToGrid w:val="0"/>
          <w:kern w:val="22"/>
        </w:rPr>
        <w:t xml:space="preserve"> </w:t>
      </w:r>
      <w:r w:rsidR="00091291" w:rsidRPr="002F311B">
        <w:rPr>
          <w:snapToGrid w:val="0"/>
          <w:kern w:val="22"/>
        </w:rPr>
        <w:t>were developed by Parties</w:t>
      </w:r>
      <w:r w:rsidR="009D4331">
        <w:rPr>
          <w:snapToGrid w:val="0"/>
          <w:kern w:val="22"/>
        </w:rPr>
        <w:t>,</w:t>
      </w:r>
      <w:r w:rsidR="00091291" w:rsidRPr="0064410B">
        <w:rPr>
          <w:rStyle w:val="FootnoteReference"/>
          <w:snapToGrid w:val="0"/>
          <w:kern w:val="22"/>
          <w:sz w:val="22"/>
          <w:u w:val="none"/>
          <w:vertAlign w:val="superscript"/>
        </w:rPr>
        <w:footnoteReference w:id="16"/>
      </w:r>
      <w:r w:rsidR="00091291" w:rsidRPr="002F311B">
        <w:rPr>
          <w:snapToGrid w:val="0"/>
          <w:kern w:val="22"/>
        </w:rPr>
        <w:t xml:space="preserve"> </w:t>
      </w:r>
      <w:r>
        <w:rPr>
          <w:snapToGrid w:val="0"/>
          <w:kern w:val="22"/>
        </w:rPr>
        <w:t>four</w:t>
      </w:r>
      <w:r w:rsidRPr="002F311B">
        <w:rPr>
          <w:snapToGrid w:val="0"/>
          <w:kern w:val="22"/>
        </w:rPr>
        <w:t xml:space="preserve"> </w:t>
      </w:r>
      <w:r w:rsidR="00091291" w:rsidRPr="002F311B">
        <w:rPr>
          <w:snapToGrid w:val="0"/>
          <w:kern w:val="22"/>
        </w:rPr>
        <w:t>by regional group</w:t>
      </w:r>
      <w:r w:rsidR="0064410B" w:rsidRPr="002F311B">
        <w:rPr>
          <w:snapToGrid w:val="0"/>
          <w:kern w:val="22"/>
        </w:rPr>
        <w:t>s</w:t>
      </w:r>
      <w:r w:rsidR="00091291" w:rsidRPr="0064410B">
        <w:rPr>
          <w:rStyle w:val="FootnoteReference"/>
          <w:snapToGrid w:val="0"/>
          <w:kern w:val="22"/>
          <w:sz w:val="22"/>
          <w:u w:val="none"/>
          <w:vertAlign w:val="superscript"/>
        </w:rPr>
        <w:footnoteReference w:id="17"/>
      </w:r>
      <w:r w:rsidR="00091291" w:rsidRPr="002F311B">
        <w:rPr>
          <w:snapToGrid w:val="0"/>
          <w:kern w:val="22"/>
        </w:rPr>
        <w:t xml:space="preserve"> and </w:t>
      </w:r>
      <w:r>
        <w:rPr>
          <w:snapToGrid w:val="0"/>
          <w:kern w:val="22"/>
        </w:rPr>
        <w:t>22</w:t>
      </w:r>
      <w:r w:rsidRPr="002F311B">
        <w:rPr>
          <w:snapToGrid w:val="0"/>
          <w:kern w:val="22"/>
        </w:rPr>
        <w:t xml:space="preserve"> </w:t>
      </w:r>
      <w:r w:rsidR="00091291" w:rsidRPr="002F311B">
        <w:rPr>
          <w:snapToGrid w:val="0"/>
          <w:kern w:val="22"/>
        </w:rPr>
        <w:t>by organizations</w:t>
      </w:r>
      <w:r w:rsidR="009D4331">
        <w:rPr>
          <w:snapToGrid w:val="0"/>
          <w:kern w:val="22"/>
        </w:rPr>
        <w:t>.</w:t>
      </w:r>
      <w:r w:rsidR="00091291" w:rsidRPr="0064410B">
        <w:rPr>
          <w:rStyle w:val="FootnoteReference"/>
          <w:snapToGrid w:val="0"/>
          <w:kern w:val="22"/>
          <w:sz w:val="22"/>
          <w:u w:val="none"/>
          <w:vertAlign w:val="superscript"/>
        </w:rPr>
        <w:footnoteReference w:id="18"/>
      </w:r>
    </w:p>
    <w:p w:rsidR="00E84400" w:rsidRDefault="00E84400" w:rsidP="00FF7A15">
      <w:pPr>
        <w:numPr>
          <w:ilvl w:val="0"/>
          <w:numId w:val="9"/>
        </w:numPr>
        <w:pBdr>
          <w:top w:val="nil"/>
          <w:left w:val="nil"/>
          <w:bottom w:val="nil"/>
          <w:right w:val="nil"/>
          <w:between w:val="nil"/>
          <w:bar w:val="nil"/>
        </w:pBdr>
        <w:spacing w:before="120" w:after="120"/>
        <w:rPr>
          <w:snapToGrid w:val="0"/>
          <w:kern w:val="22"/>
        </w:rPr>
      </w:pPr>
      <w:r>
        <w:rPr>
          <w:snapToGrid w:val="0"/>
          <w:kern w:val="22"/>
        </w:rPr>
        <w:t xml:space="preserve">Of all </w:t>
      </w:r>
      <w:r>
        <w:t>codes of conduct, guidelines, best practices, and</w:t>
      </w:r>
      <w:r w:rsidR="009F0103">
        <w:t>/or</w:t>
      </w:r>
      <w:r>
        <w:t xml:space="preserve"> standards reported, most (76%) are available in the ABS Clearing-House, either as a reference record</w:t>
      </w:r>
      <w:r w:rsidRPr="00B70F58">
        <w:rPr>
          <w:rStyle w:val="FootnoteReference"/>
          <w:sz w:val="22"/>
          <w:u w:val="none"/>
          <w:vertAlign w:val="superscript"/>
        </w:rPr>
        <w:footnoteReference w:id="19"/>
      </w:r>
      <w:r>
        <w:t xml:space="preserve"> or as part of a national record</w:t>
      </w:r>
      <w:r w:rsidR="009D4331">
        <w:t>.</w:t>
      </w:r>
      <w:r w:rsidR="00B70F58" w:rsidRPr="00B70F58">
        <w:rPr>
          <w:rStyle w:val="FootnoteReference"/>
          <w:sz w:val="22"/>
          <w:u w:val="none"/>
          <w:vertAlign w:val="superscript"/>
        </w:rPr>
        <w:footnoteReference w:id="20"/>
      </w:r>
    </w:p>
    <w:p w:rsidR="00091291" w:rsidRDefault="00A83DD4" w:rsidP="00E84400">
      <w:pPr>
        <w:numPr>
          <w:ilvl w:val="0"/>
          <w:numId w:val="9"/>
        </w:numPr>
        <w:pBdr>
          <w:top w:val="nil"/>
          <w:left w:val="nil"/>
          <w:bottom w:val="nil"/>
          <w:right w:val="nil"/>
          <w:between w:val="nil"/>
          <w:bar w:val="nil"/>
        </w:pBdr>
        <w:spacing w:before="120" w:after="120"/>
        <w:rPr>
          <w:snapToGrid w:val="0"/>
          <w:kern w:val="22"/>
        </w:rPr>
      </w:pPr>
      <w:r>
        <w:rPr>
          <w:snapToGrid w:val="0"/>
          <w:kern w:val="22"/>
        </w:rPr>
        <w:t xml:space="preserve">In addition, </w:t>
      </w:r>
      <w:r w:rsidR="00E84400">
        <w:rPr>
          <w:snapToGrid w:val="0"/>
          <w:kern w:val="22"/>
        </w:rPr>
        <w:t xml:space="preserve">seven </w:t>
      </w:r>
      <w:r w:rsidR="00A73FCF" w:rsidRPr="002F311B">
        <w:rPr>
          <w:snapToGrid w:val="0"/>
          <w:kern w:val="22"/>
        </w:rPr>
        <w:t>Part</w:t>
      </w:r>
      <w:r w:rsidR="00E84400">
        <w:rPr>
          <w:snapToGrid w:val="0"/>
          <w:kern w:val="22"/>
        </w:rPr>
        <w:t>ies</w:t>
      </w:r>
      <w:r w:rsidR="00A73FCF" w:rsidRPr="002F311B">
        <w:rPr>
          <w:snapToGrid w:val="0"/>
          <w:kern w:val="22"/>
        </w:rPr>
        <w:t xml:space="preserve"> </w:t>
      </w:r>
      <w:r w:rsidR="00A73FCF" w:rsidRPr="0064410B">
        <w:rPr>
          <w:rStyle w:val="FootnoteReference"/>
          <w:snapToGrid w:val="0"/>
          <w:kern w:val="22"/>
          <w:sz w:val="22"/>
          <w:u w:val="none"/>
          <w:vertAlign w:val="superscript"/>
        </w:rPr>
        <w:footnoteReference w:id="21"/>
      </w:r>
      <w:r w:rsidR="00A73FCF" w:rsidRPr="002F311B">
        <w:rPr>
          <w:snapToGrid w:val="0"/>
          <w:kern w:val="22"/>
        </w:rPr>
        <w:t xml:space="preserve"> </w:t>
      </w:r>
      <w:r w:rsidR="00E84400">
        <w:rPr>
          <w:snapToGrid w:val="0"/>
          <w:kern w:val="22"/>
        </w:rPr>
        <w:t>reported work underway to develop</w:t>
      </w:r>
      <w:r w:rsidR="009F0103">
        <w:rPr>
          <w:snapToGrid w:val="0"/>
          <w:kern w:val="22"/>
        </w:rPr>
        <w:t xml:space="preserve"> Article 20 tools</w:t>
      </w:r>
      <w:r w:rsidR="008F7C38">
        <w:rPr>
          <w:snapToGrid w:val="0"/>
          <w:kern w:val="22"/>
        </w:rPr>
        <w:t>. For example:</w:t>
      </w:r>
    </w:p>
    <w:p w:rsidR="00E84400" w:rsidRPr="00E84400" w:rsidRDefault="00E84400" w:rsidP="00E84400">
      <w:pPr>
        <w:numPr>
          <w:ilvl w:val="1"/>
          <w:numId w:val="9"/>
        </w:numPr>
        <w:pBdr>
          <w:top w:val="nil"/>
          <w:left w:val="nil"/>
          <w:bottom w:val="nil"/>
          <w:right w:val="nil"/>
          <w:between w:val="nil"/>
          <w:bar w:val="nil"/>
        </w:pBdr>
        <w:spacing w:before="120" w:after="120"/>
        <w:ind w:firstLine="720"/>
        <w:rPr>
          <w:snapToGrid w:val="0"/>
          <w:kern w:val="22"/>
        </w:rPr>
      </w:pPr>
      <w:r w:rsidRPr="007B7C5D">
        <w:rPr>
          <w:lang w:val="en-US"/>
        </w:rPr>
        <w:t>Mexico, under the GEF-PNUD-SEMARNAT Project on ABS</w:t>
      </w:r>
      <w:r>
        <w:rPr>
          <w:lang w:val="en-US"/>
        </w:rPr>
        <w:t>,</w:t>
      </w:r>
      <w:r w:rsidRPr="007B7C5D">
        <w:rPr>
          <w:lang w:val="en-US"/>
        </w:rPr>
        <w:t xml:space="preserve"> has started work </w:t>
      </w:r>
      <w:r>
        <w:rPr>
          <w:lang w:val="en-US"/>
        </w:rPr>
        <w:t>on</w:t>
      </w:r>
      <w:r w:rsidRPr="007B7C5D">
        <w:rPr>
          <w:lang w:val="en-US"/>
        </w:rPr>
        <w:t xml:space="preserve"> the development of guidelines for the contents of biocultural a</w:t>
      </w:r>
      <w:r>
        <w:rPr>
          <w:lang w:val="en-US"/>
        </w:rPr>
        <w:t>nd/</w:t>
      </w:r>
      <w:r w:rsidRPr="007B7C5D">
        <w:rPr>
          <w:lang w:val="en-US"/>
        </w:rPr>
        <w:t>or community protocols in different regions of the country</w:t>
      </w:r>
      <w:r w:rsidR="009D4331">
        <w:rPr>
          <w:lang w:val="en-US"/>
        </w:rPr>
        <w:t>;</w:t>
      </w:r>
    </w:p>
    <w:p w:rsidR="00B70F58" w:rsidRDefault="00E84400" w:rsidP="00B70F58">
      <w:pPr>
        <w:numPr>
          <w:ilvl w:val="1"/>
          <w:numId w:val="9"/>
        </w:numPr>
        <w:pBdr>
          <w:top w:val="nil"/>
          <w:left w:val="nil"/>
          <w:bottom w:val="nil"/>
          <w:right w:val="nil"/>
          <w:between w:val="nil"/>
          <w:bar w:val="nil"/>
        </w:pBdr>
        <w:spacing w:before="120" w:after="120"/>
        <w:ind w:firstLine="720"/>
        <w:rPr>
          <w:snapToGrid w:val="0"/>
          <w:kern w:val="22"/>
        </w:rPr>
      </w:pPr>
      <w:r>
        <w:rPr>
          <w:lang w:val="en-US"/>
        </w:rPr>
        <w:t xml:space="preserve">The Peruvian </w:t>
      </w:r>
      <w:r w:rsidR="00343334">
        <w:rPr>
          <w:lang w:val="en-US"/>
        </w:rPr>
        <w:t>M</w:t>
      </w:r>
      <w:r>
        <w:rPr>
          <w:lang w:val="en-US"/>
        </w:rPr>
        <w:t xml:space="preserve">inistry of </w:t>
      </w:r>
      <w:r w:rsidR="00343334">
        <w:rPr>
          <w:lang w:val="en-US"/>
        </w:rPr>
        <w:t>E</w:t>
      </w:r>
      <w:r>
        <w:rPr>
          <w:lang w:val="en-US"/>
        </w:rPr>
        <w:t>nvironment (MINAM) h</w:t>
      </w:r>
      <w:r w:rsidRPr="00E84400">
        <w:rPr>
          <w:lang w:val="en-US"/>
        </w:rPr>
        <w:t xml:space="preserve">as prepared a proposal </w:t>
      </w:r>
      <w:r>
        <w:rPr>
          <w:lang w:val="en-US"/>
        </w:rPr>
        <w:t>for</w:t>
      </w:r>
      <w:r w:rsidRPr="00E84400">
        <w:rPr>
          <w:lang w:val="en-US"/>
        </w:rPr>
        <w:t xml:space="preserve"> </w:t>
      </w:r>
      <w:r>
        <w:rPr>
          <w:lang w:val="en-US"/>
        </w:rPr>
        <w:t>g</w:t>
      </w:r>
      <w:r w:rsidRPr="00E84400">
        <w:rPr>
          <w:lang w:val="en-US"/>
        </w:rPr>
        <w:t xml:space="preserve">uidelines </w:t>
      </w:r>
      <w:r>
        <w:rPr>
          <w:lang w:val="en-US"/>
        </w:rPr>
        <w:t>on</w:t>
      </w:r>
      <w:r w:rsidRPr="00E84400">
        <w:rPr>
          <w:lang w:val="en-US"/>
        </w:rPr>
        <w:t xml:space="preserve"> the </w:t>
      </w:r>
      <w:r>
        <w:rPr>
          <w:lang w:val="en-US"/>
        </w:rPr>
        <w:t>p</w:t>
      </w:r>
      <w:r w:rsidRPr="00E84400">
        <w:rPr>
          <w:lang w:val="en-US"/>
        </w:rPr>
        <w:t xml:space="preserve">rocedure </w:t>
      </w:r>
      <w:r>
        <w:rPr>
          <w:lang w:val="en-US"/>
        </w:rPr>
        <w:t>to</w:t>
      </w:r>
      <w:r w:rsidRPr="00E84400">
        <w:rPr>
          <w:lang w:val="en-US"/>
        </w:rPr>
        <w:t xml:space="preserve"> </w:t>
      </w:r>
      <w:r>
        <w:rPr>
          <w:lang w:val="en-US"/>
        </w:rPr>
        <w:t>a</w:t>
      </w:r>
      <w:r w:rsidRPr="00E84400">
        <w:rPr>
          <w:lang w:val="en-US"/>
        </w:rPr>
        <w:t xml:space="preserve">ccess </w:t>
      </w:r>
      <w:r>
        <w:rPr>
          <w:lang w:val="en-US"/>
        </w:rPr>
        <w:t>g</w:t>
      </w:r>
      <w:r w:rsidRPr="00E84400">
        <w:rPr>
          <w:lang w:val="en-US"/>
        </w:rPr>
        <w:t xml:space="preserve">enetic </w:t>
      </w:r>
      <w:r>
        <w:rPr>
          <w:lang w:val="en-US"/>
        </w:rPr>
        <w:t>r</w:t>
      </w:r>
      <w:r w:rsidRPr="00E84400">
        <w:rPr>
          <w:lang w:val="en-US"/>
        </w:rPr>
        <w:t>esources</w:t>
      </w:r>
      <w:r>
        <w:rPr>
          <w:lang w:val="en-US"/>
        </w:rPr>
        <w:t xml:space="preserve"> and they are </w:t>
      </w:r>
      <w:r w:rsidRPr="00E84400">
        <w:rPr>
          <w:lang w:val="en-US"/>
        </w:rPr>
        <w:t>in</w:t>
      </w:r>
      <w:r>
        <w:rPr>
          <w:lang w:val="en-US"/>
        </w:rPr>
        <w:t xml:space="preserve"> the </w:t>
      </w:r>
      <w:r w:rsidRPr="00E84400">
        <w:rPr>
          <w:lang w:val="en-US"/>
        </w:rPr>
        <w:t>process of formaliz</w:t>
      </w:r>
      <w:r>
        <w:rPr>
          <w:lang w:val="en-US"/>
        </w:rPr>
        <w:t xml:space="preserve">ing these tools and having them adopted by relevant institutions. </w:t>
      </w:r>
    </w:p>
    <w:p w:rsidR="003F721B" w:rsidRPr="00B70F58" w:rsidRDefault="003F721B" w:rsidP="003F721B">
      <w:pPr>
        <w:pBdr>
          <w:top w:val="nil"/>
          <w:left w:val="nil"/>
          <w:bottom w:val="nil"/>
          <w:right w:val="nil"/>
          <w:between w:val="nil"/>
          <w:bar w:val="nil"/>
        </w:pBdr>
        <w:spacing w:before="120" w:after="120"/>
        <w:ind w:left="720"/>
        <w:rPr>
          <w:snapToGrid w:val="0"/>
          <w:kern w:val="22"/>
        </w:rPr>
      </w:pPr>
    </w:p>
    <w:p w:rsidR="00B655A2" w:rsidRPr="00606E24" w:rsidRDefault="00B70F58" w:rsidP="00606E24">
      <w:pPr>
        <w:keepNext/>
        <w:suppressLineNumbers/>
        <w:tabs>
          <w:tab w:val="left" w:pos="360"/>
        </w:tabs>
        <w:suppressAutoHyphens/>
        <w:kinsoku w:val="0"/>
        <w:overflowPunct w:val="0"/>
        <w:autoSpaceDE w:val="0"/>
        <w:autoSpaceDN w:val="0"/>
        <w:spacing w:before="120" w:after="120"/>
        <w:rPr>
          <w:snapToGrid w:val="0"/>
        </w:rPr>
      </w:pPr>
      <w:r w:rsidRPr="00606E24">
        <w:rPr>
          <w:rFonts w:eastAsia="Calibri"/>
          <w:b/>
          <w:i/>
          <w:noProof/>
          <w:snapToGrid w:val="0"/>
          <w:color w:val="000000"/>
          <w:kern w:val="22"/>
          <w:szCs w:val="22"/>
          <w:u w:color="000000"/>
        </w:rPr>
        <w:t xml:space="preserve">Intended use of </w:t>
      </w:r>
      <w:r w:rsidR="0044282E" w:rsidRPr="00606E24">
        <w:rPr>
          <w:rFonts w:eastAsia="Calibri"/>
          <w:b/>
          <w:i/>
          <w:noProof/>
          <w:snapToGrid w:val="0"/>
          <w:color w:val="000000"/>
          <w:kern w:val="22"/>
          <w:szCs w:val="22"/>
          <w:u w:color="000000"/>
        </w:rPr>
        <w:t>c</w:t>
      </w:r>
      <w:r w:rsidR="00B655A2" w:rsidRPr="00606E24">
        <w:rPr>
          <w:rFonts w:eastAsia="Calibri"/>
          <w:b/>
          <w:i/>
          <w:noProof/>
          <w:snapToGrid w:val="0"/>
          <w:color w:val="000000"/>
          <w:kern w:val="22"/>
          <w:szCs w:val="22"/>
          <w:u w:color="000000"/>
        </w:rPr>
        <w:t xml:space="preserve">odes of </w:t>
      </w:r>
      <w:r w:rsidR="0044282E" w:rsidRPr="00606E24">
        <w:rPr>
          <w:rFonts w:eastAsia="Calibri"/>
          <w:b/>
          <w:i/>
          <w:noProof/>
          <w:snapToGrid w:val="0"/>
          <w:color w:val="000000"/>
          <w:kern w:val="22"/>
          <w:szCs w:val="22"/>
          <w:u w:color="000000"/>
        </w:rPr>
        <w:t>c</w:t>
      </w:r>
      <w:r w:rsidR="00B655A2" w:rsidRPr="00606E24">
        <w:rPr>
          <w:rFonts w:eastAsia="Calibri"/>
          <w:b/>
          <w:i/>
          <w:noProof/>
          <w:snapToGrid w:val="0"/>
          <w:color w:val="000000"/>
          <w:kern w:val="22"/>
          <w:szCs w:val="22"/>
          <w:u w:color="000000"/>
        </w:rPr>
        <w:t xml:space="preserve">onduct, </w:t>
      </w:r>
      <w:r w:rsidR="0044282E" w:rsidRPr="00606E24">
        <w:rPr>
          <w:rFonts w:eastAsia="Calibri"/>
          <w:b/>
          <w:i/>
          <w:noProof/>
          <w:snapToGrid w:val="0"/>
          <w:color w:val="000000"/>
          <w:kern w:val="22"/>
          <w:szCs w:val="22"/>
          <w:u w:color="000000"/>
        </w:rPr>
        <w:t>g</w:t>
      </w:r>
      <w:r w:rsidR="00B655A2" w:rsidRPr="00606E24">
        <w:rPr>
          <w:rFonts w:eastAsia="Calibri"/>
          <w:b/>
          <w:i/>
          <w:noProof/>
          <w:snapToGrid w:val="0"/>
          <w:color w:val="000000"/>
          <w:kern w:val="22"/>
          <w:szCs w:val="22"/>
          <w:u w:color="000000"/>
        </w:rPr>
        <w:t>uideline</w:t>
      </w:r>
      <w:r w:rsidR="00127235" w:rsidRPr="00606E24">
        <w:rPr>
          <w:rFonts w:eastAsia="Calibri"/>
          <w:b/>
          <w:i/>
          <w:noProof/>
          <w:snapToGrid w:val="0"/>
          <w:color w:val="000000"/>
          <w:kern w:val="22"/>
          <w:szCs w:val="22"/>
          <w:u w:color="000000"/>
        </w:rPr>
        <w:t xml:space="preserve">s, </w:t>
      </w:r>
      <w:r w:rsidR="0044282E" w:rsidRPr="00606E24">
        <w:rPr>
          <w:rFonts w:eastAsia="Calibri"/>
          <w:b/>
          <w:i/>
          <w:noProof/>
          <w:snapToGrid w:val="0"/>
          <w:color w:val="000000"/>
          <w:kern w:val="22"/>
          <w:szCs w:val="22"/>
          <w:u w:color="000000"/>
        </w:rPr>
        <w:t>b</w:t>
      </w:r>
      <w:r w:rsidR="00127235" w:rsidRPr="00606E24">
        <w:rPr>
          <w:rFonts w:eastAsia="Calibri"/>
          <w:b/>
          <w:i/>
          <w:noProof/>
          <w:snapToGrid w:val="0"/>
          <w:color w:val="000000"/>
          <w:kern w:val="22"/>
          <w:szCs w:val="22"/>
          <w:u w:color="000000"/>
        </w:rPr>
        <w:t xml:space="preserve">est </w:t>
      </w:r>
      <w:r w:rsidR="0044282E" w:rsidRPr="00606E24">
        <w:rPr>
          <w:rFonts w:eastAsia="Calibri"/>
          <w:b/>
          <w:i/>
          <w:noProof/>
          <w:snapToGrid w:val="0"/>
          <w:color w:val="000000"/>
          <w:kern w:val="22"/>
          <w:szCs w:val="22"/>
          <w:u w:color="000000"/>
        </w:rPr>
        <w:t>p</w:t>
      </w:r>
      <w:r w:rsidR="00127235" w:rsidRPr="00606E24">
        <w:rPr>
          <w:rFonts w:eastAsia="Calibri"/>
          <w:b/>
          <w:i/>
          <w:noProof/>
          <w:snapToGrid w:val="0"/>
          <w:color w:val="000000"/>
          <w:kern w:val="22"/>
          <w:szCs w:val="22"/>
          <w:u w:color="000000"/>
        </w:rPr>
        <w:t>ractices an</w:t>
      </w:r>
      <w:r w:rsidR="00677C82" w:rsidRPr="00606E24">
        <w:rPr>
          <w:rFonts w:eastAsia="Calibri"/>
          <w:b/>
          <w:i/>
          <w:noProof/>
          <w:snapToGrid w:val="0"/>
          <w:color w:val="000000"/>
          <w:kern w:val="22"/>
          <w:szCs w:val="22"/>
          <w:u w:color="000000"/>
        </w:rPr>
        <w:t>d</w:t>
      </w:r>
      <w:r w:rsidR="00D76954" w:rsidRPr="00606E24">
        <w:rPr>
          <w:rFonts w:eastAsia="Calibri"/>
          <w:b/>
          <w:i/>
          <w:noProof/>
          <w:snapToGrid w:val="0"/>
          <w:color w:val="000000"/>
          <w:kern w:val="22"/>
          <w:szCs w:val="22"/>
          <w:u w:color="000000"/>
        </w:rPr>
        <w:t xml:space="preserve">/or </w:t>
      </w:r>
      <w:r w:rsidR="0044282E" w:rsidRPr="00606E24">
        <w:rPr>
          <w:rFonts w:eastAsia="Calibri"/>
          <w:b/>
          <w:i/>
          <w:noProof/>
          <w:snapToGrid w:val="0"/>
          <w:color w:val="000000"/>
          <w:kern w:val="22"/>
          <w:szCs w:val="22"/>
          <w:u w:color="000000"/>
        </w:rPr>
        <w:t>s</w:t>
      </w:r>
      <w:r w:rsidR="00127235" w:rsidRPr="00606E24">
        <w:rPr>
          <w:rFonts w:eastAsia="Calibri"/>
          <w:b/>
          <w:i/>
          <w:noProof/>
          <w:snapToGrid w:val="0"/>
          <w:color w:val="000000"/>
          <w:kern w:val="22"/>
          <w:szCs w:val="22"/>
          <w:u w:color="000000"/>
        </w:rPr>
        <w:t>tandards</w:t>
      </w:r>
    </w:p>
    <w:p w:rsidR="005F67BC" w:rsidRPr="005F67BC" w:rsidRDefault="00C4596A" w:rsidP="00FF7A15">
      <w:pPr>
        <w:numPr>
          <w:ilvl w:val="0"/>
          <w:numId w:val="9"/>
        </w:numPr>
        <w:pBdr>
          <w:top w:val="nil"/>
          <w:left w:val="nil"/>
          <w:bottom w:val="nil"/>
          <w:right w:val="nil"/>
          <w:between w:val="nil"/>
          <w:bar w:val="nil"/>
        </w:pBdr>
        <w:spacing w:before="120" w:after="120"/>
        <w:rPr>
          <w:snapToGrid w:val="0"/>
          <w:kern w:val="22"/>
        </w:rPr>
      </w:pPr>
      <w:r>
        <w:rPr>
          <w:rFonts w:eastAsia="Calibri"/>
          <w:kern w:val="22"/>
          <w:bdr w:val="none" w:sz="0" w:space="0" w:color="auto" w:frame="1"/>
        </w:rPr>
        <w:t xml:space="preserve">Tools </w:t>
      </w:r>
      <w:r w:rsidR="002D0861">
        <w:rPr>
          <w:rFonts w:eastAsia="Calibri"/>
          <w:kern w:val="22"/>
          <w:bdr w:val="none" w:sz="0" w:space="0" w:color="auto" w:frame="1"/>
        </w:rPr>
        <w:t xml:space="preserve">developed </w:t>
      </w:r>
      <w:r>
        <w:rPr>
          <w:rFonts w:eastAsia="Calibri"/>
          <w:kern w:val="22"/>
          <w:bdr w:val="none" w:sz="0" w:space="0" w:color="auto" w:frame="1"/>
        </w:rPr>
        <w:t xml:space="preserve">have a </w:t>
      </w:r>
      <w:r w:rsidR="00991CB4" w:rsidRPr="005F67BC">
        <w:rPr>
          <w:rFonts w:eastAsia="Calibri"/>
          <w:kern w:val="22"/>
          <w:bdr w:val="none" w:sz="0" w:space="0" w:color="auto" w:frame="1"/>
        </w:rPr>
        <w:t xml:space="preserve">variety of </w:t>
      </w:r>
      <w:r>
        <w:rPr>
          <w:rFonts w:eastAsia="Calibri"/>
          <w:kern w:val="22"/>
          <w:bdr w:val="none" w:sz="0" w:space="0" w:color="auto" w:frame="1"/>
        </w:rPr>
        <w:t>intended uses.</w:t>
      </w:r>
      <w:r w:rsidR="00991CB4" w:rsidRPr="005F67BC">
        <w:rPr>
          <w:rFonts w:eastAsia="Calibri"/>
          <w:kern w:val="22"/>
          <w:bdr w:val="none" w:sz="0" w:space="0" w:color="auto" w:frame="1"/>
        </w:rPr>
        <w:t xml:space="preserve"> </w:t>
      </w:r>
      <w:r w:rsidR="005F67BC" w:rsidRPr="005F67BC">
        <w:rPr>
          <w:snapToGrid w:val="0"/>
          <w:kern w:val="22"/>
        </w:rPr>
        <w:t>Of the 3</w:t>
      </w:r>
      <w:r>
        <w:rPr>
          <w:snapToGrid w:val="0"/>
          <w:kern w:val="22"/>
        </w:rPr>
        <w:t>3</w:t>
      </w:r>
      <w:r w:rsidR="005F67BC" w:rsidRPr="005F67BC">
        <w:rPr>
          <w:snapToGrid w:val="0"/>
          <w:kern w:val="22"/>
        </w:rPr>
        <w:t xml:space="preserve"> codes of conduct, guidelines, best practices and standards developed, </w:t>
      </w:r>
      <w:r w:rsidR="005E67E6">
        <w:rPr>
          <w:snapToGrid w:val="0"/>
          <w:kern w:val="22"/>
        </w:rPr>
        <w:t>8</w:t>
      </w:r>
      <w:r w:rsidR="005E67E6" w:rsidRPr="005F67BC">
        <w:rPr>
          <w:snapToGrid w:val="0"/>
          <w:kern w:val="22"/>
        </w:rPr>
        <w:t xml:space="preserve"> </w:t>
      </w:r>
      <w:r w:rsidR="005F67BC" w:rsidRPr="005F67BC">
        <w:rPr>
          <w:snapToGrid w:val="0"/>
          <w:kern w:val="22"/>
        </w:rPr>
        <w:t xml:space="preserve">were </w:t>
      </w:r>
      <w:r w:rsidR="000B0063">
        <w:rPr>
          <w:snapToGrid w:val="0"/>
          <w:kern w:val="22"/>
        </w:rPr>
        <w:t>developed</w:t>
      </w:r>
      <w:r w:rsidR="005F67BC" w:rsidRPr="005F67BC">
        <w:rPr>
          <w:snapToGrid w:val="0"/>
          <w:kern w:val="22"/>
        </w:rPr>
        <w:t xml:space="preserve"> </w:t>
      </w:r>
      <w:r w:rsidR="000B0063">
        <w:rPr>
          <w:snapToGrid w:val="0"/>
          <w:kern w:val="22"/>
        </w:rPr>
        <w:t xml:space="preserve">as part of the </w:t>
      </w:r>
      <w:r w:rsidR="005F67BC" w:rsidRPr="005F67BC">
        <w:rPr>
          <w:snapToGrid w:val="0"/>
          <w:kern w:val="22"/>
        </w:rPr>
        <w:t xml:space="preserve">national or regional ABS frameworks; </w:t>
      </w:r>
      <w:r>
        <w:rPr>
          <w:snapToGrid w:val="0"/>
          <w:kern w:val="22"/>
        </w:rPr>
        <w:lastRenderedPageBreak/>
        <w:t xml:space="preserve">the other </w:t>
      </w:r>
      <w:r w:rsidR="005F67BC" w:rsidRPr="005F67BC">
        <w:rPr>
          <w:snapToGrid w:val="0"/>
          <w:kern w:val="22"/>
        </w:rPr>
        <w:t>2</w:t>
      </w:r>
      <w:r>
        <w:rPr>
          <w:snapToGrid w:val="0"/>
          <w:kern w:val="22"/>
        </w:rPr>
        <w:t>6</w:t>
      </w:r>
      <w:r w:rsidR="005F67BC" w:rsidRPr="005F67BC">
        <w:rPr>
          <w:snapToGrid w:val="0"/>
          <w:kern w:val="22"/>
        </w:rPr>
        <w:t xml:space="preserve"> were developed for a specific sector </w:t>
      </w:r>
      <w:r>
        <w:rPr>
          <w:snapToGrid w:val="0"/>
          <w:kern w:val="22"/>
        </w:rPr>
        <w:t>or</w:t>
      </w:r>
      <w:r w:rsidR="005F67BC" w:rsidRPr="005F67BC">
        <w:rPr>
          <w:snapToGrid w:val="0"/>
          <w:kern w:val="22"/>
        </w:rPr>
        <w:t xml:space="preserve"> contain guiding information that can be used across sectors. </w:t>
      </w:r>
      <w:r>
        <w:rPr>
          <w:snapToGrid w:val="0"/>
          <w:kern w:val="22"/>
        </w:rPr>
        <w:t xml:space="preserve">Examples of ABS tools describing their intended use are </w:t>
      </w:r>
      <w:r w:rsidRPr="00423915">
        <w:rPr>
          <w:snapToGrid w:val="0"/>
          <w:kern w:val="22"/>
        </w:rPr>
        <w:t>provided</w:t>
      </w:r>
      <w:r>
        <w:rPr>
          <w:snapToGrid w:val="0"/>
          <w:kern w:val="22"/>
        </w:rPr>
        <w:t xml:space="preserve"> below.</w:t>
      </w:r>
    </w:p>
    <w:p w:rsidR="00991CB4" w:rsidRPr="00AE6FC3" w:rsidRDefault="00991CB4" w:rsidP="00AE6FC3">
      <w:pPr>
        <w:pStyle w:val="Para1"/>
        <w:numPr>
          <w:ilvl w:val="0"/>
          <w:numId w:val="9"/>
        </w:numPr>
        <w:rPr>
          <w:rFonts w:eastAsia="Calibri"/>
          <w:kern w:val="22"/>
          <w:bdr w:val="none" w:sz="0" w:space="0" w:color="auto" w:frame="1"/>
        </w:rPr>
      </w:pPr>
      <w:r>
        <w:rPr>
          <w:rFonts w:eastAsia="Calibri"/>
          <w:kern w:val="22"/>
          <w:bdr w:val="none" w:sz="0" w:space="0" w:color="auto" w:frame="1"/>
        </w:rPr>
        <w:t xml:space="preserve">A number of </w:t>
      </w:r>
      <w:r w:rsidR="00655E47" w:rsidRPr="005F67BC">
        <w:rPr>
          <w:kern w:val="22"/>
        </w:rPr>
        <w:t>codes of conduct, guidelines, best practices and</w:t>
      </w:r>
      <w:r w:rsidR="00655E47">
        <w:rPr>
          <w:kern w:val="22"/>
        </w:rPr>
        <w:t>/or</w:t>
      </w:r>
      <w:r w:rsidR="00655E47" w:rsidRPr="005F67BC">
        <w:rPr>
          <w:kern w:val="22"/>
        </w:rPr>
        <w:t xml:space="preserve"> standards</w:t>
      </w:r>
      <w:r w:rsidR="00655E47">
        <w:rPr>
          <w:rFonts w:eastAsia="Calibri"/>
          <w:kern w:val="22"/>
          <w:bdr w:val="none" w:sz="0" w:space="0" w:color="auto" w:frame="1"/>
        </w:rPr>
        <w:t xml:space="preserve"> reported</w:t>
      </w:r>
      <w:r w:rsidR="008045D1">
        <w:rPr>
          <w:rFonts w:eastAsia="Calibri"/>
          <w:kern w:val="22"/>
          <w:bdr w:val="none" w:sz="0" w:space="0" w:color="auto" w:frame="1"/>
        </w:rPr>
        <w:t xml:space="preserve">-on were </w:t>
      </w:r>
      <w:r w:rsidR="00655E47">
        <w:rPr>
          <w:rFonts w:eastAsia="Calibri"/>
          <w:kern w:val="22"/>
          <w:bdr w:val="none" w:sz="0" w:space="0" w:color="auto" w:frame="1"/>
        </w:rPr>
        <w:t xml:space="preserve">developed by </w:t>
      </w:r>
      <w:r w:rsidR="00FE4A63">
        <w:rPr>
          <w:rFonts w:eastAsia="Calibri"/>
          <w:kern w:val="22"/>
          <w:bdr w:val="none" w:sz="0" w:space="0" w:color="auto" w:frame="1"/>
        </w:rPr>
        <w:t>Parties</w:t>
      </w:r>
      <w:r w:rsidR="005F67BC">
        <w:rPr>
          <w:rFonts w:eastAsia="Calibri"/>
          <w:kern w:val="22"/>
          <w:bdr w:val="none" w:sz="0" w:space="0" w:color="auto" w:frame="1"/>
        </w:rPr>
        <w:t xml:space="preserve"> (</w:t>
      </w:r>
      <w:r w:rsidR="003F721B">
        <w:rPr>
          <w:rFonts w:eastAsia="Calibri"/>
          <w:kern w:val="22"/>
          <w:bdr w:val="none" w:sz="0" w:space="0" w:color="auto" w:frame="1"/>
        </w:rPr>
        <w:t>4</w:t>
      </w:r>
      <w:r w:rsidR="005F67BC">
        <w:rPr>
          <w:rFonts w:eastAsia="Calibri"/>
          <w:kern w:val="22"/>
          <w:bdr w:val="none" w:sz="0" w:space="0" w:color="auto" w:frame="1"/>
        </w:rPr>
        <w:t>)</w:t>
      </w:r>
      <w:r w:rsidR="005F67BC" w:rsidRPr="00655E47">
        <w:rPr>
          <w:rStyle w:val="FootnoteReference"/>
          <w:rFonts w:eastAsia="Calibri"/>
          <w:kern w:val="22"/>
          <w:sz w:val="22"/>
          <w:u w:val="none"/>
          <w:bdr w:val="none" w:sz="0" w:space="0" w:color="auto" w:frame="1"/>
          <w:vertAlign w:val="superscript"/>
        </w:rPr>
        <w:footnoteReference w:id="22"/>
      </w:r>
      <w:r>
        <w:rPr>
          <w:rFonts w:eastAsia="Calibri"/>
          <w:kern w:val="22"/>
          <w:bdr w:val="none" w:sz="0" w:space="0" w:color="auto" w:frame="1"/>
        </w:rPr>
        <w:t xml:space="preserve"> and region</w:t>
      </w:r>
      <w:r w:rsidR="005F67BC">
        <w:rPr>
          <w:rFonts w:eastAsia="Calibri"/>
          <w:kern w:val="22"/>
          <w:bdr w:val="none" w:sz="0" w:space="0" w:color="auto" w:frame="1"/>
        </w:rPr>
        <w:t>s</w:t>
      </w:r>
      <w:r w:rsidR="008045D1">
        <w:rPr>
          <w:rFonts w:eastAsia="Calibri"/>
          <w:kern w:val="22"/>
          <w:bdr w:val="none" w:sz="0" w:space="0" w:color="auto" w:frame="1"/>
        </w:rPr>
        <w:t xml:space="preserve"> (</w:t>
      </w:r>
      <w:r w:rsidR="003F721B">
        <w:rPr>
          <w:rFonts w:eastAsia="Calibri"/>
          <w:kern w:val="22"/>
          <w:bdr w:val="none" w:sz="0" w:space="0" w:color="auto" w:frame="1"/>
        </w:rPr>
        <w:t>4</w:t>
      </w:r>
      <w:r w:rsidR="008045D1">
        <w:rPr>
          <w:rFonts w:eastAsia="Calibri"/>
          <w:kern w:val="22"/>
          <w:bdr w:val="none" w:sz="0" w:space="0" w:color="auto" w:frame="1"/>
        </w:rPr>
        <w:t>)</w:t>
      </w:r>
      <w:r w:rsidR="005F67BC" w:rsidRPr="005F67BC">
        <w:rPr>
          <w:rStyle w:val="FootnoteReference"/>
          <w:rFonts w:eastAsia="Calibri"/>
          <w:kern w:val="22"/>
          <w:sz w:val="22"/>
          <w:u w:val="none"/>
          <w:bdr w:val="none" w:sz="0" w:space="0" w:color="auto" w:frame="1"/>
          <w:vertAlign w:val="superscript"/>
        </w:rPr>
        <w:footnoteReference w:id="23"/>
      </w:r>
      <w:r>
        <w:rPr>
          <w:rFonts w:eastAsia="Calibri"/>
          <w:kern w:val="22"/>
          <w:bdr w:val="none" w:sz="0" w:space="0" w:color="auto" w:frame="1"/>
        </w:rPr>
        <w:t xml:space="preserve"> as part of their national or regional framework to implement ABS. </w:t>
      </w:r>
      <w:r w:rsidR="00655E47" w:rsidRPr="004325DE">
        <w:rPr>
          <w:kern w:val="22"/>
        </w:rPr>
        <w:t xml:space="preserve">These </w:t>
      </w:r>
      <w:r w:rsidR="00655E47">
        <w:rPr>
          <w:kern w:val="22"/>
        </w:rPr>
        <w:t>documents</w:t>
      </w:r>
      <w:r w:rsidR="00655E47" w:rsidRPr="004325DE">
        <w:rPr>
          <w:kern w:val="22"/>
        </w:rPr>
        <w:t xml:space="preserve"> are targeted to a </w:t>
      </w:r>
      <w:r w:rsidR="00655E47" w:rsidRPr="001A7299">
        <w:rPr>
          <w:kern w:val="22"/>
        </w:rPr>
        <w:t>general</w:t>
      </w:r>
      <w:r w:rsidR="00655E47" w:rsidRPr="004325DE">
        <w:rPr>
          <w:kern w:val="22"/>
        </w:rPr>
        <w:t xml:space="preserve"> audience of anyone wanting to engage either in accessing genetic resources or providing resources, across all sectors, within a specified country or region.</w:t>
      </w:r>
      <w:r w:rsidR="00655E47">
        <w:rPr>
          <w:kern w:val="22"/>
        </w:rPr>
        <w:t xml:space="preserve"> </w:t>
      </w:r>
      <w:r>
        <w:rPr>
          <w:rFonts w:eastAsia="Calibri"/>
          <w:kern w:val="22"/>
          <w:bdr w:val="none" w:sz="0" w:space="0" w:color="auto" w:frame="1"/>
        </w:rPr>
        <w:t>For example:</w:t>
      </w:r>
    </w:p>
    <w:p w:rsidR="00991CB4" w:rsidRDefault="00991CB4" w:rsidP="00363296">
      <w:pPr>
        <w:pStyle w:val="ListParagraph"/>
        <w:numPr>
          <w:ilvl w:val="0"/>
          <w:numId w:val="17"/>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Ethiopia has developed </w:t>
      </w:r>
      <w:r w:rsidR="003F721B">
        <w:rPr>
          <w:rFonts w:eastAsia="Calibri"/>
          <w:snapToGrid w:val="0"/>
          <w:kern w:val="22"/>
          <w:bdr w:val="none" w:sz="0" w:space="0" w:color="auto" w:frame="1"/>
        </w:rPr>
        <w:t xml:space="preserve">guidelines for </w:t>
      </w:r>
      <w:r w:rsidR="003F721B" w:rsidRPr="003F721B">
        <w:rPr>
          <w:rFonts w:eastAsia="Calibri"/>
          <w:snapToGrid w:val="0"/>
          <w:kern w:val="22"/>
          <w:bdr w:val="none" w:sz="0" w:space="0" w:color="auto" w:frame="1"/>
        </w:rPr>
        <w:t xml:space="preserve">users </w:t>
      </w:r>
      <w:r w:rsidR="003F721B">
        <w:rPr>
          <w:rFonts w:eastAsia="Calibri"/>
          <w:snapToGrid w:val="0"/>
          <w:kern w:val="22"/>
          <w:bdr w:val="none" w:sz="0" w:space="0" w:color="auto" w:frame="1"/>
        </w:rPr>
        <w:t>that set</w:t>
      </w:r>
      <w:r w:rsidR="003F721B" w:rsidRPr="003F721B">
        <w:rPr>
          <w:rFonts w:eastAsia="Calibri"/>
          <w:snapToGrid w:val="0"/>
          <w:kern w:val="22"/>
          <w:bdr w:val="none" w:sz="0" w:space="0" w:color="auto" w:frame="1"/>
        </w:rPr>
        <w:t xml:space="preserve"> out procedures to follow while accessing genetic resources and/or community knowledg</w:t>
      </w:r>
      <w:r w:rsidR="000B0063">
        <w:rPr>
          <w:rFonts w:eastAsia="Calibri"/>
          <w:snapToGrid w:val="0"/>
          <w:kern w:val="22"/>
          <w:bdr w:val="none" w:sz="0" w:space="0" w:color="auto" w:frame="1"/>
        </w:rPr>
        <w:t xml:space="preserve">e, and a </w:t>
      </w:r>
      <w:r>
        <w:rPr>
          <w:rFonts w:eastAsia="Calibri"/>
          <w:snapToGrid w:val="0"/>
          <w:kern w:val="22"/>
          <w:bdr w:val="none" w:sz="0" w:space="0" w:color="auto" w:frame="1"/>
        </w:rPr>
        <w:t>draft code of conduct which outlines the responsibilities and requirements for users to access genetic resources and/or associated community knowledge</w:t>
      </w:r>
      <w:r w:rsidR="000B0063">
        <w:rPr>
          <w:rFonts w:eastAsia="Calibri"/>
          <w:snapToGrid w:val="0"/>
          <w:kern w:val="22"/>
          <w:bdr w:val="none" w:sz="0" w:space="0" w:color="auto" w:frame="1"/>
        </w:rPr>
        <w:t>.</w:t>
      </w:r>
    </w:p>
    <w:p w:rsidR="000B0063" w:rsidRDefault="000B0063" w:rsidP="000B0063">
      <w:pPr>
        <w:pStyle w:val="ListParagraph"/>
        <w:numPr>
          <w:ilvl w:val="0"/>
          <w:numId w:val="17"/>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Kenya developed an ABS toolkit which includes their national guidelines on transferring and exchanging genetic resources. </w:t>
      </w:r>
    </w:p>
    <w:p w:rsidR="00991CB4" w:rsidRDefault="00991CB4" w:rsidP="00FF7A15">
      <w:pPr>
        <w:pStyle w:val="ListParagraph"/>
        <w:numPr>
          <w:ilvl w:val="0"/>
          <w:numId w:val="17"/>
        </w:numPr>
        <w:spacing w:before="120" w:after="120" w:line="228" w:lineRule="auto"/>
        <w:ind w:left="0" w:firstLine="709"/>
        <w:contextualSpacing w:val="0"/>
        <w:rPr>
          <w:rFonts w:eastAsia="Calibri"/>
          <w:snapToGrid w:val="0"/>
          <w:kern w:val="22"/>
          <w:bdr w:val="none" w:sz="0" w:space="0" w:color="auto" w:frame="1"/>
        </w:rPr>
      </w:pPr>
      <w:r w:rsidRPr="00991CB4">
        <w:rPr>
          <w:rFonts w:eastAsia="Calibri"/>
          <w:snapToGrid w:val="0"/>
          <w:kern w:val="22"/>
          <w:bdr w:val="none" w:sz="0" w:space="0" w:color="auto" w:frame="1"/>
        </w:rPr>
        <w:t>The African Union developed best practices in their document: “African Union Guidelines for the Coordinated Implementation of the Nagoya Protocol on ABS: The Strategic Framework” and a compendium of model contractual clauses, national or domestic guidelines, best practices</w:t>
      </w:r>
      <w:r>
        <w:rPr>
          <w:rFonts w:eastAsia="Calibri"/>
          <w:snapToGrid w:val="0"/>
          <w:kern w:val="22"/>
          <w:bdr w:val="none" w:sz="0" w:space="0" w:color="auto" w:frame="1"/>
        </w:rPr>
        <w:t xml:space="preserve"> and</w:t>
      </w:r>
      <w:r w:rsidRPr="00991CB4">
        <w:rPr>
          <w:rFonts w:eastAsia="Calibri"/>
          <w:snapToGrid w:val="0"/>
          <w:kern w:val="22"/>
          <w:bdr w:val="none" w:sz="0" w:space="0" w:color="auto" w:frame="1"/>
        </w:rPr>
        <w:t xml:space="preserve"> </w:t>
      </w:r>
      <w:r>
        <w:rPr>
          <w:rFonts w:eastAsia="Calibri"/>
          <w:snapToGrid w:val="0"/>
          <w:kern w:val="22"/>
          <w:bdr w:val="none" w:sz="0" w:space="0" w:color="auto" w:frame="1"/>
        </w:rPr>
        <w:t>s</w:t>
      </w:r>
      <w:r w:rsidRPr="00991CB4">
        <w:rPr>
          <w:rFonts w:eastAsia="Calibri"/>
          <w:snapToGrid w:val="0"/>
          <w:kern w:val="22"/>
          <w:bdr w:val="none" w:sz="0" w:space="0" w:color="auto" w:frame="1"/>
        </w:rPr>
        <w:t>tandards</w:t>
      </w:r>
      <w:r>
        <w:rPr>
          <w:rFonts w:eastAsia="Calibri"/>
          <w:snapToGrid w:val="0"/>
          <w:kern w:val="22"/>
          <w:bdr w:val="none" w:sz="0" w:space="0" w:color="auto" w:frame="1"/>
        </w:rPr>
        <w:t xml:space="preserve"> in:</w:t>
      </w:r>
      <w:r w:rsidRPr="00991CB4">
        <w:rPr>
          <w:rFonts w:eastAsia="Calibri"/>
          <w:snapToGrid w:val="0"/>
          <w:kern w:val="22"/>
          <w:bdr w:val="none" w:sz="0" w:space="0" w:color="auto" w:frame="1"/>
        </w:rPr>
        <w:t xml:space="preserve"> “African Union Guidelines for the Coordinated Implementation of the Nagoya Protocol on ABS: The Practical Guidelines”</w:t>
      </w:r>
      <w:r w:rsidR="000E43BE">
        <w:rPr>
          <w:rFonts w:eastAsia="Calibri"/>
          <w:snapToGrid w:val="0"/>
          <w:kern w:val="22"/>
          <w:bdr w:val="none" w:sz="0" w:space="0" w:color="auto" w:frame="1"/>
        </w:rPr>
        <w:t>.</w:t>
      </w:r>
    </w:p>
    <w:p w:rsidR="009529D7" w:rsidRPr="009577BA" w:rsidRDefault="008045D1" w:rsidP="00FF7A15">
      <w:pPr>
        <w:pStyle w:val="Para1"/>
        <w:numPr>
          <w:ilvl w:val="0"/>
          <w:numId w:val="9"/>
        </w:numPr>
        <w:rPr>
          <w:rFonts w:eastAsia="Calibri"/>
          <w:kern w:val="22"/>
          <w:bdr w:val="none" w:sz="0" w:space="0" w:color="auto" w:frame="1"/>
        </w:rPr>
      </w:pPr>
      <w:r>
        <w:rPr>
          <w:rFonts w:eastAsia="Calibri"/>
          <w:kern w:val="22"/>
          <w:bdr w:val="none" w:sz="0" w:space="0" w:color="auto" w:frame="1"/>
        </w:rPr>
        <w:t xml:space="preserve">Other </w:t>
      </w:r>
      <w:r w:rsidR="002D0861">
        <w:rPr>
          <w:rFonts w:eastAsia="Calibri"/>
          <w:kern w:val="22"/>
          <w:bdr w:val="none" w:sz="0" w:space="0" w:color="auto" w:frame="1"/>
        </w:rPr>
        <w:t xml:space="preserve">Article 20 </w:t>
      </w:r>
      <w:r w:rsidR="00BF0CCD">
        <w:rPr>
          <w:rFonts w:eastAsia="Calibri"/>
          <w:kern w:val="22"/>
          <w:bdr w:val="none" w:sz="0" w:space="0" w:color="auto" w:frame="1"/>
        </w:rPr>
        <w:t>tools</w:t>
      </w:r>
      <w:r>
        <w:rPr>
          <w:rFonts w:eastAsia="Calibri"/>
          <w:kern w:val="22"/>
          <w:bdr w:val="none" w:sz="0" w:space="0" w:color="auto" w:frame="1"/>
        </w:rPr>
        <w:t xml:space="preserve"> are targeted to users and/or providers of genetic resources in a particular sector. </w:t>
      </w:r>
      <w:r w:rsidR="000B0063">
        <w:rPr>
          <w:rFonts w:eastAsia="Calibri"/>
          <w:kern w:val="22"/>
          <w:bdr w:val="none" w:sz="0" w:space="0" w:color="auto" w:frame="1"/>
        </w:rPr>
        <w:t xml:space="preserve">3 </w:t>
      </w:r>
      <w:r>
        <w:rPr>
          <w:rFonts w:eastAsia="Calibri"/>
          <w:kern w:val="22"/>
          <w:bdr w:val="none" w:sz="0" w:space="0" w:color="auto" w:frame="1"/>
        </w:rPr>
        <w:t>of these</w:t>
      </w:r>
      <w:r w:rsidR="009577BA" w:rsidRPr="009577BA">
        <w:rPr>
          <w:rFonts w:eastAsia="Calibri"/>
          <w:kern w:val="22"/>
          <w:bdr w:val="none" w:sz="0" w:space="0" w:color="auto" w:frame="1"/>
        </w:rPr>
        <w:t xml:space="preserve"> </w:t>
      </w:r>
      <w:r>
        <w:rPr>
          <w:rFonts w:eastAsia="Calibri"/>
          <w:kern w:val="22"/>
          <w:bdr w:val="none" w:sz="0" w:space="0" w:color="auto" w:frame="1"/>
        </w:rPr>
        <w:t>codes of conduct, guidelines,</w:t>
      </w:r>
      <w:r w:rsidRPr="009577BA">
        <w:rPr>
          <w:rFonts w:eastAsia="Calibri"/>
          <w:kern w:val="22"/>
          <w:bdr w:val="none" w:sz="0" w:space="0" w:color="auto" w:frame="1"/>
        </w:rPr>
        <w:t xml:space="preserve"> best practices</w:t>
      </w:r>
      <w:r>
        <w:rPr>
          <w:rFonts w:eastAsia="Calibri"/>
          <w:kern w:val="22"/>
          <w:bdr w:val="none" w:sz="0" w:space="0" w:color="auto" w:frame="1"/>
        </w:rPr>
        <w:t xml:space="preserve"> and/or standards</w:t>
      </w:r>
      <w:r w:rsidRPr="009577BA">
        <w:rPr>
          <w:rFonts w:eastAsia="Calibri"/>
          <w:kern w:val="22"/>
          <w:bdr w:val="none" w:sz="0" w:space="0" w:color="auto" w:frame="1"/>
        </w:rPr>
        <w:t xml:space="preserve"> </w:t>
      </w:r>
      <w:r>
        <w:rPr>
          <w:rFonts w:eastAsia="Calibri"/>
          <w:kern w:val="22"/>
          <w:bdr w:val="none" w:sz="0" w:space="0" w:color="auto" w:frame="1"/>
        </w:rPr>
        <w:t>were produced by</w:t>
      </w:r>
      <w:r w:rsidR="009577BA" w:rsidRPr="009577BA">
        <w:rPr>
          <w:rFonts w:eastAsia="Calibri"/>
          <w:kern w:val="22"/>
          <w:bdr w:val="none" w:sz="0" w:space="0" w:color="auto" w:frame="1"/>
        </w:rPr>
        <w:t xml:space="preserve"> </w:t>
      </w:r>
      <w:r w:rsidR="00C06082">
        <w:rPr>
          <w:rFonts w:eastAsia="Calibri"/>
          <w:kern w:val="22"/>
          <w:bdr w:val="none" w:sz="0" w:space="0" w:color="auto" w:frame="1"/>
        </w:rPr>
        <w:t>Parties</w:t>
      </w:r>
      <w:r w:rsidR="009529D7" w:rsidRPr="00A40090">
        <w:rPr>
          <w:rStyle w:val="FootnoteReference"/>
          <w:rFonts w:eastAsia="Calibri"/>
          <w:kern w:val="22"/>
          <w:u w:val="none"/>
          <w:bdr w:val="none" w:sz="0" w:space="0" w:color="auto" w:frame="1"/>
          <w:vertAlign w:val="superscript"/>
        </w:rPr>
        <w:footnoteReference w:id="24"/>
      </w:r>
      <w:r w:rsidR="009529D7" w:rsidRPr="009577BA">
        <w:rPr>
          <w:rFonts w:eastAsia="Calibri"/>
          <w:kern w:val="22"/>
          <w:bdr w:val="none" w:sz="0" w:space="0" w:color="auto" w:frame="1"/>
        </w:rPr>
        <w:t xml:space="preserve"> </w:t>
      </w:r>
      <w:r w:rsidR="009577BA">
        <w:rPr>
          <w:rFonts w:eastAsia="Calibri"/>
          <w:kern w:val="22"/>
          <w:bdr w:val="none" w:sz="0" w:space="0" w:color="auto" w:frame="1"/>
        </w:rPr>
        <w:t xml:space="preserve">and </w:t>
      </w:r>
      <w:r w:rsidR="00F20EED">
        <w:rPr>
          <w:rFonts w:eastAsia="Calibri"/>
          <w:kern w:val="22"/>
          <w:bdr w:val="none" w:sz="0" w:space="0" w:color="auto" w:frame="1"/>
        </w:rPr>
        <w:t>20</w:t>
      </w:r>
      <w:r w:rsidR="00A7070E">
        <w:rPr>
          <w:rFonts w:eastAsia="Calibri"/>
          <w:kern w:val="22"/>
          <w:bdr w:val="none" w:sz="0" w:space="0" w:color="auto" w:frame="1"/>
        </w:rPr>
        <w:t xml:space="preserve"> </w:t>
      </w:r>
      <w:r>
        <w:rPr>
          <w:rFonts w:eastAsia="Calibri"/>
          <w:kern w:val="22"/>
          <w:bdr w:val="none" w:sz="0" w:space="0" w:color="auto" w:frame="1"/>
        </w:rPr>
        <w:t xml:space="preserve">by </w:t>
      </w:r>
      <w:r w:rsidR="00BC116D">
        <w:rPr>
          <w:rFonts w:eastAsia="Calibri"/>
          <w:kern w:val="22"/>
          <w:bdr w:val="none" w:sz="0" w:space="0" w:color="auto" w:frame="1"/>
        </w:rPr>
        <w:t>organizations</w:t>
      </w:r>
      <w:r w:rsidR="00BC116D" w:rsidRPr="00BC116D">
        <w:rPr>
          <w:rStyle w:val="FootnoteReference"/>
          <w:rFonts w:eastAsia="Calibri"/>
          <w:kern w:val="22"/>
          <w:u w:val="none"/>
          <w:bdr w:val="none" w:sz="0" w:space="0" w:color="auto" w:frame="1"/>
          <w:vertAlign w:val="superscript"/>
        </w:rPr>
        <w:footnoteReference w:id="25"/>
      </w:r>
      <w:r w:rsidR="009529D7" w:rsidRPr="009577BA">
        <w:rPr>
          <w:rFonts w:eastAsia="Calibri"/>
          <w:kern w:val="22"/>
          <w:bdr w:val="none" w:sz="0" w:space="0" w:color="auto" w:frame="1"/>
        </w:rPr>
        <w:t>. For example:</w:t>
      </w:r>
    </w:p>
    <w:p w:rsidR="009529D7" w:rsidRDefault="005F7804" w:rsidP="00FF7A15">
      <w:pPr>
        <w:pStyle w:val="ListParagraph"/>
        <w:numPr>
          <w:ilvl w:val="0"/>
          <w:numId w:val="16"/>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The</w:t>
      </w:r>
      <w:r w:rsidR="009529D7">
        <w:rPr>
          <w:rFonts w:eastAsia="Calibri"/>
          <w:snapToGrid w:val="0"/>
          <w:kern w:val="22"/>
          <w:bdr w:val="none" w:sz="0" w:space="0" w:color="auto" w:frame="1"/>
        </w:rPr>
        <w:t xml:space="preserve"> </w:t>
      </w:r>
      <w:r w:rsidRPr="005F7804">
        <w:rPr>
          <w:rFonts w:eastAsia="Calibri"/>
          <w:snapToGrid w:val="0"/>
          <w:kern w:val="22"/>
          <w:bdr w:val="none" w:sz="0" w:space="0" w:color="auto" w:frame="1"/>
        </w:rPr>
        <w:t>Botanic Gardens Conservation International</w:t>
      </w:r>
      <w:r w:rsidR="000B0063">
        <w:rPr>
          <w:rFonts w:eastAsia="Calibri"/>
          <w:snapToGrid w:val="0"/>
          <w:kern w:val="22"/>
          <w:bdr w:val="none" w:sz="0" w:space="0" w:color="auto" w:frame="1"/>
        </w:rPr>
        <w:t xml:space="preserve"> (BCGI)</w:t>
      </w:r>
      <w:r>
        <w:rPr>
          <w:rFonts w:eastAsia="Calibri"/>
          <w:snapToGrid w:val="0"/>
          <w:kern w:val="22"/>
          <w:bdr w:val="none" w:sz="0" w:space="0" w:color="auto" w:frame="1"/>
        </w:rPr>
        <w:t xml:space="preserve"> </w:t>
      </w:r>
      <w:r w:rsidR="00A133D9">
        <w:rPr>
          <w:rFonts w:eastAsia="Calibri"/>
          <w:snapToGrid w:val="0"/>
          <w:kern w:val="22"/>
          <w:bdr w:val="none" w:sz="0" w:space="0" w:color="auto" w:frame="1"/>
        </w:rPr>
        <w:t>has produced standards on a</w:t>
      </w:r>
      <w:r w:rsidR="00A133D9" w:rsidRPr="00A133D9">
        <w:rPr>
          <w:rFonts w:eastAsia="Calibri"/>
          <w:snapToGrid w:val="0"/>
          <w:kern w:val="22"/>
          <w:bdr w:val="none" w:sz="0" w:space="0" w:color="auto" w:frame="1"/>
        </w:rPr>
        <w:t xml:space="preserve">ccess to </w:t>
      </w:r>
      <w:r w:rsidR="00A133D9">
        <w:rPr>
          <w:rFonts w:eastAsia="Calibri"/>
          <w:snapToGrid w:val="0"/>
          <w:kern w:val="22"/>
          <w:bdr w:val="none" w:sz="0" w:space="0" w:color="auto" w:frame="1"/>
        </w:rPr>
        <w:t>g</w:t>
      </w:r>
      <w:r w:rsidR="00A133D9" w:rsidRPr="00A133D9">
        <w:rPr>
          <w:rFonts w:eastAsia="Calibri"/>
          <w:snapToGrid w:val="0"/>
          <w:kern w:val="22"/>
          <w:bdr w:val="none" w:sz="0" w:space="0" w:color="auto" w:frame="1"/>
        </w:rPr>
        <w:t xml:space="preserve">enetic </w:t>
      </w:r>
      <w:r w:rsidR="00A133D9">
        <w:rPr>
          <w:rFonts w:eastAsia="Calibri"/>
          <w:snapToGrid w:val="0"/>
          <w:kern w:val="22"/>
          <w:bdr w:val="none" w:sz="0" w:space="0" w:color="auto" w:frame="1"/>
        </w:rPr>
        <w:t>r</w:t>
      </w:r>
      <w:r w:rsidR="00A133D9" w:rsidRPr="00A133D9">
        <w:rPr>
          <w:rFonts w:eastAsia="Calibri"/>
          <w:snapToGrid w:val="0"/>
          <w:kern w:val="22"/>
          <w:bdr w:val="none" w:sz="0" w:space="0" w:color="auto" w:frame="1"/>
        </w:rPr>
        <w:t xml:space="preserve">esources and </w:t>
      </w:r>
      <w:r w:rsidR="00A133D9">
        <w:rPr>
          <w:rFonts w:eastAsia="Calibri"/>
          <w:snapToGrid w:val="0"/>
          <w:kern w:val="22"/>
          <w:bdr w:val="none" w:sz="0" w:space="0" w:color="auto" w:frame="1"/>
        </w:rPr>
        <w:t>b</w:t>
      </w:r>
      <w:r w:rsidR="00A133D9" w:rsidRPr="00A133D9">
        <w:rPr>
          <w:rFonts w:eastAsia="Calibri"/>
          <w:snapToGrid w:val="0"/>
          <w:kern w:val="22"/>
          <w:bdr w:val="none" w:sz="0" w:space="0" w:color="auto" w:frame="1"/>
        </w:rPr>
        <w:t xml:space="preserve">enefit-sharing for </w:t>
      </w:r>
      <w:r w:rsidR="00A133D9">
        <w:rPr>
          <w:rFonts w:eastAsia="Calibri"/>
          <w:snapToGrid w:val="0"/>
          <w:kern w:val="22"/>
          <w:bdr w:val="none" w:sz="0" w:space="0" w:color="auto" w:frame="1"/>
        </w:rPr>
        <w:t>p</w:t>
      </w:r>
      <w:r w:rsidR="00A133D9" w:rsidRPr="00A133D9">
        <w:rPr>
          <w:rFonts w:eastAsia="Calibri"/>
          <w:snapToGrid w:val="0"/>
          <w:kern w:val="22"/>
          <w:bdr w:val="none" w:sz="0" w:space="0" w:color="auto" w:frame="1"/>
        </w:rPr>
        <w:t xml:space="preserve">articipating </w:t>
      </w:r>
      <w:r w:rsidR="00A133D9">
        <w:rPr>
          <w:rFonts w:eastAsia="Calibri"/>
          <w:snapToGrid w:val="0"/>
          <w:kern w:val="22"/>
          <w:bdr w:val="none" w:sz="0" w:space="0" w:color="auto" w:frame="1"/>
        </w:rPr>
        <w:t>i</w:t>
      </w:r>
      <w:r w:rsidR="00A133D9" w:rsidRPr="00A133D9">
        <w:rPr>
          <w:rFonts w:eastAsia="Calibri"/>
          <w:snapToGrid w:val="0"/>
          <w:kern w:val="22"/>
          <w:bdr w:val="none" w:sz="0" w:space="0" w:color="auto" w:frame="1"/>
        </w:rPr>
        <w:t>nstitutions</w:t>
      </w:r>
      <w:r w:rsidR="009D4331">
        <w:rPr>
          <w:rFonts w:eastAsia="Calibri"/>
          <w:snapToGrid w:val="0"/>
          <w:kern w:val="22"/>
          <w:bdr w:val="none" w:sz="0" w:space="0" w:color="auto" w:frame="1"/>
        </w:rPr>
        <w:t>;</w:t>
      </w:r>
    </w:p>
    <w:p w:rsidR="00A13009" w:rsidRDefault="00A13009" w:rsidP="00FF7A15">
      <w:pPr>
        <w:pStyle w:val="ListParagraph"/>
        <w:numPr>
          <w:ilvl w:val="0"/>
          <w:numId w:val="16"/>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The </w:t>
      </w:r>
      <w:r w:rsidRPr="00A13009">
        <w:rPr>
          <w:rFonts w:eastAsia="Calibri"/>
          <w:snapToGrid w:val="0"/>
          <w:kern w:val="22"/>
          <w:bdr w:val="none" w:sz="0" w:space="0" w:color="auto" w:frame="1"/>
        </w:rPr>
        <w:t>Microbial Resource Research Infrastructure (MIRRI)</w:t>
      </w:r>
      <w:r>
        <w:rPr>
          <w:rFonts w:eastAsia="Calibri"/>
          <w:snapToGrid w:val="0"/>
          <w:kern w:val="22"/>
          <w:bdr w:val="none" w:sz="0" w:space="0" w:color="auto" w:frame="1"/>
        </w:rPr>
        <w:t xml:space="preserve"> developed “</w:t>
      </w:r>
      <w:r w:rsidRPr="00A13009">
        <w:rPr>
          <w:rFonts w:eastAsia="Calibri"/>
          <w:snapToGrid w:val="0"/>
          <w:kern w:val="22"/>
          <w:bdr w:val="none" w:sz="0" w:space="0" w:color="auto" w:frame="1"/>
        </w:rPr>
        <w:t>MIRRI Best Practice Manual on Access and Benefit Sharing</w:t>
      </w:r>
      <w:r>
        <w:rPr>
          <w:rFonts w:eastAsia="Calibri"/>
          <w:snapToGrid w:val="0"/>
          <w:kern w:val="22"/>
          <w:bdr w:val="none" w:sz="0" w:space="0" w:color="auto" w:frame="1"/>
        </w:rPr>
        <w:t>” for users of microbial and genetic resources from a network of research institutes across Europe</w:t>
      </w:r>
      <w:r w:rsidR="009D4331">
        <w:rPr>
          <w:rFonts w:eastAsia="Calibri"/>
          <w:snapToGrid w:val="0"/>
          <w:kern w:val="22"/>
          <w:bdr w:val="none" w:sz="0" w:space="0" w:color="auto" w:frame="1"/>
        </w:rPr>
        <w:t>;</w:t>
      </w:r>
    </w:p>
    <w:p w:rsidR="00A4020C" w:rsidRPr="00AE6FC3" w:rsidRDefault="00A4020C" w:rsidP="00AE6FC3">
      <w:pPr>
        <w:pStyle w:val="ListParagraph"/>
        <w:numPr>
          <w:ilvl w:val="0"/>
          <w:numId w:val="16"/>
        </w:numPr>
        <w:spacing w:before="120" w:after="120" w:line="228" w:lineRule="auto"/>
        <w:ind w:left="0" w:firstLine="720"/>
        <w:contextualSpacing w:val="0"/>
        <w:rPr>
          <w:rFonts w:eastAsia="Calibri"/>
          <w:snapToGrid w:val="0"/>
          <w:kern w:val="22"/>
          <w:bdr w:val="none" w:sz="0" w:space="0" w:color="auto" w:frame="1"/>
        </w:rPr>
      </w:pPr>
      <w:r w:rsidRPr="00AE6FC3">
        <w:rPr>
          <w:rFonts w:eastAsia="Calibri"/>
          <w:snapToGrid w:val="0"/>
          <w:kern w:val="22"/>
          <w:bdr w:val="none" w:sz="0" w:space="0" w:color="auto" w:frame="1"/>
        </w:rPr>
        <w:t>The Microbiology Society has developed “International Code of Nomenclature of Prokaryotes” which is a code of conduct for all users of microbes, in research or industry, which includes procedures to track origin of genetic resources</w:t>
      </w:r>
      <w:r w:rsidR="009D4331">
        <w:rPr>
          <w:rFonts w:eastAsia="Calibri"/>
          <w:snapToGrid w:val="0"/>
          <w:kern w:val="22"/>
          <w:bdr w:val="none" w:sz="0" w:space="0" w:color="auto" w:frame="1"/>
        </w:rPr>
        <w:t>;</w:t>
      </w:r>
      <w:r w:rsidRPr="00AE6FC3">
        <w:rPr>
          <w:rFonts w:eastAsia="Calibri"/>
          <w:snapToGrid w:val="0"/>
          <w:kern w:val="22"/>
          <w:bdr w:val="none" w:sz="0" w:space="0" w:color="auto" w:frame="1"/>
        </w:rPr>
        <w:t xml:space="preserve"> </w:t>
      </w:r>
    </w:p>
    <w:p w:rsidR="00D3416C" w:rsidRDefault="00A13009" w:rsidP="00FF7A15">
      <w:pPr>
        <w:pStyle w:val="ListParagraph"/>
        <w:numPr>
          <w:ilvl w:val="0"/>
          <w:numId w:val="16"/>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The </w:t>
      </w:r>
      <w:r w:rsidRPr="00A13009">
        <w:rPr>
          <w:rFonts w:eastAsia="Calibri"/>
          <w:snapToGrid w:val="0"/>
          <w:kern w:val="22"/>
          <w:bdr w:val="none" w:sz="0" w:space="0" w:color="auto" w:frame="1"/>
        </w:rPr>
        <w:t>International Federation of Pharmaceutical Manufacturers and Associations</w:t>
      </w:r>
      <w:r>
        <w:rPr>
          <w:rFonts w:eastAsia="Calibri"/>
          <w:snapToGrid w:val="0"/>
          <w:kern w:val="22"/>
          <w:bdr w:val="none" w:sz="0" w:space="0" w:color="auto" w:frame="1"/>
        </w:rPr>
        <w:t xml:space="preserve"> (IFPMA) produced “</w:t>
      </w:r>
      <w:r w:rsidRPr="00A13009">
        <w:rPr>
          <w:rFonts w:eastAsia="Calibri"/>
          <w:snapToGrid w:val="0"/>
          <w:kern w:val="22"/>
          <w:bdr w:val="none" w:sz="0" w:space="0" w:color="auto" w:frame="1"/>
        </w:rPr>
        <w:t>Guidelines for IFPMA Members on Access to Genetic Resources and Equitable Sharing of Benefits Arising out of their Utilization</w:t>
      </w:r>
      <w:r>
        <w:rPr>
          <w:rFonts w:eastAsia="Calibri"/>
          <w:snapToGrid w:val="0"/>
          <w:kern w:val="22"/>
          <w:bdr w:val="none" w:sz="0" w:space="0" w:color="auto" w:frame="1"/>
        </w:rPr>
        <w:t xml:space="preserve">” </w:t>
      </w:r>
      <w:r w:rsidR="00BC16C5">
        <w:rPr>
          <w:rFonts w:eastAsia="Calibri"/>
          <w:snapToGrid w:val="0"/>
          <w:kern w:val="22"/>
          <w:bdr w:val="none" w:sz="0" w:space="0" w:color="auto" w:frame="1"/>
        </w:rPr>
        <w:t>for their members, which are mainly biopharmaceutical companies around the world</w:t>
      </w:r>
      <w:r w:rsidR="009D4331">
        <w:rPr>
          <w:rFonts w:eastAsia="Calibri"/>
          <w:snapToGrid w:val="0"/>
          <w:kern w:val="22"/>
          <w:bdr w:val="none" w:sz="0" w:space="0" w:color="auto" w:frame="1"/>
        </w:rPr>
        <w:t>;</w:t>
      </w:r>
    </w:p>
    <w:p w:rsidR="00D3416C" w:rsidRDefault="00D3416C" w:rsidP="00FF7A15">
      <w:pPr>
        <w:pStyle w:val="ListParagraph"/>
        <w:numPr>
          <w:ilvl w:val="0"/>
          <w:numId w:val="16"/>
        </w:numPr>
        <w:spacing w:before="120" w:after="120" w:line="228" w:lineRule="auto"/>
        <w:ind w:left="0" w:firstLine="720"/>
        <w:contextualSpacing w:val="0"/>
        <w:rPr>
          <w:rFonts w:eastAsia="Calibri"/>
          <w:snapToGrid w:val="0"/>
          <w:kern w:val="22"/>
          <w:bdr w:val="none" w:sz="0" w:space="0" w:color="auto" w:frame="1"/>
        </w:rPr>
      </w:pPr>
      <w:r w:rsidRPr="00D3416C">
        <w:rPr>
          <w:rFonts w:eastAsia="Calibri"/>
          <w:snapToGrid w:val="0"/>
          <w:kern w:val="22"/>
          <w:bdr w:val="none" w:sz="0" w:space="0" w:color="auto" w:frame="1"/>
        </w:rPr>
        <w:t>The Consortium o</w:t>
      </w:r>
      <w:r w:rsidR="00606E24">
        <w:rPr>
          <w:rFonts w:eastAsia="Calibri"/>
          <w:snapToGrid w:val="0"/>
          <w:kern w:val="22"/>
          <w:bdr w:val="none" w:sz="0" w:space="0" w:color="auto" w:frame="1"/>
        </w:rPr>
        <w:t>f European Taxonomic Facilities</w:t>
      </w:r>
      <w:r w:rsidR="000B0063">
        <w:rPr>
          <w:rFonts w:eastAsia="Calibri"/>
          <w:snapToGrid w:val="0"/>
          <w:kern w:val="22"/>
          <w:bdr w:val="none" w:sz="0" w:space="0" w:color="auto" w:frame="1"/>
        </w:rPr>
        <w:t xml:space="preserve"> (CETAF) developed a </w:t>
      </w:r>
      <w:r w:rsidRPr="00D3416C">
        <w:rPr>
          <w:rFonts w:eastAsia="Calibri"/>
          <w:snapToGrid w:val="0"/>
          <w:kern w:val="22"/>
          <w:bdr w:val="none" w:sz="0" w:space="0" w:color="auto" w:frame="1"/>
        </w:rPr>
        <w:t>“Code of Conduct and Best Practices on Access and Benefit-Sharing and Material Transfer Agreement Templates” for their member</w:t>
      </w:r>
      <w:r w:rsidR="000B0063">
        <w:rPr>
          <w:rFonts w:eastAsia="Calibri"/>
          <w:snapToGrid w:val="0"/>
          <w:kern w:val="22"/>
          <w:bdr w:val="none" w:sz="0" w:space="0" w:color="auto" w:frame="1"/>
        </w:rPr>
        <w:t>s (</w:t>
      </w:r>
      <w:r w:rsidRPr="00D3416C">
        <w:rPr>
          <w:rFonts w:eastAsia="Calibri"/>
          <w:snapToGrid w:val="0"/>
          <w:kern w:val="22"/>
          <w:bdr w:val="none" w:sz="0" w:space="0" w:color="auto" w:frame="1"/>
        </w:rPr>
        <w:t>a network of natural science and history museums, botanical gardens and biodiversity research centre</w:t>
      </w:r>
      <w:r w:rsidR="000B0063">
        <w:rPr>
          <w:rFonts w:eastAsia="Calibri"/>
          <w:snapToGrid w:val="0"/>
          <w:kern w:val="22"/>
          <w:bdr w:val="none" w:sz="0" w:space="0" w:color="auto" w:frame="1"/>
        </w:rPr>
        <w:t xml:space="preserve">s) </w:t>
      </w:r>
      <w:r w:rsidRPr="00D3416C">
        <w:rPr>
          <w:rFonts w:eastAsia="Calibri"/>
          <w:snapToGrid w:val="0"/>
          <w:kern w:val="22"/>
          <w:bdr w:val="none" w:sz="0" w:space="0" w:color="auto" w:frame="1"/>
        </w:rPr>
        <w:t>as providers of ex-situ genetic resources and others wanting to use these resources</w:t>
      </w:r>
      <w:r w:rsidR="009D4331">
        <w:rPr>
          <w:rFonts w:eastAsia="Calibri"/>
          <w:snapToGrid w:val="0"/>
          <w:kern w:val="22"/>
          <w:bdr w:val="none" w:sz="0" w:space="0" w:color="auto" w:frame="1"/>
        </w:rPr>
        <w:t>;</w:t>
      </w:r>
    </w:p>
    <w:p w:rsidR="00E84400" w:rsidRPr="00D3416C" w:rsidRDefault="00E84400" w:rsidP="00FF7A15">
      <w:pPr>
        <w:pStyle w:val="ListParagraph"/>
        <w:numPr>
          <w:ilvl w:val="0"/>
          <w:numId w:val="16"/>
        </w:numPr>
        <w:spacing w:before="120" w:after="120" w:line="228" w:lineRule="auto"/>
        <w:ind w:left="0" w:firstLine="720"/>
        <w:contextualSpacing w:val="0"/>
        <w:rPr>
          <w:rFonts w:eastAsia="Calibri"/>
          <w:snapToGrid w:val="0"/>
          <w:kern w:val="22"/>
          <w:bdr w:val="none" w:sz="0" w:space="0" w:color="auto" w:frame="1"/>
        </w:rPr>
      </w:pPr>
      <w:r>
        <w:lastRenderedPageBreak/>
        <w:t xml:space="preserve">The European Seed Association (ESA) developed </w:t>
      </w:r>
      <w:r w:rsidRPr="00394CDE">
        <w:t>guidelines explain</w:t>
      </w:r>
      <w:r>
        <w:t>ing</w:t>
      </w:r>
      <w:r w:rsidRPr="00394CDE">
        <w:t xml:space="preserve"> the obligations of users stemming from the EU ABS Regulation and its implementing regulation and provides practical guidance on how to comply with those obligations</w:t>
      </w:r>
      <w:r>
        <w:t xml:space="preserve"> for its members.</w:t>
      </w:r>
    </w:p>
    <w:p w:rsidR="00BC16C5" w:rsidRPr="00D90BC8" w:rsidRDefault="00A13009" w:rsidP="00FF7A15">
      <w:pPr>
        <w:numPr>
          <w:ilvl w:val="0"/>
          <w:numId w:val="9"/>
        </w:numPr>
        <w:pBdr>
          <w:top w:val="nil"/>
          <w:left w:val="nil"/>
          <w:bottom w:val="nil"/>
          <w:right w:val="nil"/>
          <w:between w:val="nil"/>
          <w:bar w:val="nil"/>
        </w:pBdr>
        <w:spacing w:before="120" w:after="120"/>
        <w:rPr>
          <w:snapToGrid w:val="0"/>
          <w:kern w:val="22"/>
        </w:rPr>
      </w:pPr>
      <w:r w:rsidRPr="00D90BC8">
        <w:rPr>
          <w:snapToGrid w:val="0"/>
          <w:kern w:val="22"/>
        </w:rPr>
        <w:t xml:space="preserve">Another portion of guiding documents was developed </w:t>
      </w:r>
      <w:r w:rsidR="008750A8">
        <w:rPr>
          <w:snapToGrid w:val="0"/>
          <w:kern w:val="22"/>
        </w:rPr>
        <w:t xml:space="preserve">to be used by a broader </w:t>
      </w:r>
      <w:r w:rsidR="00127235">
        <w:rPr>
          <w:snapToGrid w:val="0"/>
          <w:kern w:val="22"/>
        </w:rPr>
        <w:t xml:space="preserve">variety of </w:t>
      </w:r>
      <w:r w:rsidRPr="00D90BC8">
        <w:rPr>
          <w:snapToGrid w:val="0"/>
          <w:kern w:val="22"/>
        </w:rPr>
        <w:t>users across sectors</w:t>
      </w:r>
      <w:r w:rsidR="00BC16C5" w:rsidRPr="00BC1A2F">
        <w:rPr>
          <w:vertAlign w:val="superscript"/>
        </w:rPr>
        <w:footnoteReference w:id="26"/>
      </w:r>
      <w:r w:rsidRPr="00D90BC8">
        <w:rPr>
          <w:snapToGrid w:val="0"/>
          <w:kern w:val="22"/>
        </w:rPr>
        <w:t>. For example</w:t>
      </w:r>
      <w:r w:rsidR="00BC16C5" w:rsidRPr="00D90BC8">
        <w:rPr>
          <w:snapToGrid w:val="0"/>
          <w:kern w:val="22"/>
        </w:rPr>
        <w:t>:</w:t>
      </w:r>
    </w:p>
    <w:p w:rsidR="00AC40E9" w:rsidRDefault="00D90BC8" w:rsidP="00FF7A15">
      <w:pPr>
        <w:pStyle w:val="ListParagraph"/>
        <w:numPr>
          <w:ilvl w:val="0"/>
          <w:numId w:val="18"/>
        </w:numPr>
        <w:spacing w:before="120" w:after="120" w:line="228" w:lineRule="auto"/>
        <w:ind w:left="0" w:firstLine="720"/>
        <w:contextualSpacing w:val="0"/>
        <w:rPr>
          <w:rFonts w:eastAsia="Calibri"/>
          <w:snapToGrid w:val="0"/>
          <w:kern w:val="22"/>
          <w:bdr w:val="none" w:sz="0" w:space="0" w:color="auto" w:frame="1"/>
        </w:rPr>
      </w:pPr>
      <w:r w:rsidRPr="00D90BC8">
        <w:rPr>
          <w:rFonts w:eastAsia="Calibri"/>
          <w:snapToGrid w:val="0"/>
          <w:kern w:val="22"/>
          <w:bdr w:val="none" w:sz="0" w:space="0" w:color="auto" w:frame="1"/>
        </w:rPr>
        <w:t>Union for Ethical BioTrade (UEBT)</w:t>
      </w:r>
      <w:r>
        <w:rPr>
          <w:rFonts w:eastAsia="Calibri"/>
          <w:snapToGrid w:val="0"/>
          <w:kern w:val="22"/>
          <w:bdr w:val="none" w:sz="0" w:space="0" w:color="auto" w:frame="1"/>
        </w:rPr>
        <w:t xml:space="preserve"> produced the “</w:t>
      </w:r>
      <w:r w:rsidRPr="00D90BC8">
        <w:rPr>
          <w:rFonts w:eastAsia="Calibri"/>
          <w:snapToGrid w:val="0"/>
          <w:kern w:val="22"/>
          <w:bdr w:val="none" w:sz="0" w:space="0" w:color="auto" w:frame="1"/>
        </w:rPr>
        <w:t>Ethical BioTrade Standard</w:t>
      </w:r>
      <w:r>
        <w:rPr>
          <w:rFonts w:eastAsia="Calibri"/>
          <w:snapToGrid w:val="0"/>
          <w:kern w:val="22"/>
          <w:bdr w:val="none" w:sz="0" w:space="0" w:color="auto" w:frame="1"/>
        </w:rPr>
        <w:t>” for its members across sectors</w:t>
      </w:r>
      <w:r w:rsidR="009D4331">
        <w:rPr>
          <w:rFonts w:eastAsia="Calibri"/>
          <w:snapToGrid w:val="0"/>
          <w:kern w:val="22"/>
          <w:bdr w:val="none" w:sz="0" w:space="0" w:color="auto" w:frame="1"/>
        </w:rPr>
        <w:t>;</w:t>
      </w:r>
    </w:p>
    <w:p w:rsidR="00866831" w:rsidRDefault="00AC40E9" w:rsidP="00FF7A15">
      <w:pPr>
        <w:pStyle w:val="ListParagraph"/>
        <w:numPr>
          <w:ilvl w:val="0"/>
          <w:numId w:val="18"/>
        </w:numPr>
        <w:spacing w:before="120" w:after="120" w:line="228" w:lineRule="auto"/>
        <w:ind w:left="0" w:firstLine="720"/>
        <w:contextualSpacing w:val="0"/>
        <w:rPr>
          <w:rFonts w:eastAsia="Calibri"/>
          <w:snapToGrid w:val="0"/>
          <w:kern w:val="22"/>
          <w:bdr w:val="none" w:sz="0" w:space="0" w:color="auto" w:frame="1"/>
        </w:rPr>
      </w:pPr>
      <w:r w:rsidRPr="000D1AA2">
        <w:rPr>
          <w:rFonts w:eastAsia="Calibri"/>
          <w:snapToGrid w:val="0"/>
          <w:kern w:val="22"/>
          <w:bdr w:val="none" w:sz="0" w:space="0" w:color="auto" w:frame="1"/>
        </w:rPr>
        <w:t>Stratos Inc., a consulting company,</w:t>
      </w:r>
      <w:r w:rsidR="00D1440C" w:rsidRPr="00B569BC">
        <w:rPr>
          <w:rStyle w:val="FootnoteReference"/>
          <w:rFonts w:eastAsia="Calibri"/>
          <w:snapToGrid w:val="0"/>
          <w:kern w:val="22"/>
          <w:u w:val="none"/>
          <w:bdr w:val="none" w:sz="0" w:space="0" w:color="auto" w:frame="1"/>
          <w:vertAlign w:val="superscript"/>
        </w:rPr>
        <w:footnoteReference w:id="27"/>
      </w:r>
      <w:r w:rsidRPr="000D1AA2">
        <w:rPr>
          <w:rFonts w:eastAsia="Calibri"/>
          <w:snapToGrid w:val="0"/>
          <w:kern w:val="22"/>
          <w:bdr w:val="none" w:sz="0" w:space="0" w:color="auto" w:frame="1"/>
        </w:rPr>
        <w:t xml:space="preserve"> </w:t>
      </w:r>
      <w:r w:rsidR="00156D4D" w:rsidRPr="00AC40E9">
        <w:rPr>
          <w:rFonts w:eastAsia="Calibri"/>
          <w:snapToGrid w:val="0"/>
          <w:kern w:val="22"/>
          <w:bdr w:val="none" w:sz="0" w:space="0" w:color="auto" w:frame="1"/>
        </w:rPr>
        <w:t xml:space="preserve">developed a document on best practices and standards aimed at </w:t>
      </w:r>
      <w:r w:rsidR="00BC1A2F" w:rsidRPr="00AC40E9">
        <w:rPr>
          <w:rFonts w:eastAsia="Calibri"/>
          <w:snapToGrid w:val="0"/>
          <w:kern w:val="22"/>
          <w:bdr w:val="none" w:sz="0" w:space="0" w:color="auto" w:frame="1"/>
        </w:rPr>
        <w:t xml:space="preserve">users and </w:t>
      </w:r>
      <w:r w:rsidR="00156D4D" w:rsidRPr="00AC40E9">
        <w:rPr>
          <w:rFonts w:eastAsia="Calibri"/>
          <w:snapToGrid w:val="0"/>
          <w:kern w:val="22"/>
          <w:bdr w:val="none" w:sz="0" w:space="0" w:color="auto" w:frame="1"/>
        </w:rPr>
        <w:t>providers of ge</w:t>
      </w:r>
      <w:r>
        <w:rPr>
          <w:rFonts w:eastAsia="Calibri"/>
          <w:snapToGrid w:val="0"/>
          <w:kern w:val="22"/>
          <w:bdr w:val="none" w:sz="0" w:space="0" w:color="auto" w:frame="1"/>
        </w:rPr>
        <w:t xml:space="preserve">netic resources across sectors: </w:t>
      </w:r>
      <w:r w:rsidR="00156D4D" w:rsidRPr="00AC40E9">
        <w:rPr>
          <w:rFonts w:eastAsia="Calibri"/>
          <w:snapToGrid w:val="0"/>
          <w:kern w:val="22"/>
          <w:bdr w:val="none" w:sz="0" w:space="0" w:color="auto" w:frame="1"/>
        </w:rPr>
        <w:t xml:space="preserve">“ABS Management Tool: Best Practices and Handbook for Implementing Genetic Resource and Benefit-sharing Activities” </w:t>
      </w:r>
      <w:r w:rsidR="00BC1A2F" w:rsidRPr="00AC40E9">
        <w:rPr>
          <w:rFonts w:eastAsia="Calibri"/>
          <w:snapToGrid w:val="0"/>
          <w:kern w:val="22"/>
          <w:bdr w:val="none" w:sz="0" w:space="0" w:color="auto" w:frame="1"/>
        </w:rPr>
        <w:t>aimed at companies, researchers, indigenous and local communities, and governments.</w:t>
      </w:r>
    </w:p>
    <w:p w:rsidR="009C711B" w:rsidRDefault="009C711B" w:rsidP="009C711B">
      <w:pPr>
        <w:pStyle w:val="Heading2"/>
        <w:numPr>
          <w:ilvl w:val="0"/>
          <w:numId w:val="12"/>
        </w:numPr>
      </w:pPr>
      <w:r w:rsidRPr="000B754A">
        <w:t>Use</w:t>
      </w:r>
      <w:r>
        <w:t xml:space="preserve"> of </w:t>
      </w:r>
      <w:r w:rsidR="0044282E">
        <w:t>c</w:t>
      </w:r>
      <w:r w:rsidRPr="00A103E7">
        <w:t xml:space="preserve">odes of </w:t>
      </w:r>
      <w:r w:rsidR="0044282E">
        <w:t>c</w:t>
      </w:r>
      <w:r w:rsidRPr="00A103E7">
        <w:t xml:space="preserve">onduct, </w:t>
      </w:r>
      <w:r w:rsidR="0044282E">
        <w:t>g</w:t>
      </w:r>
      <w:r w:rsidRPr="00A103E7">
        <w:t xml:space="preserve">uidelines, </w:t>
      </w:r>
      <w:r w:rsidR="0044282E">
        <w:t>b</w:t>
      </w:r>
      <w:r w:rsidRPr="00A103E7">
        <w:t xml:space="preserve">est </w:t>
      </w:r>
      <w:r w:rsidR="0044282E">
        <w:t>p</w:t>
      </w:r>
      <w:r w:rsidRPr="00A103E7">
        <w:t xml:space="preserve">ractices </w:t>
      </w:r>
      <w:r>
        <w:t>and</w:t>
      </w:r>
      <w:r w:rsidR="0044282E">
        <w:t>/or</w:t>
      </w:r>
      <w:r>
        <w:t xml:space="preserve"> </w:t>
      </w:r>
      <w:r w:rsidR="0044282E">
        <w:t>s</w:t>
      </w:r>
      <w:r w:rsidRPr="00A103E7">
        <w:t>tandards</w:t>
      </w:r>
    </w:p>
    <w:p w:rsidR="009C711B" w:rsidRPr="00A4539C" w:rsidRDefault="009C711B" w:rsidP="009C711B">
      <w:pPr>
        <w:numPr>
          <w:ilvl w:val="0"/>
          <w:numId w:val="9"/>
        </w:numPr>
        <w:pBdr>
          <w:top w:val="nil"/>
          <w:left w:val="nil"/>
          <w:bottom w:val="nil"/>
          <w:right w:val="nil"/>
          <w:between w:val="nil"/>
          <w:bar w:val="nil"/>
        </w:pBdr>
        <w:spacing w:before="120" w:after="120"/>
        <w:rPr>
          <w:snapToGrid w:val="0"/>
          <w:kern w:val="22"/>
        </w:rPr>
      </w:pPr>
      <w:r w:rsidRPr="00A4539C">
        <w:rPr>
          <w:snapToGrid w:val="0"/>
          <w:kern w:val="22"/>
        </w:rPr>
        <w:t>Similarly to model contractual clauses</w:t>
      </w:r>
      <w:r w:rsidR="000B0063">
        <w:rPr>
          <w:snapToGrid w:val="0"/>
          <w:kern w:val="22"/>
        </w:rPr>
        <w:t xml:space="preserve">, </w:t>
      </w:r>
      <w:r>
        <w:rPr>
          <w:snapToGrid w:val="0"/>
          <w:kern w:val="22"/>
        </w:rPr>
        <w:t xml:space="preserve">a few </w:t>
      </w:r>
      <w:r w:rsidRPr="00A4539C">
        <w:rPr>
          <w:snapToGrid w:val="0"/>
          <w:kern w:val="22"/>
        </w:rPr>
        <w:t xml:space="preserve">reported </w:t>
      </w:r>
      <w:r w:rsidR="000B0063">
        <w:rPr>
          <w:snapToGrid w:val="0"/>
          <w:kern w:val="22"/>
        </w:rPr>
        <w:t xml:space="preserve">on </w:t>
      </w:r>
      <w:r w:rsidRPr="00A4539C">
        <w:rPr>
          <w:snapToGrid w:val="0"/>
          <w:kern w:val="22"/>
        </w:rPr>
        <w:t>us</w:t>
      </w:r>
      <w:r w:rsidR="000B0063">
        <w:rPr>
          <w:snapToGrid w:val="0"/>
          <w:kern w:val="22"/>
        </w:rPr>
        <w:t>e of</w:t>
      </w:r>
      <w:r w:rsidRPr="00A4539C">
        <w:rPr>
          <w:snapToGrid w:val="0"/>
          <w:kern w:val="22"/>
        </w:rPr>
        <w:t xml:space="preserve"> codes of conduct, guidelines, best practices and /or standards. </w:t>
      </w:r>
    </w:p>
    <w:p w:rsidR="009C711B" w:rsidRDefault="009C711B" w:rsidP="009C711B">
      <w:pPr>
        <w:numPr>
          <w:ilvl w:val="0"/>
          <w:numId w:val="9"/>
        </w:numPr>
        <w:pBdr>
          <w:top w:val="nil"/>
          <w:left w:val="nil"/>
          <w:bottom w:val="nil"/>
          <w:right w:val="nil"/>
          <w:between w:val="nil"/>
          <w:bar w:val="nil"/>
        </w:pBdr>
        <w:spacing w:before="120" w:after="120"/>
        <w:rPr>
          <w:snapToGrid w:val="0"/>
          <w:kern w:val="22"/>
        </w:rPr>
      </w:pPr>
      <w:r w:rsidRPr="00A4539C">
        <w:rPr>
          <w:snapToGrid w:val="0"/>
          <w:kern w:val="22"/>
        </w:rPr>
        <w:t xml:space="preserve">Some </w:t>
      </w:r>
      <w:r>
        <w:rPr>
          <w:snapToGrid w:val="0"/>
          <w:kern w:val="22"/>
        </w:rPr>
        <w:t xml:space="preserve">Parties and organizations </w:t>
      </w:r>
      <w:r w:rsidR="000B0063">
        <w:rPr>
          <w:snapToGrid w:val="0"/>
          <w:kern w:val="22"/>
        </w:rPr>
        <w:t>reported using Article 20 tools</w:t>
      </w:r>
      <w:r w:rsidRPr="00A4539C">
        <w:rPr>
          <w:snapToGrid w:val="0"/>
          <w:kern w:val="22"/>
        </w:rPr>
        <w:t xml:space="preserve"> </w:t>
      </w:r>
      <w:r w:rsidR="000B0063">
        <w:rPr>
          <w:snapToGrid w:val="0"/>
          <w:kern w:val="22"/>
        </w:rPr>
        <w:t>developed by another organi</w:t>
      </w:r>
      <w:r w:rsidR="009D4331">
        <w:rPr>
          <w:snapToGrid w:val="0"/>
          <w:kern w:val="22"/>
        </w:rPr>
        <w:t>z</w:t>
      </w:r>
      <w:r w:rsidR="000B0063">
        <w:rPr>
          <w:snapToGrid w:val="0"/>
          <w:kern w:val="22"/>
        </w:rPr>
        <w:t>ation</w:t>
      </w:r>
      <w:r w:rsidRPr="00A4539C">
        <w:rPr>
          <w:snapToGrid w:val="0"/>
          <w:kern w:val="22"/>
        </w:rPr>
        <w:t xml:space="preserve">, </w:t>
      </w:r>
      <w:r>
        <w:rPr>
          <w:snapToGrid w:val="0"/>
          <w:kern w:val="22"/>
        </w:rPr>
        <w:t>f</w:t>
      </w:r>
      <w:r w:rsidRPr="00A4539C">
        <w:rPr>
          <w:snapToGrid w:val="0"/>
          <w:kern w:val="22"/>
        </w:rPr>
        <w:t>or example</w:t>
      </w:r>
      <w:r>
        <w:rPr>
          <w:snapToGrid w:val="0"/>
          <w:kern w:val="22"/>
        </w:rPr>
        <w:t>:</w:t>
      </w:r>
    </w:p>
    <w:p w:rsidR="009C711B" w:rsidRPr="00AE6FC3" w:rsidRDefault="009C711B" w:rsidP="009C711B">
      <w:pPr>
        <w:numPr>
          <w:ilvl w:val="0"/>
          <w:numId w:val="15"/>
        </w:numPr>
        <w:pBdr>
          <w:top w:val="nil"/>
          <w:left w:val="nil"/>
          <w:bottom w:val="nil"/>
          <w:right w:val="nil"/>
          <w:between w:val="nil"/>
          <w:bar w:val="nil"/>
        </w:pBdr>
        <w:spacing w:before="120" w:after="120" w:line="228" w:lineRule="auto"/>
        <w:ind w:left="0" w:firstLine="720"/>
        <w:rPr>
          <w:rFonts w:eastAsia="Calibri"/>
          <w:snapToGrid w:val="0"/>
          <w:kern w:val="22"/>
          <w:bdr w:val="none" w:sz="0" w:space="0" w:color="auto" w:frame="1"/>
        </w:rPr>
      </w:pPr>
      <w:r w:rsidRPr="000D1AA2">
        <w:rPr>
          <w:snapToGrid w:val="0"/>
          <w:kern w:val="22"/>
        </w:rPr>
        <w:t xml:space="preserve">CABI </w:t>
      </w:r>
      <w:r w:rsidR="002D0861" w:rsidRPr="00C656A9">
        <w:rPr>
          <w:rFonts w:eastAsia="Calibri"/>
          <w:snapToGrid w:val="0"/>
          <w:kern w:val="22"/>
          <w:bdr w:val="none" w:sz="0" w:space="0" w:color="auto" w:frame="1"/>
        </w:rPr>
        <w:t>(Centre for Agriculture and Biosciences International)</w:t>
      </w:r>
      <w:r w:rsidR="002D0861">
        <w:rPr>
          <w:rFonts w:eastAsia="Calibri"/>
          <w:snapToGrid w:val="0"/>
          <w:kern w:val="22"/>
          <w:bdr w:val="none" w:sz="0" w:space="0" w:color="auto" w:frame="1"/>
        </w:rPr>
        <w:t xml:space="preserve"> </w:t>
      </w:r>
      <w:r w:rsidRPr="000D1AA2">
        <w:rPr>
          <w:snapToGrid w:val="0"/>
          <w:kern w:val="22"/>
        </w:rPr>
        <w:t xml:space="preserve">and the Natural History Museum in London have reported </w:t>
      </w:r>
      <w:r w:rsidR="00F62F99">
        <w:rPr>
          <w:snapToGrid w:val="0"/>
          <w:kern w:val="22"/>
        </w:rPr>
        <w:t xml:space="preserve">that they </w:t>
      </w:r>
      <w:r w:rsidR="00C2451C">
        <w:rPr>
          <w:snapToGrid w:val="0"/>
          <w:kern w:val="22"/>
        </w:rPr>
        <w:t xml:space="preserve">take into consideration </w:t>
      </w:r>
      <w:r w:rsidR="00D1440C" w:rsidRPr="00AE6FC3">
        <w:rPr>
          <w:snapToGrid w:val="0"/>
          <w:kern w:val="22"/>
        </w:rPr>
        <w:t xml:space="preserve">the </w:t>
      </w:r>
      <w:r w:rsidRPr="00AE6FC3">
        <w:rPr>
          <w:snapToGrid w:val="0"/>
          <w:kern w:val="22"/>
        </w:rPr>
        <w:t xml:space="preserve">Global Genome Biodiversity Network (GGBCN)’s ABS Guidance </w:t>
      </w:r>
      <w:r w:rsidR="00C2451C">
        <w:rPr>
          <w:snapToGrid w:val="0"/>
          <w:kern w:val="22"/>
        </w:rPr>
        <w:t xml:space="preserve">and </w:t>
      </w:r>
      <w:r w:rsidR="00F62F99">
        <w:rPr>
          <w:snapToGrid w:val="0"/>
          <w:kern w:val="22"/>
        </w:rPr>
        <w:t xml:space="preserve">the </w:t>
      </w:r>
      <w:r w:rsidRPr="00AE6FC3">
        <w:rPr>
          <w:snapToGrid w:val="0"/>
          <w:kern w:val="22"/>
        </w:rPr>
        <w:t>Consortium of European Taxonomic Facilities (CETAF)’s code of conduct and best practices</w:t>
      </w:r>
      <w:r w:rsidR="00C2451C">
        <w:rPr>
          <w:snapToGrid w:val="0"/>
          <w:kern w:val="22"/>
        </w:rPr>
        <w:t xml:space="preserve"> when dealing with ABS</w:t>
      </w:r>
      <w:r w:rsidR="009D4331">
        <w:rPr>
          <w:snapToGrid w:val="0"/>
          <w:kern w:val="22"/>
        </w:rPr>
        <w:t>;</w:t>
      </w:r>
      <w:r w:rsidRPr="00AE6FC3">
        <w:rPr>
          <w:snapToGrid w:val="0"/>
          <w:kern w:val="22"/>
        </w:rPr>
        <w:t xml:space="preserve"> </w:t>
      </w:r>
    </w:p>
    <w:p w:rsidR="009C711B" w:rsidRPr="00AE6FC3" w:rsidRDefault="009C711B" w:rsidP="009C711B">
      <w:pPr>
        <w:numPr>
          <w:ilvl w:val="0"/>
          <w:numId w:val="15"/>
        </w:numPr>
        <w:pBdr>
          <w:top w:val="nil"/>
          <w:left w:val="nil"/>
          <w:bottom w:val="nil"/>
          <w:right w:val="nil"/>
          <w:between w:val="nil"/>
          <w:bar w:val="nil"/>
        </w:pBdr>
        <w:spacing w:before="120" w:after="120" w:line="228" w:lineRule="auto"/>
        <w:ind w:left="0" w:firstLine="720"/>
        <w:rPr>
          <w:rFonts w:eastAsia="Calibri"/>
          <w:snapToGrid w:val="0"/>
          <w:kern w:val="22"/>
          <w:bdr w:val="none" w:sz="0" w:space="0" w:color="auto" w:frame="1"/>
        </w:rPr>
      </w:pPr>
      <w:r w:rsidRPr="00AE6FC3">
        <w:rPr>
          <w:rFonts w:eastAsia="Calibri"/>
          <w:snapToGrid w:val="0"/>
          <w:kern w:val="22"/>
          <w:bdr w:val="none" w:sz="0" w:space="0" w:color="auto" w:frame="1"/>
        </w:rPr>
        <w:t xml:space="preserve">CABI also mentioned that </w:t>
      </w:r>
      <w:r w:rsidR="00D1440C" w:rsidRPr="00AE6FC3">
        <w:rPr>
          <w:rFonts w:eastAsia="Calibri"/>
          <w:snapToGrid w:val="0"/>
          <w:kern w:val="22"/>
          <w:bdr w:val="none" w:sz="0" w:space="0" w:color="auto" w:frame="1"/>
        </w:rPr>
        <w:t xml:space="preserve">they take into consideration </w:t>
      </w:r>
      <w:r w:rsidRPr="00AE6FC3">
        <w:rPr>
          <w:rFonts w:eastAsia="Calibri"/>
          <w:snapToGrid w:val="0"/>
          <w:kern w:val="22"/>
          <w:bdr w:val="none" w:sz="0" w:space="0" w:color="auto" w:frame="1"/>
        </w:rPr>
        <w:t>guidelines developed by the International Organisation for Biological Control of Noxious Animals and Plants (IOBC), best practices by the Microbial Resource Research Infrastructure (MIRRI)</w:t>
      </w:r>
      <w:r w:rsidR="009D4331">
        <w:rPr>
          <w:rFonts w:eastAsia="Calibri"/>
          <w:snapToGrid w:val="0"/>
          <w:kern w:val="22"/>
          <w:bdr w:val="none" w:sz="0" w:space="0" w:color="auto" w:frame="1"/>
        </w:rPr>
        <w:t>;</w:t>
      </w:r>
      <w:r w:rsidRPr="00AE6FC3">
        <w:rPr>
          <w:rFonts w:eastAsia="Calibri"/>
          <w:snapToGrid w:val="0"/>
          <w:kern w:val="22"/>
          <w:bdr w:val="none" w:sz="0" w:space="0" w:color="auto" w:frame="1"/>
        </w:rPr>
        <w:t xml:space="preserve"> </w:t>
      </w:r>
    </w:p>
    <w:p w:rsidR="001B21D8" w:rsidRDefault="009C711B" w:rsidP="009C711B">
      <w:pPr>
        <w:pStyle w:val="ListParagraph"/>
        <w:numPr>
          <w:ilvl w:val="0"/>
          <w:numId w:val="15"/>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In their interim national reports, </w:t>
      </w:r>
      <w:r w:rsidRPr="00991CB4">
        <w:rPr>
          <w:rFonts w:eastAsia="Calibri"/>
          <w:snapToGrid w:val="0"/>
          <w:kern w:val="22"/>
          <w:bdr w:val="none" w:sz="0" w:space="0" w:color="auto" w:frame="1"/>
        </w:rPr>
        <w:t xml:space="preserve">Cameroon, Swaziland, and Togo referred to </w:t>
      </w:r>
      <w:r>
        <w:rPr>
          <w:rFonts w:eastAsia="Calibri"/>
          <w:snapToGrid w:val="0"/>
          <w:kern w:val="22"/>
          <w:bdr w:val="none" w:sz="0" w:space="0" w:color="auto" w:frame="1"/>
        </w:rPr>
        <w:t xml:space="preserve">their use of </w:t>
      </w:r>
      <w:r w:rsidRPr="00991CB4">
        <w:rPr>
          <w:rFonts w:eastAsia="Calibri"/>
          <w:snapToGrid w:val="0"/>
          <w:kern w:val="22"/>
          <w:bdr w:val="none" w:sz="0" w:space="0" w:color="auto" w:frame="1"/>
        </w:rPr>
        <w:t>the Guidelines for a Coordinated Implementation of the Nagoya Protocol of the African Union</w:t>
      </w:r>
      <w:r w:rsidR="001B21D8">
        <w:rPr>
          <w:rFonts w:eastAsia="Calibri"/>
          <w:snapToGrid w:val="0"/>
          <w:kern w:val="22"/>
          <w:bdr w:val="none" w:sz="0" w:space="0" w:color="auto" w:frame="1"/>
        </w:rPr>
        <w:t xml:space="preserve"> to develop their own national ABS framework or national tools</w:t>
      </w:r>
      <w:r w:rsidR="009D4331">
        <w:rPr>
          <w:rFonts w:eastAsia="Calibri"/>
          <w:snapToGrid w:val="0"/>
          <w:kern w:val="22"/>
          <w:bdr w:val="none" w:sz="0" w:space="0" w:color="auto" w:frame="1"/>
        </w:rPr>
        <w:t>;</w:t>
      </w:r>
      <w:r w:rsidR="001B21D8">
        <w:rPr>
          <w:rFonts w:eastAsia="Calibri"/>
          <w:snapToGrid w:val="0"/>
          <w:kern w:val="22"/>
          <w:bdr w:val="none" w:sz="0" w:space="0" w:color="auto" w:frame="1"/>
        </w:rPr>
        <w:t xml:space="preserve"> </w:t>
      </w:r>
    </w:p>
    <w:p w:rsidR="009C711B" w:rsidRPr="00091291" w:rsidRDefault="001B21D8" w:rsidP="009C711B">
      <w:pPr>
        <w:pStyle w:val="ListParagraph"/>
        <w:numPr>
          <w:ilvl w:val="0"/>
          <w:numId w:val="15"/>
        </w:numPr>
        <w:spacing w:before="120" w:after="120" w:line="228" w:lineRule="auto"/>
        <w:ind w:left="0" w:firstLine="720"/>
        <w:contextualSpacing w:val="0"/>
        <w:rPr>
          <w:rFonts w:eastAsia="Calibri"/>
          <w:snapToGrid w:val="0"/>
          <w:kern w:val="22"/>
          <w:bdr w:val="none" w:sz="0" w:space="0" w:color="auto" w:frame="1"/>
        </w:rPr>
      </w:pPr>
      <w:r>
        <w:rPr>
          <w:rFonts w:eastAsia="Calibri"/>
          <w:snapToGrid w:val="0"/>
          <w:kern w:val="22"/>
          <w:bdr w:val="none" w:sz="0" w:space="0" w:color="auto" w:frame="1"/>
        </w:rPr>
        <w:t xml:space="preserve">Similarly, the ESA wrote about using the European Union guidelines to develop their own. </w:t>
      </w:r>
    </w:p>
    <w:p w:rsidR="009C711B" w:rsidRPr="00A4539C" w:rsidRDefault="00606E24" w:rsidP="009C711B">
      <w:pPr>
        <w:numPr>
          <w:ilvl w:val="0"/>
          <w:numId w:val="9"/>
        </w:numPr>
        <w:pBdr>
          <w:top w:val="nil"/>
          <w:left w:val="nil"/>
          <w:bottom w:val="nil"/>
          <w:right w:val="nil"/>
          <w:between w:val="nil"/>
          <w:bar w:val="nil"/>
        </w:pBdr>
        <w:spacing w:before="120" w:after="120"/>
        <w:rPr>
          <w:snapToGrid w:val="0"/>
          <w:kern w:val="22"/>
        </w:rPr>
      </w:pPr>
      <w:r>
        <w:rPr>
          <w:snapToGrid w:val="0"/>
          <w:kern w:val="22"/>
        </w:rPr>
        <w:t>Some</w:t>
      </w:r>
      <w:r w:rsidR="009C711B" w:rsidRPr="00A4539C">
        <w:rPr>
          <w:snapToGrid w:val="0"/>
          <w:kern w:val="22"/>
        </w:rPr>
        <w:t xml:space="preserve"> </w:t>
      </w:r>
      <w:r w:rsidR="006B3C48">
        <w:rPr>
          <w:snapToGrid w:val="0"/>
          <w:kern w:val="22"/>
        </w:rPr>
        <w:t xml:space="preserve">briefly explained how the tools developed </w:t>
      </w:r>
      <w:r w:rsidR="009C711B" w:rsidRPr="00A4539C">
        <w:rPr>
          <w:snapToGrid w:val="0"/>
          <w:kern w:val="22"/>
        </w:rPr>
        <w:t>are used by t</w:t>
      </w:r>
      <w:r w:rsidR="009C711B">
        <w:rPr>
          <w:snapToGrid w:val="0"/>
          <w:kern w:val="22"/>
        </w:rPr>
        <w:t>heir constituents. For example:</w:t>
      </w:r>
    </w:p>
    <w:p w:rsidR="00E826C9" w:rsidRPr="00AE6FC3" w:rsidRDefault="009C711B" w:rsidP="00363296">
      <w:pPr>
        <w:pStyle w:val="ListParagraph"/>
        <w:numPr>
          <w:ilvl w:val="0"/>
          <w:numId w:val="30"/>
        </w:numPr>
        <w:tabs>
          <w:tab w:val="left" w:pos="0"/>
        </w:tabs>
        <w:spacing w:before="120" w:after="120" w:line="228" w:lineRule="auto"/>
        <w:ind w:left="0" w:firstLine="720"/>
        <w:contextualSpacing w:val="0"/>
        <w:rPr>
          <w:rFonts w:eastAsia="Calibri"/>
          <w:snapToGrid w:val="0"/>
          <w:kern w:val="22"/>
          <w:bdr w:val="none" w:sz="0" w:space="0" w:color="auto" w:frame="1"/>
        </w:rPr>
      </w:pPr>
      <w:r w:rsidRPr="00C656A9">
        <w:rPr>
          <w:rFonts w:eastAsia="Calibri"/>
          <w:snapToGrid w:val="0"/>
          <w:kern w:val="22"/>
          <w:bdr w:val="none" w:sz="0" w:space="0" w:color="auto" w:frame="1"/>
        </w:rPr>
        <w:t xml:space="preserve">CABI </w:t>
      </w:r>
      <w:r>
        <w:rPr>
          <w:rFonts w:eastAsia="Calibri"/>
          <w:snapToGrid w:val="0"/>
          <w:kern w:val="22"/>
          <w:bdr w:val="none" w:sz="0" w:space="0" w:color="auto" w:frame="1"/>
        </w:rPr>
        <w:t>p</w:t>
      </w:r>
      <w:r w:rsidRPr="00DE70D8">
        <w:rPr>
          <w:rFonts w:eastAsia="Calibri"/>
          <w:snapToGrid w:val="0"/>
          <w:kern w:val="22"/>
          <w:bdr w:val="none" w:sz="0" w:space="0" w:color="auto" w:frame="1"/>
        </w:rPr>
        <w:t xml:space="preserve">repared </w:t>
      </w:r>
      <w:r>
        <w:rPr>
          <w:rFonts w:eastAsia="Calibri"/>
          <w:snapToGrid w:val="0"/>
          <w:kern w:val="22"/>
          <w:bdr w:val="none" w:sz="0" w:space="0" w:color="auto" w:frame="1"/>
        </w:rPr>
        <w:t xml:space="preserve">a </w:t>
      </w:r>
      <w:r w:rsidRPr="00DE70D8">
        <w:rPr>
          <w:rFonts w:eastAsia="Calibri"/>
          <w:snapToGrid w:val="0"/>
          <w:kern w:val="22"/>
          <w:bdr w:val="none" w:sz="0" w:space="0" w:color="auto" w:frame="1"/>
        </w:rPr>
        <w:t>policy</w:t>
      </w:r>
      <w:r>
        <w:rPr>
          <w:rFonts w:eastAsia="Calibri"/>
          <w:snapToGrid w:val="0"/>
          <w:kern w:val="22"/>
          <w:bdr w:val="none" w:sz="0" w:space="0" w:color="auto" w:frame="1"/>
        </w:rPr>
        <w:t xml:space="preserve"> with best practices</w:t>
      </w:r>
      <w:r w:rsidRPr="00DE70D8">
        <w:rPr>
          <w:rFonts w:eastAsia="Calibri"/>
          <w:snapToGrid w:val="0"/>
          <w:kern w:val="22"/>
          <w:bdr w:val="none" w:sz="0" w:space="0" w:color="auto" w:frame="1"/>
        </w:rPr>
        <w:t xml:space="preserve"> on </w:t>
      </w:r>
      <w:r>
        <w:rPr>
          <w:rFonts w:eastAsia="Calibri"/>
          <w:snapToGrid w:val="0"/>
          <w:kern w:val="22"/>
          <w:bdr w:val="none" w:sz="0" w:space="0" w:color="auto" w:frame="1"/>
        </w:rPr>
        <w:t>a</w:t>
      </w:r>
      <w:r w:rsidRPr="00DE70D8">
        <w:rPr>
          <w:rFonts w:eastAsia="Calibri"/>
          <w:snapToGrid w:val="0"/>
          <w:kern w:val="22"/>
          <w:bdr w:val="none" w:sz="0" w:space="0" w:color="auto" w:frame="1"/>
        </w:rPr>
        <w:t xml:space="preserve">ccess and </w:t>
      </w:r>
      <w:r>
        <w:rPr>
          <w:rFonts w:eastAsia="Calibri"/>
          <w:snapToGrid w:val="0"/>
          <w:kern w:val="22"/>
          <w:bdr w:val="none" w:sz="0" w:space="0" w:color="auto" w:frame="1"/>
        </w:rPr>
        <w:t>b</w:t>
      </w:r>
      <w:r w:rsidRPr="00DE70D8">
        <w:rPr>
          <w:rFonts w:eastAsia="Calibri"/>
          <w:snapToGrid w:val="0"/>
          <w:kern w:val="22"/>
          <w:bdr w:val="none" w:sz="0" w:space="0" w:color="auto" w:frame="1"/>
        </w:rPr>
        <w:t>enefit</w:t>
      </w:r>
      <w:r w:rsidR="00E628D5">
        <w:rPr>
          <w:rFonts w:eastAsia="Calibri"/>
          <w:snapToGrid w:val="0"/>
          <w:kern w:val="22"/>
          <w:bdr w:val="none" w:sz="0" w:space="0" w:color="auto" w:frame="1"/>
        </w:rPr>
        <w:t>-</w:t>
      </w:r>
      <w:r>
        <w:rPr>
          <w:rFonts w:eastAsia="Calibri"/>
          <w:snapToGrid w:val="0"/>
          <w:kern w:val="22"/>
          <w:bdr w:val="none" w:sz="0" w:space="0" w:color="auto" w:frame="1"/>
        </w:rPr>
        <w:t>s</w:t>
      </w:r>
      <w:r w:rsidRPr="00DE70D8">
        <w:rPr>
          <w:rFonts w:eastAsia="Calibri"/>
          <w:snapToGrid w:val="0"/>
          <w:kern w:val="22"/>
          <w:bdr w:val="none" w:sz="0" w:space="0" w:color="auto" w:frame="1"/>
        </w:rPr>
        <w:t xml:space="preserve">haring and works with its partners and various relevant communities to </w:t>
      </w:r>
      <w:r>
        <w:rPr>
          <w:rFonts w:eastAsia="Calibri"/>
          <w:snapToGrid w:val="0"/>
          <w:kern w:val="22"/>
          <w:bdr w:val="none" w:sz="0" w:space="0" w:color="auto" w:frame="1"/>
        </w:rPr>
        <w:t xml:space="preserve">comply with these </w:t>
      </w:r>
      <w:r w:rsidRPr="000D1AA2">
        <w:rPr>
          <w:rFonts w:eastAsia="Calibri"/>
          <w:snapToGrid w:val="0"/>
          <w:kern w:val="22"/>
          <w:bdr w:val="none" w:sz="0" w:space="0" w:color="auto" w:frame="1"/>
        </w:rPr>
        <w:t>best practices</w:t>
      </w:r>
      <w:r w:rsidR="009D4331">
        <w:rPr>
          <w:rFonts w:eastAsia="Calibri"/>
          <w:snapToGrid w:val="0"/>
          <w:kern w:val="22"/>
          <w:bdr w:val="none" w:sz="0" w:space="0" w:color="auto" w:frame="1"/>
        </w:rPr>
        <w:t>;</w:t>
      </w:r>
    </w:p>
    <w:p w:rsidR="00E826C9" w:rsidRPr="00AE6FC3" w:rsidRDefault="009C711B" w:rsidP="00363296">
      <w:pPr>
        <w:pStyle w:val="ListParagraph"/>
        <w:numPr>
          <w:ilvl w:val="0"/>
          <w:numId w:val="30"/>
        </w:numPr>
        <w:tabs>
          <w:tab w:val="left" w:pos="0"/>
        </w:tabs>
        <w:spacing w:before="120" w:after="120" w:line="228" w:lineRule="auto"/>
        <w:ind w:left="0" w:firstLine="720"/>
        <w:contextualSpacing w:val="0"/>
        <w:rPr>
          <w:rFonts w:eastAsia="Calibri"/>
          <w:snapToGrid w:val="0"/>
          <w:kern w:val="22"/>
          <w:bdr w:val="none" w:sz="0" w:space="0" w:color="auto" w:frame="1"/>
        </w:rPr>
      </w:pPr>
      <w:r w:rsidRPr="00AE6FC3">
        <w:rPr>
          <w:rFonts w:eastAsia="Calibri"/>
          <w:snapToGrid w:val="0"/>
          <w:kern w:val="22"/>
          <w:bdr w:val="none" w:sz="0" w:space="0" w:color="auto" w:frame="1"/>
        </w:rPr>
        <w:t>The Mexican association of botanical gardens has developed a code of conduct and best practices, which Mexico reported is being used by all botanical gardens members</w:t>
      </w:r>
      <w:r w:rsidR="009D4331">
        <w:rPr>
          <w:rFonts w:eastAsia="Calibri"/>
          <w:snapToGrid w:val="0"/>
          <w:kern w:val="22"/>
          <w:bdr w:val="none" w:sz="0" w:space="0" w:color="auto" w:frame="1"/>
        </w:rPr>
        <w:t>;</w:t>
      </w:r>
    </w:p>
    <w:p w:rsidR="0044282E" w:rsidRPr="000D1AA2" w:rsidRDefault="009C711B" w:rsidP="00E826C9">
      <w:pPr>
        <w:pStyle w:val="ListParagraph"/>
        <w:numPr>
          <w:ilvl w:val="0"/>
          <w:numId w:val="30"/>
        </w:numPr>
        <w:tabs>
          <w:tab w:val="left" w:pos="0"/>
        </w:tabs>
        <w:spacing w:before="120" w:after="120" w:line="228" w:lineRule="auto"/>
        <w:ind w:left="0" w:firstLine="720"/>
        <w:contextualSpacing w:val="0"/>
        <w:rPr>
          <w:rFonts w:eastAsia="Calibri"/>
          <w:snapToGrid w:val="0"/>
          <w:kern w:val="22"/>
          <w:bdr w:val="none" w:sz="0" w:space="0" w:color="auto" w:frame="1"/>
        </w:rPr>
      </w:pPr>
      <w:r w:rsidRPr="00AE6FC3">
        <w:rPr>
          <w:rFonts w:eastAsia="Calibri"/>
          <w:snapToGrid w:val="0"/>
          <w:kern w:val="22"/>
          <w:bdr w:val="none" w:sz="0" w:space="0" w:color="auto" w:frame="1"/>
        </w:rPr>
        <w:t xml:space="preserve">Industry members of the Union for Ethical BioTrade (UEBT) are required to meet the standards and best practices </w:t>
      </w:r>
      <w:r w:rsidR="00E628D5" w:rsidRPr="00AE6FC3">
        <w:rPr>
          <w:rFonts w:eastAsia="Calibri"/>
          <w:snapToGrid w:val="0"/>
          <w:kern w:val="22"/>
          <w:bdr w:val="none" w:sz="0" w:space="0" w:color="auto" w:frame="1"/>
        </w:rPr>
        <w:t xml:space="preserve">on </w:t>
      </w:r>
      <w:r w:rsidRPr="00AE6FC3">
        <w:rPr>
          <w:rFonts w:eastAsia="Calibri"/>
          <w:snapToGrid w:val="0"/>
          <w:kern w:val="22"/>
          <w:bdr w:val="none" w:sz="0" w:space="0" w:color="auto" w:frame="1"/>
        </w:rPr>
        <w:t>ABS when sourcing materials.</w:t>
      </w:r>
    </w:p>
    <w:p w:rsidR="00D1440C" w:rsidRPr="00AE6FC3" w:rsidRDefault="0044282E"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rFonts w:eastAsia="Calibri"/>
          <w:snapToGrid w:val="0"/>
          <w:kern w:val="22"/>
          <w:bdr w:val="none" w:sz="0" w:space="0" w:color="auto" w:frame="1"/>
        </w:rPr>
        <w:t xml:space="preserve">The European </w:t>
      </w:r>
      <w:r w:rsidR="00D1440C" w:rsidRPr="00AE6FC3">
        <w:rPr>
          <w:rFonts w:eastAsia="Calibri"/>
          <w:snapToGrid w:val="0"/>
          <w:kern w:val="22"/>
          <w:bdr w:val="none" w:sz="0" w:space="0" w:color="auto" w:frame="1"/>
        </w:rPr>
        <w:t>Union</w:t>
      </w:r>
      <w:r w:rsidRPr="00AE6FC3">
        <w:rPr>
          <w:rFonts w:eastAsia="Calibri"/>
          <w:snapToGrid w:val="0"/>
          <w:kern w:val="22"/>
          <w:bdr w:val="none" w:sz="0" w:space="0" w:color="auto" w:frame="1"/>
        </w:rPr>
        <w:t xml:space="preserve"> and Switzerland have set up a process for recognition of </w:t>
      </w:r>
      <w:r w:rsidR="00D1440C" w:rsidRPr="00AE6FC3">
        <w:rPr>
          <w:rFonts w:eastAsia="Calibri"/>
          <w:snapToGrid w:val="0"/>
          <w:kern w:val="22"/>
          <w:bdr w:val="none" w:sz="0" w:space="0" w:color="auto" w:frame="1"/>
        </w:rPr>
        <w:t>best practices</w:t>
      </w:r>
      <w:r w:rsidRPr="00AE6FC3">
        <w:rPr>
          <w:rFonts w:eastAsia="Calibri"/>
          <w:snapToGrid w:val="0"/>
          <w:kern w:val="22"/>
          <w:bdr w:val="none" w:sz="0" w:space="0" w:color="auto" w:frame="1"/>
        </w:rPr>
        <w:t>.</w:t>
      </w:r>
      <w:r w:rsidR="00D1440C" w:rsidRPr="00AE6FC3">
        <w:rPr>
          <w:rFonts w:eastAsia="Calibri"/>
          <w:snapToGrid w:val="0"/>
          <w:kern w:val="22"/>
          <w:bdr w:val="none" w:sz="0" w:space="0" w:color="auto" w:frame="1"/>
        </w:rPr>
        <w:t xml:space="preserve"> </w:t>
      </w:r>
      <w:r w:rsidRPr="00AE6FC3">
        <w:rPr>
          <w:rFonts w:eastAsia="Calibri"/>
          <w:snapToGrid w:val="0"/>
          <w:kern w:val="22"/>
          <w:bdr w:val="none" w:sz="0" w:space="0" w:color="auto" w:frame="1"/>
        </w:rPr>
        <w:t xml:space="preserve">In the European Union </w:t>
      </w:r>
      <w:r w:rsidR="00D1440C" w:rsidRPr="00AE6FC3">
        <w:rPr>
          <w:rFonts w:eastAsia="Calibri"/>
          <w:snapToGrid w:val="0"/>
          <w:kern w:val="22"/>
          <w:bdr w:val="none" w:sz="0" w:space="0" w:color="auto" w:frame="1"/>
        </w:rPr>
        <w:t>Article 8 of Regulation 511/2014 provides that associations of users or other interested parties may submit an application to the European Commission to have a combination of procedures, tools or mechani</w:t>
      </w:r>
      <w:r w:rsidRPr="00AE6FC3">
        <w:rPr>
          <w:rFonts w:eastAsia="Calibri"/>
          <w:snapToGrid w:val="0"/>
          <w:kern w:val="22"/>
          <w:bdr w:val="none" w:sz="0" w:space="0" w:color="auto" w:frame="1"/>
        </w:rPr>
        <w:t>sms recognized as best practice</w:t>
      </w:r>
      <w:r w:rsidR="00D1440C" w:rsidRPr="00AE6FC3">
        <w:rPr>
          <w:rFonts w:eastAsia="Calibri"/>
          <w:snapToGrid w:val="0"/>
          <w:kern w:val="22"/>
          <w:bdr w:val="none" w:sz="0" w:space="0" w:color="auto" w:frame="1"/>
        </w:rPr>
        <w:t xml:space="preserve">. The European </w:t>
      </w:r>
      <w:r w:rsidRPr="00AE6FC3">
        <w:rPr>
          <w:rFonts w:eastAsia="Calibri"/>
          <w:snapToGrid w:val="0"/>
          <w:kern w:val="22"/>
          <w:bdr w:val="none" w:sz="0" w:space="0" w:color="auto" w:frame="1"/>
        </w:rPr>
        <w:t>Commission has so far received three</w:t>
      </w:r>
      <w:r w:rsidR="00D1440C" w:rsidRPr="00AE6FC3">
        <w:rPr>
          <w:rFonts w:eastAsia="Calibri"/>
          <w:snapToGrid w:val="0"/>
          <w:kern w:val="22"/>
          <w:bdr w:val="none" w:sz="0" w:space="0" w:color="auto" w:frame="1"/>
        </w:rPr>
        <w:t xml:space="preserve"> applications for recognition as a best practice. </w:t>
      </w:r>
      <w:r w:rsidRPr="00AE6FC3">
        <w:rPr>
          <w:rFonts w:eastAsia="Calibri"/>
          <w:snapToGrid w:val="0"/>
          <w:kern w:val="22"/>
          <w:bdr w:val="none" w:sz="0" w:space="0" w:color="auto" w:frame="1"/>
        </w:rPr>
        <w:t>Similarly, in Switzerland, there are ongoing processes for the recognition of best practices and collections according to Articles 6 and 7 of the Nagoya Ordinance.</w:t>
      </w:r>
    </w:p>
    <w:p w:rsidR="009B430D" w:rsidRDefault="00606E24" w:rsidP="00B569BC">
      <w:pPr>
        <w:pStyle w:val="Heading1"/>
        <w:numPr>
          <w:ilvl w:val="0"/>
          <w:numId w:val="5"/>
        </w:numPr>
        <w:jc w:val="left"/>
      </w:pPr>
      <w:r>
        <w:lastRenderedPageBreak/>
        <w:t>stock</w:t>
      </w:r>
      <w:r w:rsidR="009647DA">
        <w:t>-</w:t>
      </w:r>
      <w:r w:rsidR="00B62CBD">
        <w:t xml:space="preserve">taking of the development and use of </w:t>
      </w:r>
      <w:r w:rsidR="009B430D" w:rsidRPr="00A739F3">
        <w:t>Indigenous Peoples and Local Communities</w:t>
      </w:r>
      <w:r w:rsidR="009B430D">
        <w:t>’</w:t>
      </w:r>
      <w:r w:rsidR="009B430D" w:rsidRPr="00A739F3">
        <w:t xml:space="preserve"> Customary Law</w:t>
      </w:r>
      <w:r w:rsidR="00C95968">
        <w:t>s</w:t>
      </w:r>
      <w:r w:rsidR="009B430D" w:rsidRPr="00A739F3">
        <w:t>, Community Protocol</w:t>
      </w:r>
      <w:r w:rsidR="00C95968">
        <w:t>s</w:t>
      </w:r>
      <w:r w:rsidR="009B430D" w:rsidRPr="00A739F3">
        <w:t xml:space="preserve"> and Procedures</w:t>
      </w:r>
    </w:p>
    <w:p w:rsidR="00B62CBD" w:rsidRPr="00AE6FC3" w:rsidRDefault="009B430D" w:rsidP="00AE6FC3">
      <w:pPr>
        <w:numPr>
          <w:ilvl w:val="0"/>
          <w:numId w:val="9"/>
        </w:numPr>
        <w:pBdr>
          <w:top w:val="nil"/>
          <w:left w:val="nil"/>
          <w:bottom w:val="nil"/>
          <w:right w:val="nil"/>
          <w:between w:val="nil"/>
          <w:bar w:val="nil"/>
        </w:pBdr>
        <w:spacing w:before="120" w:after="120"/>
        <w:rPr>
          <w:snapToGrid w:val="0"/>
          <w:kern w:val="22"/>
        </w:rPr>
      </w:pPr>
      <w:r w:rsidRPr="00B62CBD">
        <w:rPr>
          <w:snapToGrid w:val="0"/>
          <w:kern w:val="22"/>
        </w:rPr>
        <w:t xml:space="preserve">This section provides an overview of </w:t>
      </w:r>
      <w:r w:rsidR="005C017A" w:rsidRPr="00B62CBD">
        <w:rPr>
          <w:snapToGrid w:val="0"/>
          <w:kern w:val="22"/>
        </w:rPr>
        <w:t xml:space="preserve">information provided on </w:t>
      </w:r>
      <w:r w:rsidRPr="00B62CBD">
        <w:rPr>
          <w:snapToGrid w:val="0"/>
          <w:kern w:val="22"/>
        </w:rPr>
        <w:t xml:space="preserve">the development </w:t>
      </w:r>
      <w:r w:rsidR="00B62CBD" w:rsidRPr="00B62CBD">
        <w:rPr>
          <w:snapToGrid w:val="0"/>
          <w:kern w:val="22"/>
        </w:rPr>
        <w:t xml:space="preserve">and use </w:t>
      </w:r>
      <w:r w:rsidRPr="00B62CBD">
        <w:rPr>
          <w:snapToGrid w:val="0"/>
          <w:kern w:val="22"/>
        </w:rPr>
        <w:t xml:space="preserve">of indigenous peoples and local communities’ </w:t>
      </w:r>
      <w:r w:rsidR="00B62CBD">
        <w:rPr>
          <w:snapToGrid w:val="0"/>
          <w:kern w:val="22"/>
        </w:rPr>
        <w:t xml:space="preserve">(IPLCs) </w:t>
      </w:r>
      <w:r w:rsidRPr="00B62CBD">
        <w:rPr>
          <w:snapToGrid w:val="0"/>
          <w:kern w:val="22"/>
        </w:rPr>
        <w:t>customary law</w:t>
      </w:r>
      <w:r w:rsidR="002D0861">
        <w:rPr>
          <w:snapToGrid w:val="0"/>
          <w:kern w:val="22"/>
        </w:rPr>
        <w:t>s</w:t>
      </w:r>
      <w:r w:rsidRPr="00B62CBD">
        <w:rPr>
          <w:snapToGrid w:val="0"/>
          <w:kern w:val="22"/>
        </w:rPr>
        <w:t>, community protocol</w:t>
      </w:r>
      <w:r w:rsidR="002D0861">
        <w:rPr>
          <w:snapToGrid w:val="0"/>
          <w:kern w:val="22"/>
        </w:rPr>
        <w:t>s</w:t>
      </w:r>
      <w:r w:rsidRPr="00B62CBD">
        <w:rPr>
          <w:snapToGrid w:val="0"/>
          <w:kern w:val="22"/>
        </w:rPr>
        <w:t xml:space="preserve"> and procedures</w:t>
      </w:r>
      <w:r w:rsidRPr="00AE6FC3">
        <w:rPr>
          <w:snapToGrid w:val="0"/>
          <w:kern w:val="22"/>
        </w:rPr>
        <w:t>.</w:t>
      </w:r>
      <w:r w:rsidR="00B62CBD" w:rsidRPr="00AE6FC3">
        <w:rPr>
          <w:snapToGrid w:val="0"/>
          <w:kern w:val="22"/>
        </w:rPr>
        <w:t xml:space="preserve"> It should be noted that Parties and organizations have reported on the development of community protocols rather than specifically on their use. </w:t>
      </w:r>
      <w:r w:rsidR="009D4331">
        <w:rPr>
          <w:snapToGrid w:val="0"/>
          <w:kern w:val="22"/>
        </w:rPr>
        <w:t>In addition,</w:t>
      </w:r>
      <w:r w:rsidR="009D4331" w:rsidRPr="00AE6FC3">
        <w:rPr>
          <w:snapToGrid w:val="0"/>
          <w:kern w:val="22"/>
        </w:rPr>
        <w:t xml:space="preserve"> </w:t>
      </w:r>
      <w:r w:rsidR="00B62CBD" w:rsidRPr="00AE6FC3">
        <w:rPr>
          <w:snapToGrid w:val="0"/>
          <w:kern w:val="22"/>
        </w:rPr>
        <w:t>there was no information provided on IPLC’s customary laws.</w:t>
      </w:r>
    </w:p>
    <w:p w:rsidR="009B430D" w:rsidRPr="00AE6FC3" w:rsidRDefault="00B62CBD" w:rsidP="00AE6FC3">
      <w:pPr>
        <w:numPr>
          <w:ilvl w:val="0"/>
          <w:numId w:val="9"/>
        </w:numPr>
        <w:pBdr>
          <w:top w:val="nil"/>
          <w:left w:val="nil"/>
          <w:bottom w:val="nil"/>
          <w:right w:val="nil"/>
          <w:between w:val="nil"/>
          <w:bar w:val="nil"/>
        </w:pBdr>
        <w:spacing w:before="120" w:after="120"/>
        <w:rPr>
          <w:snapToGrid w:val="0"/>
          <w:kern w:val="22"/>
        </w:rPr>
      </w:pPr>
      <w:r w:rsidRPr="00AE6FC3">
        <w:rPr>
          <w:snapToGrid w:val="0"/>
          <w:kern w:val="22"/>
        </w:rPr>
        <w:t xml:space="preserve">In light of this, subsection A below provides information on community protocols developed, </w:t>
      </w:r>
      <w:r>
        <w:rPr>
          <w:snapToGrid w:val="0"/>
          <w:kern w:val="22"/>
        </w:rPr>
        <w:t xml:space="preserve">including a brief description of their content and </w:t>
      </w:r>
      <w:r w:rsidR="00F62F99">
        <w:rPr>
          <w:snapToGrid w:val="0"/>
          <w:kern w:val="22"/>
        </w:rPr>
        <w:t xml:space="preserve">the </w:t>
      </w:r>
      <w:r>
        <w:rPr>
          <w:snapToGrid w:val="0"/>
          <w:kern w:val="22"/>
        </w:rPr>
        <w:t xml:space="preserve">process followed to develop </w:t>
      </w:r>
      <w:r w:rsidR="00F62F99">
        <w:rPr>
          <w:snapToGrid w:val="0"/>
          <w:kern w:val="22"/>
        </w:rPr>
        <w:t>them</w:t>
      </w:r>
      <w:r>
        <w:rPr>
          <w:snapToGrid w:val="0"/>
          <w:kern w:val="22"/>
        </w:rPr>
        <w:t xml:space="preserve">, </w:t>
      </w:r>
      <w:r w:rsidR="00FC3AD4">
        <w:rPr>
          <w:snapToGrid w:val="0"/>
          <w:kern w:val="22"/>
        </w:rPr>
        <w:t xml:space="preserve">while </w:t>
      </w:r>
      <w:r w:rsidRPr="00AE6FC3">
        <w:rPr>
          <w:snapToGrid w:val="0"/>
          <w:kern w:val="22"/>
        </w:rPr>
        <w:t xml:space="preserve">subsection B </w:t>
      </w:r>
      <w:r w:rsidR="00FC3AD4">
        <w:rPr>
          <w:snapToGrid w:val="0"/>
          <w:kern w:val="22"/>
        </w:rPr>
        <w:t xml:space="preserve">provides </w:t>
      </w:r>
      <w:r w:rsidRPr="00AE6FC3">
        <w:rPr>
          <w:snapToGrid w:val="0"/>
          <w:kern w:val="22"/>
        </w:rPr>
        <w:t xml:space="preserve">information on how community protocols </w:t>
      </w:r>
      <w:r w:rsidR="002D0861">
        <w:rPr>
          <w:snapToGrid w:val="0"/>
          <w:kern w:val="22"/>
        </w:rPr>
        <w:t xml:space="preserve">can be </w:t>
      </w:r>
      <w:r w:rsidR="00FC3AD4" w:rsidRPr="000D1AA2">
        <w:rPr>
          <w:snapToGrid w:val="0"/>
          <w:kern w:val="22"/>
        </w:rPr>
        <w:t>used by indigenous peoples</w:t>
      </w:r>
      <w:r w:rsidR="00FC3AD4">
        <w:rPr>
          <w:snapToGrid w:val="0"/>
          <w:kern w:val="22"/>
        </w:rPr>
        <w:t xml:space="preserve"> and </w:t>
      </w:r>
      <w:r w:rsidR="00FC3AD4" w:rsidRPr="000D1AA2">
        <w:rPr>
          <w:snapToGrid w:val="0"/>
          <w:kern w:val="22"/>
        </w:rPr>
        <w:t>local communities</w:t>
      </w:r>
      <w:r w:rsidRPr="00AE6FC3">
        <w:rPr>
          <w:snapToGrid w:val="0"/>
          <w:kern w:val="22"/>
        </w:rPr>
        <w:t xml:space="preserve"> and governments</w:t>
      </w:r>
      <w:r w:rsidR="00FC3AD4">
        <w:rPr>
          <w:snapToGrid w:val="0"/>
          <w:kern w:val="22"/>
        </w:rPr>
        <w:t>.</w:t>
      </w:r>
    </w:p>
    <w:p w:rsidR="009B430D" w:rsidRPr="000B754A" w:rsidRDefault="009B430D" w:rsidP="009B430D">
      <w:pPr>
        <w:pStyle w:val="Heading2"/>
        <w:numPr>
          <w:ilvl w:val="0"/>
          <w:numId w:val="13"/>
        </w:numPr>
      </w:pPr>
      <w:r>
        <w:t xml:space="preserve">Development of </w:t>
      </w:r>
      <w:r w:rsidR="0044282E">
        <w:t>i</w:t>
      </w:r>
      <w:r w:rsidRPr="000E5CCC">
        <w:t xml:space="preserve">ndigenous </w:t>
      </w:r>
      <w:r w:rsidR="0044282E">
        <w:t>p</w:t>
      </w:r>
      <w:r w:rsidRPr="000E5CCC">
        <w:t xml:space="preserve">eoples and </w:t>
      </w:r>
      <w:r w:rsidR="0044282E">
        <w:t>l</w:t>
      </w:r>
      <w:r w:rsidRPr="000E5CCC">
        <w:t xml:space="preserve">ocal </w:t>
      </w:r>
      <w:r w:rsidR="0044282E">
        <w:t>c</w:t>
      </w:r>
      <w:r w:rsidRPr="000E5CCC">
        <w:t xml:space="preserve">ommunities’ </w:t>
      </w:r>
      <w:r w:rsidR="0044282E">
        <w:t>c</w:t>
      </w:r>
      <w:r w:rsidRPr="000E5CCC">
        <w:t xml:space="preserve">ustomary </w:t>
      </w:r>
      <w:r w:rsidR="00C95968">
        <w:t>l</w:t>
      </w:r>
      <w:r w:rsidRPr="000E5CCC">
        <w:t>aw</w:t>
      </w:r>
      <w:r w:rsidR="00C95968">
        <w:t>s</w:t>
      </w:r>
      <w:r w:rsidRPr="000E5CCC">
        <w:t xml:space="preserve">, </w:t>
      </w:r>
      <w:r w:rsidR="0044282E">
        <w:t>c</w:t>
      </w:r>
      <w:r w:rsidRPr="000E5CCC">
        <w:t xml:space="preserve">ommunity </w:t>
      </w:r>
      <w:r w:rsidR="0044282E">
        <w:t>p</w:t>
      </w:r>
      <w:r w:rsidRPr="000E5CCC">
        <w:t>rotocol</w:t>
      </w:r>
      <w:r w:rsidR="00C95968">
        <w:t>s</w:t>
      </w:r>
      <w:r w:rsidRPr="000E5CCC">
        <w:t xml:space="preserve"> and </w:t>
      </w:r>
      <w:r w:rsidR="00C95968">
        <w:t>p</w:t>
      </w:r>
      <w:r w:rsidRPr="000E5CCC">
        <w:t>rocedures</w:t>
      </w:r>
    </w:p>
    <w:p w:rsidR="009B430D" w:rsidRDefault="00F62F99" w:rsidP="009B430D">
      <w:pPr>
        <w:numPr>
          <w:ilvl w:val="0"/>
          <w:numId w:val="9"/>
        </w:numPr>
        <w:pBdr>
          <w:top w:val="nil"/>
          <w:left w:val="nil"/>
          <w:bottom w:val="nil"/>
          <w:right w:val="nil"/>
          <w:between w:val="nil"/>
          <w:bar w:val="nil"/>
        </w:pBdr>
        <w:spacing w:before="120" w:after="120"/>
        <w:rPr>
          <w:snapToGrid w:val="0"/>
          <w:kern w:val="22"/>
        </w:rPr>
      </w:pPr>
      <w:r>
        <w:rPr>
          <w:snapToGrid w:val="0"/>
          <w:kern w:val="22"/>
        </w:rPr>
        <w:t>A</w:t>
      </w:r>
      <w:r w:rsidR="009B430D" w:rsidRPr="00946DDA">
        <w:rPr>
          <w:snapToGrid w:val="0"/>
          <w:kern w:val="22"/>
        </w:rPr>
        <w:t xml:space="preserve">s of </w:t>
      </w:r>
      <w:r w:rsidR="00554DC5">
        <w:rPr>
          <w:snapToGrid w:val="0"/>
          <w:kern w:val="22"/>
        </w:rPr>
        <w:t>22 February</w:t>
      </w:r>
      <w:r w:rsidR="009B430D" w:rsidRPr="00946DDA">
        <w:rPr>
          <w:snapToGrid w:val="0"/>
          <w:kern w:val="22"/>
        </w:rPr>
        <w:t xml:space="preserve"> 2018, </w:t>
      </w:r>
      <w:r>
        <w:rPr>
          <w:snapToGrid w:val="0"/>
          <w:kern w:val="22"/>
        </w:rPr>
        <w:t xml:space="preserve">information was provided regarding </w:t>
      </w:r>
      <w:r w:rsidR="00B6558C">
        <w:rPr>
          <w:snapToGrid w:val="0"/>
          <w:kern w:val="22"/>
        </w:rPr>
        <w:t>7</w:t>
      </w:r>
      <w:r w:rsidR="009B430D" w:rsidRPr="00C32B0F">
        <w:rPr>
          <w:snapToGrid w:val="0"/>
          <w:kern w:val="22"/>
        </w:rPr>
        <w:t xml:space="preserve"> community protocols</w:t>
      </w:r>
      <w:r w:rsidR="009B430D" w:rsidRPr="008B0B0A">
        <w:rPr>
          <w:snapToGrid w:val="0"/>
          <w:kern w:val="22"/>
        </w:rPr>
        <w:t xml:space="preserve"> developed</w:t>
      </w:r>
      <w:r w:rsidR="009B430D" w:rsidRPr="008527AA">
        <w:rPr>
          <w:rStyle w:val="FootnoteReference"/>
          <w:snapToGrid w:val="0"/>
          <w:kern w:val="22"/>
          <w:sz w:val="22"/>
          <w:u w:val="none"/>
          <w:vertAlign w:val="superscript"/>
        </w:rPr>
        <w:footnoteReference w:id="28"/>
      </w:r>
      <w:r w:rsidR="009B430D">
        <w:rPr>
          <w:snapToGrid w:val="0"/>
          <w:kern w:val="22"/>
        </w:rPr>
        <w:t xml:space="preserve"> (three of them are included in the ABS Clearing-House) a</w:t>
      </w:r>
      <w:r w:rsidR="009B430D" w:rsidRPr="0073273F">
        <w:rPr>
          <w:snapToGrid w:val="0"/>
          <w:kern w:val="22"/>
        </w:rPr>
        <w:t xml:space="preserve">nd </w:t>
      </w:r>
      <w:r w:rsidR="009D1D4F">
        <w:rPr>
          <w:snapToGrid w:val="0"/>
          <w:kern w:val="22"/>
        </w:rPr>
        <w:t xml:space="preserve">6 </w:t>
      </w:r>
      <w:r w:rsidR="009B430D" w:rsidRPr="0073273F">
        <w:rPr>
          <w:snapToGrid w:val="0"/>
          <w:kern w:val="22"/>
        </w:rPr>
        <w:t>Parties ha</w:t>
      </w:r>
      <w:r>
        <w:rPr>
          <w:snapToGrid w:val="0"/>
          <w:kern w:val="22"/>
        </w:rPr>
        <w:t>d</w:t>
      </w:r>
      <w:r w:rsidR="009B430D" w:rsidRPr="0073273F">
        <w:rPr>
          <w:snapToGrid w:val="0"/>
          <w:kern w:val="22"/>
        </w:rPr>
        <w:t xml:space="preserve"> reported that community protocols ha</w:t>
      </w:r>
      <w:r>
        <w:rPr>
          <w:snapToGrid w:val="0"/>
          <w:kern w:val="22"/>
        </w:rPr>
        <w:t>d</w:t>
      </w:r>
      <w:r w:rsidR="009B430D" w:rsidRPr="0073273F">
        <w:rPr>
          <w:snapToGrid w:val="0"/>
          <w:kern w:val="22"/>
        </w:rPr>
        <w:t xml:space="preserve"> been developed in their country, without providing specific details</w:t>
      </w:r>
      <w:r w:rsidR="009B430D">
        <w:rPr>
          <w:snapToGrid w:val="0"/>
          <w:kern w:val="22"/>
        </w:rPr>
        <w:t>.</w:t>
      </w:r>
      <w:r w:rsidR="009B430D" w:rsidRPr="00243897">
        <w:rPr>
          <w:rStyle w:val="FootnoteReference"/>
          <w:snapToGrid w:val="0"/>
          <w:kern w:val="22"/>
          <w:sz w:val="22"/>
          <w:u w:val="none"/>
          <w:vertAlign w:val="superscript"/>
        </w:rPr>
        <w:t xml:space="preserve"> </w:t>
      </w:r>
      <w:r w:rsidR="009B430D" w:rsidRPr="00243897">
        <w:rPr>
          <w:rStyle w:val="FootnoteReference"/>
          <w:snapToGrid w:val="0"/>
          <w:kern w:val="22"/>
          <w:sz w:val="22"/>
          <w:u w:val="none"/>
          <w:vertAlign w:val="superscript"/>
        </w:rPr>
        <w:footnoteReference w:id="29"/>
      </w:r>
      <w:r w:rsidR="009B430D" w:rsidRPr="00DB1987" w:rsidDel="0073273F">
        <w:rPr>
          <w:snapToGrid w:val="0"/>
          <w:kern w:val="22"/>
        </w:rPr>
        <w:t xml:space="preserve"> </w:t>
      </w:r>
      <w:r w:rsidR="009B430D" w:rsidRPr="00CC69E7" w:rsidDel="0073273F">
        <w:rPr>
          <w:snapToGrid w:val="0"/>
          <w:kern w:val="22"/>
        </w:rPr>
        <w:t xml:space="preserve">A list of </w:t>
      </w:r>
      <w:r w:rsidR="009D1D4F">
        <w:rPr>
          <w:snapToGrid w:val="0"/>
          <w:kern w:val="22"/>
        </w:rPr>
        <w:t xml:space="preserve">these </w:t>
      </w:r>
      <w:r w:rsidR="009B430D">
        <w:rPr>
          <w:snapToGrid w:val="0"/>
          <w:kern w:val="22"/>
        </w:rPr>
        <w:t>protocols</w:t>
      </w:r>
      <w:r w:rsidR="009D1D4F">
        <w:rPr>
          <w:snapToGrid w:val="0"/>
          <w:kern w:val="22"/>
        </w:rPr>
        <w:t xml:space="preserve">, including a </w:t>
      </w:r>
      <w:r w:rsidR="009B430D">
        <w:rPr>
          <w:snapToGrid w:val="0"/>
          <w:kern w:val="22"/>
        </w:rPr>
        <w:t xml:space="preserve">link to the resource </w:t>
      </w:r>
      <w:r w:rsidR="009D1D4F">
        <w:rPr>
          <w:snapToGrid w:val="0"/>
          <w:kern w:val="22"/>
        </w:rPr>
        <w:t xml:space="preserve">when available, </w:t>
      </w:r>
      <w:r w:rsidR="009B430D" w:rsidRPr="00CC69E7" w:rsidDel="0073273F">
        <w:rPr>
          <w:snapToGrid w:val="0"/>
          <w:kern w:val="22"/>
        </w:rPr>
        <w:t>is found in Annex to this document</w:t>
      </w:r>
      <w:r w:rsidR="009B430D" w:rsidDel="0073273F">
        <w:rPr>
          <w:snapToGrid w:val="0"/>
          <w:kern w:val="22"/>
        </w:rPr>
        <w:t>.</w:t>
      </w:r>
    </w:p>
    <w:p w:rsidR="009D1D4F" w:rsidRDefault="009B430D" w:rsidP="000D1AA2">
      <w:pPr>
        <w:numPr>
          <w:ilvl w:val="0"/>
          <w:numId w:val="9"/>
        </w:numPr>
        <w:pBdr>
          <w:top w:val="nil"/>
          <w:left w:val="nil"/>
          <w:bottom w:val="nil"/>
          <w:right w:val="nil"/>
          <w:between w:val="nil"/>
          <w:bar w:val="nil"/>
        </w:pBdr>
        <w:spacing w:before="120" w:after="120"/>
        <w:rPr>
          <w:snapToGrid w:val="0"/>
          <w:kern w:val="22"/>
        </w:rPr>
      </w:pPr>
      <w:r w:rsidRPr="000D1AA2">
        <w:rPr>
          <w:snapToGrid w:val="0"/>
          <w:kern w:val="22"/>
        </w:rPr>
        <w:t xml:space="preserve">In addition, </w:t>
      </w:r>
      <w:r w:rsidR="00B6558C" w:rsidRPr="00AE6FC3">
        <w:rPr>
          <w:snapToGrid w:val="0"/>
          <w:kern w:val="22"/>
        </w:rPr>
        <w:t>3</w:t>
      </w:r>
      <w:r w:rsidRPr="00AE6FC3">
        <w:rPr>
          <w:snapToGrid w:val="0"/>
          <w:kern w:val="22"/>
        </w:rPr>
        <w:t xml:space="preserve"> community protocols are currently under development</w:t>
      </w:r>
      <w:r w:rsidRPr="00E3742A">
        <w:rPr>
          <w:rStyle w:val="FootnoteReference"/>
          <w:snapToGrid w:val="0"/>
          <w:kern w:val="22"/>
          <w:sz w:val="22"/>
          <w:u w:val="none"/>
          <w:vertAlign w:val="superscript"/>
        </w:rPr>
        <w:footnoteReference w:id="30"/>
      </w:r>
      <w:r w:rsidRPr="000D1AA2">
        <w:rPr>
          <w:snapToGrid w:val="0"/>
          <w:kern w:val="22"/>
          <w:sz w:val="28"/>
          <w:vertAlign w:val="superscript"/>
        </w:rPr>
        <w:t xml:space="preserve"> </w:t>
      </w:r>
      <w:r w:rsidRPr="00AE6FC3">
        <w:rPr>
          <w:snapToGrid w:val="0"/>
          <w:kern w:val="22"/>
        </w:rPr>
        <w:t>and 7 Parties have reported that there are community protocols being developed or planned in their countries</w:t>
      </w:r>
      <w:r w:rsidR="009D4331">
        <w:rPr>
          <w:snapToGrid w:val="0"/>
          <w:kern w:val="22"/>
        </w:rPr>
        <w:t>.</w:t>
      </w:r>
      <w:r w:rsidRPr="006464BF">
        <w:rPr>
          <w:rStyle w:val="FootnoteReference"/>
          <w:snapToGrid w:val="0"/>
          <w:kern w:val="22"/>
          <w:sz w:val="22"/>
          <w:u w:val="none"/>
          <w:vertAlign w:val="superscript"/>
        </w:rPr>
        <w:footnoteReference w:id="31"/>
      </w:r>
      <w:r w:rsidRPr="00AE6FC3" w:rsidDel="0073273F">
        <w:rPr>
          <w:snapToGrid w:val="0"/>
          <w:kern w:val="22"/>
        </w:rPr>
        <w:t xml:space="preserve"> </w:t>
      </w:r>
    </w:p>
    <w:p w:rsidR="009B430D" w:rsidRPr="00AE6FC3" w:rsidDel="0073273F" w:rsidRDefault="009D1D4F" w:rsidP="00AE6FC3">
      <w:pPr>
        <w:numPr>
          <w:ilvl w:val="0"/>
          <w:numId w:val="9"/>
        </w:numPr>
        <w:pBdr>
          <w:top w:val="nil"/>
          <w:left w:val="nil"/>
          <w:bottom w:val="nil"/>
          <w:right w:val="nil"/>
          <w:between w:val="nil"/>
          <w:bar w:val="nil"/>
        </w:pBdr>
        <w:spacing w:before="120" w:after="120"/>
        <w:rPr>
          <w:snapToGrid w:val="0"/>
          <w:kern w:val="22"/>
        </w:rPr>
      </w:pPr>
      <w:r w:rsidRPr="009D1D4F">
        <w:rPr>
          <w:snapToGrid w:val="0"/>
          <w:kern w:val="22"/>
        </w:rPr>
        <w:t>Community protocols are being developed and used in a variety of contexts, including but not limited to ABS. Some deal with biotrade or land issues and include some ABS elements as part of a bigger context.</w:t>
      </w:r>
      <w:r>
        <w:rPr>
          <w:snapToGrid w:val="0"/>
          <w:kern w:val="22"/>
        </w:rPr>
        <w:t xml:space="preserve"> </w:t>
      </w:r>
      <w:r w:rsidR="005F0F23">
        <w:t>Also, community protocols dealing with ABS may deal with genetic resources and associated traditional knowledge or only one of</w:t>
      </w:r>
      <w:r>
        <w:t xml:space="preserve"> these aspects</w:t>
      </w:r>
      <w:r w:rsidR="005F0F23">
        <w:t>.</w:t>
      </w:r>
      <w:r w:rsidRPr="009D1D4F">
        <w:rPr>
          <w:snapToGrid w:val="0"/>
          <w:kern w:val="22"/>
        </w:rPr>
        <w:t xml:space="preserve"> </w:t>
      </w:r>
      <w:r w:rsidRPr="00037893">
        <w:rPr>
          <w:snapToGrid w:val="0"/>
          <w:kern w:val="22"/>
        </w:rPr>
        <w:t xml:space="preserve">The following provides some information on the community protocols developed when details are available. </w:t>
      </w:r>
    </w:p>
    <w:p w:rsidR="009B430D" w:rsidRPr="007771D5" w:rsidRDefault="009B430D" w:rsidP="009B430D">
      <w:pPr>
        <w:pBdr>
          <w:top w:val="nil"/>
          <w:left w:val="nil"/>
          <w:bottom w:val="nil"/>
          <w:right w:val="nil"/>
          <w:between w:val="nil"/>
          <w:bar w:val="nil"/>
        </w:pBdr>
        <w:spacing w:before="120" w:after="120"/>
        <w:ind w:left="720"/>
        <w:rPr>
          <w:b/>
          <w:snapToGrid w:val="0"/>
          <w:kern w:val="22"/>
        </w:rPr>
      </w:pPr>
      <w:r w:rsidRPr="00AE6FC3">
        <w:rPr>
          <w:b/>
          <w:i/>
          <w:snapToGrid w:val="0"/>
        </w:rPr>
        <w:t xml:space="preserve">Overview of </w:t>
      </w:r>
      <w:r w:rsidR="0044282E">
        <w:rPr>
          <w:b/>
          <w:i/>
        </w:rPr>
        <w:t>c</w:t>
      </w:r>
      <w:r w:rsidRPr="00AE6FC3">
        <w:rPr>
          <w:b/>
          <w:i/>
        </w:rPr>
        <w:t xml:space="preserve">ommunity </w:t>
      </w:r>
      <w:r w:rsidR="0044282E">
        <w:rPr>
          <w:b/>
          <w:i/>
        </w:rPr>
        <w:t>p</w:t>
      </w:r>
      <w:r w:rsidRPr="00AE6FC3">
        <w:rPr>
          <w:b/>
          <w:i/>
        </w:rPr>
        <w:t>rotocol</w:t>
      </w:r>
      <w:r w:rsidR="009D1D4F">
        <w:rPr>
          <w:b/>
          <w:i/>
        </w:rPr>
        <w:t>s</w:t>
      </w:r>
      <w:r w:rsidRPr="00AE6FC3">
        <w:rPr>
          <w:b/>
          <w:i/>
        </w:rPr>
        <w:t xml:space="preserve"> and </w:t>
      </w:r>
      <w:r w:rsidR="0044282E">
        <w:rPr>
          <w:b/>
          <w:i/>
        </w:rPr>
        <w:t>p</w:t>
      </w:r>
      <w:r w:rsidRPr="00AE6FC3">
        <w:rPr>
          <w:b/>
          <w:i/>
        </w:rPr>
        <w:t>rocedures developed</w:t>
      </w:r>
    </w:p>
    <w:p w:rsidR="00E21613" w:rsidRPr="000D1AA2" w:rsidRDefault="009733B2"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i/>
          <w:snapToGrid w:val="0"/>
        </w:rPr>
        <w:t xml:space="preserve">Brazil, Traditional </w:t>
      </w:r>
      <w:r w:rsidRPr="00AE6FC3">
        <w:rPr>
          <w:rFonts w:eastAsia="Calibri"/>
          <w:bCs/>
          <w:i/>
          <w:snapToGrid w:val="0"/>
          <w:kern w:val="22"/>
          <w:bdr w:val="none" w:sz="0" w:space="0" w:color="auto" w:frame="1"/>
        </w:rPr>
        <w:t>Healers</w:t>
      </w:r>
      <w:r w:rsidRPr="00AE6FC3">
        <w:rPr>
          <w:i/>
          <w:snapToGrid w:val="0"/>
        </w:rPr>
        <w:t xml:space="preserve"> of the Cerrado</w:t>
      </w:r>
      <w:r w:rsidR="002634AA" w:rsidRPr="00037893">
        <w:rPr>
          <w:b/>
          <w:i/>
          <w:vertAlign w:val="superscript"/>
        </w:rPr>
        <w:footnoteReference w:id="32"/>
      </w:r>
      <w:r w:rsidR="003B490C">
        <w:rPr>
          <w:i/>
          <w:snapToGrid w:val="0"/>
        </w:rPr>
        <w:t>:</w:t>
      </w:r>
      <w:r w:rsidR="009D1D4F">
        <w:rPr>
          <w:rFonts w:eastAsia="Calibri"/>
          <w:snapToGrid w:val="0"/>
          <w:kern w:val="22"/>
          <w:bdr w:val="none" w:sz="0" w:space="0" w:color="auto" w:frame="1"/>
        </w:rPr>
        <w:t xml:space="preserve"> </w:t>
      </w:r>
      <w:r w:rsidR="009B430D" w:rsidRPr="000D1AA2">
        <w:rPr>
          <w:rFonts w:eastAsia="Calibri"/>
          <w:snapToGrid w:val="0"/>
          <w:kern w:val="22"/>
          <w:bdr w:val="none" w:sz="0" w:space="0" w:color="auto" w:frame="1"/>
        </w:rPr>
        <w:t xml:space="preserve">In Brazil, </w:t>
      </w:r>
      <w:r w:rsidR="009B430D" w:rsidRPr="00AE6FC3">
        <w:rPr>
          <w:rFonts w:eastAsia="Calibri"/>
          <w:snapToGrid w:val="0"/>
          <w:kern w:val="22"/>
          <w:bdr w:val="none" w:sz="0" w:space="0" w:color="auto" w:frame="1"/>
        </w:rPr>
        <w:t>a local NGO (Articulação Pacari (PACARI Network)) worked with local healers to</w:t>
      </w:r>
      <w:r w:rsidR="009D1D4F">
        <w:rPr>
          <w:rFonts w:eastAsia="Calibri"/>
          <w:snapToGrid w:val="0"/>
          <w:kern w:val="22"/>
          <w:bdr w:val="none" w:sz="0" w:space="0" w:color="auto" w:frame="1"/>
        </w:rPr>
        <w:t xml:space="preserve"> develop a </w:t>
      </w:r>
      <w:r w:rsidR="009B430D" w:rsidRPr="00AE6FC3">
        <w:rPr>
          <w:rFonts w:eastAsia="Calibri"/>
          <w:snapToGrid w:val="0"/>
          <w:kern w:val="22"/>
          <w:bdr w:val="none" w:sz="0" w:space="0" w:color="auto" w:frame="1"/>
        </w:rPr>
        <w:t xml:space="preserve">"Biocultural Community Protocol for Cerrado Raizeiras - the customary right of healers in the Cerrado biome of Brazil". </w:t>
      </w:r>
      <w:r w:rsidR="0046645D" w:rsidRPr="00AE6FC3">
        <w:rPr>
          <w:rFonts w:eastAsia="Calibri"/>
          <w:snapToGrid w:val="0"/>
          <w:kern w:val="22"/>
          <w:bdr w:val="none" w:sz="0" w:space="0" w:color="auto" w:frame="1"/>
        </w:rPr>
        <w:t>With the support and partnership of several organizations</w:t>
      </w:r>
      <w:r w:rsidR="009D4331">
        <w:rPr>
          <w:rFonts w:eastAsia="Calibri"/>
          <w:snapToGrid w:val="0"/>
          <w:kern w:val="22"/>
          <w:bdr w:val="none" w:sz="0" w:space="0" w:color="auto" w:frame="1"/>
        </w:rPr>
        <w:t>,</w:t>
      </w:r>
      <w:r w:rsidR="0046645D" w:rsidRPr="0046645D">
        <w:rPr>
          <w:rStyle w:val="FootnoteReference"/>
          <w:rFonts w:eastAsia="Calibri"/>
          <w:snapToGrid w:val="0"/>
          <w:kern w:val="22"/>
          <w:sz w:val="22"/>
          <w:u w:val="none"/>
          <w:bdr w:val="none" w:sz="0" w:space="0" w:color="auto" w:frame="1"/>
          <w:vertAlign w:val="superscript"/>
        </w:rPr>
        <w:footnoteReference w:id="33"/>
      </w:r>
      <w:r w:rsidR="0046645D" w:rsidRPr="000D1AA2">
        <w:rPr>
          <w:rFonts w:eastAsia="Calibri"/>
          <w:snapToGrid w:val="0"/>
          <w:kern w:val="22"/>
          <w:bdr w:val="none" w:sz="0" w:space="0" w:color="auto" w:frame="1"/>
        </w:rPr>
        <w:t xml:space="preserve"> Articulação Pacari brought together </w:t>
      </w:r>
      <w:r w:rsidR="0046645D">
        <w:t>community representative</w:t>
      </w:r>
      <w:r w:rsidR="00EE29A1">
        <w:t>s</w:t>
      </w:r>
      <w:r w:rsidR="0046645D">
        <w:t xml:space="preserve"> that work as traditional healers, from 10 regions in the Cerrado biome. </w:t>
      </w:r>
      <w:r w:rsidR="00E21613" w:rsidRPr="00E21613">
        <w:t>Healers developed this biocultural community protocol with the aim of developing</w:t>
      </w:r>
      <w:r w:rsidRPr="00E21613">
        <w:t xml:space="preserve"> a political instrument that </w:t>
      </w:r>
      <w:r w:rsidR="00E21613" w:rsidRPr="00E21613">
        <w:t>could</w:t>
      </w:r>
      <w:r w:rsidRPr="00E21613">
        <w:t xml:space="preserve"> be used by organizations and social networks in public policy-making and to </w:t>
      </w:r>
      <w:r w:rsidR="00EE29A1">
        <w:t xml:space="preserve">inform </w:t>
      </w:r>
      <w:r w:rsidRPr="00E21613">
        <w:t xml:space="preserve">legislation that guarantees </w:t>
      </w:r>
      <w:r w:rsidR="00EE29A1">
        <w:t xml:space="preserve">the </w:t>
      </w:r>
      <w:r w:rsidRPr="00E21613">
        <w:t xml:space="preserve">customary rights </w:t>
      </w:r>
      <w:r w:rsidR="00EE29A1">
        <w:t xml:space="preserve">of </w:t>
      </w:r>
      <w:r w:rsidRPr="00E21613">
        <w:t xml:space="preserve">practitioners who </w:t>
      </w:r>
      <w:r w:rsidR="00EE29A1">
        <w:t xml:space="preserve">traditionally </w:t>
      </w:r>
      <w:r w:rsidRPr="00E21613">
        <w:t>use medicinal plants.</w:t>
      </w:r>
      <w:r w:rsidR="005F0F23">
        <w:t xml:space="preserve"> The protocol focuses primarily on protecting the traditional knowledge of healers, however, </w:t>
      </w:r>
      <w:r w:rsidR="0085782A">
        <w:t xml:space="preserve">it </w:t>
      </w:r>
      <w:r w:rsidR="005F0F23">
        <w:t xml:space="preserve">sets as a goal the preservation of Cerrado biodiversity as a source of many medicinal plants, and the maintenance of their agriculture free of </w:t>
      </w:r>
      <w:r w:rsidR="003B490C">
        <w:t>genetically modified organisms</w:t>
      </w:r>
      <w:r w:rsidR="005F0F23">
        <w:t xml:space="preserve">. </w:t>
      </w:r>
    </w:p>
    <w:p w:rsidR="005957D6" w:rsidRPr="00AE6FC3" w:rsidRDefault="00E428E4"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i/>
        </w:rPr>
        <w:lastRenderedPageBreak/>
        <w:t>Panama, El Piro</w:t>
      </w:r>
      <w:r w:rsidR="005957D6" w:rsidRPr="00AE6FC3">
        <w:rPr>
          <w:i/>
        </w:rPr>
        <w:t>,</w:t>
      </w:r>
      <w:r w:rsidRPr="00AE6FC3">
        <w:rPr>
          <w:i/>
        </w:rPr>
        <w:t xml:space="preserve"> </w:t>
      </w:r>
      <w:r w:rsidR="005957D6" w:rsidRPr="00AE6FC3">
        <w:rPr>
          <w:i/>
        </w:rPr>
        <w:t xml:space="preserve">Indigenous knowledge </w:t>
      </w:r>
      <w:r w:rsidR="005957D6" w:rsidRPr="00AE6FC3">
        <w:rPr>
          <w:rFonts w:eastAsia="Calibri"/>
          <w:i/>
          <w:snapToGrid w:val="0"/>
          <w:kern w:val="22"/>
          <w:bdr w:val="none" w:sz="0" w:space="0" w:color="auto" w:frame="1"/>
        </w:rPr>
        <w:t>associated</w:t>
      </w:r>
      <w:r w:rsidR="005957D6" w:rsidRPr="00AE6FC3">
        <w:rPr>
          <w:i/>
        </w:rPr>
        <w:t xml:space="preserve"> with genetic resources</w:t>
      </w:r>
      <w:r w:rsidR="003B490C">
        <w:rPr>
          <w:i/>
        </w:rPr>
        <w:t>:</w:t>
      </w:r>
      <w:r w:rsidR="002634AA" w:rsidRPr="00ED67C7">
        <w:rPr>
          <w:rStyle w:val="FootnoteReference"/>
          <w:b/>
          <w:i/>
          <w:sz w:val="22"/>
          <w:u w:val="none"/>
          <w:vertAlign w:val="superscript"/>
        </w:rPr>
        <w:footnoteReference w:id="34"/>
      </w:r>
      <w:r w:rsidR="003B490C">
        <w:rPr>
          <w:rFonts w:eastAsia="Calibri"/>
          <w:snapToGrid w:val="0"/>
          <w:kern w:val="22"/>
          <w:bdr w:val="none" w:sz="0" w:space="0" w:color="auto" w:frame="1"/>
        </w:rPr>
        <w:t xml:space="preserve"> </w:t>
      </w:r>
      <w:r w:rsidR="009B430D" w:rsidRPr="000D1AA2">
        <w:rPr>
          <w:rFonts w:eastAsia="Calibri"/>
          <w:snapToGrid w:val="0"/>
          <w:kern w:val="22"/>
          <w:bdr w:val="none" w:sz="0" w:space="0" w:color="auto" w:frame="1"/>
        </w:rPr>
        <w:t>The community of El Piro</w:t>
      </w:r>
      <w:r w:rsidR="00D06E43">
        <w:t xml:space="preserve">, </w:t>
      </w:r>
      <w:r w:rsidR="00D06E43" w:rsidRPr="000D1AA2">
        <w:rPr>
          <w:rFonts w:eastAsia="Calibri"/>
          <w:snapToGrid w:val="0"/>
          <w:kern w:val="22"/>
          <w:bdr w:val="none" w:sz="0" w:space="0" w:color="auto" w:frame="1"/>
        </w:rPr>
        <w:t>in Panama</w:t>
      </w:r>
      <w:r w:rsidR="009B430D" w:rsidRPr="00AE6FC3">
        <w:rPr>
          <w:rFonts w:eastAsia="Calibri"/>
          <w:snapToGrid w:val="0"/>
          <w:kern w:val="22"/>
          <w:bdr w:val="none" w:sz="0" w:space="0" w:color="auto" w:frame="1"/>
        </w:rPr>
        <w:t xml:space="preserve">, </w:t>
      </w:r>
      <w:r w:rsidR="00D06E43" w:rsidRPr="00AE6FC3">
        <w:rPr>
          <w:rFonts w:eastAsia="Calibri"/>
          <w:snapToGrid w:val="0"/>
          <w:kern w:val="22"/>
          <w:bdr w:val="none" w:sz="0" w:space="0" w:color="auto" w:frame="1"/>
        </w:rPr>
        <w:t xml:space="preserve">with the help of the </w:t>
      </w:r>
      <w:r w:rsidR="00777DAA">
        <w:t>Nägbe-Bugle Foundation</w:t>
      </w:r>
      <w:r w:rsidR="004419F5" w:rsidRPr="000D1AA2">
        <w:rPr>
          <w:rFonts w:eastAsia="Calibri"/>
          <w:snapToGrid w:val="0"/>
          <w:kern w:val="22"/>
          <w:bdr w:val="none" w:sz="0" w:space="0" w:color="auto" w:frame="1"/>
        </w:rPr>
        <w:t xml:space="preserve"> and GIZ funding and technical support</w:t>
      </w:r>
      <w:r w:rsidR="00D06E43">
        <w:t xml:space="preserve">, </w:t>
      </w:r>
      <w:r w:rsidR="009B430D" w:rsidRPr="000D1AA2">
        <w:rPr>
          <w:rFonts w:eastAsia="Calibri"/>
          <w:snapToGrid w:val="0"/>
          <w:kern w:val="22"/>
          <w:bdr w:val="none" w:sz="0" w:space="0" w:color="auto" w:frame="1"/>
        </w:rPr>
        <w:t>developed a biocultural protoco</w:t>
      </w:r>
      <w:r w:rsidR="002634AA" w:rsidRPr="00AE6FC3">
        <w:rPr>
          <w:rFonts w:eastAsia="Calibri"/>
          <w:snapToGrid w:val="0"/>
          <w:kern w:val="22"/>
          <w:bdr w:val="none" w:sz="0" w:space="0" w:color="auto" w:frame="1"/>
        </w:rPr>
        <w:t xml:space="preserve">l. </w:t>
      </w:r>
      <w:r w:rsidR="00D818A0" w:rsidRPr="00AE6FC3">
        <w:rPr>
          <w:rFonts w:eastAsia="Calibri"/>
          <w:snapToGrid w:val="0"/>
          <w:kern w:val="22"/>
          <w:bdr w:val="none" w:sz="0" w:space="0" w:color="auto" w:frame="1"/>
        </w:rPr>
        <w:t xml:space="preserve">It was produced through a series of participatory workshops that included </w:t>
      </w:r>
      <w:r w:rsidR="00D818A0">
        <w:t xml:space="preserve">women, leaders, youth and authorities. </w:t>
      </w:r>
      <w:r w:rsidR="00AC1777" w:rsidRPr="00AE6FC3">
        <w:rPr>
          <w:rFonts w:eastAsia="Calibri"/>
          <w:snapToGrid w:val="0"/>
          <w:kern w:val="22"/>
          <w:bdr w:val="none" w:sz="0" w:space="0" w:color="auto" w:frame="1"/>
        </w:rPr>
        <w:t xml:space="preserve">The </w:t>
      </w:r>
      <w:r w:rsidR="00D06E43" w:rsidRPr="00AE6FC3">
        <w:rPr>
          <w:rFonts w:eastAsia="Calibri"/>
          <w:snapToGrid w:val="0"/>
          <w:kern w:val="22"/>
          <w:bdr w:val="none" w:sz="0" w:space="0" w:color="auto" w:frame="1"/>
        </w:rPr>
        <w:t xml:space="preserve">protocol </w:t>
      </w:r>
      <w:r w:rsidR="00AC1777" w:rsidRPr="00AE6FC3">
        <w:rPr>
          <w:rFonts w:eastAsia="Calibri"/>
          <w:snapToGrid w:val="0"/>
          <w:kern w:val="22"/>
          <w:bdr w:val="none" w:sz="0" w:space="0" w:color="auto" w:frame="1"/>
        </w:rPr>
        <w:t>contains</w:t>
      </w:r>
      <w:r w:rsidR="00D06E43" w:rsidRPr="00AE6FC3">
        <w:rPr>
          <w:rFonts w:eastAsia="Calibri"/>
          <w:snapToGrid w:val="0"/>
          <w:kern w:val="22"/>
          <w:bdr w:val="none" w:sz="0" w:space="0" w:color="auto" w:frame="1"/>
        </w:rPr>
        <w:t xml:space="preserve"> a </w:t>
      </w:r>
      <w:r w:rsidR="00D06E43" w:rsidRPr="00AE6FC3">
        <w:rPr>
          <w:rFonts w:ascii="inherit" w:hAnsi="inherit"/>
          <w:color w:val="212121"/>
          <w:lang w:val="en"/>
        </w:rPr>
        <w:t xml:space="preserve">diagnosis on the situation of traditional knowledge and genetic resources </w:t>
      </w:r>
      <w:r w:rsidR="004419F5" w:rsidRPr="00AE6FC3">
        <w:rPr>
          <w:rFonts w:ascii="inherit" w:hAnsi="inherit"/>
          <w:color w:val="212121"/>
          <w:lang w:val="en"/>
        </w:rPr>
        <w:t>in the</w:t>
      </w:r>
      <w:r w:rsidR="00D06E43" w:rsidRPr="00AE6FC3">
        <w:rPr>
          <w:rFonts w:ascii="inherit" w:hAnsi="inherit"/>
          <w:color w:val="212121"/>
          <w:lang w:val="en"/>
        </w:rPr>
        <w:t xml:space="preserve"> El Piro community</w:t>
      </w:r>
      <w:r w:rsidR="00AC1777" w:rsidRPr="00AE6FC3">
        <w:rPr>
          <w:rFonts w:ascii="inherit" w:hAnsi="inherit"/>
          <w:color w:val="212121"/>
          <w:lang w:val="en"/>
        </w:rPr>
        <w:t xml:space="preserve">, including </w:t>
      </w:r>
      <w:r w:rsidR="00AC1777" w:rsidRPr="00AE6FC3">
        <w:rPr>
          <w:rFonts w:eastAsia="Calibri"/>
          <w:snapToGrid w:val="0"/>
          <w:kern w:val="22"/>
          <w:bdr w:val="none" w:sz="0" w:space="0" w:color="auto" w:frame="1"/>
        </w:rPr>
        <w:t xml:space="preserve">the decision-making structure and </w:t>
      </w:r>
      <w:r w:rsidR="004419F5" w:rsidRPr="00AE6FC3">
        <w:rPr>
          <w:rFonts w:eastAsia="Calibri"/>
          <w:snapToGrid w:val="0"/>
          <w:kern w:val="22"/>
          <w:bdr w:val="none" w:sz="0" w:space="0" w:color="auto" w:frame="1"/>
        </w:rPr>
        <w:t xml:space="preserve">community </w:t>
      </w:r>
      <w:r w:rsidR="00AC1777" w:rsidRPr="00AE6FC3">
        <w:rPr>
          <w:rFonts w:eastAsia="Calibri"/>
          <w:snapToGrid w:val="0"/>
          <w:kern w:val="22"/>
          <w:bdr w:val="none" w:sz="0" w:space="0" w:color="auto" w:frame="1"/>
        </w:rPr>
        <w:t>procedure</w:t>
      </w:r>
      <w:r w:rsidR="004419F5" w:rsidRPr="00AE6FC3">
        <w:rPr>
          <w:rFonts w:eastAsia="Calibri"/>
          <w:snapToGrid w:val="0"/>
          <w:kern w:val="22"/>
          <w:bdr w:val="none" w:sz="0" w:space="0" w:color="auto" w:frame="1"/>
        </w:rPr>
        <w:t>s</w:t>
      </w:r>
      <w:r w:rsidR="00AC1777" w:rsidRPr="00AE6FC3">
        <w:rPr>
          <w:rFonts w:eastAsia="Calibri"/>
          <w:snapToGrid w:val="0"/>
          <w:kern w:val="22"/>
          <w:bdr w:val="none" w:sz="0" w:space="0" w:color="auto" w:frame="1"/>
        </w:rPr>
        <w:t xml:space="preserve">. </w:t>
      </w:r>
      <w:r w:rsidR="00D818A0" w:rsidRPr="00AE6FC3">
        <w:rPr>
          <w:rFonts w:eastAsia="Calibri"/>
          <w:snapToGrid w:val="0"/>
          <w:kern w:val="22"/>
          <w:bdr w:val="none" w:sz="0" w:space="0" w:color="auto" w:frame="1"/>
        </w:rPr>
        <w:t>The protocol also describes</w:t>
      </w:r>
      <w:r w:rsidR="00AC1777" w:rsidRPr="00AE6FC3">
        <w:rPr>
          <w:rFonts w:eastAsia="Calibri"/>
          <w:snapToGrid w:val="0"/>
          <w:kern w:val="22"/>
          <w:bdr w:val="none" w:sz="0" w:space="0" w:color="auto" w:frame="1"/>
        </w:rPr>
        <w:t xml:space="preserve"> the principles that must be included when developing PIC and MAT with the community.</w:t>
      </w:r>
      <w:r w:rsidR="004419F5" w:rsidRPr="00AE6FC3">
        <w:rPr>
          <w:rFonts w:eastAsia="Calibri"/>
          <w:snapToGrid w:val="0"/>
          <w:kern w:val="22"/>
          <w:bdr w:val="none" w:sz="0" w:space="0" w:color="auto" w:frame="1"/>
        </w:rPr>
        <w:t xml:space="preserve"> The</w:t>
      </w:r>
      <w:r w:rsidR="00394F38">
        <w:rPr>
          <w:rFonts w:eastAsia="Calibri"/>
          <w:snapToGrid w:val="0"/>
          <w:kern w:val="22"/>
          <w:bdr w:val="none" w:sz="0" w:space="0" w:color="auto" w:frame="1"/>
        </w:rPr>
        <w:t xml:space="preserve"> aim was to establish clear conditions for governments, the private sector, research </w:t>
      </w:r>
      <w:r w:rsidR="00201064">
        <w:rPr>
          <w:rFonts w:eastAsia="Calibri"/>
          <w:snapToGrid w:val="0"/>
          <w:kern w:val="22"/>
          <w:bdr w:val="none" w:sz="0" w:space="0" w:color="auto" w:frame="1"/>
        </w:rPr>
        <w:t>centres</w:t>
      </w:r>
      <w:r w:rsidR="00394F38">
        <w:rPr>
          <w:rFonts w:eastAsia="Calibri"/>
          <w:snapToGrid w:val="0"/>
          <w:kern w:val="22"/>
          <w:bdr w:val="none" w:sz="0" w:space="0" w:color="auto" w:frame="1"/>
        </w:rPr>
        <w:t xml:space="preserve"> and non-profit institutions on how to engage with the IPLCs in </w:t>
      </w:r>
      <w:r w:rsidR="00394F38" w:rsidRPr="00394F38">
        <w:rPr>
          <w:rFonts w:eastAsia="Calibri"/>
          <w:snapToGrid w:val="0"/>
          <w:kern w:val="22"/>
          <w:bdr w:val="none" w:sz="0" w:space="0" w:color="auto" w:frame="1"/>
        </w:rPr>
        <w:t xml:space="preserve">Nägbe-Bugle </w:t>
      </w:r>
      <w:r w:rsidR="00394F38">
        <w:rPr>
          <w:rFonts w:eastAsia="Calibri"/>
          <w:snapToGrid w:val="0"/>
          <w:kern w:val="22"/>
          <w:bdr w:val="none" w:sz="0" w:space="0" w:color="auto" w:frame="1"/>
        </w:rPr>
        <w:t>area</w:t>
      </w:r>
      <w:r w:rsidR="004419F5" w:rsidRPr="00AE6FC3">
        <w:rPr>
          <w:rFonts w:eastAsia="Calibri"/>
          <w:snapToGrid w:val="0"/>
          <w:kern w:val="22"/>
          <w:bdr w:val="none" w:sz="0" w:space="0" w:color="auto" w:frame="1"/>
        </w:rPr>
        <w:t>.</w:t>
      </w:r>
    </w:p>
    <w:p w:rsidR="0017370D" w:rsidRDefault="004419F5"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i/>
          <w:snapToGrid w:val="0"/>
          <w:bdr w:val="none" w:sz="0" w:space="0" w:color="auto" w:frame="1"/>
        </w:rPr>
        <w:t>Kenya, Ogiek people of the Mau forest Complex</w:t>
      </w:r>
      <w:r w:rsidR="00D03E0C">
        <w:rPr>
          <w:i/>
          <w:snapToGrid w:val="0"/>
          <w:bdr w:val="none" w:sz="0" w:space="0" w:color="auto" w:frame="1"/>
        </w:rPr>
        <w:t>:</w:t>
      </w:r>
      <w:r w:rsidR="00ED67C7" w:rsidRPr="00ED67C7">
        <w:rPr>
          <w:rStyle w:val="FootnoteReference"/>
          <w:b/>
          <w:i/>
          <w:snapToGrid w:val="0"/>
          <w:sz w:val="22"/>
          <w:u w:val="none"/>
          <w:bdr w:val="none" w:sz="0" w:space="0" w:color="auto" w:frame="1"/>
          <w:vertAlign w:val="superscript"/>
        </w:rPr>
        <w:footnoteReference w:id="35"/>
      </w:r>
      <w:r w:rsidR="00EC05BC" w:rsidRPr="000D1AA2">
        <w:rPr>
          <w:rFonts w:eastAsia="Calibri"/>
          <w:snapToGrid w:val="0"/>
          <w:kern w:val="22"/>
          <w:bdr w:val="none" w:sz="0" w:space="0" w:color="auto" w:frame="1"/>
        </w:rPr>
        <w:t xml:space="preserve">The Ogiek </w:t>
      </w:r>
      <w:r w:rsidR="000D6317" w:rsidRPr="00AE6FC3">
        <w:rPr>
          <w:rFonts w:eastAsia="Calibri"/>
          <w:snapToGrid w:val="0"/>
          <w:kern w:val="22"/>
          <w:bdr w:val="none" w:sz="0" w:space="0" w:color="auto" w:frame="1"/>
        </w:rPr>
        <w:t xml:space="preserve">people are traditionally </w:t>
      </w:r>
      <w:r w:rsidR="000B33E5" w:rsidRPr="00AE6FC3">
        <w:rPr>
          <w:rFonts w:eastAsia="Calibri"/>
          <w:snapToGrid w:val="0"/>
          <w:kern w:val="22"/>
          <w:bdr w:val="none" w:sz="0" w:space="0" w:color="auto" w:frame="1"/>
        </w:rPr>
        <w:t>forest-dwelling peoples</w:t>
      </w:r>
      <w:r w:rsidR="000D6317" w:rsidRPr="00AE6FC3">
        <w:rPr>
          <w:rFonts w:eastAsia="Calibri"/>
          <w:snapToGrid w:val="0"/>
          <w:kern w:val="22"/>
          <w:bdr w:val="none" w:sz="0" w:space="0" w:color="auto" w:frame="1"/>
        </w:rPr>
        <w:t xml:space="preserve"> from </w:t>
      </w:r>
      <w:r w:rsidR="000B33E5" w:rsidRPr="00AE6FC3">
        <w:rPr>
          <w:rFonts w:eastAsia="Calibri"/>
          <w:snapToGrid w:val="0"/>
          <w:kern w:val="22"/>
          <w:bdr w:val="none" w:sz="0" w:space="0" w:color="auto" w:frame="1"/>
        </w:rPr>
        <w:t xml:space="preserve">the Rift Valley in Kenya. Experiencing the changes and challenges of their surrounding forest home, such as increased pressure form deforestation, they developed this protocol </w:t>
      </w:r>
      <w:r w:rsidR="00DB224A" w:rsidRPr="00AE6FC3">
        <w:rPr>
          <w:rFonts w:eastAsia="Calibri"/>
          <w:snapToGrid w:val="0"/>
          <w:kern w:val="22"/>
          <w:bdr w:val="none" w:sz="0" w:space="0" w:color="auto" w:frame="1"/>
        </w:rPr>
        <w:t xml:space="preserve">to put forward their </w:t>
      </w:r>
      <w:r w:rsidR="000B33E5" w:rsidRPr="00AE6FC3">
        <w:rPr>
          <w:rFonts w:eastAsia="Calibri"/>
          <w:snapToGrid w:val="0"/>
          <w:kern w:val="22"/>
          <w:bdr w:val="none" w:sz="0" w:space="0" w:color="auto" w:frame="1"/>
        </w:rPr>
        <w:t xml:space="preserve">social and cultural values, </w:t>
      </w:r>
      <w:r w:rsidR="00DB224A" w:rsidRPr="00AE6FC3">
        <w:rPr>
          <w:rFonts w:eastAsia="Calibri"/>
          <w:snapToGrid w:val="0"/>
          <w:kern w:val="22"/>
          <w:bdr w:val="none" w:sz="0" w:space="0" w:color="auto" w:frame="1"/>
        </w:rPr>
        <w:t xml:space="preserve">their </w:t>
      </w:r>
      <w:r w:rsidR="000B33E5" w:rsidRPr="00AE6FC3">
        <w:rPr>
          <w:rFonts w:eastAsia="Calibri"/>
          <w:snapToGrid w:val="0"/>
          <w:kern w:val="22"/>
          <w:bdr w:val="none" w:sz="0" w:space="0" w:color="auto" w:frame="1"/>
        </w:rPr>
        <w:t>role in forest conservation, highlight</w:t>
      </w:r>
      <w:r w:rsidR="00DB224A" w:rsidRPr="00AE6FC3">
        <w:rPr>
          <w:rFonts w:eastAsia="Calibri"/>
          <w:snapToGrid w:val="0"/>
          <w:kern w:val="22"/>
          <w:bdr w:val="none" w:sz="0" w:space="0" w:color="auto" w:frame="1"/>
        </w:rPr>
        <w:t xml:space="preserve"> and document</w:t>
      </w:r>
      <w:r w:rsidR="000B33E5" w:rsidRPr="00AE6FC3">
        <w:rPr>
          <w:rFonts w:eastAsia="Calibri"/>
          <w:snapToGrid w:val="0"/>
          <w:kern w:val="22"/>
          <w:bdr w:val="none" w:sz="0" w:space="0" w:color="auto" w:frame="1"/>
        </w:rPr>
        <w:t xml:space="preserve"> their traditional knowledge, way of life, customary laws and clearly state the terms and conditions regulating access to Ogiek traditional knowledge and resources. </w:t>
      </w:r>
      <w:r w:rsidR="000B33E5" w:rsidRPr="00DB224A">
        <w:rPr>
          <w:rFonts w:eastAsia="Calibri"/>
          <w:snapToGrid w:val="0"/>
          <w:kern w:val="22"/>
          <w:bdr w:val="none" w:sz="0" w:space="0" w:color="auto" w:frame="1"/>
        </w:rPr>
        <w:t>The Protocol was developed through a participatory process that involved community consultations in different parts of the Mau Forest Complex. Twelve data collectors, all members of the Ogiek community, were dispatched to various parts of the Mau Forest Complex to document information on the various aspects of Ogiek culture and practices. This was done to ensure that the Protocol reflects the true position of all members of the Ogiek community in the Mau Forest Complex.</w:t>
      </w:r>
      <w:r w:rsidR="00DB224A" w:rsidRPr="00DB224A">
        <w:rPr>
          <w:rFonts w:eastAsia="Calibri"/>
          <w:snapToGrid w:val="0"/>
          <w:kern w:val="22"/>
          <w:bdr w:val="none" w:sz="0" w:space="0" w:color="auto" w:frame="1"/>
        </w:rPr>
        <w:t xml:space="preserve"> </w:t>
      </w:r>
    </w:p>
    <w:p w:rsidR="000D6317" w:rsidRDefault="00DB224A"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DB224A">
        <w:rPr>
          <w:rFonts w:eastAsia="Calibri"/>
          <w:snapToGrid w:val="0"/>
          <w:kern w:val="22"/>
          <w:bdr w:val="none" w:sz="0" w:space="0" w:color="auto" w:frame="1"/>
        </w:rPr>
        <w:t>It was completed by t</w:t>
      </w:r>
      <w:r w:rsidR="000B33E5" w:rsidRPr="00DB224A">
        <w:rPr>
          <w:rFonts w:eastAsia="Calibri"/>
          <w:snapToGrid w:val="0"/>
          <w:kern w:val="22"/>
          <w:bdr w:val="none" w:sz="0" w:space="0" w:color="auto" w:frame="1"/>
        </w:rPr>
        <w:t xml:space="preserve">he </w:t>
      </w:r>
      <w:r w:rsidR="00CB42F9" w:rsidRPr="00DB224A">
        <w:rPr>
          <w:rFonts w:eastAsia="Calibri"/>
          <w:snapToGrid w:val="0"/>
          <w:kern w:val="22"/>
          <w:bdr w:val="none" w:sz="0" w:space="0" w:color="auto" w:frame="1"/>
        </w:rPr>
        <w:t xml:space="preserve">Ogiek </w:t>
      </w:r>
      <w:r w:rsidR="00EC05BC" w:rsidRPr="00DB224A">
        <w:rPr>
          <w:rFonts w:eastAsia="Calibri"/>
          <w:snapToGrid w:val="0"/>
          <w:kern w:val="22"/>
          <w:bdr w:val="none" w:sz="0" w:space="0" w:color="auto" w:frame="1"/>
        </w:rPr>
        <w:t>Peoples’ Development Program (OPDP)</w:t>
      </w:r>
      <w:r w:rsidR="00CB42F9" w:rsidRPr="00DB224A">
        <w:rPr>
          <w:rFonts w:eastAsia="Calibri"/>
          <w:snapToGrid w:val="0"/>
          <w:kern w:val="22"/>
          <w:bdr w:val="none" w:sz="0" w:space="0" w:color="auto" w:frame="1"/>
        </w:rPr>
        <w:t xml:space="preserve"> and </w:t>
      </w:r>
      <w:r w:rsidR="00EC05BC" w:rsidRPr="00DB224A">
        <w:rPr>
          <w:rFonts w:eastAsia="Calibri"/>
          <w:snapToGrid w:val="0"/>
          <w:kern w:val="22"/>
          <w:bdr w:val="none" w:sz="0" w:space="0" w:color="auto" w:frame="1"/>
        </w:rPr>
        <w:t>with financial support from the American Jewish World Service (AJWS) and technical assistance of Natural Justice and other consultants</w:t>
      </w:r>
      <w:r w:rsidRPr="00DB224A">
        <w:rPr>
          <w:rFonts w:eastAsia="Calibri"/>
          <w:snapToGrid w:val="0"/>
          <w:kern w:val="22"/>
          <w:bdr w:val="none" w:sz="0" w:space="0" w:color="auto" w:frame="1"/>
        </w:rPr>
        <w:t>.</w:t>
      </w:r>
    </w:p>
    <w:p w:rsidR="002D5989" w:rsidRPr="000D1AA2" w:rsidRDefault="00DB224A" w:rsidP="000D1AA2">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i/>
        </w:rPr>
        <w:t>Namibia, the Khwe community inside Bwabwata National Park</w:t>
      </w:r>
      <w:r w:rsidR="0017370D">
        <w:rPr>
          <w:i/>
        </w:rPr>
        <w:t>:</w:t>
      </w:r>
      <w:r w:rsidR="0017370D">
        <w:rPr>
          <w:rFonts w:eastAsia="Calibri"/>
          <w:snapToGrid w:val="0"/>
          <w:kern w:val="22"/>
          <w:bdr w:val="none" w:sz="0" w:space="0" w:color="auto" w:frame="1"/>
        </w:rPr>
        <w:t xml:space="preserve"> T</w:t>
      </w:r>
      <w:r w:rsidRPr="00AE6FC3">
        <w:rPr>
          <w:rFonts w:eastAsia="Calibri"/>
          <w:snapToGrid w:val="0"/>
          <w:kern w:val="22"/>
          <w:bdr w:val="none" w:sz="0" w:space="0" w:color="auto" w:frame="1"/>
        </w:rPr>
        <w:t xml:space="preserve">he </w:t>
      </w:r>
      <w:r>
        <w:t>Khwe community is historically a hunter-gatherer community living inside Bwabwata National Park with a deep and historical connection with the resources and wildlife inside the Park. They became concerned with the intergenerational transfer of traditional knowledge</w:t>
      </w:r>
      <w:r w:rsidR="002D5989">
        <w:t xml:space="preserve">. A community protocol was developed to describe </w:t>
      </w:r>
      <w:r w:rsidR="00E96CDA">
        <w:t xml:space="preserve">the </w:t>
      </w:r>
      <w:r w:rsidR="002D5989">
        <w:t>community, including values, structure and procedures for PIC. In addition</w:t>
      </w:r>
      <w:r w:rsidR="009D4331">
        <w:t>,</w:t>
      </w:r>
      <w:r w:rsidR="002D5989">
        <w:t xml:space="preserve"> the community protocol also includes a community biodiversity register which identifies the traditional knowledge of the community</w:t>
      </w:r>
      <w:r w:rsidR="00E96CDA">
        <w:t xml:space="preserve"> based on the variety of climate zones and genetic resources found within the forest</w:t>
      </w:r>
      <w:r w:rsidR="002D5989">
        <w:t>, as well as the challenges they face</w:t>
      </w:r>
      <w:r w:rsidR="00E96CDA">
        <w:t>.</w:t>
      </w:r>
      <w:r w:rsidR="002D5989">
        <w:t xml:space="preserve"> </w:t>
      </w:r>
    </w:p>
    <w:p w:rsidR="00DB224A" w:rsidRDefault="002D5989" w:rsidP="00ED67C7">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Pr>
          <w:rFonts w:eastAsia="Calibri"/>
          <w:snapToGrid w:val="0"/>
          <w:kern w:val="22"/>
          <w:bdr w:val="none" w:sz="0" w:space="0" w:color="auto" w:frame="1"/>
        </w:rPr>
        <w:t xml:space="preserve">The Khwe community protocol was produced by community members elected to the task </w:t>
      </w:r>
      <w:r w:rsidR="00ED67C7">
        <w:rPr>
          <w:rFonts w:eastAsia="Calibri"/>
          <w:snapToGrid w:val="0"/>
          <w:kern w:val="22"/>
          <w:bdr w:val="none" w:sz="0" w:space="0" w:color="auto" w:frame="1"/>
        </w:rPr>
        <w:t>during</w:t>
      </w:r>
      <w:r>
        <w:rPr>
          <w:rFonts w:eastAsia="Calibri"/>
          <w:snapToGrid w:val="0"/>
          <w:kern w:val="22"/>
          <w:bdr w:val="none" w:sz="0" w:space="0" w:color="auto" w:frame="1"/>
        </w:rPr>
        <w:t xml:space="preserve"> the first participatory meeting, </w:t>
      </w:r>
      <w:r>
        <w:t>accompanied by a team of supporting organi</w:t>
      </w:r>
      <w:r w:rsidR="00F05420">
        <w:t>z</w:t>
      </w:r>
      <w:r>
        <w:t xml:space="preserve">ations including </w:t>
      </w:r>
      <w:r w:rsidR="00ED67C7">
        <w:t xml:space="preserve">a local community land management NGO, </w:t>
      </w:r>
      <w:r w:rsidR="00ED67C7" w:rsidRPr="00ED67C7">
        <w:t>Integrated Rural Development and Nature Conservation</w:t>
      </w:r>
      <w:r>
        <w:t>, Natural Justice and staff from the Ministry of Environment and Tourism. Content was developed following consultation visits to the Khwe villages and some training sessions on the Nagoya Protocol. In addition, a draft of the protocol was validated through return visits to the</w:t>
      </w:r>
      <w:r w:rsidR="00ED67C7">
        <w:t>se</w:t>
      </w:r>
      <w:r>
        <w:t xml:space="preserve"> villages. </w:t>
      </w:r>
    </w:p>
    <w:p w:rsidR="00135DBF" w:rsidRPr="000D1AA2" w:rsidRDefault="00ED67C7" w:rsidP="000D1AA2">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i/>
        </w:rPr>
        <w:t>Madagascar: the Mariarano community protocol</w:t>
      </w:r>
      <w:r w:rsidR="0017370D">
        <w:rPr>
          <w:rFonts w:eastAsia="Calibri"/>
          <w:snapToGrid w:val="0"/>
          <w:kern w:val="22"/>
          <w:bdr w:val="none" w:sz="0" w:space="0" w:color="auto" w:frame="1"/>
        </w:rPr>
        <w:t xml:space="preserve">: </w:t>
      </w:r>
      <w:r w:rsidR="0002184F" w:rsidRPr="000D1AA2">
        <w:rPr>
          <w:rFonts w:eastAsia="Calibri"/>
          <w:snapToGrid w:val="0"/>
          <w:kern w:val="22"/>
          <w:bdr w:val="none" w:sz="0" w:space="0" w:color="auto" w:frame="1"/>
        </w:rPr>
        <w:t>Seven neighbouring local communities in the communes of Mariarano and Betsako in the Boeny region of Madagascar, came together to develop a community protocol. This area is know</w:t>
      </w:r>
      <w:r w:rsidR="0002184F" w:rsidRPr="00AE6FC3">
        <w:rPr>
          <w:rFonts w:eastAsia="Calibri"/>
          <w:snapToGrid w:val="0"/>
          <w:kern w:val="22"/>
          <w:bdr w:val="none" w:sz="0" w:space="0" w:color="auto" w:frame="1"/>
        </w:rPr>
        <w:t>n fo</w:t>
      </w:r>
      <w:r w:rsidR="00135DBF" w:rsidRPr="00AE6FC3">
        <w:rPr>
          <w:rFonts w:eastAsia="Calibri"/>
          <w:snapToGrid w:val="0"/>
          <w:kern w:val="22"/>
          <w:bdr w:val="none" w:sz="0" w:space="0" w:color="auto" w:frame="1"/>
        </w:rPr>
        <w:t xml:space="preserve">r its distinctive biodiversity. The various communities were able, through the protocol, to </w:t>
      </w:r>
      <w:r w:rsidR="00135DBF">
        <w:t>clarify decision-making process between them on access to and use of biological and genetic resources that they share. The protocol also contains their common vision to protect their traditional knowledge and a process for conflict resolution. In addition, the protocol describes the processes</w:t>
      </w:r>
      <w:r w:rsidR="009E0EA5">
        <w:t xml:space="preserve"> they developed together</w:t>
      </w:r>
      <w:r w:rsidR="00135DBF">
        <w:t xml:space="preserve"> that</w:t>
      </w:r>
      <w:r w:rsidR="0017370D">
        <w:t xml:space="preserve"> companies</w:t>
      </w:r>
      <w:r w:rsidR="00135DBF">
        <w:t>, researchers and others have to follow to access the communit</w:t>
      </w:r>
      <w:r w:rsidR="009E0EA5">
        <w:t>ies</w:t>
      </w:r>
      <w:r w:rsidR="00135DBF">
        <w:t>’ genetic resources and traditional knowledge and modalities for benefit sharing.</w:t>
      </w:r>
    </w:p>
    <w:p w:rsidR="0002184F" w:rsidRPr="00B6558C" w:rsidRDefault="00135DBF" w:rsidP="0003789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t>The process was facilitated and supported by the GIZ Programme in Madagascar and by Natural Justice.</w:t>
      </w:r>
      <w:r w:rsidR="00307219">
        <w:t xml:space="preserve"> This process included a series of workshops that brought together members of each of the </w:t>
      </w:r>
      <w:r w:rsidR="00307219">
        <w:lastRenderedPageBreak/>
        <w:t>communities, data collection at the local level, training on ABS and methodology</w:t>
      </w:r>
      <w:r w:rsidR="009E0EA5">
        <w:t xml:space="preserve"> and a validation step through consultation with the community and other local stakeholders. </w:t>
      </w:r>
    </w:p>
    <w:p w:rsidR="00576B23" w:rsidRPr="000D1AA2" w:rsidRDefault="00B6558C" w:rsidP="000D1AA2">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i/>
        </w:rPr>
        <w:t xml:space="preserve">Madagascar: </w:t>
      </w:r>
      <w:r w:rsidR="00576B23" w:rsidRPr="00AE6FC3">
        <w:rPr>
          <w:i/>
        </w:rPr>
        <w:t>two pilot community protocols implementing the Nagoya Protocol and the ITPGRFA in Analavory and Antavolobe</w:t>
      </w:r>
      <w:r w:rsidR="0017370D">
        <w:t xml:space="preserve">. </w:t>
      </w:r>
      <w:r w:rsidR="00576B23">
        <w:t xml:space="preserve">Another two community protocols were </w:t>
      </w:r>
      <w:r w:rsidR="00FF2926">
        <w:t xml:space="preserve">also </w:t>
      </w:r>
      <w:r w:rsidR="00576B23">
        <w:t>developed in Madagascar. They were developed in parallel</w:t>
      </w:r>
      <w:r w:rsidR="00FF2926">
        <w:t xml:space="preserve">—in Antavolobe, in North East Madagascar and the second in the community of Analavory, in the central part of Madagascar— </w:t>
      </w:r>
      <w:r w:rsidR="00434E6C">
        <w:t>as part of a larger project to implement the Nagoya Protocol and the ITPGRFA in a</w:t>
      </w:r>
      <w:r w:rsidR="0017370D">
        <w:t xml:space="preserve"> mutually supportive manner</w:t>
      </w:r>
      <w:r w:rsidR="00434E6C">
        <w:t xml:space="preserve">. The project is financed by DFID under the Darwin Initiative and jointly implemented by </w:t>
      </w:r>
      <w:r w:rsidR="0017370D">
        <w:t>Biodiversity</w:t>
      </w:r>
      <w:r w:rsidR="00434E6C">
        <w:t xml:space="preserve"> International and the ABS Capacity Development Initiative in collaboration with the Secretariats of the CBD and the ITPRGFA as well as the focal points of the Nagoya Protocol and the ITPRGFA. Natural Justice supported the facilitation of the two community protocols.</w:t>
      </w:r>
    </w:p>
    <w:p w:rsidR="00434E6C" w:rsidRPr="00ED67C7" w:rsidRDefault="00434E6C" w:rsidP="0003789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t xml:space="preserve">The goal of these </w:t>
      </w:r>
      <w:r w:rsidR="00FB6753">
        <w:t xml:space="preserve">protocols is to </w:t>
      </w:r>
      <w:r>
        <w:t>inform the development of Madagascar’s interim regulations implementing the Nagoya Protocol and the ITPGRFA, specifically looking at access to and exchange of seeds</w:t>
      </w:r>
      <w:r w:rsidR="00FB6753">
        <w:t xml:space="preserve"> (genetic resources for food and agriculture).</w:t>
      </w:r>
      <w:r>
        <w:t xml:space="preserve"> </w:t>
      </w:r>
      <w:r w:rsidR="00FB6753">
        <w:t>In the protocols, the local process to access, exchange and share benefits of in situ managed genetic resources is detailed;</w:t>
      </w:r>
      <w:r w:rsidR="00CC5DEB">
        <w:t xml:space="preserve"> including </w:t>
      </w:r>
      <w:r w:rsidR="00FB6753">
        <w:t>how the communities manage their genetic resources and associated traditional knowledge, the community structure and decision-making process, local values and conflict resolution processes. The protocols were developed through a series of workshops, local consultations and validation meetings.</w:t>
      </w:r>
    </w:p>
    <w:p w:rsidR="009B430D" w:rsidRPr="000E5CCC" w:rsidRDefault="009B430D" w:rsidP="00AE6FC3">
      <w:pPr>
        <w:pStyle w:val="Heading2"/>
        <w:numPr>
          <w:ilvl w:val="0"/>
          <w:numId w:val="13"/>
        </w:numPr>
      </w:pPr>
      <w:r w:rsidRPr="000B754A">
        <w:t>Use</w:t>
      </w:r>
      <w:r>
        <w:t xml:space="preserve"> of </w:t>
      </w:r>
      <w:r w:rsidR="0044282E">
        <w:t>i</w:t>
      </w:r>
      <w:r w:rsidRPr="000E5CCC">
        <w:t xml:space="preserve">ndigenous </w:t>
      </w:r>
      <w:r w:rsidR="0044282E">
        <w:t>p</w:t>
      </w:r>
      <w:r w:rsidRPr="000E5CCC">
        <w:t xml:space="preserve">eoples and </w:t>
      </w:r>
      <w:r w:rsidR="0044282E">
        <w:t>l</w:t>
      </w:r>
      <w:r w:rsidRPr="000E5CCC">
        <w:t xml:space="preserve">ocal </w:t>
      </w:r>
      <w:r w:rsidR="0044282E">
        <w:t>c</w:t>
      </w:r>
      <w:r w:rsidRPr="000E5CCC">
        <w:t xml:space="preserve">ommunities’ </w:t>
      </w:r>
      <w:r w:rsidR="0044282E">
        <w:t>c</w:t>
      </w:r>
      <w:r w:rsidRPr="000E5CCC">
        <w:t xml:space="preserve">ustomary </w:t>
      </w:r>
      <w:r w:rsidR="0044282E">
        <w:t>l</w:t>
      </w:r>
      <w:r w:rsidRPr="000E5CCC">
        <w:t>aw</w:t>
      </w:r>
      <w:r w:rsidR="00C95968">
        <w:t>s</w:t>
      </w:r>
      <w:r w:rsidRPr="000E5CCC">
        <w:t xml:space="preserve">, </w:t>
      </w:r>
      <w:r w:rsidR="0044282E">
        <w:t>c</w:t>
      </w:r>
      <w:r w:rsidRPr="000E5CCC">
        <w:t xml:space="preserve">ommunity </w:t>
      </w:r>
      <w:r w:rsidR="0044282E">
        <w:t>p</w:t>
      </w:r>
      <w:r w:rsidRPr="000E5CCC">
        <w:t xml:space="preserve">rotocol and </w:t>
      </w:r>
      <w:r w:rsidR="0044282E">
        <w:t>p</w:t>
      </w:r>
      <w:r w:rsidRPr="000E5CCC">
        <w:t xml:space="preserve">rocedures </w:t>
      </w:r>
    </w:p>
    <w:p w:rsidR="00514F24" w:rsidRPr="00514F24" w:rsidRDefault="009B430D" w:rsidP="00514F24">
      <w:pPr>
        <w:pStyle w:val="ListParagraph"/>
        <w:numPr>
          <w:ilvl w:val="0"/>
          <w:numId w:val="9"/>
        </w:numPr>
        <w:rPr>
          <w:snapToGrid w:val="0"/>
          <w:kern w:val="22"/>
        </w:rPr>
      </w:pPr>
      <w:r w:rsidRPr="00514F24">
        <w:rPr>
          <w:snapToGrid w:val="0"/>
          <w:kern w:val="22"/>
        </w:rPr>
        <w:t xml:space="preserve">Most reporting has been on protocols being developed by communities, rather than specifically on </w:t>
      </w:r>
      <w:r w:rsidR="002D0861">
        <w:rPr>
          <w:snapToGrid w:val="0"/>
          <w:kern w:val="22"/>
        </w:rPr>
        <w:t xml:space="preserve">their </w:t>
      </w:r>
      <w:r w:rsidRPr="00514F24">
        <w:rPr>
          <w:snapToGrid w:val="0"/>
          <w:kern w:val="22"/>
        </w:rPr>
        <w:t xml:space="preserve">use. </w:t>
      </w:r>
      <w:r w:rsidR="00514F24" w:rsidRPr="00514F24">
        <w:rPr>
          <w:snapToGrid w:val="0"/>
          <w:kern w:val="22"/>
        </w:rPr>
        <w:t xml:space="preserve">There was no information provided </w:t>
      </w:r>
      <w:r w:rsidRPr="00514F24">
        <w:rPr>
          <w:snapToGrid w:val="0"/>
          <w:kern w:val="22"/>
        </w:rPr>
        <w:t>specifically on the use of community protocols and procedures by users of genetic resources and associated traditional knowledge</w:t>
      </w:r>
      <w:r w:rsidR="00FD5D9B">
        <w:rPr>
          <w:snapToGrid w:val="0"/>
          <w:kern w:val="22"/>
        </w:rPr>
        <w:t>.</w:t>
      </w:r>
      <w:r w:rsidRPr="00514F24">
        <w:rPr>
          <w:snapToGrid w:val="0"/>
          <w:kern w:val="22"/>
        </w:rPr>
        <w:t xml:space="preserve"> </w:t>
      </w:r>
      <w:r w:rsidR="00FD5D9B">
        <w:rPr>
          <w:snapToGrid w:val="0"/>
          <w:kern w:val="22"/>
        </w:rPr>
        <w:t>H</w:t>
      </w:r>
      <w:r w:rsidRPr="00514F24">
        <w:rPr>
          <w:snapToGrid w:val="0"/>
          <w:kern w:val="22"/>
        </w:rPr>
        <w:t xml:space="preserve">owever, some have reported </w:t>
      </w:r>
      <w:r w:rsidR="00514F24" w:rsidRPr="00514F24">
        <w:rPr>
          <w:snapToGrid w:val="0"/>
          <w:kern w:val="22"/>
        </w:rPr>
        <w:t xml:space="preserve">on best practices and lessons learned on how the community protocols </w:t>
      </w:r>
      <w:r w:rsidR="002D0861">
        <w:rPr>
          <w:snapToGrid w:val="0"/>
          <w:kern w:val="22"/>
        </w:rPr>
        <w:t xml:space="preserve">can be </w:t>
      </w:r>
      <w:r w:rsidR="00514F24">
        <w:rPr>
          <w:snapToGrid w:val="0"/>
          <w:kern w:val="22"/>
        </w:rPr>
        <w:t xml:space="preserve">used by indigenous peoples and </w:t>
      </w:r>
      <w:r w:rsidR="00514F24" w:rsidRPr="00514F24">
        <w:rPr>
          <w:snapToGrid w:val="0"/>
          <w:kern w:val="22"/>
        </w:rPr>
        <w:t>local communities and governments.</w:t>
      </w:r>
    </w:p>
    <w:p w:rsidR="009B430D" w:rsidRDefault="009B430D" w:rsidP="009B430D">
      <w:pPr>
        <w:numPr>
          <w:ilvl w:val="0"/>
          <w:numId w:val="9"/>
        </w:numPr>
        <w:pBdr>
          <w:top w:val="nil"/>
          <w:left w:val="nil"/>
          <w:bottom w:val="nil"/>
          <w:right w:val="nil"/>
          <w:between w:val="nil"/>
          <w:bar w:val="nil"/>
        </w:pBdr>
        <w:spacing w:before="120" w:after="120"/>
        <w:rPr>
          <w:snapToGrid w:val="0"/>
          <w:kern w:val="22"/>
        </w:rPr>
      </w:pPr>
      <w:r>
        <w:rPr>
          <w:snapToGrid w:val="0"/>
          <w:kern w:val="22"/>
        </w:rPr>
        <w:t xml:space="preserve">In particular, </w:t>
      </w:r>
      <w:r w:rsidRPr="007771D5">
        <w:rPr>
          <w:snapToGrid w:val="0"/>
          <w:kern w:val="22"/>
        </w:rPr>
        <w:t xml:space="preserve">Natural Justice and the ABS Capacity Development Initiative (with contributions from ONG CESAREN) looked into best practices for </w:t>
      </w:r>
      <w:r w:rsidRPr="00D6019F">
        <w:rPr>
          <w:snapToGrid w:val="0"/>
          <w:kern w:val="22"/>
        </w:rPr>
        <w:t xml:space="preserve">community protocols and referred to how they recommend these protocols be used by different </w:t>
      </w:r>
      <w:r w:rsidR="002D0861">
        <w:rPr>
          <w:snapToGrid w:val="0"/>
          <w:kern w:val="22"/>
        </w:rPr>
        <w:t>actors</w:t>
      </w:r>
      <w:r>
        <w:rPr>
          <w:snapToGrid w:val="0"/>
          <w:kern w:val="22"/>
        </w:rPr>
        <w:t xml:space="preserve">. The following provides a summary of some of the best practices identified and examples on how the community protocols have been used by the </w:t>
      </w:r>
      <w:r w:rsidR="00791978">
        <w:rPr>
          <w:snapToGrid w:val="0"/>
          <w:kern w:val="22"/>
        </w:rPr>
        <w:t>indigenous peoples and local communities</w:t>
      </w:r>
      <w:r>
        <w:rPr>
          <w:snapToGrid w:val="0"/>
          <w:kern w:val="22"/>
        </w:rPr>
        <w:t>.</w:t>
      </w:r>
      <w:r w:rsidRPr="000F51E8">
        <w:rPr>
          <w:rStyle w:val="FootnoteReference"/>
          <w:snapToGrid w:val="0"/>
          <w:kern w:val="22"/>
          <w:sz w:val="22"/>
          <w:u w:val="none"/>
          <w:vertAlign w:val="superscript"/>
        </w:rPr>
        <w:footnoteReference w:id="36"/>
      </w:r>
    </w:p>
    <w:p w:rsidR="009B430D" w:rsidRPr="007771D5" w:rsidRDefault="009B430D" w:rsidP="009B430D">
      <w:pPr>
        <w:numPr>
          <w:ilvl w:val="0"/>
          <w:numId w:val="9"/>
        </w:numPr>
        <w:pBdr>
          <w:top w:val="nil"/>
          <w:left w:val="nil"/>
          <w:bottom w:val="nil"/>
          <w:right w:val="nil"/>
          <w:between w:val="nil"/>
          <w:bar w:val="nil"/>
        </w:pBdr>
        <w:spacing w:before="120" w:after="120"/>
        <w:rPr>
          <w:snapToGrid w:val="0"/>
          <w:kern w:val="22"/>
        </w:rPr>
      </w:pPr>
      <w:r w:rsidRPr="007771D5">
        <w:rPr>
          <w:snapToGrid w:val="0"/>
          <w:kern w:val="22"/>
        </w:rPr>
        <w:t xml:space="preserve">Communities can use protocols in response to a particular challenge or a specific opportunity that arises regarding a community’s genetic resources </w:t>
      </w:r>
      <w:r>
        <w:rPr>
          <w:snapToGrid w:val="0"/>
          <w:kern w:val="22"/>
        </w:rPr>
        <w:t xml:space="preserve">or associated </w:t>
      </w:r>
      <w:r w:rsidRPr="007771D5">
        <w:rPr>
          <w:snapToGrid w:val="0"/>
          <w:kern w:val="22"/>
        </w:rPr>
        <w:t xml:space="preserve">traditional knowledge. For example, the Endorois community, in Kenya, are currently developing a draft community protocol to guide all interactions with outsiders who </w:t>
      </w:r>
      <w:r w:rsidR="0085782A">
        <w:rPr>
          <w:snapToGrid w:val="0"/>
          <w:kern w:val="22"/>
        </w:rPr>
        <w:t>seek</w:t>
      </w:r>
      <w:r w:rsidRPr="007771D5">
        <w:rPr>
          <w:snapToGrid w:val="0"/>
          <w:kern w:val="22"/>
        </w:rPr>
        <w:t xml:space="preserve"> to access their resources or knowledge. Specifically, there is increased interest in the collection, identification and characterization of micro-organisms from Kenya’s national parks, and subsequent commercial use of microbial diversity in the ancestral homeland of the Endorois people. The community was able to articulate their traditional values and practices that ground and guide their ABS decisions.</w:t>
      </w:r>
    </w:p>
    <w:p w:rsidR="009B430D" w:rsidRDefault="009B430D" w:rsidP="008138EB">
      <w:pPr>
        <w:numPr>
          <w:ilvl w:val="0"/>
          <w:numId w:val="9"/>
        </w:numPr>
        <w:pBdr>
          <w:top w:val="nil"/>
          <w:left w:val="nil"/>
          <w:bottom w:val="nil"/>
          <w:right w:val="nil"/>
          <w:between w:val="nil"/>
          <w:bar w:val="nil"/>
        </w:pBdr>
        <w:spacing w:before="120" w:after="120"/>
        <w:rPr>
          <w:snapToGrid w:val="0"/>
          <w:kern w:val="22"/>
        </w:rPr>
      </w:pPr>
      <w:r w:rsidRPr="00801593">
        <w:rPr>
          <w:snapToGrid w:val="0"/>
          <w:kern w:val="22"/>
        </w:rPr>
        <w:t xml:space="preserve">Communities can also use community protocols to help define their values and status and </w:t>
      </w:r>
      <w:r>
        <w:rPr>
          <w:snapToGrid w:val="0"/>
          <w:kern w:val="22"/>
        </w:rPr>
        <w:t>support</w:t>
      </w:r>
      <w:r w:rsidRPr="00801593">
        <w:rPr>
          <w:snapToGrid w:val="0"/>
          <w:kern w:val="22"/>
        </w:rPr>
        <w:t xml:space="preserve"> communicat</w:t>
      </w:r>
      <w:r>
        <w:rPr>
          <w:snapToGrid w:val="0"/>
          <w:kern w:val="22"/>
        </w:rPr>
        <w:t>ion</w:t>
      </w:r>
      <w:r w:rsidRPr="00801593">
        <w:rPr>
          <w:snapToGrid w:val="0"/>
          <w:kern w:val="22"/>
        </w:rPr>
        <w:t xml:space="preserve"> with</w:t>
      </w:r>
      <w:r>
        <w:rPr>
          <w:snapToGrid w:val="0"/>
          <w:kern w:val="22"/>
        </w:rPr>
        <w:t xml:space="preserve"> potential users and</w:t>
      </w:r>
      <w:r w:rsidRPr="00801593">
        <w:rPr>
          <w:snapToGrid w:val="0"/>
          <w:kern w:val="22"/>
        </w:rPr>
        <w:t xml:space="preserve"> national governments. This </w:t>
      </w:r>
      <w:r w:rsidR="0048298D">
        <w:rPr>
          <w:snapToGrid w:val="0"/>
          <w:kern w:val="22"/>
        </w:rPr>
        <w:t>is</w:t>
      </w:r>
      <w:r w:rsidRPr="00801593">
        <w:rPr>
          <w:snapToGrid w:val="0"/>
          <w:kern w:val="22"/>
        </w:rPr>
        <w:t xml:space="preserve"> the case for the </w:t>
      </w:r>
      <w:r w:rsidR="0036561D">
        <w:rPr>
          <w:snapToGrid w:val="0"/>
          <w:kern w:val="22"/>
        </w:rPr>
        <w:t>Degbe Aguinninnou community in Benin.</w:t>
      </w:r>
      <w:r w:rsidR="0048298D">
        <w:rPr>
          <w:snapToGrid w:val="0"/>
          <w:kern w:val="22"/>
        </w:rPr>
        <w:t xml:space="preserve"> They define themselves as </w:t>
      </w:r>
      <w:r w:rsidR="008138EB">
        <w:rPr>
          <w:snapToGrid w:val="0"/>
          <w:kern w:val="22"/>
        </w:rPr>
        <w:t>custodians</w:t>
      </w:r>
      <w:r w:rsidR="0048298D">
        <w:rPr>
          <w:snapToGrid w:val="0"/>
          <w:kern w:val="22"/>
        </w:rPr>
        <w:t xml:space="preserve"> of the sacred Gbevozoun forest. This biodiversity-rich region sharpened their cultural </w:t>
      </w:r>
      <w:r w:rsidR="008138EB">
        <w:rPr>
          <w:snapToGrid w:val="0"/>
          <w:kern w:val="22"/>
        </w:rPr>
        <w:t>heritage</w:t>
      </w:r>
      <w:r w:rsidR="0048298D">
        <w:rPr>
          <w:snapToGrid w:val="0"/>
          <w:kern w:val="22"/>
        </w:rPr>
        <w:t xml:space="preserve">. They are developing a community protocol with the goal of recognizing the Degbe Aguinnonnou’s culture and </w:t>
      </w:r>
      <w:r w:rsidR="008138EB">
        <w:rPr>
          <w:snapToGrid w:val="0"/>
          <w:kern w:val="22"/>
        </w:rPr>
        <w:t xml:space="preserve">traditional knowledge as related to the forest, and their role as protectors. </w:t>
      </w:r>
      <w:r w:rsidR="0036561D">
        <w:rPr>
          <w:snapToGrid w:val="0"/>
          <w:kern w:val="22"/>
        </w:rPr>
        <w:t xml:space="preserve">The development of their community protocol happened in parallel to the development of Benin’s national guidelines. </w:t>
      </w:r>
      <w:r w:rsidR="008138EB">
        <w:rPr>
          <w:snapToGrid w:val="0"/>
          <w:kern w:val="22"/>
        </w:rPr>
        <w:t>As part of their protocol, the community developed a biodiversity registry and community model PIC documents</w:t>
      </w:r>
      <w:r w:rsidRPr="008138EB">
        <w:rPr>
          <w:snapToGrid w:val="0"/>
          <w:kern w:val="22"/>
        </w:rPr>
        <w:t>.</w:t>
      </w:r>
      <w:r w:rsidR="008138EB">
        <w:rPr>
          <w:snapToGrid w:val="0"/>
          <w:kern w:val="22"/>
        </w:rPr>
        <w:t xml:space="preserve"> With the development of tools and experiences </w:t>
      </w:r>
      <w:r w:rsidR="008138EB">
        <w:rPr>
          <w:snapToGrid w:val="0"/>
          <w:kern w:val="22"/>
        </w:rPr>
        <w:lastRenderedPageBreak/>
        <w:t>found in their community protocol, the Degbe Aguinninnou contributed to the development of Benin’s ABS framework.</w:t>
      </w:r>
    </w:p>
    <w:p w:rsidR="00B75439" w:rsidRPr="00B75439" w:rsidRDefault="00FD5D9B" w:rsidP="008138EB">
      <w:pPr>
        <w:numPr>
          <w:ilvl w:val="0"/>
          <w:numId w:val="9"/>
        </w:numPr>
        <w:pBdr>
          <w:top w:val="nil"/>
          <w:left w:val="nil"/>
          <w:bottom w:val="nil"/>
          <w:right w:val="nil"/>
          <w:between w:val="nil"/>
          <w:bar w:val="nil"/>
        </w:pBdr>
        <w:spacing w:before="120" w:after="120"/>
        <w:rPr>
          <w:snapToGrid w:val="0"/>
          <w:kern w:val="22"/>
        </w:rPr>
      </w:pPr>
      <w:r>
        <w:rPr>
          <w:snapToGrid w:val="0"/>
          <w:kern w:val="22"/>
        </w:rPr>
        <w:t>C</w:t>
      </w:r>
      <w:r w:rsidR="008138EB" w:rsidRPr="00B75439">
        <w:rPr>
          <w:snapToGrid w:val="0"/>
          <w:kern w:val="22"/>
        </w:rPr>
        <w:t xml:space="preserve">ommunity protocols can </w:t>
      </w:r>
      <w:r w:rsidR="00B75439" w:rsidRPr="00B75439">
        <w:rPr>
          <w:snapToGrid w:val="0"/>
          <w:kern w:val="22"/>
        </w:rPr>
        <w:t xml:space="preserve">also be used as an opportunity to define community goals and identify the steps in order to achieve these goals. This may lead to parallel developments and value being added to genetic resources. </w:t>
      </w:r>
      <w:r w:rsidR="00026E37">
        <w:rPr>
          <w:snapToGrid w:val="0"/>
          <w:kern w:val="22"/>
        </w:rPr>
        <w:t>This was the case, f</w:t>
      </w:r>
      <w:r w:rsidR="00B75439" w:rsidRPr="00B75439">
        <w:rPr>
          <w:snapToGrid w:val="0"/>
          <w:kern w:val="22"/>
        </w:rPr>
        <w:t>or example, in Madagascar</w:t>
      </w:r>
      <w:r w:rsidR="00026E37">
        <w:rPr>
          <w:snapToGrid w:val="0"/>
          <w:kern w:val="22"/>
        </w:rPr>
        <w:t xml:space="preserve">, regarding </w:t>
      </w:r>
      <w:r w:rsidR="00382CB1">
        <w:rPr>
          <w:snapToGrid w:val="0"/>
          <w:kern w:val="22"/>
        </w:rPr>
        <w:t xml:space="preserve">the example described above for the community protocols developed in </w:t>
      </w:r>
      <w:r w:rsidR="00B75439">
        <w:t>Analavory and</w:t>
      </w:r>
      <w:r w:rsidR="00B75439" w:rsidRPr="00B75439">
        <w:t xml:space="preserve"> </w:t>
      </w:r>
      <w:r w:rsidR="00B75439">
        <w:t xml:space="preserve">Antavolobe. As these local communities were </w:t>
      </w:r>
      <w:r>
        <w:t xml:space="preserve">developing </w:t>
      </w:r>
      <w:r w:rsidR="00B75439">
        <w:t>a community protocol, they also established community seed banks, as well as an investment plan in which they are defining activities to collaborate proactively with users, research institutions and breeders.</w:t>
      </w:r>
      <w:r w:rsidRPr="00FD5D9B">
        <w:rPr>
          <w:snapToGrid w:val="0"/>
          <w:kern w:val="22"/>
        </w:rPr>
        <w:t xml:space="preserve"> </w:t>
      </w:r>
      <w:r>
        <w:rPr>
          <w:snapToGrid w:val="0"/>
          <w:kern w:val="22"/>
        </w:rPr>
        <w:t xml:space="preserve">This is also </w:t>
      </w:r>
      <w:r w:rsidRPr="00801593">
        <w:rPr>
          <w:snapToGrid w:val="0"/>
          <w:kern w:val="22"/>
        </w:rPr>
        <w:t xml:space="preserve">the case for the </w:t>
      </w:r>
      <w:r>
        <w:rPr>
          <w:snapToGrid w:val="0"/>
          <w:kern w:val="22"/>
        </w:rPr>
        <w:t xml:space="preserve">Degbe Aguinninnou community in Benin mentioned above. As part of the process they also documented use of traditional knowledge and identified traditional medicine recipes made of genetic resources from the </w:t>
      </w:r>
      <w:r w:rsidRPr="008138EB">
        <w:rPr>
          <w:snapToGrid w:val="0"/>
          <w:kern w:val="22"/>
        </w:rPr>
        <w:t>sacred</w:t>
      </w:r>
      <w:r>
        <w:rPr>
          <w:snapToGrid w:val="0"/>
          <w:kern w:val="22"/>
        </w:rPr>
        <w:t xml:space="preserve"> forest, 40 of which were selected by a national research institute for further utilisation.</w:t>
      </w:r>
    </w:p>
    <w:p w:rsidR="00E628D5" w:rsidRDefault="00E628D5" w:rsidP="00E628D5">
      <w:pPr>
        <w:pStyle w:val="Heading1"/>
        <w:numPr>
          <w:ilvl w:val="0"/>
          <w:numId w:val="5"/>
        </w:numPr>
        <w:ind w:left="360"/>
      </w:pPr>
      <w:r>
        <w:t xml:space="preserve">Challenges and Lessons Learned </w:t>
      </w:r>
    </w:p>
    <w:p w:rsidR="003254E3" w:rsidRPr="00AE6FC3" w:rsidRDefault="003254E3" w:rsidP="00AE6FC3">
      <w:pPr>
        <w:pStyle w:val="ListParagraph"/>
        <w:numPr>
          <w:ilvl w:val="0"/>
          <w:numId w:val="31"/>
        </w:numPr>
        <w:pBdr>
          <w:top w:val="nil"/>
          <w:left w:val="nil"/>
          <w:bottom w:val="nil"/>
          <w:right w:val="nil"/>
          <w:between w:val="nil"/>
          <w:bar w:val="nil"/>
        </w:pBdr>
        <w:spacing w:before="120" w:after="120"/>
        <w:jc w:val="center"/>
        <w:rPr>
          <w:rFonts w:eastAsia="Calibri"/>
          <w:b/>
          <w:snapToGrid w:val="0"/>
          <w:kern w:val="22"/>
          <w:bdr w:val="none" w:sz="0" w:space="0" w:color="auto" w:frame="1"/>
        </w:rPr>
      </w:pPr>
      <w:r>
        <w:rPr>
          <w:rFonts w:eastAsia="Calibri"/>
          <w:b/>
          <w:snapToGrid w:val="0"/>
          <w:kern w:val="22"/>
          <w:bdr w:val="none" w:sz="0" w:space="0" w:color="auto" w:frame="1"/>
        </w:rPr>
        <w:t>Model contractual clauses, codes of conduct, gu</w:t>
      </w:r>
      <w:r w:rsidR="00606E24">
        <w:rPr>
          <w:rFonts w:eastAsia="Calibri"/>
          <w:b/>
          <w:snapToGrid w:val="0"/>
          <w:kern w:val="22"/>
          <w:bdr w:val="none" w:sz="0" w:space="0" w:color="auto" w:frame="1"/>
        </w:rPr>
        <w:t>idelines, best practices and/or</w:t>
      </w:r>
      <w:r>
        <w:rPr>
          <w:rFonts w:eastAsia="Calibri"/>
          <w:b/>
          <w:snapToGrid w:val="0"/>
          <w:kern w:val="22"/>
          <w:bdr w:val="none" w:sz="0" w:space="0" w:color="auto" w:frame="1"/>
        </w:rPr>
        <w:t xml:space="preserve"> s</w:t>
      </w:r>
      <w:r w:rsidRPr="003254E3">
        <w:rPr>
          <w:rFonts w:eastAsia="Calibri"/>
          <w:b/>
          <w:snapToGrid w:val="0"/>
          <w:kern w:val="22"/>
          <w:bdr w:val="none" w:sz="0" w:space="0" w:color="auto" w:frame="1"/>
        </w:rPr>
        <w:t>tandards</w:t>
      </w:r>
      <w:r w:rsidRPr="000D1AA2">
        <w:rPr>
          <w:rFonts w:eastAsia="Calibri"/>
          <w:b/>
          <w:snapToGrid w:val="0"/>
          <w:kern w:val="22"/>
          <w:bdr w:val="none" w:sz="0" w:space="0" w:color="auto" w:frame="1"/>
        </w:rPr>
        <w:t xml:space="preserve"> </w:t>
      </w:r>
    </w:p>
    <w:p w:rsidR="007E0B88" w:rsidRPr="00AE6FC3" w:rsidRDefault="000634E0" w:rsidP="00E628D5">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rFonts w:eastAsia="Calibri"/>
          <w:snapToGrid w:val="0"/>
          <w:kern w:val="22"/>
          <w:bdr w:val="none" w:sz="0" w:space="0" w:color="auto" w:frame="1"/>
        </w:rPr>
        <w:t>In providing information on the use of Article 19 and 20 tools, s</w:t>
      </w:r>
      <w:r w:rsidR="007E0B88" w:rsidRPr="00AE6FC3">
        <w:rPr>
          <w:rFonts w:eastAsia="Calibri"/>
          <w:snapToGrid w:val="0"/>
          <w:kern w:val="22"/>
          <w:bdr w:val="none" w:sz="0" w:space="0" w:color="auto" w:frame="1"/>
        </w:rPr>
        <w:t>ome organisations</w:t>
      </w:r>
      <w:r w:rsidR="00951B62">
        <w:rPr>
          <w:rFonts w:eastAsia="Calibri"/>
          <w:snapToGrid w:val="0"/>
          <w:kern w:val="22"/>
          <w:bdr w:val="none" w:sz="0" w:space="0" w:color="auto" w:frame="1"/>
        </w:rPr>
        <w:t xml:space="preserve"> </w:t>
      </w:r>
      <w:r w:rsidRPr="00AE6FC3">
        <w:rPr>
          <w:rFonts w:eastAsia="Calibri"/>
          <w:snapToGrid w:val="0"/>
          <w:kern w:val="22"/>
          <w:bdr w:val="none" w:sz="0" w:space="0" w:color="auto" w:frame="1"/>
        </w:rPr>
        <w:t xml:space="preserve">reported on </w:t>
      </w:r>
      <w:r w:rsidR="007E0B88" w:rsidRPr="00AE6FC3">
        <w:rPr>
          <w:rFonts w:eastAsia="Calibri"/>
          <w:snapToGrid w:val="0"/>
          <w:kern w:val="22"/>
          <w:bdr w:val="none" w:sz="0" w:space="0" w:color="auto" w:frame="1"/>
        </w:rPr>
        <w:t>challenges related to implementation of the Protocol or</w:t>
      </w:r>
      <w:r w:rsidR="00CB2FDC">
        <w:rPr>
          <w:rFonts w:eastAsia="Calibri"/>
          <w:snapToGrid w:val="0"/>
          <w:kern w:val="22"/>
          <w:bdr w:val="none" w:sz="0" w:space="0" w:color="auto" w:frame="1"/>
        </w:rPr>
        <w:t xml:space="preserve"> about</w:t>
      </w:r>
      <w:r w:rsidR="007E0B88" w:rsidRPr="00AE6FC3">
        <w:rPr>
          <w:rFonts w:eastAsia="Calibri"/>
          <w:snapToGrid w:val="0"/>
          <w:kern w:val="22"/>
          <w:bdr w:val="none" w:sz="0" w:space="0" w:color="auto" w:frame="1"/>
        </w:rPr>
        <w:t xml:space="preserve"> access</w:t>
      </w:r>
      <w:r w:rsidR="00CB2FDC">
        <w:rPr>
          <w:rFonts w:eastAsia="Calibri"/>
          <w:snapToGrid w:val="0"/>
          <w:kern w:val="22"/>
          <w:bdr w:val="none" w:sz="0" w:space="0" w:color="auto" w:frame="1"/>
        </w:rPr>
        <w:t>ing</w:t>
      </w:r>
      <w:r w:rsidR="007E0B88" w:rsidRPr="00AE6FC3">
        <w:rPr>
          <w:rFonts w:eastAsia="Calibri"/>
          <w:snapToGrid w:val="0"/>
          <w:kern w:val="22"/>
          <w:bdr w:val="none" w:sz="0" w:space="0" w:color="auto" w:frame="1"/>
        </w:rPr>
        <w:t xml:space="preserve"> genetic resources. </w:t>
      </w:r>
    </w:p>
    <w:p w:rsidR="00E628D5" w:rsidRPr="00AE6FC3" w:rsidRDefault="00E628D5" w:rsidP="00E628D5">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0D1AA2">
        <w:rPr>
          <w:rFonts w:eastAsia="Calibri"/>
          <w:snapToGrid w:val="0"/>
          <w:kern w:val="22"/>
          <w:bdr w:val="none" w:sz="0" w:space="0" w:color="auto" w:frame="1"/>
        </w:rPr>
        <w:t xml:space="preserve">Several organizations </w:t>
      </w:r>
      <w:r w:rsidRPr="00AE6FC3">
        <w:rPr>
          <w:rFonts w:eastAsia="Calibri"/>
          <w:snapToGrid w:val="0"/>
          <w:kern w:val="22"/>
          <w:bdr w:val="none" w:sz="0" w:space="0" w:color="auto" w:frame="1"/>
        </w:rPr>
        <w:t>stated they are looking for clear, accurate, complete and easily accessible procedures for complying with</w:t>
      </w:r>
      <w:r w:rsidR="007E0B88" w:rsidRPr="00AE6FC3">
        <w:rPr>
          <w:rFonts w:eastAsia="Calibri"/>
          <w:snapToGrid w:val="0"/>
          <w:kern w:val="22"/>
          <w:bdr w:val="none" w:sz="0" w:space="0" w:color="auto" w:frame="1"/>
        </w:rPr>
        <w:t xml:space="preserve"> national</w:t>
      </w:r>
      <w:r w:rsidRPr="000D1AA2">
        <w:rPr>
          <w:rFonts w:eastAsia="Calibri"/>
          <w:snapToGrid w:val="0"/>
          <w:kern w:val="22"/>
          <w:bdr w:val="none" w:sz="0" w:space="0" w:color="auto" w:frame="1"/>
        </w:rPr>
        <w:t xml:space="preserve"> ABS</w:t>
      </w:r>
      <w:r w:rsidR="007E0B88" w:rsidRPr="00AE6FC3">
        <w:rPr>
          <w:rFonts w:eastAsia="Calibri"/>
          <w:snapToGrid w:val="0"/>
          <w:kern w:val="22"/>
          <w:bdr w:val="none" w:sz="0" w:space="0" w:color="auto" w:frame="1"/>
        </w:rPr>
        <w:t xml:space="preserve"> requirements</w:t>
      </w:r>
      <w:r w:rsidRPr="000D1AA2">
        <w:rPr>
          <w:rFonts w:eastAsia="Calibri"/>
          <w:snapToGrid w:val="0"/>
          <w:kern w:val="22"/>
          <w:bdr w:val="none" w:sz="0" w:space="0" w:color="auto" w:frame="1"/>
        </w:rPr>
        <w:t xml:space="preserve">. </w:t>
      </w:r>
      <w:r w:rsidR="000634E0" w:rsidRPr="00AE6FC3">
        <w:rPr>
          <w:rFonts w:eastAsia="Calibri"/>
          <w:snapToGrid w:val="0"/>
          <w:kern w:val="22"/>
          <w:bdr w:val="none" w:sz="0" w:space="0" w:color="auto" w:frame="1"/>
        </w:rPr>
        <w:t>Also, an organi</w:t>
      </w:r>
      <w:r w:rsidR="009D4331">
        <w:rPr>
          <w:rFonts w:eastAsia="Calibri"/>
          <w:snapToGrid w:val="0"/>
          <w:kern w:val="22"/>
          <w:bdr w:val="none" w:sz="0" w:space="0" w:color="auto" w:frame="1"/>
        </w:rPr>
        <w:t>z</w:t>
      </w:r>
      <w:r w:rsidR="000634E0" w:rsidRPr="00AE6FC3">
        <w:rPr>
          <w:rFonts w:eastAsia="Calibri"/>
          <w:snapToGrid w:val="0"/>
          <w:kern w:val="22"/>
          <w:bdr w:val="none" w:sz="0" w:space="0" w:color="auto" w:frame="1"/>
        </w:rPr>
        <w:t xml:space="preserve">ation </w:t>
      </w:r>
      <w:r w:rsidRPr="000D1AA2">
        <w:rPr>
          <w:rFonts w:eastAsia="Calibri"/>
          <w:snapToGrid w:val="0"/>
          <w:kern w:val="22"/>
          <w:bdr w:val="none" w:sz="0" w:space="0" w:color="auto" w:frame="1"/>
        </w:rPr>
        <w:t>called for realistic requirements that would not provide a burden for activities that do not necessarily lead to benefits, such as</w:t>
      </w:r>
      <w:r w:rsidR="00AE1C58" w:rsidRPr="00AE6FC3">
        <w:rPr>
          <w:rFonts w:eastAsia="Calibri"/>
          <w:snapToGrid w:val="0"/>
          <w:kern w:val="22"/>
          <w:bdr w:val="none" w:sz="0" w:space="0" w:color="auto" w:frame="1"/>
        </w:rPr>
        <w:t xml:space="preserve"> activities carried out at the</w:t>
      </w:r>
      <w:r w:rsidRPr="00AE6FC3">
        <w:rPr>
          <w:rFonts w:eastAsia="Calibri"/>
          <w:snapToGrid w:val="0"/>
          <w:kern w:val="22"/>
          <w:bdr w:val="none" w:sz="0" w:space="0" w:color="auto" w:frame="1"/>
        </w:rPr>
        <w:t xml:space="preserve"> initial stage</w:t>
      </w:r>
      <w:r w:rsidR="00AE1C58" w:rsidRPr="00AE6FC3">
        <w:rPr>
          <w:rFonts w:eastAsia="Calibri"/>
          <w:snapToGrid w:val="0"/>
          <w:kern w:val="22"/>
          <w:bdr w:val="none" w:sz="0" w:space="0" w:color="auto" w:frame="1"/>
        </w:rPr>
        <w:t>s of</w:t>
      </w:r>
      <w:r w:rsidRPr="00AE6FC3">
        <w:rPr>
          <w:rFonts w:eastAsia="Calibri"/>
          <w:snapToGrid w:val="0"/>
          <w:kern w:val="22"/>
          <w:bdr w:val="none" w:sz="0" w:space="0" w:color="auto" w:frame="1"/>
        </w:rPr>
        <w:t xml:space="preserve"> research and development.</w:t>
      </w:r>
      <w:r w:rsidR="000D1AA2" w:rsidRPr="000D1AA2" w:rsidDel="000D1AA2">
        <w:rPr>
          <w:rFonts w:eastAsia="Calibri"/>
          <w:snapToGrid w:val="0"/>
          <w:kern w:val="22"/>
          <w:bdr w:val="none" w:sz="0" w:space="0" w:color="auto" w:frame="1"/>
        </w:rPr>
        <w:t xml:space="preserve"> </w:t>
      </w:r>
    </w:p>
    <w:p w:rsidR="007E0B88" w:rsidRPr="00AE6FC3" w:rsidRDefault="000634E0" w:rsidP="000D1AA2">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snapToGrid w:val="0"/>
          <w:kern w:val="22"/>
        </w:rPr>
        <w:t>An organi</w:t>
      </w:r>
      <w:r w:rsidR="00F05420">
        <w:rPr>
          <w:snapToGrid w:val="0"/>
          <w:kern w:val="22"/>
        </w:rPr>
        <w:t>z</w:t>
      </w:r>
      <w:r w:rsidRPr="00AE6FC3">
        <w:rPr>
          <w:snapToGrid w:val="0"/>
          <w:kern w:val="22"/>
        </w:rPr>
        <w:t xml:space="preserve">ation </w:t>
      </w:r>
      <w:r w:rsidR="00606E24">
        <w:rPr>
          <w:snapToGrid w:val="0"/>
          <w:kern w:val="22"/>
        </w:rPr>
        <w:t>observed</w:t>
      </w:r>
      <w:r w:rsidR="00E628D5" w:rsidRPr="00AE6FC3">
        <w:rPr>
          <w:snapToGrid w:val="0"/>
          <w:kern w:val="22"/>
        </w:rPr>
        <w:t xml:space="preserve"> that even if there are model clauses or codes of conduct available, </w:t>
      </w:r>
      <w:r w:rsidR="007E0B88" w:rsidRPr="00AE6FC3">
        <w:rPr>
          <w:snapToGrid w:val="0"/>
          <w:kern w:val="22"/>
        </w:rPr>
        <w:t>those represent stakeholders interpretations of what is needed and not necessarily what is required by the provider country.</w:t>
      </w:r>
    </w:p>
    <w:p w:rsidR="003D0C81" w:rsidRPr="00AE6FC3" w:rsidRDefault="003D0C81" w:rsidP="000D1AA2">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rFonts w:eastAsia="Calibri"/>
          <w:snapToGrid w:val="0"/>
          <w:kern w:val="22"/>
          <w:bdr w:val="none" w:sz="0" w:space="0" w:color="auto" w:frame="1"/>
        </w:rPr>
        <w:t>Among other tools, the European Seeds Organisation (ESA) ha</w:t>
      </w:r>
      <w:r w:rsidR="00026E37">
        <w:rPr>
          <w:rFonts w:eastAsia="Calibri"/>
          <w:snapToGrid w:val="0"/>
          <w:kern w:val="22"/>
          <w:bdr w:val="none" w:sz="0" w:space="0" w:color="auto" w:frame="1"/>
        </w:rPr>
        <w:t>s</w:t>
      </w:r>
      <w:r w:rsidRPr="00AE6FC3">
        <w:rPr>
          <w:rFonts w:eastAsia="Calibri"/>
          <w:snapToGrid w:val="0"/>
          <w:kern w:val="22"/>
          <w:bdr w:val="none" w:sz="0" w:space="0" w:color="auto" w:frame="1"/>
        </w:rPr>
        <w:t xml:space="preserve"> developed an </w:t>
      </w:r>
      <w:r w:rsidR="00606E24">
        <w:rPr>
          <w:rFonts w:eastAsia="Calibri"/>
          <w:snapToGrid w:val="0"/>
          <w:kern w:val="22"/>
          <w:bdr w:val="none" w:sz="0" w:space="0" w:color="auto" w:frame="1"/>
        </w:rPr>
        <w:t xml:space="preserve">interactive tool </w:t>
      </w:r>
      <w:r w:rsidR="00026E37">
        <w:rPr>
          <w:rFonts w:eastAsia="Calibri"/>
          <w:snapToGrid w:val="0"/>
          <w:kern w:val="22"/>
          <w:bdr w:val="none" w:sz="0" w:space="0" w:color="auto" w:frame="1"/>
        </w:rPr>
        <w:t>for</w:t>
      </w:r>
      <w:r w:rsidRPr="00AE6FC3">
        <w:rPr>
          <w:rFonts w:eastAsia="Calibri"/>
          <w:snapToGrid w:val="0"/>
          <w:kern w:val="22"/>
          <w:bdr w:val="none" w:sz="0" w:space="0" w:color="auto" w:frame="1"/>
        </w:rPr>
        <w:t xml:space="preserve"> users from the plant breeding sector to understand whether or not their genetic resource and activities fall under the scope of the EU ABS regulation, and if yes, what obligations they have to comply with.</w:t>
      </w:r>
    </w:p>
    <w:p w:rsidR="009B430D" w:rsidRPr="00AE6FC3" w:rsidRDefault="00C35770" w:rsidP="00AE6FC3">
      <w:pPr>
        <w:pStyle w:val="ListParagraph"/>
        <w:numPr>
          <w:ilvl w:val="0"/>
          <w:numId w:val="31"/>
        </w:numPr>
        <w:pBdr>
          <w:top w:val="nil"/>
          <w:left w:val="nil"/>
          <w:bottom w:val="nil"/>
          <w:right w:val="nil"/>
          <w:between w:val="nil"/>
          <w:bar w:val="nil"/>
        </w:pBdr>
        <w:spacing w:before="120" w:after="120"/>
        <w:rPr>
          <w:rFonts w:eastAsia="Calibri"/>
          <w:b/>
          <w:snapToGrid w:val="0"/>
          <w:kern w:val="22"/>
          <w:bdr w:val="none" w:sz="0" w:space="0" w:color="auto" w:frame="1"/>
        </w:rPr>
      </w:pPr>
      <w:r>
        <w:rPr>
          <w:rFonts w:eastAsia="Calibri"/>
          <w:b/>
          <w:snapToGrid w:val="0"/>
          <w:kern w:val="22"/>
          <w:bdr w:val="none" w:sz="0" w:space="0" w:color="auto" w:frame="1"/>
        </w:rPr>
        <w:t>Indigenous peoples and local communities’ customary laws, community p</w:t>
      </w:r>
      <w:r w:rsidRPr="00C35770">
        <w:rPr>
          <w:rFonts w:eastAsia="Calibri"/>
          <w:b/>
          <w:snapToGrid w:val="0"/>
          <w:kern w:val="22"/>
          <w:bdr w:val="none" w:sz="0" w:space="0" w:color="auto" w:frame="1"/>
        </w:rPr>
        <w:t>rotocol</w:t>
      </w:r>
      <w:r>
        <w:rPr>
          <w:rFonts w:eastAsia="Calibri"/>
          <w:b/>
          <w:snapToGrid w:val="0"/>
          <w:kern w:val="22"/>
          <w:bdr w:val="none" w:sz="0" w:space="0" w:color="auto" w:frame="1"/>
        </w:rPr>
        <w:t>s and p</w:t>
      </w:r>
      <w:r w:rsidRPr="00C35770">
        <w:rPr>
          <w:rFonts w:eastAsia="Calibri"/>
          <w:b/>
          <w:snapToGrid w:val="0"/>
          <w:kern w:val="22"/>
          <w:bdr w:val="none" w:sz="0" w:space="0" w:color="auto" w:frame="1"/>
        </w:rPr>
        <w:t>rocedures</w:t>
      </w:r>
    </w:p>
    <w:p w:rsidR="009B430D" w:rsidRPr="00243897" w:rsidRDefault="009B430D" w:rsidP="009B430D">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Pr>
          <w:rFonts w:eastAsia="Calibri"/>
          <w:snapToGrid w:val="0"/>
          <w:kern w:val="22"/>
          <w:bdr w:val="none" w:sz="0" w:space="0" w:color="auto" w:frame="1"/>
        </w:rPr>
        <w:t xml:space="preserve">Several challenges </w:t>
      </w:r>
      <w:r w:rsidR="00DB6A04">
        <w:rPr>
          <w:rFonts w:eastAsia="Calibri"/>
          <w:snapToGrid w:val="0"/>
          <w:kern w:val="22"/>
          <w:bdr w:val="none" w:sz="0" w:space="0" w:color="auto" w:frame="1"/>
        </w:rPr>
        <w:t xml:space="preserve">and lessons </w:t>
      </w:r>
      <w:r w:rsidR="000D1AA2">
        <w:rPr>
          <w:rFonts w:eastAsia="Calibri"/>
          <w:snapToGrid w:val="0"/>
          <w:kern w:val="22"/>
          <w:bdr w:val="none" w:sz="0" w:space="0" w:color="auto" w:frame="1"/>
        </w:rPr>
        <w:t xml:space="preserve">learned </w:t>
      </w:r>
      <w:r>
        <w:rPr>
          <w:rFonts w:eastAsia="Calibri"/>
          <w:snapToGrid w:val="0"/>
          <w:kern w:val="22"/>
          <w:bdr w:val="none" w:sz="0" w:space="0" w:color="auto" w:frame="1"/>
        </w:rPr>
        <w:t xml:space="preserve">were identified by Parties and organizations. </w:t>
      </w:r>
    </w:p>
    <w:p w:rsidR="002D0861" w:rsidRPr="00AE6FC3" w:rsidRDefault="009B430D"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rFonts w:eastAsia="Calibri"/>
          <w:snapToGrid w:val="0"/>
          <w:kern w:val="22"/>
          <w:bdr w:val="none" w:sz="0" w:space="0" w:color="auto" w:frame="1"/>
        </w:rPr>
        <w:t>A number of countries indicated that there was a need to raise the awareness and capacity of traditional knowledge holders, and it was noted that the lack of appropriate tools and the limited access to information was an added challenge.</w:t>
      </w:r>
      <w:r w:rsidR="00FB41A5" w:rsidRPr="00AE6FC3">
        <w:rPr>
          <w:rFonts w:eastAsia="Calibri"/>
          <w:snapToGrid w:val="0"/>
          <w:kern w:val="22"/>
          <w:bdr w:val="none" w:sz="0" w:space="0" w:color="auto" w:frame="1"/>
        </w:rPr>
        <w:t xml:space="preserve"> </w:t>
      </w:r>
    </w:p>
    <w:p w:rsidR="00951B62" w:rsidRPr="00AE6FC3" w:rsidRDefault="009B430D" w:rsidP="00AE6FC3">
      <w:pPr>
        <w:numPr>
          <w:ilvl w:val="0"/>
          <w:numId w:val="9"/>
        </w:numPr>
        <w:pBdr>
          <w:top w:val="nil"/>
          <w:left w:val="nil"/>
          <w:bottom w:val="nil"/>
          <w:right w:val="nil"/>
          <w:between w:val="nil"/>
          <w:bar w:val="nil"/>
        </w:pBdr>
        <w:spacing w:before="120" w:after="120"/>
        <w:rPr>
          <w:rFonts w:eastAsia="Calibri"/>
          <w:snapToGrid w:val="0"/>
          <w:kern w:val="22"/>
          <w:bdr w:val="none" w:sz="0" w:space="0" w:color="auto" w:frame="1"/>
        </w:rPr>
      </w:pPr>
      <w:r w:rsidRPr="00AE6FC3">
        <w:rPr>
          <w:rFonts w:eastAsia="Calibri"/>
          <w:snapToGrid w:val="0"/>
          <w:kern w:val="22"/>
          <w:bdr w:val="none" w:sz="0" w:space="0" w:color="auto" w:frame="1"/>
        </w:rPr>
        <w:t>Some countries and organizations reported difficulties when identifying the different groups of indigenous peoples and local communities, understanding the way they are organi</w:t>
      </w:r>
      <w:r w:rsidR="00F05420">
        <w:rPr>
          <w:rFonts w:eastAsia="Calibri"/>
          <w:snapToGrid w:val="0"/>
          <w:kern w:val="22"/>
          <w:bdr w:val="none" w:sz="0" w:space="0" w:color="auto" w:frame="1"/>
        </w:rPr>
        <w:t>z</w:t>
      </w:r>
      <w:r w:rsidRPr="00AE6FC3">
        <w:rPr>
          <w:rFonts w:eastAsia="Calibri"/>
          <w:snapToGrid w:val="0"/>
          <w:kern w:val="22"/>
          <w:bdr w:val="none" w:sz="0" w:space="0" w:color="auto" w:frame="1"/>
        </w:rPr>
        <w:t xml:space="preserve">ed, and being able to link traditional knowledge with the holder/s of such knowledge. This is particularly true for resources found on a territory </w:t>
      </w:r>
      <w:r w:rsidR="00026E37">
        <w:rPr>
          <w:rFonts w:eastAsia="Calibri"/>
          <w:snapToGrid w:val="0"/>
          <w:kern w:val="22"/>
          <w:bdr w:val="none" w:sz="0" w:space="0" w:color="auto" w:frame="1"/>
        </w:rPr>
        <w:t>where</w:t>
      </w:r>
      <w:r w:rsidRPr="00AE6FC3">
        <w:rPr>
          <w:rFonts w:eastAsia="Calibri"/>
          <w:snapToGrid w:val="0"/>
          <w:kern w:val="22"/>
          <w:bdr w:val="none" w:sz="0" w:space="0" w:color="auto" w:frame="1"/>
        </w:rPr>
        <w:t xml:space="preserve"> various communities</w:t>
      </w:r>
      <w:r w:rsidR="00026E37">
        <w:rPr>
          <w:rFonts w:eastAsia="Calibri"/>
          <w:snapToGrid w:val="0"/>
          <w:kern w:val="22"/>
          <w:bdr w:val="none" w:sz="0" w:space="0" w:color="auto" w:frame="1"/>
        </w:rPr>
        <w:t xml:space="preserve"> are found</w:t>
      </w:r>
      <w:r w:rsidRPr="00AE6FC3">
        <w:rPr>
          <w:rFonts w:eastAsia="Calibri"/>
          <w:snapToGrid w:val="0"/>
          <w:kern w:val="22"/>
          <w:bdr w:val="none" w:sz="0" w:space="0" w:color="auto" w:frame="1"/>
        </w:rPr>
        <w:t>. In these cases</w:t>
      </w:r>
      <w:r w:rsidR="009D4331">
        <w:rPr>
          <w:rFonts w:eastAsia="Calibri"/>
          <w:snapToGrid w:val="0"/>
          <w:kern w:val="22"/>
          <w:bdr w:val="none" w:sz="0" w:space="0" w:color="auto" w:frame="1"/>
        </w:rPr>
        <w:t>,</w:t>
      </w:r>
      <w:r w:rsidRPr="00AE6FC3">
        <w:rPr>
          <w:rFonts w:eastAsia="Calibri"/>
          <w:snapToGrid w:val="0"/>
          <w:kern w:val="22"/>
          <w:bdr w:val="none" w:sz="0" w:space="0" w:color="auto" w:frame="1"/>
        </w:rPr>
        <w:t xml:space="preserve"> these communities have to find a way to work together in order to establish a protocol. </w:t>
      </w:r>
      <w:r w:rsidR="00D43C47" w:rsidRPr="00AE6FC3">
        <w:rPr>
          <w:rFonts w:eastAsia="Calibri"/>
          <w:snapToGrid w:val="0"/>
          <w:kern w:val="22"/>
          <w:bdr w:val="none" w:sz="0" w:space="0" w:color="auto" w:frame="1"/>
        </w:rPr>
        <w:t xml:space="preserve">Others identified the importance of clarifying who and what comprises a ‘community’. The important lesson is that a community must be self-identified and will often vary depending on the circumstance. For instance, </w:t>
      </w:r>
      <w:r w:rsidR="00026E37">
        <w:rPr>
          <w:rFonts w:eastAsia="Calibri"/>
          <w:snapToGrid w:val="0"/>
          <w:kern w:val="22"/>
          <w:bdr w:val="none" w:sz="0" w:space="0" w:color="auto" w:frame="1"/>
        </w:rPr>
        <w:t>a</w:t>
      </w:r>
      <w:r w:rsidR="00D43C47" w:rsidRPr="00AE6FC3">
        <w:rPr>
          <w:rFonts w:eastAsia="Calibri"/>
          <w:snapToGrid w:val="0"/>
          <w:kern w:val="22"/>
          <w:bdr w:val="none" w:sz="0" w:space="0" w:color="auto" w:frame="1"/>
        </w:rPr>
        <w:t xml:space="preserve"> protocol may </w:t>
      </w:r>
      <w:r w:rsidR="00026E37">
        <w:rPr>
          <w:rFonts w:eastAsia="Calibri"/>
          <w:snapToGrid w:val="0"/>
          <w:kern w:val="22"/>
          <w:bdr w:val="none" w:sz="0" w:space="0" w:color="auto" w:frame="1"/>
        </w:rPr>
        <w:t>be developed by a</w:t>
      </w:r>
      <w:r w:rsidR="00D43C47" w:rsidRPr="00AE6FC3">
        <w:rPr>
          <w:rFonts w:eastAsia="Calibri"/>
          <w:snapToGrid w:val="0"/>
          <w:kern w:val="22"/>
          <w:bdr w:val="none" w:sz="0" w:space="0" w:color="auto" w:frame="1"/>
        </w:rPr>
        <w:t xml:space="preserve"> community of healers, </w:t>
      </w:r>
      <w:r w:rsidR="00026E37">
        <w:rPr>
          <w:rFonts w:eastAsia="Calibri"/>
          <w:snapToGrid w:val="0"/>
          <w:kern w:val="22"/>
          <w:bdr w:val="none" w:sz="0" w:space="0" w:color="auto" w:frame="1"/>
        </w:rPr>
        <w:t>or it may be developed by</w:t>
      </w:r>
      <w:r w:rsidR="00D43C47" w:rsidRPr="00AE6FC3">
        <w:rPr>
          <w:rFonts w:eastAsia="Calibri"/>
          <w:snapToGrid w:val="0"/>
          <w:kern w:val="22"/>
          <w:bdr w:val="none" w:sz="0" w:space="0" w:color="auto" w:frame="1"/>
        </w:rPr>
        <w:t xml:space="preserve"> several communities confronted by a common threat.</w:t>
      </w:r>
    </w:p>
    <w:p w:rsidR="00E64D33" w:rsidRPr="00E64D33" w:rsidRDefault="00F8282B" w:rsidP="00AE6FC3">
      <w:pPr>
        <w:pStyle w:val="Para1"/>
        <w:numPr>
          <w:ilvl w:val="0"/>
          <w:numId w:val="9"/>
        </w:numPr>
      </w:pPr>
      <w:r w:rsidRPr="00AE6FC3">
        <w:rPr>
          <w:rFonts w:eastAsia="Calibri"/>
          <w:bdr w:val="none" w:sz="0" w:space="0" w:color="auto" w:frame="1"/>
        </w:rPr>
        <w:t xml:space="preserve">In terms of lessons learned, </w:t>
      </w:r>
      <w:r w:rsidR="002D0861" w:rsidRPr="002D0861">
        <w:rPr>
          <w:rFonts w:eastAsia="Calibri"/>
          <w:bdr w:val="none" w:sz="0" w:space="0" w:color="auto" w:frame="1"/>
        </w:rPr>
        <w:t>Natural Justice and the ABS Capacity Development Initiative (with contributions from ONG CESAREN)</w:t>
      </w:r>
      <w:r w:rsidR="002D0861">
        <w:rPr>
          <w:rFonts w:eastAsia="Calibri"/>
          <w:bdr w:val="none" w:sz="0" w:space="0" w:color="auto" w:frame="1"/>
        </w:rPr>
        <w:t xml:space="preserve">, in their submission </w:t>
      </w:r>
      <w:r w:rsidR="00951B62" w:rsidRPr="00AE6FC3">
        <w:rPr>
          <w:rFonts w:eastAsia="Calibri"/>
          <w:bdr w:val="none" w:sz="0" w:space="0" w:color="auto" w:frame="1"/>
        </w:rPr>
        <w:t xml:space="preserve">provided a wealth of information on experiences and lessons learned </w:t>
      </w:r>
      <w:r w:rsidR="00951B62" w:rsidRPr="00AE6FC3">
        <w:rPr>
          <w:rFonts w:eastAsia="Calibri"/>
          <w:szCs w:val="24"/>
          <w:bdr w:val="none" w:sz="0" w:space="0" w:color="auto" w:frame="1"/>
        </w:rPr>
        <w:t>from</w:t>
      </w:r>
      <w:r w:rsidR="00951B62" w:rsidRPr="00AE6FC3">
        <w:rPr>
          <w:rFonts w:eastAsia="Calibri"/>
          <w:bdr w:val="none" w:sz="0" w:space="0" w:color="auto" w:frame="1"/>
        </w:rPr>
        <w:t xml:space="preserve"> the development and implementation of community protocols and procedures on the following: (a) entry point and focus; (b) process; (d) outside support and community empowerment; (e) role of </w:t>
      </w:r>
      <w:r w:rsidR="00951B62" w:rsidRPr="00AE6FC3">
        <w:rPr>
          <w:rFonts w:eastAsia="Calibri"/>
          <w:szCs w:val="24"/>
          <w:bdr w:val="none" w:sz="0" w:space="0" w:color="auto" w:frame="1"/>
        </w:rPr>
        <w:t>government</w:t>
      </w:r>
      <w:r w:rsidR="00951B62" w:rsidRPr="00AE6FC3">
        <w:rPr>
          <w:rFonts w:eastAsia="Calibri"/>
          <w:bdr w:val="none" w:sz="0" w:space="0" w:color="auto" w:frame="1"/>
        </w:rPr>
        <w:t xml:space="preserve">; (f) links to national ABS frameworks and legal recognition of community protocol; (g) </w:t>
      </w:r>
      <w:r w:rsidR="00951B62" w:rsidRPr="00AE6FC3">
        <w:rPr>
          <w:rFonts w:eastAsia="Calibri"/>
          <w:bdr w:val="none" w:sz="0" w:space="0" w:color="auto" w:frame="1"/>
        </w:rPr>
        <w:lastRenderedPageBreak/>
        <w:t>timeframe of the community process; (i) shared resources and/or traditional knowledge; and (j) need for outside su</w:t>
      </w:r>
      <w:r w:rsidR="00606E24">
        <w:rPr>
          <w:rFonts w:eastAsia="Calibri"/>
          <w:bdr w:val="none" w:sz="0" w:space="0" w:color="auto" w:frame="1"/>
        </w:rPr>
        <w:t>pport and funding.</w:t>
      </w:r>
    </w:p>
    <w:p w:rsidR="0082503B" w:rsidRPr="00D32B2B" w:rsidRDefault="002B35C7" w:rsidP="00FF7A15">
      <w:pPr>
        <w:pStyle w:val="Heading1"/>
        <w:numPr>
          <w:ilvl w:val="0"/>
          <w:numId w:val="5"/>
        </w:numPr>
      </w:pPr>
      <w:r w:rsidRPr="00A739F3">
        <w:t>Conclusions</w:t>
      </w:r>
      <w:r w:rsidR="00461D7C">
        <w:t xml:space="preserve"> </w:t>
      </w:r>
    </w:p>
    <w:p w:rsidR="00C2041C" w:rsidRPr="00AE6FC3" w:rsidRDefault="00C2041C" w:rsidP="00AE6FC3">
      <w:pPr>
        <w:pStyle w:val="Para1"/>
        <w:numPr>
          <w:ilvl w:val="0"/>
          <w:numId w:val="9"/>
        </w:numPr>
        <w:rPr>
          <w:rFonts w:eastAsia="Calibri"/>
          <w:bdr w:val="none" w:sz="0" w:space="0" w:color="auto" w:frame="1"/>
        </w:rPr>
      </w:pPr>
      <w:r w:rsidRPr="00AE6FC3">
        <w:rPr>
          <w:rFonts w:eastAsia="Calibri"/>
          <w:kern w:val="22"/>
          <w:bdr w:val="none" w:sz="0" w:space="0" w:color="auto" w:frame="1"/>
        </w:rPr>
        <w:t xml:space="preserve">A wide </w:t>
      </w:r>
      <w:r w:rsidRPr="00AE6FC3">
        <w:rPr>
          <w:rFonts w:eastAsia="Calibri"/>
          <w:bdr w:val="none" w:sz="0" w:space="0" w:color="auto" w:frame="1"/>
        </w:rPr>
        <w:t xml:space="preserve">range of model contractual clauses, codes of conduct, guidelines, best practices and standards have been developed both by </w:t>
      </w:r>
      <w:r w:rsidR="00606E24">
        <w:rPr>
          <w:rFonts w:eastAsia="Calibri"/>
          <w:bdr w:val="none" w:sz="0" w:space="0" w:color="auto" w:frame="1"/>
        </w:rPr>
        <w:t>governments and organizations.</w:t>
      </w:r>
    </w:p>
    <w:p w:rsidR="00C2041C" w:rsidRPr="00AE6FC3" w:rsidRDefault="00C2041C" w:rsidP="00AE6FC3">
      <w:pPr>
        <w:pStyle w:val="Para1"/>
        <w:numPr>
          <w:ilvl w:val="0"/>
          <w:numId w:val="9"/>
        </w:numPr>
        <w:rPr>
          <w:rFonts w:eastAsia="Calibri"/>
          <w:bdr w:val="none" w:sz="0" w:space="0" w:color="auto" w:frame="1"/>
        </w:rPr>
      </w:pPr>
      <w:r w:rsidRPr="00AE6FC3">
        <w:rPr>
          <w:rFonts w:eastAsia="Calibri"/>
          <w:bdr w:val="none" w:sz="0" w:space="0" w:color="auto" w:frame="1"/>
        </w:rPr>
        <w:t>Around half of the model contractual clauses and 20% of the Article 20 tools have been developed by governments and regional organi</w:t>
      </w:r>
      <w:r w:rsidR="00F05420">
        <w:rPr>
          <w:rFonts w:eastAsia="Calibri"/>
          <w:bdr w:val="none" w:sz="0" w:space="0" w:color="auto" w:frame="1"/>
        </w:rPr>
        <w:t>z</w:t>
      </w:r>
      <w:r w:rsidRPr="00AE6FC3">
        <w:rPr>
          <w:rFonts w:eastAsia="Calibri"/>
          <w:bdr w:val="none" w:sz="0" w:space="0" w:color="auto" w:frame="1"/>
        </w:rPr>
        <w:t xml:space="preserve">ations to support implementation of national or regional ABS frameworks. Tools developed to support the implementation of ABS national frameworks should be made available as part of the country profiles in the ABS Clearing-House. In this regard, work is underway to develop a separate common format to submit model contractual clauses developed by Parties as part of their framework as a national record in the ABS Clearing-House. </w:t>
      </w:r>
    </w:p>
    <w:p w:rsidR="00C2041C" w:rsidRPr="00AE6FC3" w:rsidRDefault="00C2041C" w:rsidP="00AE6FC3">
      <w:pPr>
        <w:pStyle w:val="Para1"/>
        <w:numPr>
          <w:ilvl w:val="0"/>
          <w:numId w:val="9"/>
        </w:numPr>
        <w:rPr>
          <w:rFonts w:eastAsia="Calibri"/>
          <w:bdr w:val="none" w:sz="0" w:space="0" w:color="auto" w:frame="1"/>
        </w:rPr>
      </w:pPr>
      <w:r w:rsidRPr="00AE6FC3">
        <w:rPr>
          <w:rFonts w:eastAsia="Calibri"/>
          <w:bdr w:val="none" w:sz="0" w:space="0" w:color="auto" w:frame="1"/>
        </w:rPr>
        <w:t>User organi</w:t>
      </w:r>
      <w:r w:rsidR="00F05420">
        <w:rPr>
          <w:rFonts w:eastAsia="Calibri"/>
          <w:bdr w:val="none" w:sz="0" w:space="0" w:color="auto" w:frame="1"/>
        </w:rPr>
        <w:t>z</w:t>
      </w:r>
      <w:r w:rsidRPr="00AE6FC3">
        <w:rPr>
          <w:rFonts w:eastAsia="Calibri"/>
          <w:bdr w:val="none" w:sz="0" w:space="0" w:color="auto" w:frame="1"/>
        </w:rPr>
        <w:t>ations and networks play an important role in addressing the needs of their members by developing tools that can bring clarity on how ABS can be incorporated in their practice and assisting their member organi</w:t>
      </w:r>
      <w:r w:rsidR="009D4331">
        <w:rPr>
          <w:rFonts w:eastAsia="Calibri"/>
          <w:bdr w:val="none" w:sz="0" w:space="0" w:color="auto" w:frame="1"/>
        </w:rPr>
        <w:t>z</w:t>
      </w:r>
      <w:r w:rsidRPr="00AE6FC3">
        <w:rPr>
          <w:rFonts w:eastAsia="Calibri"/>
          <w:bdr w:val="none" w:sz="0" w:space="0" w:color="auto" w:frame="1"/>
        </w:rPr>
        <w:t>ations to comply with ABS requirements. Many organi</w:t>
      </w:r>
      <w:r w:rsidR="009D4331">
        <w:rPr>
          <w:rFonts w:eastAsia="Calibri"/>
          <w:bdr w:val="none" w:sz="0" w:space="0" w:color="auto" w:frame="1"/>
        </w:rPr>
        <w:t>z</w:t>
      </w:r>
      <w:r w:rsidRPr="00AE6FC3">
        <w:rPr>
          <w:rFonts w:eastAsia="Calibri"/>
          <w:bdr w:val="none" w:sz="0" w:space="0" w:color="auto" w:frame="1"/>
        </w:rPr>
        <w:t>ations have developed material transfer agreements (MTA) incorporating ABS requirements to transfer and exchange genetic resources.</w:t>
      </w:r>
    </w:p>
    <w:p w:rsidR="00C2041C" w:rsidRPr="00AE6FC3" w:rsidRDefault="00C2041C" w:rsidP="00AE6FC3">
      <w:pPr>
        <w:pStyle w:val="Para1"/>
        <w:numPr>
          <w:ilvl w:val="0"/>
          <w:numId w:val="9"/>
        </w:numPr>
        <w:rPr>
          <w:rFonts w:eastAsia="Calibri"/>
          <w:bdr w:val="none" w:sz="0" w:space="0" w:color="auto" w:frame="1"/>
        </w:rPr>
      </w:pPr>
      <w:r w:rsidRPr="00AE6FC3">
        <w:rPr>
          <w:rFonts w:eastAsia="Calibri"/>
          <w:bdr w:val="none" w:sz="0" w:space="0" w:color="auto" w:frame="1"/>
        </w:rPr>
        <w:t>Sharing Article 19 and 20 tools through the ABS Clearing-House helps other organi</w:t>
      </w:r>
      <w:r w:rsidR="00F05420">
        <w:rPr>
          <w:rFonts w:eastAsia="Calibri"/>
          <w:bdr w:val="none" w:sz="0" w:space="0" w:color="auto" w:frame="1"/>
        </w:rPr>
        <w:t>z</w:t>
      </w:r>
      <w:r w:rsidRPr="00AE6FC3">
        <w:rPr>
          <w:rFonts w:eastAsia="Calibri"/>
          <w:bdr w:val="none" w:sz="0" w:space="0" w:color="auto" w:frame="1"/>
        </w:rPr>
        <w:t>ations to develop similar documents adapted to their circumstances as well as providing guidance to users of genetic resources and associated traditional knowledge that may not be aware of those tools and that want to adopt best practices for their own work.</w:t>
      </w:r>
    </w:p>
    <w:p w:rsidR="00C2041C" w:rsidRPr="00AE6FC3" w:rsidRDefault="00C2041C" w:rsidP="00AE6FC3">
      <w:pPr>
        <w:pStyle w:val="Para1"/>
        <w:numPr>
          <w:ilvl w:val="0"/>
          <w:numId w:val="9"/>
        </w:numPr>
        <w:rPr>
          <w:rFonts w:eastAsia="Calibri"/>
          <w:bdr w:val="none" w:sz="0" w:space="0" w:color="auto" w:frame="1"/>
        </w:rPr>
      </w:pPr>
      <w:r w:rsidRPr="00AE6FC3">
        <w:rPr>
          <w:rFonts w:eastAsia="Calibri"/>
          <w:bdr w:val="none" w:sz="0" w:space="0" w:color="auto" w:frame="1"/>
        </w:rPr>
        <w:t>Community protocols can help the IPLCs that develop them to articulate their values, practices and aspirations. They can also help governments to implement the IPLC</w:t>
      </w:r>
      <w:r w:rsidR="006E1544">
        <w:rPr>
          <w:rFonts w:eastAsia="Calibri"/>
          <w:bdr w:val="none" w:sz="0" w:space="0" w:color="auto" w:frame="1"/>
        </w:rPr>
        <w:t>-</w:t>
      </w:r>
      <w:r w:rsidRPr="00AE6FC3">
        <w:rPr>
          <w:rFonts w:eastAsia="Calibri"/>
          <w:bdr w:val="none" w:sz="0" w:space="0" w:color="auto" w:frame="1"/>
        </w:rPr>
        <w:t xml:space="preserve">related provisions of the Protocol, and they provide clarity and certainty to users on how to have access to genetic resources and/or associated traditional knowledge held by IPLCs. </w:t>
      </w:r>
    </w:p>
    <w:p w:rsidR="00C2041C" w:rsidRPr="00AE6FC3" w:rsidRDefault="00C2041C" w:rsidP="00AE6FC3">
      <w:pPr>
        <w:pStyle w:val="Para1"/>
        <w:numPr>
          <w:ilvl w:val="0"/>
          <w:numId w:val="9"/>
        </w:numPr>
        <w:rPr>
          <w:rFonts w:eastAsia="Calibri"/>
          <w:bdr w:val="none" w:sz="0" w:space="0" w:color="auto" w:frame="1"/>
        </w:rPr>
      </w:pPr>
      <w:r w:rsidRPr="00AE6FC3">
        <w:rPr>
          <w:rFonts w:eastAsia="Calibri"/>
          <w:bdr w:val="none" w:sz="0" w:space="0" w:color="auto" w:frame="1"/>
        </w:rPr>
        <w:t>Community protocols are being developed and used in a variety of contexts, including but not limited to ABS. Some deal with biotrade or land issues and include some ABS elements as part of a broader context. Incorporating ABS elements in existing community protocols dealing with resource or land management or biotrade may facilitate the process.</w:t>
      </w:r>
    </w:p>
    <w:p w:rsidR="00951B62" w:rsidRDefault="00C2041C" w:rsidP="00AE6FC3">
      <w:pPr>
        <w:pStyle w:val="Para1"/>
        <w:numPr>
          <w:ilvl w:val="0"/>
          <w:numId w:val="9"/>
        </w:numPr>
        <w:rPr>
          <w:rFonts w:eastAsia="Calibri"/>
          <w:bdr w:val="none" w:sz="0" w:space="0" w:color="auto" w:frame="1"/>
        </w:rPr>
      </w:pPr>
      <w:r w:rsidRPr="00AE6FC3">
        <w:rPr>
          <w:rFonts w:eastAsia="Calibri"/>
          <w:bdr w:val="none" w:sz="0" w:space="0" w:color="auto" w:frame="1"/>
        </w:rPr>
        <w:t xml:space="preserve">Supporting IPLCs to develop community protocols is essential, as well as doing so in </w:t>
      </w:r>
      <w:r w:rsidR="006E1544">
        <w:rPr>
          <w:rFonts w:eastAsia="Calibri"/>
          <w:bdr w:val="none" w:sz="0" w:space="0" w:color="auto" w:frame="1"/>
        </w:rPr>
        <w:t xml:space="preserve">a </w:t>
      </w:r>
      <w:r w:rsidRPr="00AE6FC3">
        <w:rPr>
          <w:rFonts w:eastAsia="Calibri"/>
          <w:bdr w:val="none" w:sz="0" w:space="0" w:color="auto" w:frame="1"/>
        </w:rPr>
        <w:t xml:space="preserve">way that ensures that the outcomes represent community values, practices and aspirations. </w:t>
      </w:r>
    </w:p>
    <w:p w:rsidR="00C2041C" w:rsidRPr="00AE6FC3" w:rsidRDefault="00C2041C" w:rsidP="00AE6FC3">
      <w:pPr>
        <w:pStyle w:val="Para1"/>
        <w:numPr>
          <w:ilvl w:val="0"/>
          <w:numId w:val="9"/>
        </w:numPr>
        <w:rPr>
          <w:rFonts w:eastAsia="Calibri"/>
          <w:bdr w:val="none" w:sz="0" w:space="0" w:color="auto" w:frame="1"/>
        </w:rPr>
      </w:pPr>
      <w:r w:rsidRPr="00AE6FC3">
        <w:rPr>
          <w:rFonts w:eastAsia="Calibri"/>
          <w:kern w:val="22"/>
          <w:bdr w:val="none" w:sz="0" w:space="0" w:color="auto" w:frame="1"/>
        </w:rPr>
        <w:t>Sharing information on community protocols through the ABS Clearing-House helps potential users to understand how to access traditional knowledge associated with genetic resources within a community. It can also help other IPLCs to develop their own community protocol. Sharing existing experiences and lessons learned from the development and implementation of community protocols and procedures could be useful for those working on the development of protocols or that are planning to do so</w:t>
      </w:r>
      <w:r w:rsidRPr="00AE6FC3">
        <w:rPr>
          <w:rFonts w:eastAsia="Calibri"/>
          <w:kern w:val="22"/>
          <w:szCs w:val="22"/>
          <w:u w:color="000000"/>
        </w:rPr>
        <w:t>.</w:t>
      </w:r>
      <w:r w:rsidRPr="006E1544">
        <w:rPr>
          <w:rStyle w:val="FootnoteReference"/>
          <w:rFonts w:eastAsia="Calibri"/>
          <w:kern w:val="22"/>
          <w:sz w:val="22"/>
          <w:szCs w:val="22"/>
          <w:u w:val="none"/>
          <w:vertAlign w:val="superscript"/>
        </w:rPr>
        <w:footnoteReference w:id="37"/>
      </w:r>
    </w:p>
    <w:p w:rsidR="00BE56FC" w:rsidRPr="00BE56FC" w:rsidRDefault="00BE56FC" w:rsidP="00BE56FC">
      <w:pPr>
        <w:pBdr>
          <w:top w:val="nil"/>
          <w:left w:val="nil"/>
          <w:bottom w:val="nil"/>
          <w:right w:val="nil"/>
          <w:between w:val="nil"/>
          <w:bar w:val="nil"/>
        </w:pBdr>
        <w:spacing w:before="120" w:after="120"/>
        <w:rPr>
          <w:rFonts w:eastAsia="Calibri"/>
          <w:snapToGrid w:val="0"/>
          <w:kern w:val="22"/>
          <w:bdr w:val="none" w:sz="0" w:space="0" w:color="auto" w:frame="1"/>
        </w:rPr>
        <w:sectPr w:rsidR="00BE56FC" w:rsidRPr="00BE56FC" w:rsidSect="009D4331">
          <w:headerReference w:type="even" r:id="rId15"/>
          <w:headerReference w:type="default" r:id="rId16"/>
          <w:pgSz w:w="12240" w:h="15840"/>
          <w:pgMar w:top="567" w:right="1389" w:bottom="1134" w:left="1389" w:header="709" w:footer="709" w:gutter="0"/>
          <w:cols w:space="708"/>
          <w:titlePg/>
          <w:docGrid w:linePitch="360"/>
        </w:sectPr>
      </w:pPr>
    </w:p>
    <w:p w:rsidR="009B430D" w:rsidRPr="00A739F3" w:rsidRDefault="009B430D" w:rsidP="009B430D">
      <w:pPr>
        <w:pStyle w:val="Heading1"/>
      </w:pPr>
      <w:r w:rsidRPr="00A739F3">
        <w:lastRenderedPageBreak/>
        <w:t>Annex</w:t>
      </w:r>
    </w:p>
    <w:p w:rsidR="009B430D" w:rsidRPr="00A739F3" w:rsidRDefault="009B430D" w:rsidP="009B430D">
      <w:pPr>
        <w:pStyle w:val="Heading2"/>
        <w:numPr>
          <w:ilvl w:val="1"/>
          <w:numId w:val="7"/>
        </w:numPr>
      </w:pPr>
      <w:r>
        <w:t>Tools</w:t>
      </w:r>
      <w:r w:rsidRPr="00A739F3">
        <w:t xml:space="preserve"> available on the ABS Clearing-</w:t>
      </w:r>
      <w:r>
        <w:t>H</w:t>
      </w:r>
      <w:r w:rsidRPr="00A739F3">
        <w:t>ouse</w:t>
      </w:r>
      <w:r>
        <w:t xml:space="preserve"> </w:t>
      </w:r>
      <w:r w:rsidR="001E6610">
        <w:t>as r</w:t>
      </w:r>
      <w:r>
        <w:t xml:space="preserve">eference </w:t>
      </w:r>
      <w:r w:rsidR="001E6610">
        <w:t>r</w:t>
      </w:r>
      <w:r>
        <w:t>ecords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48"/>
        <w:gridCol w:w="3114"/>
        <w:gridCol w:w="3096"/>
        <w:gridCol w:w="5697"/>
      </w:tblGrid>
      <w:tr w:rsidR="009B430D" w:rsidRPr="00AE6FC3" w:rsidTr="006F5F30">
        <w:trPr>
          <w:tblHeader/>
        </w:trPr>
        <w:tc>
          <w:tcPr>
            <w:tcW w:w="2448" w:type="dxa"/>
            <w:shd w:val="clear" w:color="auto" w:fill="F2F2F2" w:themeFill="background1" w:themeFillShade="F2"/>
          </w:tcPr>
          <w:p w:rsidR="009B430D" w:rsidRPr="00AE6FC3" w:rsidRDefault="009B430D" w:rsidP="006F5F30">
            <w:pPr>
              <w:jc w:val="center"/>
              <w:rPr>
                <w:b/>
                <w:sz w:val="18"/>
                <w:szCs w:val="18"/>
              </w:rPr>
            </w:pPr>
            <w:r w:rsidRPr="00AE6FC3">
              <w:rPr>
                <w:b/>
                <w:sz w:val="18"/>
                <w:szCs w:val="18"/>
              </w:rPr>
              <w:t>Type of Document</w:t>
            </w:r>
          </w:p>
        </w:tc>
        <w:tc>
          <w:tcPr>
            <w:tcW w:w="3114" w:type="dxa"/>
            <w:shd w:val="clear" w:color="auto" w:fill="F2F2F2" w:themeFill="background1" w:themeFillShade="F2"/>
          </w:tcPr>
          <w:p w:rsidR="009B430D" w:rsidRPr="00AE6FC3" w:rsidRDefault="009B430D" w:rsidP="006F5F30">
            <w:pPr>
              <w:jc w:val="center"/>
              <w:rPr>
                <w:b/>
                <w:sz w:val="18"/>
                <w:szCs w:val="18"/>
              </w:rPr>
            </w:pPr>
            <w:r w:rsidRPr="00AE6FC3">
              <w:rPr>
                <w:b/>
                <w:sz w:val="18"/>
                <w:szCs w:val="18"/>
              </w:rPr>
              <w:t>Title</w:t>
            </w:r>
          </w:p>
        </w:tc>
        <w:tc>
          <w:tcPr>
            <w:tcW w:w="3096" w:type="dxa"/>
            <w:shd w:val="clear" w:color="auto" w:fill="F2F2F2" w:themeFill="background1" w:themeFillShade="F2"/>
          </w:tcPr>
          <w:p w:rsidR="009B430D" w:rsidRPr="00AE6FC3" w:rsidRDefault="009B430D" w:rsidP="006F5F30">
            <w:pPr>
              <w:jc w:val="center"/>
              <w:rPr>
                <w:b/>
                <w:sz w:val="18"/>
                <w:szCs w:val="18"/>
              </w:rPr>
            </w:pPr>
            <w:r w:rsidRPr="00AE6FC3">
              <w:rPr>
                <w:b/>
                <w:sz w:val="18"/>
                <w:szCs w:val="18"/>
              </w:rPr>
              <w:t>Author</w:t>
            </w:r>
          </w:p>
        </w:tc>
        <w:tc>
          <w:tcPr>
            <w:tcW w:w="5697" w:type="dxa"/>
            <w:shd w:val="clear" w:color="auto" w:fill="F2F2F2" w:themeFill="background1" w:themeFillShade="F2"/>
          </w:tcPr>
          <w:p w:rsidR="009B430D" w:rsidRPr="00AE6FC3" w:rsidRDefault="009B430D" w:rsidP="006F5F30">
            <w:pPr>
              <w:jc w:val="center"/>
              <w:rPr>
                <w:b/>
                <w:sz w:val="18"/>
                <w:szCs w:val="18"/>
              </w:rPr>
            </w:pPr>
            <w:r w:rsidRPr="00AE6FC3">
              <w:rPr>
                <w:b/>
                <w:sz w:val="18"/>
                <w:szCs w:val="18"/>
              </w:rPr>
              <w:t xml:space="preserve">Link </w:t>
            </w:r>
          </w:p>
          <w:p w:rsidR="009B430D" w:rsidRPr="00AE6FC3" w:rsidRDefault="009B430D" w:rsidP="006F5F30">
            <w:pPr>
              <w:jc w:val="center"/>
              <w:rPr>
                <w:sz w:val="18"/>
                <w:szCs w:val="18"/>
              </w:rPr>
            </w:pPr>
            <w:r w:rsidRPr="00AE6FC3">
              <w:rPr>
                <w:b/>
                <w:sz w:val="18"/>
                <w:szCs w:val="18"/>
              </w:rPr>
              <w:t>(ABS Clearing-</w:t>
            </w:r>
            <w:r w:rsidR="00807653" w:rsidRPr="00AE6FC3">
              <w:rPr>
                <w:b/>
                <w:sz w:val="18"/>
                <w:szCs w:val="18"/>
              </w:rPr>
              <w:t>H</w:t>
            </w:r>
            <w:r w:rsidRPr="00AE6FC3">
              <w:rPr>
                <w:b/>
                <w:sz w:val="18"/>
                <w:szCs w:val="18"/>
              </w:rPr>
              <w:t>ouse, other website)</w:t>
            </w:r>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hideMark/>
          </w:tcPr>
          <w:p w:rsidR="009B430D" w:rsidRPr="00AE6FC3" w:rsidRDefault="009B430D" w:rsidP="006F5F30">
            <w:pPr>
              <w:jc w:val="left"/>
              <w:rPr>
                <w:sz w:val="18"/>
                <w:szCs w:val="18"/>
              </w:rPr>
            </w:pPr>
            <w:r w:rsidRPr="00AE6FC3">
              <w:rPr>
                <w:sz w:val="18"/>
                <w:szCs w:val="18"/>
              </w:rPr>
              <w:t>Guidelines: Access and benefit sharing in research projects</w:t>
            </w:r>
          </w:p>
        </w:tc>
        <w:tc>
          <w:tcPr>
            <w:tcW w:w="3096" w:type="dxa"/>
            <w:hideMark/>
          </w:tcPr>
          <w:p w:rsidR="009B430D" w:rsidRPr="00AE6FC3" w:rsidRDefault="009B430D" w:rsidP="006F5F30">
            <w:pPr>
              <w:jc w:val="left"/>
              <w:rPr>
                <w:sz w:val="18"/>
                <w:szCs w:val="18"/>
              </w:rPr>
            </w:pPr>
            <w:r w:rsidRPr="00AE6FC3">
              <w:rPr>
                <w:sz w:val="18"/>
                <w:szCs w:val="18"/>
              </w:rPr>
              <w:t>Bioversity International (BI)</w:t>
            </w:r>
          </w:p>
        </w:tc>
        <w:tc>
          <w:tcPr>
            <w:tcW w:w="5697" w:type="dxa"/>
          </w:tcPr>
          <w:p w:rsidR="009B430D" w:rsidRPr="00AE6FC3" w:rsidRDefault="009D4331" w:rsidP="006F5F30">
            <w:pPr>
              <w:jc w:val="left"/>
              <w:rPr>
                <w:sz w:val="18"/>
                <w:szCs w:val="18"/>
              </w:rPr>
            </w:pPr>
            <w:hyperlink r:id="rId17" w:history="1">
              <w:r w:rsidR="009B430D" w:rsidRPr="00AE6FC3">
                <w:rPr>
                  <w:rStyle w:val="Hyperlink"/>
                  <w:color w:val="auto"/>
                  <w:szCs w:val="18"/>
                </w:rPr>
                <w:t>https://absch.cbd.int/database/A19A20/ABSCH-A19A20-SCBD-238047</w:t>
              </w:r>
            </w:hyperlink>
          </w:p>
          <w:p w:rsidR="009B430D" w:rsidRPr="00AE6FC3" w:rsidRDefault="009D4331" w:rsidP="006F5F30">
            <w:pPr>
              <w:jc w:val="left"/>
              <w:rPr>
                <w:sz w:val="18"/>
                <w:szCs w:val="18"/>
              </w:rPr>
            </w:pPr>
            <w:hyperlink r:id="rId18" w:history="1">
              <w:r w:rsidR="009B430D" w:rsidRPr="00AE6FC3">
                <w:rPr>
                  <w:rStyle w:val="Hyperlink"/>
                  <w:color w:val="auto"/>
                  <w:szCs w:val="18"/>
                </w:rPr>
                <w:t>https://www.bioversityinternational.org/index.php?id=244&amp;tx_news_pi1%5Bnews%5D=1379&amp;cHash=bd6432ff877aaf021522edfe57a7af90</w:t>
              </w:r>
            </w:hyperlink>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hideMark/>
          </w:tcPr>
          <w:p w:rsidR="009B430D" w:rsidRPr="00AE6FC3" w:rsidRDefault="009B430D" w:rsidP="006F5F30">
            <w:pPr>
              <w:jc w:val="left"/>
              <w:rPr>
                <w:sz w:val="18"/>
                <w:szCs w:val="18"/>
                <w:lang w:val="fr-CA"/>
              </w:rPr>
            </w:pPr>
            <w:r w:rsidRPr="00AE6FC3">
              <w:rPr>
                <w:sz w:val="18"/>
                <w:szCs w:val="18"/>
                <w:lang w:val="fr-CA"/>
              </w:rPr>
              <w:t>Modèle de convention relatif aux conditions convenues d’un commun accord (CCCA / MAT)</w:t>
            </w:r>
          </w:p>
        </w:tc>
        <w:tc>
          <w:tcPr>
            <w:tcW w:w="3096" w:type="dxa"/>
            <w:hideMark/>
          </w:tcPr>
          <w:p w:rsidR="009B430D" w:rsidRPr="00AE6FC3" w:rsidRDefault="00887CF7" w:rsidP="00887CF7">
            <w:pPr>
              <w:jc w:val="left"/>
              <w:rPr>
                <w:sz w:val="18"/>
                <w:szCs w:val="18"/>
                <w:lang w:val="en-US"/>
              </w:rPr>
            </w:pPr>
            <w:r w:rsidRPr="00AE6FC3">
              <w:rPr>
                <w:sz w:val="18"/>
                <w:szCs w:val="18"/>
                <w:lang w:val="en-US"/>
              </w:rPr>
              <w:t xml:space="preserve">Morocco (GIZ Morocco) and </w:t>
            </w:r>
            <w:r w:rsidR="009B430D" w:rsidRPr="00AE6FC3">
              <w:rPr>
                <w:sz w:val="18"/>
                <w:szCs w:val="18"/>
                <w:lang w:val="en-US"/>
              </w:rPr>
              <w:t xml:space="preserve">DEUTSCHE GESELLSCHAFT FÜR INTERNATIONALE ZUSAMMENARBEIT (GIZ) GMBH - </w:t>
            </w:r>
          </w:p>
        </w:tc>
        <w:tc>
          <w:tcPr>
            <w:tcW w:w="5697" w:type="dxa"/>
          </w:tcPr>
          <w:p w:rsidR="009B430D" w:rsidRPr="00AE6FC3" w:rsidRDefault="009D4331" w:rsidP="006F5F30">
            <w:pPr>
              <w:jc w:val="left"/>
              <w:rPr>
                <w:sz w:val="18"/>
                <w:szCs w:val="18"/>
                <w:lang w:val="en-US"/>
              </w:rPr>
            </w:pPr>
            <w:hyperlink r:id="rId19" w:history="1">
              <w:r w:rsidR="009B430D" w:rsidRPr="00AE6FC3">
                <w:rPr>
                  <w:rStyle w:val="Hyperlink"/>
                  <w:color w:val="auto"/>
                  <w:szCs w:val="18"/>
                  <w:lang w:val="en-US"/>
                </w:rPr>
                <w:t>https://absch.cbd.int/database/A19A20/ABSCH-A19A20-SCBD-207205</w:t>
              </w:r>
            </w:hyperlink>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hideMark/>
          </w:tcPr>
          <w:p w:rsidR="009B430D" w:rsidRPr="00AE6FC3" w:rsidRDefault="009B430D" w:rsidP="006F5F30">
            <w:pPr>
              <w:jc w:val="left"/>
              <w:rPr>
                <w:sz w:val="18"/>
                <w:szCs w:val="18"/>
              </w:rPr>
            </w:pPr>
            <w:r w:rsidRPr="00AE6FC3">
              <w:rPr>
                <w:sz w:val="18"/>
                <w:szCs w:val="18"/>
              </w:rPr>
              <w:t>Global Genome Biodiversity Network Guidance: Material Transfer Agreements</w:t>
            </w:r>
          </w:p>
        </w:tc>
        <w:tc>
          <w:tcPr>
            <w:tcW w:w="3096" w:type="dxa"/>
            <w:hideMark/>
          </w:tcPr>
          <w:p w:rsidR="009B430D" w:rsidRPr="00AE6FC3" w:rsidRDefault="009B430D" w:rsidP="006F5F30">
            <w:pPr>
              <w:jc w:val="left"/>
              <w:rPr>
                <w:sz w:val="18"/>
                <w:szCs w:val="18"/>
              </w:rPr>
            </w:pPr>
            <w:r w:rsidRPr="00AE6FC3">
              <w:rPr>
                <w:sz w:val="18"/>
                <w:szCs w:val="18"/>
              </w:rPr>
              <w:t>Global Genome Biodiversity Network (GGBN)</w:t>
            </w:r>
          </w:p>
        </w:tc>
        <w:tc>
          <w:tcPr>
            <w:tcW w:w="5697" w:type="dxa"/>
          </w:tcPr>
          <w:p w:rsidR="009B430D" w:rsidRPr="00AE6FC3" w:rsidRDefault="009D4331" w:rsidP="006F5F30">
            <w:pPr>
              <w:jc w:val="left"/>
              <w:rPr>
                <w:sz w:val="18"/>
                <w:szCs w:val="18"/>
              </w:rPr>
            </w:pPr>
            <w:hyperlink r:id="rId20" w:history="1">
              <w:r w:rsidR="009B430D" w:rsidRPr="00AE6FC3">
                <w:rPr>
                  <w:rStyle w:val="Hyperlink"/>
                  <w:color w:val="auto"/>
                  <w:szCs w:val="18"/>
                </w:rPr>
                <w:t>https://absch.cbd.int/database/A19A20/ABSCH-A19A20-SCBD-208665</w:t>
              </w:r>
            </w:hyperlink>
          </w:p>
          <w:p w:rsidR="009B430D" w:rsidRPr="00AE6FC3" w:rsidRDefault="009D4331" w:rsidP="006F5F30">
            <w:pPr>
              <w:jc w:val="left"/>
              <w:rPr>
                <w:sz w:val="18"/>
                <w:szCs w:val="18"/>
              </w:rPr>
            </w:pPr>
            <w:hyperlink r:id="rId21" w:history="1">
              <w:r w:rsidR="009B430D" w:rsidRPr="00AE6FC3">
                <w:rPr>
                  <w:rStyle w:val="Hyperlink"/>
                  <w:color w:val="auto"/>
                  <w:szCs w:val="18"/>
                </w:rPr>
                <w:t>https://library.ggbn.org/share/s/BW3F3qiiT8W9S3qeTwMMww</w:t>
              </w:r>
            </w:hyperlink>
          </w:p>
          <w:p w:rsidR="009B430D" w:rsidRPr="00AE6FC3" w:rsidRDefault="009B430D" w:rsidP="006F5F30">
            <w:pPr>
              <w:jc w:val="left"/>
              <w:rPr>
                <w:sz w:val="18"/>
                <w:szCs w:val="18"/>
              </w:rPr>
            </w:pPr>
          </w:p>
        </w:tc>
      </w:tr>
      <w:tr w:rsidR="009B430D" w:rsidRPr="00AE6FC3" w:rsidTr="006F5F30">
        <w:trPr>
          <w:trHeight w:val="720"/>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hideMark/>
          </w:tcPr>
          <w:p w:rsidR="009B430D" w:rsidRPr="00AE6FC3" w:rsidRDefault="009B430D" w:rsidP="006F5F30">
            <w:pPr>
              <w:jc w:val="left"/>
              <w:rPr>
                <w:sz w:val="18"/>
                <w:szCs w:val="18"/>
              </w:rPr>
            </w:pPr>
            <w:r w:rsidRPr="00AE6FC3">
              <w:rPr>
                <w:sz w:val="18"/>
                <w:szCs w:val="18"/>
              </w:rPr>
              <w:t>Agreement on Access and Benefit-sharing for Academic Research – A toolbox for drafting Mutually Agreed Terms for access to Genetic Resources and to Associated Traditional Knowledge and Benefit-sharing</w:t>
            </w:r>
          </w:p>
        </w:tc>
        <w:tc>
          <w:tcPr>
            <w:tcW w:w="3096" w:type="dxa"/>
            <w:hideMark/>
          </w:tcPr>
          <w:p w:rsidR="009B430D" w:rsidRPr="00AE6FC3" w:rsidRDefault="009B430D" w:rsidP="006F5F30">
            <w:pPr>
              <w:jc w:val="left"/>
              <w:rPr>
                <w:sz w:val="18"/>
                <w:szCs w:val="18"/>
              </w:rPr>
            </w:pPr>
            <w:r w:rsidRPr="00AE6FC3">
              <w:rPr>
                <w:sz w:val="18"/>
                <w:szCs w:val="18"/>
              </w:rPr>
              <w:t>Swiss Academies of Arts and Sciences (A+)</w:t>
            </w:r>
          </w:p>
        </w:tc>
        <w:tc>
          <w:tcPr>
            <w:tcW w:w="5697" w:type="dxa"/>
          </w:tcPr>
          <w:p w:rsidR="009B430D" w:rsidRPr="00AE6FC3" w:rsidRDefault="009D4331" w:rsidP="006F5F30">
            <w:pPr>
              <w:jc w:val="left"/>
              <w:rPr>
                <w:sz w:val="18"/>
                <w:szCs w:val="18"/>
              </w:rPr>
            </w:pPr>
            <w:hyperlink r:id="rId22" w:history="1">
              <w:r w:rsidR="009B430D" w:rsidRPr="00AE6FC3">
                <w:rPr>
                  <w:rStyle w:val="Hyperlink"/>
                  <w:color w:val="auto"/>
                  <w:szCs w:val="18"/>
                </w:rPr>
                <w:t>https://absch.cbd.int/database/A19A20/ABSCH-A19A20-SCBD-238867</w:t>
              </w:r>
            </w:hyperlink>
          </w:p>
          <w:p w:rsidR="009B430D" w:rsidRPr="00AE6FC3" w:rsidRDefault="009D4331" w:rsidP="006F5F30">
            <w:pPr>
              <w:jc w:val="left"/>
              <w:rPr>
                <w:sz w:val="18"/>
                <w:szCs w:val="18"/>
              </w:rPr>
            </w:pPr>
            <w:hyperlink r:id="rId23" w:history="1">
              <w:r w:rsidR="009B430D" w:rsidRPr="00AE6FC3">
                <w:rPr>
                  <w:rStyle w:val="Hyperlink"/>
                  <w:color w:val="auto"/>
                  <w:szCs w:val="18"/>
                </w:rPr>
                <w:t>https://naturwissenschaften.ch/organisations/biodiversity/abs/toolbox</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hideMark/>
          </w:tcPr>
          <w:p w:rsidR="009B430D" w:rsidRPr="00AE6FC3" w:rsidRDefault="009B430D" w:rsidP="006F5F30">
            <w:pPr>
              <w:jc w:val="left"/>
              <w:rPr>
                <w:sz w:val="18"/>
                <w:szCs w:val="18"/>
              </w:rPr>
            </w:pPr>
            <w:r w:rsidRPr="00AE6FC3">
              <w:rPr>
                <w:sz w:val="18"/>
                <w:szCs w:val="18"/>
              </w:rPr>
              <w:t>Draft Intellectual Property Guidelines for Access to Genetic Resources and Equitable Sharing of the Benefits arising from their Utilization</w:t>
            </w:r>
          </w:p>
        </w:tc>
        <w:tc>
          <w:tcPr>
            <w:tcW w:w="3096" w:type="dxa"/>
            <w:hideMark/>
          </w:tcPr>
          <w:p w:rsidR="009B430D" w:rsidRPr="00AE6FC3" w:rsidRDefault="009B430D" w:rsidP="006F5F30">
            <w:pPr>
              <w:jc w:val="left"/>
              <w:rPr>
                <w:sz w:val="18"/>
                <w:szCs w:val="18"/>
              </w:rPr>
            </w:pPr>
            <w:r w:rsidRPr="00AE6FC3">
              <w:rPr>
                <w:sz w:val="18"/>
                <w:szCs w:val="18"/>
              </w:rPr>
              <w:t>World Intellectual Property Organization (WIPO)</w:t>
            </w:r>
          </w:p>
        </w:tc>
        <w:tc>
          <w:tcPr>
            <w:tcW w:w="5697" w:type="dxa"/>
          </w:tcPr>
          <w:p w:rsidR="009B430D" w:rsidRPr="00AE6FC3" w:rsidRDefault="009D4331" w:rsidP="006F5F30">
            <w:pPr>
              <w:jc w:val="left"/>
              <w:rPr>
                <w:sz w:val="18"/>
                <w:szCs w:val="18"/>
              </w:rPr>
            </w:pPr>
            <w:hyperlink r:id="rId24" w:history="1">
              <w:r w:rsidR="009B430D" w:rsidRPr="00AE6FC3">
                <w:rPr>
                  <w:rStyle w:val="Hyperlink"/>
                  <w:color w:val="auto"/>
                  <w:szCs w:val="18"/>
                </w:rPr>
                <w:t>https://absch.cbd.int/database/A19A20/ABSCH-A19A20-SCBD-238061</w:t>
              </w:r>
            </w:hyperlink>
          </w:p>
          <w:p w:rsidR="009B430D" w:rsidRPr="00AE6FC3" w:rsidRDefault="009D4331" w:rsidP="006F5F30">
            <w:pPr>
              <w:jc w:val="left"/>
              <w:rPr>
                <w:sz w:val="18"/>
                <w:szCs w:val="18"/>
              </w:rPr>
            </w:pPr>
            <w:hyperlink r:id="rId25" w:history="1">
              <w:r w:rsidR="009B430D" w:rsidRPr="00AE6FC3">
                <w:rPr>
                  <w:rStyle w:val="Hyperlink"/>
                  <w:color w:val="auto"/>
                  <w:szCs w:val="18"/>
                </w:rPr>
                <w:t>https://www.wipo.int/tk/en/databases/contracts/</w:t>
              </w:r>
            </w:hyperlink>
          </w:p>
          <w:p w:rsidR="009B430D" w:rsidRPr="00AE6FC3" w:rsidRDefault="009B430D" w:rsidP="006F5F30">
            <w:pPr>
              <w:jc w:val="left"/>
              <w:rPr>
                <w:sz w:val="18"/>
                <w:szCs w:val="18"/>
              </w:rPr>
            </w:pPr>
          </w:p>
        </w:tc>
      </w:tr>
      <w:tr w:rsidR="009B430D" w:rsidRPr="00AE6FC3" w:rsidTr="006F5F30">
        <w:trPr>
          <w:trHeight w:val="864"/>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National or domestic guidelines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Standards</w:t>
            </w:r>
          </w:p>
        </w:tc>
        <w:tc>
          <w:tcPr>
            <w:tcW w:w="3114" w:type="dxa"/>
            <w:hideMark/>
          </w:tcPr>
          <w:p w:rsidR="009B430D" w:rsidRPr="00AE6FC3" w:rsidRDefault="009B430D" w:rsidP="006F5F30">
            <w:pPr>
              <w:jc w:val="left"/>
              <w:rPr>
                <w:sz w:val="18"/>
                <w:szCs w:val="18"/>
              </w:rPr>
            </w:pPr>
            <w:r w:rsidRPr="00AE6FC3">
              <w:rPr>
                <w:sz w:val="18"/>
                <w:szCs w:val="18"/>
              </w:rPr>
              <w:t>African Union Guidelines for the Coordinated Implementation of the Nagoya Protocol on ABS: The Practical Guidelines</w:t>
            </w:r>
          </w:p>
        </w:tc>
        <w:tc>
          <w:tcPr>
            <w:tcW w:w="3096" w:type="dxa"/>
            <w:hideMark/>
          </w:tcPr>
          <w:p w:rsidR="009B430D" w:rsidRPr="00AE6FC3" w:rsidRDefault="009B430D" w:rsidP="006F5F30">
            <w:pPr>
              <w:jc w:val="left"/>
              <w:rPr>
                <w:sz w:val="18"/>
                <w:szCs w:val="18"/>
              </w:rPr>
            </w:pPr>
            <w:r w:rsidRPr="00AE6FC3">
              <w:rPr>
                <w:sz w:val="18"/>
                <w:szCs w:val="18"/>
              </w:rPr>
              <w:t>African Union Commission Department of Human Resources Science and Technology</w:t>
            </w:r>
          </w:p>
        </w:tc>
        <w:tc>
          <w:tcPr>
            <w:tcW w:w="5697" w:type="dxa"/>
          </w:tcPr>
          <w:p w:rsidR="009B430D" w:rsidRPr="00AE6FC3" w:rsidRDefault="009D4331" w:rsidP="006F5F30">
            <w:pPr>
              <w:jc w:val="left"/>
              <w:rPr>
                <w:sz w:val="18"/>
                <w:szCs w:val="18"/>
              </w:rPr>
            </w:pPr>
            <w:hyperlink r:id="rId26" w:history="1">
              <w:r w:rsidR="009B430D" w:rsidRPr="00AE6FC3">
                <w:rPr>
                  <w:rStyle w:val="Hyperlink"/>
                  <w:color w:val="auto"/>
                  <w:szCs w:val="18"/>
                </w:rPr>
                <w:t>https://absch.cbd.int/database/A19A20/ABSCH-A19A20-SCBD-207246</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Standards (Guidelines)</w:t>
            </w:r>
          </w:p>
        </w:tc>
        <w:tc>
          <w:tcPr>
            <w:tcW w:w="3114" w:type="dxa"/>
            <w:hideMark/>
          </w:tcPr>
          <w:p w:rsidR="009B430D" w:rsidRPr="00AE6FC3" w:rsidRDefault="009B430D" w:rsidP="006F5F30">
            <w:pPr>
              <w:jc w:val="left"/>
              <w:rPr>
                <w:sz w:val="18"/>
                <w:szCs w:val="18"/>
              </w:rPr>
            </w:pPr>
            <w:r w:rsidRPr="00AE6FC3">
              <w:rPr>
                <w:sz w:val="18"/>
                <w:szCs w:val="18"/>
              </w:rPr>
              <w:t>Guidelines for BIO Members Engaging in Bioprospecting and Suggested Model Material Transfer Agreement</w:t>
            </w:r>
          </w:p>
        </w:tc>
        <w:tc>
          <w:tcPr>
            <w:tcW w:w="3096" w:type="dxa"/>
            <w:hideMark/>
          </w:tcPr>
          <w:p w:rsidR="009B430D" w:rsidRPr="00AE6FC3" w:rsidRDefault="009B430D" w:rsidP="006F5F30">
            <w:pPr>
              <w:jc w:val="left"/>
              <w:rPr>
                <w:sz w:val="18"/>
                <w:szCs w:val="18"/>
              </w:rPr>
            </w:pPr>
            <w:r w:rsidRPr="00AE6FC3">
              <w:rPr>
                <w:sz w:val="18"/>
                <w:szCs w:val="18"/>
              </w:rPr>
              <w:t>Biotechnology Innovation Organization (BIO)</w:t>
            </w:r>
          </w:p>
        </w:tc>
        <w:tc>
          <w:tcPr>
            <w:tcW w:w="5697" w:type="dxa"/>
          </w:tcPr>
          <w:p w:rsidR="009B430D" w:rsidRPr="00AE6FC3" w:rsidRDefault="009D4331" w:rsidP="006F5F30">
            <w:pPr>
              <w:jc w:val="left"/>
              <w:rPr>
                <w:sz w:val="18"/>
                <w:szCs w:val="18"/>
              </w:rPr>
            </w:pPr>
            <w:hyperlink r:id="rId27" w:history="1">
              <w:r w:rsidR="009B430D" w:rsidRPr="00AE6FC3">
                <w:rPr>
                  <w:rStyle w:val="Hyperlink"/>
                  <w:color w:val="auto"/>
                  <w:szCs w:val="18"/>
                </w:rPr>
                <w:t>https://absch.cbd.int/database/A19A20/ABSCH-A19A20-SCBD-238058</w:t>
              </w:r>
            </w:hyperlink>
          </w:p>
          <w:p w:rsidR="009B430D" w:rsidRPr="00AE6FC3" w:rsidRDefault="009D4331" w:rsidP="006F5F30">
            <w:pPr>
              <w:jc w:val="left"/>
              <w:rPr>
                <w:sz w:val="18"/>
                <w:szCs w:val="18"/>
              </w:rPr>
            </w:pPr>
            <w:hyperlink r:id="rId28" w:history="1">
              <w:r w:rsidR="009B430D" w:rsidRPr="00AE6FC3">
                <w:rPr>
                  <w:rStyle w:val="Hyperlink"/>
                  <w:color w:val="auto"/>
                  <w:szCs w:val="18"/>
                </w:rPr>
                <w:t>https://www.bio.org/articles/bio-bioprospecting-guidelines</w:t>
              </w:r>
            </w:hyperlink>
          </w:p>
        </w:tc>
      </w:tr>
      <w:tr w:rsidR="009B430D" w:rsidRPr="00AE6FC3" w:rsidTr="006F5F30">
        <w:trPr>
          <w:trHeight w:val="576"/>
        </w:trPr>
        <w:tc>
          <w:tcPr>
            <w:tcW w:w="2448" w:type="dxa"/>
            <w:hideMark/>
          </w:tcPr>
          <w:p w:rsidR="009B430D" w:rsidRPr="00AE6FC3" w:rsidRDefault="009B430D" w:rsidP="009B430D">
            <w:pPr>
              <w:pStyle w:val="ListParagraph"/>
              <w:keepNext/>
              <w:keepLines/>
              <w:numPr>
                <w:ilvl w:val="0"/>
                <w:numId w:val="8"/>
              </w:numPr>
              <w:ind w:left="187" w:hanging="187"/>
              <w:jc w:val="left"/>
              <w:rPr>
                <w:sz w:val="18"/>
                <w:szCs w:val="18"/>
              </w:rPr>
            </w:pPr>
            <w:r w:rsidRPr="00AE6FC3">
              <w:rPr>
                <w:sz w:val="18"/>
                <w:szCs w:val="18"/>
              </w:rPr>
              <w:t>Model contractual clauses</w:t>
            </w:r>
          </w:p>
          <w:p w:rsidR="009B430D" w:rsidRPr="00AE6FC3" w:rsidRDefault="009B430D" w:rsidP="009B430D">
            <w:pPr>
              <w:pStyle w:val="ListParagraph"/>
              <w:keepNext/>
              <w:keepLines/>
              <w:numPr>
                <w:ilvl w:val="0"/>
                <w:numId w:val="8"/>
              </w:numPr>
              <w:ind w:left="187" w:hanging="187"/>
              <w:jc w:val="left"/>
              <w:rPr>
                <w:sz w:val="18"/>
                <w:szCs w:val="18"/>
              </w:rPr>
            </w:pPr>
            <w:r w:rsidRPr="00AE6FC3">
              <w:rPr>
                <w:sz w:val="18"/>
                <w:szCs w:val="18"/>
              </w:rPr>
              <w:t>Codes of conduct</w:t>
            </w:r>
          </w:p>
          <w:p w:rsidR="009B430D" w:rsidRPr="00AE6FC3" w:rsidRDefault="009B430D" w:rsidP="009B430D">
            <w:pPr>
              <w:pStyle w:val="ListParagraph"/>
              <w:keepLines/>
              <w:numPr>
                <w:ilvl w:val="0"/>
                <w:numId w:val="8"/>
              </w:numPr>
              <w:ind w:left="180" w:hanging="180"/>
              <w:jc w:val="left"/>
              <w:rPr>
                <w:sz w:val="18"/>
                <w:szCs w:val="18"/>
              </w:rPr>
            </w:pPr>
            <w:r w:rsidRPr="00AE6FC3">
              <w:rPr>
                <w:sz w:val="18"/>
                <w:szCs w:val="18"/>
              </w:rPr>
              <w:t>Best practices</w:t>
            </w:r>
          </w:p>
        </w:tc>
        <w:tc>
          <w:tcPr>
            <w:tcW w:w="3114" w:type="dxa"/>
            <w:hideMark/>
          </w:tcPr>
          <w:p w:rsidR="009B430D" w:rsidRPr="00AE6FC3" w:rsidRDefault="009B430D" w:rsidP="006F5F30">
            <w:pPr>
              <w:keepLines/>
              <w:jc w:val="left"/>
              <w:rPr>
                <w:sz w:val="18"/>
                <w:szCs w:val="18"/>
              </w:rPr>
            </w:pPr>
            <w:r w:rsidRPr="00AE6FC3">
              <w:rPr>
                <w:sz w:val="18"/>
                <w:szCs w:val="18"/>
              </w:rPr>
              <w:t>Code of Conduct and Best Practices on Access and Benefit-Sharing and Material Transfer Agreement Templates</w:t>
            </w:r>
          </w:p>
        </w:tc>
        <w:tc>
          <w:tcPr>
            <w:tcW w:w="3096" w:type="dxa"/>
            <w:hideMark/>
          </w:tcPr>
          <w:p w:rsidR="009B430D" w:rsidRPr="00AE6FC3" w:rsidRDefault="009B430D" w:rsidP="006F5F30">
            <w:pPr>
              <w:keepLines/>
              <w:jc w:val="left"/>
              <w:rPr>
                <w:sz w:val="18"/>
                <w:szCs w:val="18"/>
              </w:rPr>
            </w:pPr>
            <w:r w:rsidRPr="00AE6FC3">
              <w:rPr>
                <w:sz w:val="18"/>
                <w:szCs w:val="18"/>
              </w:rPr>
              <w:t>Consortium of European Taxonomic Facilities</w:t>
            </w:r>
            <w:r w:rsidR="001B34DC" w:rsidRPr="00AE6FC3">
              <w:rPr>
                <w:sz w:val="18"/>
                <w:szCs w:val="18"/>
              </w:rPr>
              <w:t xml:space="preserve"> (CETAF)</w:t>
            </w:r>
          </w:p>
        </w:tc>
        <w:tc>
          <w:tcPr>
            <w:tcW w:w="5697" w:type="dxa"/>
          </w:tcPr>
          <w:p w:rsidR="009B430D" w:rsidRPr="00AE6FC3" w:rsidRDefault="009D4331" w:rsidP="006F5F30">
            <w:pPr>
              <w:keepLines/>
              <w:jc w:val="left"/>
              <w:rPr>
                <w:sz w:val="18"/>
                <w:szCs w:val="18"/>
              </w:rPr>
            </w:pPr>
            <w:hyperlink r:id="rId29" w:history="1">
              <w:r w:rsidR="009B430D" w:rsidRPr="00AE6FC3">
                <w:rPr>
                  <w:rStyle w:val="Hyperlink"/>
                  <w:color w:val="auto"/>
                  <w:szCs w:val="18"/>
                </w:rPr>
                <w:t>https://absch.cbd.int/database/A19A20/ABSCH-A19A20-SCBD-238048</w:t>
              </w:r>
            </w:hyperlink>
          </w:p>
          <w:p w:rsidR="009B430D" w:rsidRPr="00AE6FC3" w:rsidRDefault="009D4331" w:rsidP="006F5F30">
            <w:pPr>
              <w:keepLines/>
              <w:jc w:val="left"/>
              <w:rPr>
                <w:sz w:val="18"/>
                <w:szCs w:val="18"/>
              </w:rPr>
            </w:pPr>
            <w:hyperlink r:id="rId30" w:history="1">
              <w:r w:rsidR="009B430D" w:rsidRPr="00AE6FC3">
                <w:rPr>
                  <w:rStyle w:val="Hyperlink"/>
                  <w:color w:val="auto"/>
                  <w:szCs w:val="18"/>
                </w:rPr>
                <w:t>http://cetaf.org/</w:t>
              </w:r>
            </w:hyperlink>
          </w:p>
          <w:p w:rsidR="009B430D" w:rsidRPr="00AE6FC3" w:rsidRDefault="009B430D" w:rsidP="006F5F30">
            <w:pPr>
              <w:keepLines/>
              <w:jc w:val="left"/>
              <w:rPr>
                <w:sz w:val="18"/>
                <w:szCs w:val="18"/>
              </w:rPr>
            </w:pPr>
          </w:p>
        </w:tc>
      </w:tr>
      <w:tr w:rsidR="009B430D" w:rsidRPr="00AE6FC3" w:rsidTr="006F5F30">
        <w:trPr>
          <w:trHeight w:val="720"/>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Codes of conduct</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Standards</w:t>
            </w:r>
          </w:p>
        </w:tc>
        <w:tc>
          <w:tcPr>
            <w:tcW w:w="3114" w:type="dxa"/>
            <w:hideMark/>
          </w:tcPr>
          <w:p w:rsidR="009B430D" w:rsidRPr="00AE6FC3" w:rsidRDefault="009B430D" w:rsidP="006F5F30">
            <w:pPr>
              <w:jc w:val="left"/>
              <w:rPr>
                <w:sz w:val="18"/>
                <w:szCs w:val="18"/>
              </w:rPr>
            </w:pPr>
            <w:r w:rsidRPr="00AE6FC3">
              <w:rPr>
                <w:sz w:val="18"/>
                <w:szCs w:val="18"/>
              </w:rPr>
              <w:t>Utilization of genetic resources and associated traditional knowledge in academic research - A good practice guide for access and benefit-sharing</w:t>
            </w:r>
          </w:p>
        </w:tc>
        <w:tc>
          <w:tcPr>
            <w:tcW w:w="3096" w:type="dxa"/>
            <w:hideMark/>
          </w:tcPr>
          <w:p w:rsidR="009B430D" w:rsidRPr="00AE6FC3" w:rsidRDefault="009B430D" w:rsidP="006F5F30">
            <w:pPr>
              <w:jc w:val="left"/>
              <w:rPr>
                <w:sz w:val="18"/>
                <w:szCs w:val="18"/>
              </w:rPr>
            </w:pPr>
            <w:r w:rsidRPr="00AE6FC3">
              <w:rPr>
                <w:sz w:val="18"/>
                <w:szCs w:val="18"/>
              </w:rPr>
              <w:t>Swiss Academy of Sciences</w:t>
            </w:r>
          </w:p>
        </w:tc>
        <w:tc>
          <w:tcPr>
            <w:tcW w:w="5697" w:type="dxa"/>
          </w:tcPr>
          <w:p w:rsidR="009B430D" w:rsidRPr="00AE6FC3" w:rsidRDefault="009D4331" w:rsidP="006F5F30">
            <w:pPr>
              <w:jc w:val="left"/>
              <w:rPr>
                <w:sz w:val="18"/>
                <w:szCs w:val="18"/>
              </w:rPr>
            </w:pPr>
            <w:hyperlink r:id="rId31" w:history="1">
              <w:r w:rsidR="009B430D" w:rsidRPr="00AE6FC3">
                <w:rPr>
                  <w:rStyle w:val="Hyperlink"/>
                  <w:color w:val="auto"/>
                  <w:szCs w:val="18"/>
                </w:rPr>
                <w:t>https://absch.cbd.int/database/A19A20/ABSCH-A19A20-SCBD-238868</w:t>
              </w:r>
            </w:hyperlink>
          </w:p>
          <w:p w:rsidR="009B430D" w:rsidRPr="00AE6FC3" w:rsidRDefault="009D4331" w:rsidP="006F5F30">
            <w:pPr>
              <w:jc w:val="left"/>
              <w:rPr>
                <w:sz w:val="18"/>
                <w:szCs w:val="18"/>
              </w:rPr>
            </w:pPr>
            <w:hyperlink r:id="rId32" w:history="1">
              <w:r w:rsidR="009B430D" w:rsidRPr="00AE6FC3">
                <w:rPr>
                  <w:rStyle w:val="Hyperlink"/>
                  <w:color w:val="auto"/>
                  <w:szCs w:val="18"/>
                </w:rPr>
                <w:t>https://naturwissenschaften.ch/organisations/biodiversity/abs</w:t>
              </w:r>
            </w:hyperlink>
          </w:p>
          <w:p w:rsidR="009B430D" w:rsidRPr="00AE6FC3" w:rsidRDefault="009B430D" w:rsidP="006F5F30">
            <w:pPr>
              <w:jc w:val="left"/>
              <w:rPr>
                <w:sz w:val="18"/>
                <w:szCs w:val="18"/>
              </w:rPr>
            </w:pPr>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lastRenderedPageBreak/>
              <w:t>Codes of conduct</w:t>
            </w:r>
          </w:p>
        </w:tc>
        <w:tc>
          <w:tcPr>
            <w:tcW w:w="3114" w:type="dxa"/>
            <w:hideMark/>
          </w:tcPr>
          <w:p w:rsidR="009B430D" w:rsidRPr="00AE6FC3" w:rsidRDefault="009B430D" w:rsidP="006F5F30">
            <w:pPr>
              <w:jc w:val="left"/>
              <w:rPr>
                <w:sz w:val="18"/>
                <w:szCs w:val="18"/>
              </w:rPr>
            </w:pPr>
            <w:r w:rsidRPr="00AE6FC3">
              <w:rPr>
                <w:sz w:val="18"/>
                <w:szCs w:val="18"/>
              </w:rPr>
              <w:t>Global Genome Biodiversity Network Guidance: Code of Conduct</w:t>
            </w:r>
          </w:p>
        </w:tc>
        <w:tc>
          <w:tcPr>
            <w:tcW w:w="3096" w:type="dxa"/>
            <w:hideMark/>
          </w:tcPr>
          <w:p w:rsidR="009B430D" w:rsidRPr="00AE6FC3" w:rsidRDefault="009B430D" w:rsidP="006F5F30">
            <w:pPr>
              <w:jc w:val="left"/>
              <w:rPr>
                <w:sz w:val="18"/>
                <w:szCs w:val="18"/>
              </w:rPr>
            </w:pPr>
            <w:r w:rsidRPr="00AE6FC3">
              <w:rPr>
                <w:sz w:val="18"/>
                <w:szCs w:val="18"/>
              </w:rPr>
              <w:t>Global Genome Biodiversity Network (GGBN)</w:t>
            </w:r>
          </w:p>
        </w:tc>
        <w:tc>
          <w:tcPr>
            <w:tcW w:w="5697" w:type="dxa"/>
          </w:tcPr>
          <w:p w:rsidR="009B430D" w:rsidRPr="00AE6FC3" w:rsidRDefault="009D4331" w:rsidP="006F5F30">
            <w:pPr>
              <w:jc w:val="left"/>
              <w:rPr>
                <w:sz w:val="18"/>
                <w:szCs w:val="18"/>
              </w:rPr>
            </w:pPr>
            <w:hyperlink r:id="rId33" w:history="1">
              <w:r w:rsidR="009B430D" w:rsidRPr="00AE6FC3">
                <w:rPr>
                  <w:rStyle w:val="Hyperlink"/>
                  <w:color w:val="auto"/>
                  <w:szCs w:val="18"/>
                </w:rPr>
                <w:t>https://absch.cbd.int/database/A19A20/ABSCH-A19A20-SCBD-208662</w:t>
              </w:r>
            </w:hyperlink>
          </w:p>
          <w:p w:rsidR="009B430D" w:rsidRPr="00AE6FC3" w:rsidRDefault="009D4331" w:rsidP="006F5F30">
            <w:pPr>
              <w:jc w:val="left"/>
              <w:rPr>
                <w:sz w:val="18"/>
                <w:szCs w:val="18"/>
              </w:rPr>
            </w:pPr>
            <w:hyperlink r:id="rId34" w:history="1">
              <w:r w:rsidR="009B430D" w:rsidRPr="00AE6FC3">
                <w:rPr>
                  <w:rStyle w:val="Hyperlink"/>
                  <w:color w:val="auto"/>
                  <w:szCs w:val="18"/>
                </w:rPr>
                <w:t>https://library.ggbn.org/share/s/UM5JietQR9aevtYDymHbjw</w:t>
              </w:r>
            </w:hyperlink>
          </w:p>
          <w:p w:rsidR="009B430D" w:rsidRPr="00AE6FC3" w:rsidRDefault="009B430D" w:rsidP="006F5F30">
            <w:pPr>
              <w:jc w:val="left"/>
              <w:rPr>
                <w:sz w:val="18"/>
                <w:szCs w:val="18"/>
              </w:rPr>
            </w:pPr>
          </w:p>
        </w:tc>
      </w:tr>
      <w:tr w:rsidR="009B430D" w:rsidRPr="00AE6FC3" w:rsidTr="006F5F30">
        <w:trPr>
          <w:trHeight w:val="288"/>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Codes of conduct</w:t>
            </w:r>
          </w:p>
        </w:tc>
        <w:tc>
          <w:tcPr>
            <w:tcW w:w="3114" w:type="dxa"/>
            <w:hideMark/>
          </w:tcPr>
          <w:p w:rsidR="009B430D" w:rsidRPr="00AE6FC3" w:rsidRDefault="009B430D" w:rsidP="006F5F30">
            <w:pPr>
              <w:jc w:val="left"/>
              <w:rPr>
                <w:sz w:val="18"/>
                <w:szCs w:val="18"/>
              </w:rPr>
            </w:pPr>
            <w:r w:rsidRPr="00AE6FC3">
              <w:rPr>
                <w:sz w:val="18"/>
                <w:szCs w:val="18"/>
              </w:rPr>
              <w:t>International Code of Nomenclature of Prokaryotes</w:t>
            </w:r>
          </w:p>
        </w:tc>
        <w:tc>
          <w:tcPr>
            <w:tcW w:w="3096" w:type="dxa"/>
            <w:hideMark/>
          </w:tcPr>
          <w:p w:rsidR="009B430D" w:rsidRPr="00AE6FC3" w:rsidRDefault="009B430D" w:rsidP="006F5F30">
            <w:pPr>
              <w:jc w:val="left"/>
              <w:rPr>
                <w:sz w:val="18"/>
                <w:szCs w:val="18"/>
              </w:rPr>
            </w:pPr>
            <w:r w:rsidRPr="00AE6FC3">
              <w:rPr>
                <w:sz w:val="18"/>
                <w:szCs w:val="18"/>
              </w:rPr>
              <w:t>Microbiology Society</w:t>
            </w:r>
          </w:p>
        </w:tc>
        <w:tc>
          <w:tcPr>
            <w:tcW w:w="5697" w:type="dxa"/>
          </w:tcPr>
          <w:p w:rsidR="009B430D" w:rsidRPr="00AE6FC3" w:rsidRDefault="009D4331" w:rsidP="006F5F30">
            <w:pPr>
              <w:jc w:val="left"/>
              <w:rPr>
                <w:sz w:val="18"/>
                <w:szCs w:val="18"/>
              </w:rPr>
            </w:pPr>
            <w:hyperlink r:id="rId35" w:history="1">
              <w:r w:rsidR="009B430D" w:rsidRPr="00AE6FC3">
                <w:rPr>
                  <w:rStyle w:val="Hyperlink"/>
                  <w:color w:val="auto"/>
                  <w:szCs w:val="18"/>
                </w:rPr>
                <w:t>https://absch.cbd.int/database/A19A20/ABSCH-A19A20-SCBD-237638</w:t>
              </w:r>
            </w:hyperlink>
          </w:p>
          <w:p w:rsidR="009B430D" w:rsidRPr="00AE6FC3" w:rsidRDefault="009B430D" w:rsidP="006F5F30">
            <w:pPr>
              <w:jc w:val="left"/>
              <w:rPr>
                <w:sz w:val="18"/>
                <w:szCs w:val="18"/>
              </w:rPr>
            </w:pPr>
          </w:p>
        </w:tc>
      </w:tr>
      <w:tr w:rsidR="009B430D" w:rsidRPr="009D4331" w:rsidTr="006F5F30">
        <w:trPr>
          <w:trHeight w:val="720"/>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Codes of conduct</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hideMark/>
          </w:tcPr>
          <w:p w:rsidR="009B430D" w:rsidRPr="00AE6FC3" w:rsidRDefault="009B430D" w:rsidP="006F5F30">
            <w:pPr>
              <w:jc w:val="left"/>
              <w:rPr>
                <w:sz w:val="18"/>
                <w:szCs w:val="18"/>
                <w:lang w:val="es-ES"/>
              </w:rPr>
            </w:pPr>
            <w:r w:rsidRPr="00AE6FC3">
              <w:rPr>
                <w:sz w:val="18"/>
                <w:szCs w:val="18"/>
                <w:lang w:val="es-ES"/>
              </w:rPr>
              <w:t>Código de Conducta para el Acceso y Uso de la Biodiversidad Vegetal en los que participen los jardines botánicos de México y Compendio de Buenas Prácticas de Acceso y Uso de la Biodiversidad Vegetal</w:t>
            </w:r>
          </w:p>
        </w:tc>
        <w:tc>
          <w:tcPr>
            <w:tcW w:w="3096" w:type="dxa"/>
            <w:hideMark/>
          </w:tcPr>
          <w:p w:rsidR="009B430D" w:rsidRPr="00AE6FC3" w:rsidRDefault="009B430D" w:rsidP="006F5F30">
            <w:pPr>
              <w:jc w:val="left"/>
              <w:rPr>
                <w:sz w:val="18"/>
                <w:szCs w:val="18"/>
                <w:lang w:val="es-ES"/>
              </w:rPr>
            </w:pPr>
            <w:r w:rsidRPr="00AE6FC3">
              <w:rPr>
                <w:sz w:val="18"/>
                <w:szCs w:val="18"/>
                <w:lang w:val="es-ES"/>
              </w:rPr>
              <w:t>Asociación Mexicana de Jardines Botánicos</w:t>
            </w:r>
          </w:p>
        </w:tc>
        <w:tc>
          <w:tcPr>
            <w:tcW w:w="5697" w:type="dxa"/>
          </w:tcPr>
          <w:p w:rsidR="009B430D" w:rsidRPr="00AE6FC3" w:rsidRDefault="00785C78" w:rsidP="006F5F30">
            <w:pPr>
              <w:jc w:val="left"/>
              <w:rPr>
                <w:sz w:val="18"/>
                <w:szCs w:val="18"/>
                <w:lang w:val="es-ES"/>
              </w:rPr>
            </w:pPr>
            <w:hyperlink r:id="rId36" w:history="1">
              <w:r w:rsidR="009B430D" w:rsidRPr="00AE6FC3">
                <w:rPr>
                  <w:rStyle w:val="Hyperlink"/>
                  <w:color w:val="auto"/>
                  <w:szCs w:val="18"/>
                  <w:lang w:val="es-ES"/>
                </w:rPr>
                <w:t>https://absch.cbd.int/database/A19A20/ABSCH-A19A20-SCBD-238348</w:t>
              </w:r>
            </w:hyperlink>
          </w:p>
          <w:p w:rsidR="009B430D" w:rsidRPr="00AE6FC3" w:rsidRDefault="009B430D" w:rsidP="006F5F30">
            <w:pPr>
              <w:jc w:val="left"/>
              <w:rPr>
                <w:sz w:val="18"/>
                <w:szCs w:val="18"/>
                <w:lang w:val="es-ES"/>
              </w:rPr>
            </w:pPr>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Codes of conduct</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documents</w:t>
            </w:r>
          </w:p>
        </w:tc>
        <w:tc>
          <w:tcPr>
            <w:tcW w:w="3114" w:type="dxa"/>
            <w:hideMark/>
          </w:tcPr>
          <w:p w:rsidR="009B430D" w:rsidRPr="00AE6FC3" w:rsidRDefault="009B430D" w:rsidP="006F5F30">
            <w:pPr>
              <w:jc w:val="left"/>
              <w:rPr>
                <w:sz w:val="18"/>
                <w:szCs w:val="18"/>
              </w:rPr>
            </w:pPr>
            <w:r w:rsidRPr="00AE6FC3">
              <w:rPr>
                <w:sz w:val="18"/>
                <w:szCs w:val="18"/>
              </w:rPr>
              <w:t>MOSAICC - Micro-Organisms Sustainable use and Access regulation International Code of Conduct</w:t>
            </w:r>
          </w:p>
        </w:tc>
        <w:tc>
          <w:tcPr>
            <w:tcW w:w="3096" w:type="dxa"/>
            <w:hideMark/>
          </w:tcPr>
          <w:p w:rsidR="009B430D" w:rsidRPr="00AE6FC3" w:rsidRDefault="009B430D" w:rsidP="006F5F30">
            <w:pPr>
              <w:jc w:val="left"/>
              <w:rPr>
                <w:sz w:val="18"/>
                <w:szCs w:val="18"/>
              </w:rPr>
            </w:pPr>
            <w:r w:rsidRPr="00AE6FC3">
              <w:rPr>
                <w:sz w:val="18"/>
                <w:szCs w:val="18"/>
              </w:rPr>
              <w:t>Belgian Science Policy Office (Belspo)</w:t>
            </w:r>
          </w:p>
        </w:tc>
        <w:tc>
          <w:tcPr>
            <w:tcW w:w="5697" w:type="dxa"/>
          </w:tcPr>
          <w:p w:rsidR="009B430D" w:rsidRPr="00AE6FC3" w:rsidRDefault="009D4331" w:rsidP="006F5F30">
            <w:pPr>
              <w:jc w:val="left"/>
              <w:rPr>
                <w:sz w:val="18"/>
                <w:szCs w:val="18"/>
              </w:rPr>
            </w:pPr>
            <w:hyperlink r:id="rId37" w:history="1">
              <w:r w:rsidR="009B430D" w:rsidRPr="00AE6FC3">
                <w:rPr>
                  <w:rStyle w:val="Hyperlink"/>
                  <w:color w:val="auto"/>
                  <w:szCs w:val="18"/>
                </w:rPr>
                <w:t>https://absch.cbd.int/database/A19A20/ABSCH-A19A20-SCBD-207283</w:t>
              </w:r>
            </w:hyperlink>
          </w:p>
          <w:p w:rsidR="009B430D" w:rsidRPr="00AE6FC3" w:rsidRDefault="009D4331" w:rsidP="006F5F30">
            <w:pPr>
              <w:jc w:val="left"/>
              <w:rPr>
                <w:iCs/>
                <w:sz w:val="18"/>
                <w:szCs w:val="18"/>
              </w:rPr>
            </w:pPr>
            <w:hyperlink r:id="rId38" w:history="1">
              <w:r w:rsidR="009B430D" w:rsidRPr="00AE6FC3">
                <w:rPr>
                  <w:rStyle w:val="Hyperlink"/>
                  <w:iCs/>
                  <w:color w:val="auto"/>
                  <w:szCs w:val="18"/>
                </w:rPr>
                <w:t>http://bccm.belspo.be/projects/mosaicc</w:t>
              </w:r>
            </w:hyperlink>
          </w:p>
          <w:p w:rsidR="009B430D" w:rsidRPr="00AE6FC3" w:rsidRDefault="009B430D" w:rsidP="006F5F30">
            <w:pPr>
              <w:jc w:val="left"/>
              <w:rPr>
                <w:iCs/>
                <w:sz w:val="18"/>
                <w:szCs w:val="18"/>
              </w:rPr>
            </w:pPr>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Codes of conduct</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Standards</w:t>
            </w:r>
          </w:p>
        </w:tc>
        <w:tc>
          <w:tcPr>
            <w:tcW w:w="3114" w:type="dxa"/>
            <w:hideMark/>
          </w:tcPr>
          <w:p w:rsidR="009B430D" w:rsidRPr="00AE6FC3" w:rsidRDefault="009B430D" w:rsidP="006F5F30">
            <w:pPr>
              <w:jc w:val="left"/>
              <w:rPr>
                <w:sz w:val="18"/>
                <w:szCs w:val="18"/>
              </w:rPr>
            </w:pPr>
            <w:r w:rsidRPr="00AE6FC3">
              <w:rPr>
                <w:sz w:val="18"/>
                <w:szCs w:val="18"/>
              </w:rPr>
              <w:t>International Society of Ethnobiology Code of Ethics</w:t>
            </w:r>
          </w:p>
        </w:tc>
        <w:tc>
          <w:tcPr>
            <w:tcW w:w="3096" w:type="dxa"/>
            <w:hideMark/>
          </w:tcPr>
          <w:p w:rsidR="009B430D" w:rsidRPr="00AE6FC3" w:rsidRDefault="009B430D" w:rsidP="006F5F30">
            <w:pPr>
              <w:jc w:val="left"/>
              <w:rPr>
                <w:sz w:val="18"/>
                <w:szCs w:val="18"/>
              </w:rPr>
            </w:pPr>
            <w:r w:rsidRPr="00AE6FC3">
              <w:rPr>
                <w:sz w:val="18"/>
                <w:szCs w:val="18"/>
              </w:rPr>
              <w:t>International Society of Ethnobiology (ISE)</w:t>
            </w:r>
          </w:p>
        </w:tc>
        <w:tc>
          <w:tcPr>
            <w:tcW w:w="5697" w:type="dxa"/>
          </w:tcPr>
          <w:p w:rsidR="009B430D" w:rsidRPr="00AE6FC3" w:rsidRDefault="009D4331" w:rsidP="006F5F30">
            <w:pPr>
              <w:jc w:val="left"/>
              <w:rPr>
                <w:sz w:val="18"/>
                <w:szCs w:val="18"/>
              </w:rPr>
            </w:pPr>
            <w:hyperlink r:id="rId39" w:history="1">
              <w:r w:rsidR="009B430D" w:rsidRPr="00AE6FC3">
                <w:rPr>
                  <w:rStyle w:val="Hyperlink"/>
                  <w:color w:val="auto"/>
                  <w:szCs w:val="18"/>
                </w:rPr>
                <w:t>https://absch.cbd.int/database/A19A20/ABSCH-A19A20-SCBD-238060</w:t>
              </w:r>
            </w:hyperlink>
          </w:p>
          <w:p w:rsidR="009B430D" w:rsidRPr="00AE6FC3" w:rsidRDefault="009D4331" w:rsidP="006F5F30">
            <w:pPr>
              <w:jc w:val="left"/>
              <w:rPr>
                <w:sz w:val="18"/>
                <w:szCs w:val="18"/>
              </w:rPr>
            </w:pPr>
            <w:hyperlink r:id="rId40" w:history="1">
              <w:r w:rsidR="009B430D" w:rsidRPr="00AE6FC3">
                <w:rPr>
                  <w:rStyle w:val="Hyperlink"/>
                  <w:color w:val="auto"/>
                  <w:szCs w:val="18"/>
                </w:rPr>
                <w:t>http://www.ethnobiology.net/what-we-do/core-programs/ise-ethics-program/code-of-ethics/</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Codes of conduct</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National or domestic guidelines</w:t>
            </w:r>
          </w:p>
        </w:tc>
        <w:tc>
          <w:tcPr>
            <w:tcW w:w="3114" w:type="dxa"/>
            <w:hideMark/>
          </w:tcPr>
          <w:p w:rsidR="009B430D" w:rsidRPr="00AE6FC3" w:rsidRDefault="009B430D" w:rsidP="006F5F30">
            <w:pPr>
              <w:jc w:val="left"/>
              <w:rPr>
                <w:sz w:val="18"/>
                <w:szCs w:val="18"/>
              </w:rPr>
            </w:pPr>
            <w:r w:rsidRPr="00AE6FC3">
              <w:rPr>
                <w:sz w:val="18"/>
                <w:szCs w:val="18"/>
              </w:rPr>
              <w:t>Fair and equitable benefit sharing: Manual for the assessment of policies and practices along natural ingredient supply chains</w:t>
            </w:r>
          </w:p>
        </w:tc>
        <w:tc>
          <w:tcPr>
            <w:tcW w:w="3096" w:type="dxa"/>
            <w:hideMark/>
          </w:tcPr>
          <w:p w:rsidR="009B430D" w:rsidRPr="00AE6FC3" w:rsidRDefault="009B430D" w:rsidP="006F5F30">
            <w:pPr>
              <w:jc w:val="left"/>
              <w:rPr>
                <w:sz w:val="18"/>
                <w:szCs w:val="18"/>
              </w:rPr>
            </w:pPr>
            <w:r w:rsidRPr="00AE6FC3">
              <w:rPr>
                <w:sz w:val="18"/>
                <w:szCs w:val="18"/>
              </w:rPr>
              <w:t>Union for Ethical BioTrade (UEBT)</w:t>
            </w:r>
          </w:p>
        </w:tc>
        <w:tc>
          <w:tcPr>
            <w:tcW w:w="5697" w:type="dxa"/>
          </w:tcPr>
          <w:p w:rsidR="009B430D" w:rsidRPr="00AE6FC3" w:rsidRDefault="009D4331" w:rsidP="006F5F30">
            <w:pPr>
              <w:jc w:val="left"/>
              <w:rPr>
                <w:sz w:val="18"/>
                <w:szCs w:val="18"/>
              </w:rPr>
            </w:pPr>
            <w:hyperlink r:id="rId41" w:history="1">
              <w:r w:rsidR="009B430D" w:rsidRPr="00AE6FC3">
                <w:rPr>
                  <w:rStyle w:val="Hyperlink"/>
                  <w:color w:val="auto"/>
                  <w:szCs w:val="18"/>
                </w:rPr>
                <w:t>https://absch.cbd.int/database/A19A20/ABSCH-A19A20-SCBD-207320</w:t>
              </w:r>
            </w:hyperlink>
          </w:p>
          <w:p w:rsidR="009B430D" w:rsidRPr="00AE6FC3" w:rsidRDefault="009D4331" w:rsidP="006F5F30">
            <w:pPr>
              <w:jc w:val="left"/>
              <w:rPr>
                <w:sz w:val="18"/>
                <w:szCs w:val="18"/>
              </w:rPr>
            </w:pPr>
            <w:hyperlink r:id="rId42" w:history="1">
              <w:r w:rsidR="009B430D" w:rsidRPr="00AE6FC3">
                <w:rPr>
                  <w:rStyle w:val="Hyperlink"/>
                  <w:color w:val="auto"/>
                  <w:szCs w:val="18"/>
                </w:rPr>
                <w:t>http://ethicalbiotrade.org/dl/benefit-sharing/ABS_manual_ENG.pdf</w:t>
              </w:r>
            </w:hyperlink>
          </w:p>
          <w:p w:rsidR="009B430D" w:rsidRPr="00AE6FC3" w:rsidRDefault="009B430D" w:rsidP="006F5F30">
            <w:pPr>
              <w:jc w:val="left"/>
              <w:rPr>
                <w:sz w:val="18"/>
                <w:szCs w:val="18"/>
              </w:rPr>
            </w:pPr>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National or domestic guidelines</w:t>
            </w:r>
          </w:p>
          <w:p w:rsidR="00E92DDB" w:rsidRPr="00AE6FC3" w:rsidRDefault="00E92DDB"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hideMark/>
          </w:tcPr>
          <w:p w:rsidR="009B430D" w:rsidRPr="00AE6FC3" w:rsidRDefault="009B430D" w:rsidP="006F5F30">
            <w:pPr>
              <w:jc w:val="left"/>
              <w:rPr>
                <w:sz w:val="18"/>
                <w:szCs w:val="18"/>
              </w:rPr>
            </w:pPr>
            <w:r w:rsidRPr="00AE6FC3">
              <w:rPr>
                <w:sz w:val="18"/>
                <w:szCs w:val="18"/>
              </w:rPr>
              <w:t>Access and Benefit Sharing Toolkit</w:t>
            </w:r>
          </w:p>
        </w:tc>
        <w:tc>
          <w:tcPr>
            <w:tcW w:w="3096" w:type="dxa"/>
            <w:hideMark/>
          </w:tcPr>
          <w:p w:rsidR="009B430D" w:rsidRPr="00AE6FC3" w:rsidRDefault="009B430D" w:rsidP="006F5F30">
            <w:pPr>
              <w:jc w:val="left"/>
              <w:rPr>
                <w:sz w:val="18"/>
                <w:szCs w:val="18"/>
              </w:rPr>
            </w:pPr>
            <w:r w:rsidRPr="00AE6FC3">
              <w:rPr>
                <w:sz w:val="18"/>
                <w:szCs w:val="18"/>
              </w:rPr>
              <w:t>Kenya- National Environment Management Authority</w:t>
            </w:r>
          </w:p>
        </w:tc>
        <w:tc>
          <w:tcPr>
            <w:tcW w:w="5697" w:type="dxa"/>
          </w:tcPr>
          <w:p w:rsidR="009B430D" w:rsidRPr="00AE6FC3" w:rsidRDefault="009D4331" w:rsidP="006F5F30">
            <w:pPr>
              <w:jc w:val="left"/>
              <w:rPr>
                <w:sz w:val="18"/>
                <w:szCs w:val="18"/>
              </w:rPr>
            </w:pPr>
            <w:hyperlink r:id="rId43" w:history="1">
              <w:r w:rsidR="009B430D" w:rsidRPr="00AE6FC3">
                <w:rPr>
                  <w:rStyle w:val="Hyperlink"/>
                  <w:color w:val="auto"/>
                  <w:szCs w:val="18"/>
                </w:rPr>
                <w:t>https://absch.cbd.int/database/A19A20/ABSCH-A19A20-SCBD-208068</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National or domestic guidelines</w:t>
            </w:r>
          </w:p>
        </w:tc>
        <w:tc>
          <w:tcPr>
            <w:tcW w:w="3114" w:type="dxa"/>
            <w:hideMark/>
          </w:tcPr>
          <w:p w:rsidR="009B430D" w:rsidRPr="00AE6FC3" w:rsidRDefault="009B430D" w:rsidP="006F5F30">
            <w:pPr>
              <w:jc w:val="left"/>
              <w:rPr>
                <w:sz w:val="18"/>
                <w:szCs w:val="18"/>
              </w:rPr>
            </w:pPr>
            <w:r w:rsidRPr="00AE6FC3">
              <w:rPr>
                <w:sz w:val="18"/>
                <w:szCs w:val="18"/>
              </w:rPr>
              <w:t>Guidelines on Access to Genetic Resources for Users in Japan (Second Edition)</w:t>
            </w:r>
          </w:p>
        </w:tc>
        <w:tc>
          <w:tcPr>
            <w:tcW w:w="3096" w:type="dxa"/>
            <w:hideMark/>
          </w:tcPr>
          <w:p w:rsidR="009B430D" w:rsidRPr="00AE6FC3" w:rsidRDefault="009B430D" w:rsidP="006F5F30">
            <w:pPr>
              <w:jc w:val="left"/>
              <w:rPr>
                <w:sz w:val="18"/>
                <w:szCs w:val="18"/>
              </w:rPr>
            </w:pPr>
            <w:r w:rsidRPr="00AE6FC3">
              <w:rPr>
                <w:sz w:val="18"/>
                <w:szCs w:val="18"/>
              </w:rPr>
              <w:t>Ministry of Economy, Trade and Industry, Japan (METI)</w:t>
            </w:r>
            <w:r w:rsidRPr="00AE6FC3">
              <w:rPr>
                <w:sz w:val="18"/>
                <w:szCs w:val="18"/>
              </w:rPr>
              <w:br/>
              <w:t>Japan Bioindustry Association (JBA)</w:t>
            </w:r>
          </w:p>
        </w:tc>
        <w:tc>
          <w:tcPr>
            <w:tcW w:w="5697" w:type="dxa"/>
          </w:tcPr>
          <w:p w:rsidR="009B430D" w:rsidRPr="00AE6FC3" w:rsidRDefault="009D4331" w:rsidP="006F5F30">
            <w:pPr>
              <w:jc w:val="left"/>
              <w:rPr>
                <w:sz w:val="18"/>
                <w:szCs w:val="18"/>
              </w:rPr>
            </w:pPr>
            <w:hyperlink r:id="rId44" w:history="1">
              <w:r w:rsidR="009B430D" w:rsidRPr="00AE6FC3">
                <w:rPr>
                  <w:rStyle w:val="Hyperlink"/>
                  <w:color w:val="auto"/>
                  <w:szCs w:val="18"/>
                </w:rPr>
                <w:t>https://absch.cbd.int/database/A19A20/ABSCH-A19A20-SCBD-207597</w:t>
              </w:r>
            </w:hyperlink>
          </w:p>
          <w:p w:rsidR="009B430D" w:rsidRPr="00AE6FC3" w:rsidRDefault="009D4331" w:rsidP="006F5F30">
            <w:pPr>
              <w:jc w:val="left"/>
              <w:rPr>
                <w:sz w:val="18"/>
                <w:szCs w:val="18"/>
              </w:rPr>
            </w:pPr>
            <w:hyperlink r:id="rId45" w:history="1">
              <w:r w:rsidR="009B430D" w:rsidRPr="00AE6FC3">
                <w:rPr>
                  <w:rStyle w:val="Hyperlink"/>
                  <w:color w:val="auto"/>
                  <w:szCs w:val="18"/>
                </w:rPr>
                <w:t>http://www.mabs.jp/archives/pdf/iden_tebiki_e_v2.pdf</w:t>
              </w:r>
            </w:hyperlink>
          </w:p>
          <w:p w:rsidR="009B430D" w:rsidRPr="00AE6FC3" w:rsidRDefault="009B430D" w:rsidP="006F5F30">
            <w:pPr>
              <w:jc w:val="left"/>
              <w:rPr>
                <w:sz w:val="18"/>
                <w:szCs w:val="18"/>
              </w:rPr>
            </w:pPr>
          </w:p>
        </w:tc>
      </w:tr>
      <w:tr w:rsidR="009B430D" w:rsidRPr="00AE6FC3" w:rsidTr="006F5F30">
        <w:trPr>
          <w:trHeight w:val="864"/>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National or domestic guidelines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hideMark/>
          </w:tcPr>
          <w:p w:rsidR="009B430D" w:rsidRPr="00AE6FC3" w:rsidRDefault="009B430D" w:rsidP="006F5F30">
            <w:pPr>
              <w:jc w:val="left"/>
              <w:rPr>
                <w:sz w:val="18"/>
                <w:szCs w:val="18"/>
              </w:rPr>
            </w:pPr>
            <w:r w:rsidRPr="00AE6FC3">
              <w:rPr>
                <w:sz w:val="18"/>
                <w:szCs w:val="18"/>
              </w:rPr>
              <w:t>Guidelines for IFPMA (International Federation of Pharmaceutical Manufacturers and Associations) Members on Access to Genetic Resources and Equitable Sharing of Benefits Arising out of their Utilization</w:t>
            </w:r>
          </w:p>
        </w:tc>
        <w:tc>
          <w:tcPr>
            <w:tcW w:w="3096" w:type="dxa"/>
            <w:hideMark/>
          </w:tcPr>
          <w:p w:rsidR="009B430D" w:rsidRPr="00AE6FC3" w:rsidRDefault="009B430D" w:rsidP="006F5F30">
            <w:pPr>
              <w:jc w:val="left"/>
              <w:rPr>
                <w:sz w:val="18"/>
                <w:szCs w:val="18"/>
              </w:rPr>
            </w:pPr>
            <w:r w:rsidRPr="00AE6FC3">
              <w:rPr>
                <w:sz w:val="18"/>
                <w:szCs w:val="18"/>
              </w:rPr>
              <w:t>International Federation of Pharmaceutical Manufacturers and Associations</w:t>
            </w:r>
          </w:p>
        </w:tc>
        <w:tc>
          <w:tcPr>
            <w:tcW w:w="5697" w:type="dxa"/>
          </w:tcPr>
          <w:p w:rsidR="009B430D" w:rsidRPr="00AE6FC3" w:rsidRDefault="009D4331" w:rsidP="006F5F30">
            <w:pPr>
              <w:jc w:val="left"/>
              <w:rPr>
                <w:sz w:val="18"/>
                <w:szCs w:val="18"/>
              </w:rPr>
            </w:pPr>
            <w:hyperlink r:id="rId46" w:history="1">
              <w:r w:rsidR="009B430D" w:rsidRPr="00AE6FC3">
                <w:rPr>
                  <w:rStyle w:val="Hyperlink"/>
                  <w:color w:val="auto"/>
                  <w:szCs w:val="18"/>
                </w:rPr>
                <w:t>https://absch.cbd.int/database/A19A20/ABSCH-A19A20-SCBD-204326</w:t>
              </w:r>
            </w:hyperlink>
          </w:p>
          <w:p w:rsidR="009B430D" w:rsidRPr="00AE6FC3" w:rsidRDefault="009B430D" w:rsidP="006F5F30">
            <w:pPr>
              <w:jc w:val="left"/>
              <w:rPr>
                <w:sz w:val="18"/>
                <w:szCs w:val="18"/>
              </w:rPr>
            </w:pPr>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hideMark/>
          </w:tcPr>
          <w:p w:rsidR="009B430D" w:rsidRPr="00AE6FC3" w:rsidRDefault="009B430D" w:rsidP="006F5F30">
            <w:pPr>
              <w:jc w:val="left"/>
              <w:rPr>
                <w:sz w:val="18"/>
                <w:szCs w:val="18"/>
              </w:rPr>
            </w:pPr>
            <w:r w:rsidRPr="00AE6FC3">
              <w:rPr>
                <w:sz w:val="18"/>
                <w:szCs w:val="18"/>
              </w:rPr>
              <w:t>MIRRI Best Practice Manual on Access and Benefit Sharing</w:t>
            </w:r>
          </w:p>
        </w:tc>
        <w:tc>
          <w:tcPr>
            <w:tcW w:w="3096" w:type="dxa"/>
            <w:hideMark/>
          </w:tcPr>
          <w:p w:rsidR="009B430D" w:rsidRPr="00AE6FC3" w:rsidRDefault="009B430D" w:rsidP="006F5F30">
            <w:pPr>
              <w:jc w:val="left"/>
              <w:rPr>
                <w:sz w:val="18"/>
                <w:szCs w:val="18"/>
              </w:rPr>
            </w:pPr>
            <w:r w:rsidRPr="00AE6FC3">
              <w:rPr>
                <w:sz w:val="18"/>
                <w:szCs w:val="18"/>
              </w:rPr>
              <w:t>Microbial Resource Research Infrastructure (MIRRI)</w:t>
            </w:r>
          </w:p>
        </w:tc>
        <w:tc>
          <w:tcPr>
            <w:tcW w:w="5697" w:type="dxa"/>
          </w:tcPr>
          <w:p w:rsidR="009B430D" w:rsidRPr="00AE6FC3" w:rsidRDefault="009D4331" w:rsidP="006F5F30">
            <w:pPr>
              <w:jc w:val="left"/>
              <w:rPr>
                <w:sz w:val="18"/>
                <w:szCs w:val="18"/>
              </w:rPr>
            </w:pPr>
            <w:hyperlink r:id="rId47" w:history="1">
              <w:r w:rsidR="009B430D" w:rsidRPr="00AE6FC3">
                <w:rPr>
                  <w:rStyle w:val="Hyperlink"/>
                  <w:color w:val="auto"/>
                  <w:szCs w:val="18"/>
                </w:rPr>
                <w:t>https://absch.cbd.int/database/A19A20/ABSCH-A19A20-SCBD-208213</w:t>
              </w:r>
            </w:hyperlink>
          </w:p>
          <w:p w:rsidR="009B430D" w:rsidRPr="00AE6FC3" w:rsidRDefault="009D4331" w:rsidP="006F5F30">
            <w:pPr>
              <w:jc w:val="left"/>
              <w:rPr>
                <w:sz w:val="18"/>
                <w:szCs w:val="18"/>
              </w:rPr>
            </w:pPr>
            <w:hyperlink r:id="rId48" w:history="1">
              <w:r w:rsidR="009B430D" w:rsidRPr="00AE6FC3">
                <w:rPr>
                  <w:rStyle w:val="Hyperlink"/>
                  <w:color w:val="auto"/>
                  <w:szCs w:val="18"/>
                </w:rPr>
                <w:t>https://www.mirri.org/fileadmin/mirri/media/Dokumente/generalDocs/MIRRI_ABS_Manual_web.pdf</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hideMark/>
          </w:tcPr>
          <w:p w:rsidR="009B430D" w:rsidRPr="00AE6FC3" w:rsidRDefault="009B430D" w:rsidP="006F5F30">
            <w:pPr>
              <w:jc w:val="left"/>
              <w:rPr>
                <w:sz w:val="18"/>
                <w:szCs w:val="18"/>
              </w:rPr>
            </w:pPr>
            <w:r w:rsidRPr="00AE6FC3">
              <w:rPr>
                <w:sz w:val="18"/>
                <w:szCs w:val="18"/>
              </w:rPr>
              <w:t>African Union Guidelines for the Coordinated Implementation of the Nagoya Protocol on ABS: The Strategic Framework</w:t>
            </w:r>
          </w:p>
        </w:tc>
        <w:tc>
          <w:tcPr>
            <w:tcW w:w="3096" w:type="dxa"/>
            <w:hideMark/>
          </w:tcPr>
          <w:p w:rsidR="009B430D" w:rsidRPr="00AE6FC3" w:rsidRDefault="009B430D" w:rsidP="006F5F30">
            <w:pPr>
              <w:jc w:val="left"/>
              <w:rPr>
                <w:sz w:val="18"/>
                <w:szCs w:val="18"/>
              </w:rPr>
            </w:pPr>
            <w:r w:rsidRPr="00AE6FC3">
              <w:rPr>
                <w:sz w:val="18"/>
                <w:szCs w:val="18"/>
              </w:rPr>
              <w:t>African Union Commission Department of Human Resources Science and Technology</w:t>
            </w:r>
          </w:p>
        </w:tc>
        <w:tc>
          <w:tcPr>
            <w:tcW w:w="5697" w:type="dxa"/>
          </w:tcPr>
          <w:p w:rsidR="009B430D" w:rsidRPr="00AE6FC3" w:rsidRDefault="009D4331" w:rsidP="006F5F30">
            <w:pPr>
              <w:jc w:val="left"/>
              <w:rPr>
                <w:sz w:val="18"/>
                <w:szCs w:val="18"/>
              </w:rPr>
            </w:pPr>
            <w:hyperlink r:id="rId49" w:history="1">
              <w:r w:rsidR="009B430D" w:rsidRPr="00AE6FC3">
                <w:rPr>
                  <w:rStyle w:val="Hyperlink"/>
                  <w:color w:val="auto"/>
                  <w:szCs w:val="18"/>
                </w:rPr>
                <w:t>https://absch.cbd.int/database/A19A20/ABSCH-A19A20-SCBD-207247</w:t>
              </w:r>
            </w:hyperlink>
          </w:p>
          <w:p w:rsidR="009B430D" w:rsidRPr="00AE6FC3" w:rsidRDefault="009B430D" w:rsidP="006F5F30">
            <w:pPr>
              <w:jc w:val="left"/>
              <w:rPr>
                <w:sz w:val="18"/>
                <w:szCs w:val="18"/>
              </w:rPr>
            </w:pPr>
          </w:p>
        </w:tc>
      </w:tr>
      <w:tr w:rsidR="009B430D"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lastRenderedPageBreak/>
              <w:t>Best practices</w:t>
            </w:r>
          </w:p>
        </w:tc>
        <w:tc>
          <w:tcPr>
            <w:tcW w:w="3114" w:type="dxa"/>
            <w:hideMark/>
          </w:tcPr>
          <w:p w:rsidR="009B430D" w:rsidRPr="00AE6FC3" w:rsidRDefault="009B430D" w:rsidP="006F5F30">
            <w:pPr>
              <w:jc w:val="left"/>
              <w:rPr>
                <w:sz w:val="18"/>
                <w:szCs w:val="18"/>
              </w:rPr>
            </w:pPr>
            <w:r w:rsidRPr="00AE6FC3">
              <w:rPr>
                <w:sz w:val="18"/>
                <w:szCs w:val="18"/>
              </w:rPr>
              <w:t>Global Genome Biodiversity Network Guidance: Best Practice</w:t>
            </w:r>
          </w:p>
        </w:tc>
        <w:tc>
          <w:tcPr>
            <w:tcW w:w="3096" w:type="dxa"/>
            <w:hideMark/>
          </w:tcPr>
          <w:p w:rsidR="009B430D" w:rsidRPr="00AE6FC3" w:rsidRDefault="009B430D" w:rsidP="006F5F30">
            <w:pPr>
              <w:jc w:val="left"/>
              <w:rPr>
                <w:sz w:val="18"/>
                <w:szCs w:val="18"/>
              </w:rPr>
            </w:pPr>
            <w:r w:rsidRPr="00AE6FC3">
              <w:rPr>
                <w:sz w:val="18"/>
                <w:szCs w:val="18"/>
              </w:rPr>
              <w:t>Global Genome Biodiversity Network (GGBN)</w:t>
            </w:r>
          </w:p>
        </w:tc>
        <w:tc>
          <w:tcPr>
            <w:tcW w:w="5697" w:type="dxa"/>
          </w:tcPr>
          <w:p w:rsidR="009B430D" w:rsidRPr="00AE6FC3" w:rsidRDefault="009D4331" w:rsidP="006F5F30">
            <w:pPr>
              <w:jc w:val="left"/>
              <w:rPr>
                <w:sz w:val="18"/>
                <w:szCs w:val="18"/>
              </w:rPr>
            </w:pPr>
            <w:hyperlink r:id="rId50" w:history="1">
              <w:r w:rsidR="009B430D" w:rsidRPr="00AE6FC3">
                <w:rPr>
                  <w:rStyle w:val="Hyperlink"/>
                  <w:color w:val="auto"/>
                  <w:szCs w:val="18"/>
                </w:rPr>
                <w:t>https://absch.cbd.int/database/A19A20/ABSCH-A19A20-SCBD-208660</w:t>
              </w:r>
            </w:hyperlink>
          </w:p>
          <w:p w:rsidR="009B430D" w:rsidRPr="00AE6FC3" w:rsidRDefault="009D4331" w:rsidP="006F5F30">
            <w:pPr>
              <w:jc w:val="left"/>
              <w:rPr>
                <w:sz w:val="18"/>
                <w:szCs w:val="18"/>
              </w:rPr>
            </w:pPr>
            <w:hyperlink r:id="rId51" w:history="1">
              <w:r w:rsidR="009B430D" w:rsidRPr="00AE6FC3">
                <w:rPr>
                  <w:rStyle w:val="Hyperlink"/>
                  <w:color w:val="auto"/>
                  <w:szCs w:val="18"/>
                </w:rPr>
                <w:t>https://library.ggbn.org/share/s/AyZENG2hSMmXH0KFPz5yfg</w:t>
              </w:r>
            </w:hyperlink>
          </w:p>
          <w:p w:rsidR="009B430D" w:rsidRPr="00AE6FC3" w:rsidRDefault="009B430D" w:rsidP="006F5F30">
            <w:pPr>
              <w:jc w:val="left"/>
              <w:rPr>
                <w:sz w:val="18"/>
                <w:szCs w:val="18"/>
              </w:rPr>
            </w:pPr>
          </w:p>
        </w:tc>
      </w:tr>
      <w:tr w:rsidR="009B430D" w:rsidRPr="00AE6FC3" w:rsidTr="006F5F30">
        <w:trPr>
          <w:trHeight w:val="288"/>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hideMark/>
          </w:tcPr>
          <w:p w:rsidR="009B430D" w:rsidRPr="00AE6FC3" w:rsidRDefault="009B430D" w:rsidP="006F5F30">
            <w:pPr>
              <w:jc w:val="left"/>
              <w:rPr>
                <w:sz w:val="18"/>
                <w:szCs w:val="18"/>
              </w:rPr>
            </w:pPr>
            <w:r w:rsidRPr="00AE6FC3">
              <w:rPr>
                <w:sz w:val="18"/>
                <w:szCs w:val="18"/>
              </w:rPr>
              <w:t>TRUST - TRansparent Users-friendly System of Transfer</w:t>
            </w:r>
          </w:p>
        </w:tc>
        <w:tc>
          <w:tcPr>
            <w:tcW w:w="3096" w:type="dxa"/>
            <w:hideMark/>
          </w:tcPr>
          <w:p w:rsidR="009B430D" w:rsidRPr="00AE6FC3" w:rsidRDefault="009B430D" w:rsidP="006F5F30">
            <w:pPr>
              <w:jc w:val="left"/>
              <w:rPr>
                <w:sz w:val="18"/>
                <w:szCs w:val="18"/>
              </w:rPr>
            </w:pPr>
            <w:r w:rsidRPr="00AE6FC3">
              <w:rPr>
                <w:sz w:val="18"/>
                <w:szCs w:val="18"/>
              </w:rPr>
              <w:t>Belgian Science Policy Office (Belspo)</w:t>
            </w:r>
          </w:p>
        </w:tc>
        <w:tc>
          <w:tcPr>
            <w:tcW w:w="5697" w:type="dxa"/>
          </w:tcPr>
          <w:p w:rsidR="009B430D" w:rsidRPr="00AE6FC3" w:rsidRDefault="009D4331" w:rsidP="006F5F30">
            <w:pPr>
              <w:jc w:val="left"/>
              <w:rPr>
                <w:sz w:val="18"/>
                <w:szCs w:val="18"/>
              </w:rPr>
            </w:pPr>
            <w:hyperlink r:id="rId52" w:history="1">
              <w:r w:rsidR="009B430D" w:rsidRPr="00AE6FC3">
                <w:rPr>
                  <w:rStyle w:val="Hyperlink"/>
                  <w:color w:val="auto"/>
                  <w:szCs w:val="18"/>
                </w:rPr>
                <w:t>https://absch.cbd.int/database/A19A20/ABSCH-A19A20-SCBD-208170</w:t>
              </w:r>
            </w:hyperlink>
          </w:p>
          <w:p w:rsidR="009B430D" w:rsidRPr="00AE6FC3" w:rsidRDefault="009D4331" w:rsidP="006F5F30">
            <w:pPr>
              <w:jc w:val="left"/>
              <w:rPr>
                <w:sz w:val="18"/>
                <w:szCs w:val="18"/>
              </w:rPr>
            </w:pPr>
            <w:hyperlink r:id="rId53" w:history="1">
              <w:r w:rsidR="009B430D" w:rsidRPr="00AE6FC3">
                <w:rPr>
                  <w:rStyle w:val="Hyperlink"/>
                  <w:color w:val="auto"/>
                  <w:szCs w:val="18"/>
                </w:rPr>
                <w:t>http://bccm.belspo.be/projects/</w:t>
              </w:r>
              <w:r w:rsidR="009B430D" w:rsidRPr="00AE6FC3">
                <w:rPr>
                  <w:rStyle w:val="StyleFootnoteReferenceNounderline"/>
                  <w:szCs w:val="18"/>
                </w:rPr>
                <w:t>trust</w:t>
              </w:r>
            </w:hyperlink>
          </w:p>
          <w:p w:rsidR="009B430D" w:rsidRPr="00AE6FC3" w:rsidRDefault="009B430D" w:rsidP="006F5F30">
            <w:pPr>
              <w:jc w:val="left"/>
              <w:rPr>
                <w:sz w:val="18"/>
                <w:szCs w:val="18"/>
              </w:rPr>
            </w:pPr>
          </w:p>
        </w:tc>
      </w:tr>
      <w:tr w:rsidR="009B430D" w:rsidRPr="00AE6FC3" w:rsidTr="006F5F30">
        <w:trPr>
          <w:trHeight w:val="288"/>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hideMark/>
          </w:tcPr>
          <w:p w:rsidR="009B430D" w:rsidRPr="00AE6FC3" w:rsidRDefault="009B430D" w:rsidP="006F5F30">
            <w:pPr>
              <w:jc w:val="left"/>
              <w:rPr>
                <w:sz w:val="18"/>
                <w:szCs w:val="18"/>
              </w:rPr>
            </w:pPr>
            <w:r w:rsidRPr="00AE6FC3">
              <w:rPr>
                <w:sz w:val="18"/>
                <w:szCs w:val="18"/>
              </w:rPr>
              <w:t>UEBT Principles on Patents and Biodiversity</w:t>
            </w:r>
          </w:p>
        </w:tc>
        <w:tc>
          <w:tcPr>
            <w:tcW w:w="3096" w:type="dxa"/>
            <w:hideMark/>
          </w:tcPr>
          <w:p w:rsidR="009B430D" w:rsidRPr="00AE6FC3" w:rsidRDefault="009B430D" w:rsidP="006F5F30">
            <w:pPr>
              <w:jc w:val="left"/>
              <w:rPr>
                <w:sz w:val="18"/>
                <w:szCs w:val="18"/>
              </w:rPr>
            </w:pPr>
            <w:r w:rsidRPr="00AE6FC3">
              <w:rPr>
                <w:sz w:val="18"/>
                <w:szCs w:val="18"/>
              </w:rPr>
              <w:t>Union for Ethical BioTrade (UEBT)</w:t>
            </w:r>
          </w:p>
        </w:tc>
        <w:tc>
          <w:tcPr>
            <w:tcW w:w="5697" w:type="dxa"/>
          </w:tcPr>
          <w:p w:rsidR="009B430D" w:rsidRPr="00AE6FC3" w:rsidRDefault="009D4331" w:rsidP="006F5F30">
            <w:pPr>
              <w:jc w:val="left"/>
              <w:rPr>
                <w:sz w:val="18"/>
                <w:szCs w:val="18"/>
              </w:rPr>
            </w:pPr>
            <w:hyperlink r:id="rId54" w:history="1">
              <w:r w:rsidR="009B430D" w:rsidRPr="00AE6FC3">
                <w:rPr>
                  <w:rStyle w:val="Hyperlink"/>
                  <w:color w:val="auto"/>
                  <w:szCs w:val="18"/>
                </w:rPr>
                <w:t>https://absch.cbd.int/database/A19A20/ABSCH-A19A20-SCBD-208169</w:t>
              </w:r>
            </w:hyperlink>
          </w:p>
          <w:p w:rsidR="009B430D" w:rsidRPr="00AE6FC3" w:rsidRDefault="009D4331" w:rsidP="006F5F30">
            <w:pPr>
              <w:jc w:val="left"/>
              <w:rPr>
                <w:sz w:val="18"/>
                <w:szCs w:val="18"/>
              </w:rPr>
            </w:pPr>
            <w:hyperlink r:id="rId55" w:history="1">
              <w:r w:rsidR="009B430D" w:rsidRPr="00AE6FC3">
                <w:rPr>
                  <w:rStyle w:val="Hyperlink"/>
                  <w:color w:val="auto"/>
                  <w:szCs w:val="18"/>
                </w:rPr>
                <w:t>http://ethicalbiotrade.org/resources/</w:t>
              </w:r>
            </w:hyperlink>
          </w:p>
          <w:p w:rsidR="009B430D" w:rsidRPr="00AE6FC3" w:rsidRDefault="009D4331" w:rsidP="006F5F30">
            <w:pPr>
              <w:jc w:val="left"/>
              <w:rPr>
                <w:sz w:val="18"/>
                <w:szCs w:val="18"/>
              </w:rPr>
            </w:pPr>
            <w:hyperlink r:id="rId56" w:history="1">
              <w:r w:rsidR="009B430D" w:rsidRPr="00AE6FC3">
                <w:rPr>
                  <w:rStyle w:val="Hyperlink"/>
                  <w:color w:val="auto"/>
                  <w:szCs w:val="18"/>
                </w:rPr>
                <w:t>http://ethicalbiotrade.org/dl/public-and-outreach/UEBT_principles_on_patents_biodiversity_EN.pdf</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Standards</w:t>
            </w:r>
          </w:p>
        </w:tc>
        <w:tc>
          <w:tcPr>
            <w:tcW w:w="3114" w:type="dxa"/>
            <w:hideMark/>
          </w:tcPr>
          <w:p w:rsidR="009B430D" w:rsidRPr="00AE6FC3" w:rsidRDefault="009B430D" w:rsidP="006F5F30">
            <w:pPr>
              <w:jc w:val="left"/>
              <w:rPr>
                <w:sz w:val="18"/>
                <w:szCs w:val="18"/>
              </w:rPr>
            </w:pPr>
            <w:r w:rsidRPr="00AE6FC3">
              <w:rPr>
                <w:sz w:val="18"/>
                <w:szCs w:val="18"/>
              </w:rPr>
              <w:t>ABS Management Tool: Best Practices and Handbook for Implementing Genetic Resource and Benefit-sharing Activities</w:t>
            </w:r>
          </w:p>
        </w:tc>
        <w:tc>
          <w:tcPr>
            <w:tcW w:w="3096" w:type="dxa"/>
            <w:hideMark/>
          </w:tcPr>
          <w:p w:rsidR="009B430D" w:rsidRPr="00AE6FC3" w:rsidRDefault="009B430D" w:rsidP="006F5F30">
            <w:pPr>
              <w:jc w:val="left"/>
              <w:rPr>
                <w:sz w:val="18"/>
                <w:szCs w:val="18"/>
              </w:rPr>
            </w:pPr>
            <w:r w:rsidRPr="00AE6FC3">
              <w:rPr>
                <w:sz w:val="18"/>
                <w:szCs w:val="18"/>
              </w:rPr>
              <w:t>Stratos Inc. in cooperation with Geoff Burton and Jorge Cabrera (env management consultants)</w:t>
            </w:r>
          </w:p>
        </w:tc>
        <w:tc>
          <w:tcPr>
            <w:tcW w:w="5697" w:type="dxa"/>
          </w:tcPr>
          <w:p w:rsidR="009B430D" w:rsidRPr="00AE6FC3" w:rsidRDefault="009D4331" w:rsidP="006F5F30">
            <w:pPr>
              <w:jc w:val="left"/>
              <w:rPr>
                <w:sz w:val="18"/>
                <w:szCs w:val="18"/>
              </w:rPr>
            </w:pPr>
            <w:hyperlink r:id="rId57" w:history="1">
              <w:r w:rsidR="009B430D" w:rsidRPr="00AE6FC3">
                <w:rPr>
                  <w:rStyle w:val="Hyperlink"/>
                  <w:color w:val="auto"/>
                  <w:szCs w:val="18"/>
                </w:rPr>
                <w:t>https://absch.cbd.int/database/A19A20/ABSCH-A19A20-SCBD-237975</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Standards</w:t>
            </w:r>
          </w:p>
        </w:tc>
        <w:tc>
          <w:tcPr>
            <w:tcW w:w="3114" w:type="dxa"/>
            <w:hideMark/>
          </w:tcPr>
          <w:p w:rsidR="009B430D" w:rsidRPr="00AE6FC3" w:rsidRDefault="009B430D" w:rsidP="006F5F30">
            <w:pPr>
              <w:jc w:val="left"/>
              <w:rPr>
                <w:sz w:val="18"/>
                <w:szCs w:val="18"/>
              </w:rPr>
            </w:pPr>
            <w:r w:rsidRPr="00AE6FC3">
              <w:rPr>
                <w:sz w:val="18"/>
                <w:szCs w:val="18"/>
              </w:rPr>
              <w:t>Botanic gardens: Principles on Access to Genetic Resources and Benefit-sharing for Participating Institutions</w:t>
            </w:r>
          </w:p>
        </w:tc>
        <w:tc>
          <w:tcPr>
            <w:tcW w:w="3096" w:type="dxa"/>
            <w:hideMark/>
          </w:tcPr>
          <w:p w:rsidR="009B430D" w:rsidRPr="00AE6FC3" w:rsidRDefault="009B430D" w:rsidP="006F5F30">
            <w:pPr>
              <w:jc w:val="left"/>
              <w:rPr>
                <w:sz w:val="18"/>
                <w:szCs w:val="18"/>
              </w:rPr>
            </w:pPr>
            <w:r w:rsidRPr="00AE6FC3">
              <w:rPr>
                <w:sz w:val="18"/>
                <w:szCs w:val="18"/>
              </w:rPr>
              <w:t>Botanic Gardens Conservation International</w:t>
            </w:r>
          </w:p>
        </w:tc>
        <w:tc>
          <w:tcPr>
            <w:tcW w:w="5697" w:type="dxa"/>
          </w:tcPr>
          <w:p w:rsidR="009B430D" w:rsidRPr="00AE6FC3" w:rsidRDefault="009D4331" w:rsidP="006F5F30">
            <w:pPr>
              <w:jc w:val="left"/>
              <w:rPr>
                <w:sz w:val="18"/>
                <w:szCs w:val="18"/>
              </w:rPr>
            </w:pPr>
            <w:hyperlink r:id="rId58" w:history="1">
              <w:r w:rsidR="009B430D" w:rsidRPr="00AE6FC3">
                <w:rPr>
                  <w:rStyle w:val="Hyperlink"/>
                  <w:color w:val="auto"/>
                  <w:szCs w:val="18"/>
                </w:rPr>
                <w:t>https://absch.cbd.int/database/A19A20/ABSCH-A19A20-SCBD-238056</w:t>
              </w:r>
            </w:hyperlink>
          </w:p>
          <w:p w:rsidR="009B430D" w:rsidRPr="00AE6FC3" w:rsidRDefault="009D4331" w:rsidP="006F5F30">
            <w:pPr>
              <w:jc w:val="left"/>
              <w:rPr>
                <w:sz w:val="18"/>
                <w:szCs w:val="18"/>
              </w:rPr>
            </w:pPr>
            <w:hyperlink r:id="rId59" w:history="1">
              <w:r w:rsidR="009B430D" w:rsidRPr="00AE6FC3">
                <w:rPr>
                  <w:rStyle w:val="Hyperlink"/>
                  <w:color w:val="auto"/>
                  <w:szCs w:val="18"/>
                </w:rPr>
                <w:t>http://www.bgci.org/policy/abs_principles/</w:t>
              </w:r>
            </w:hyperlink>
          </w:p>
          <w:p w:rsidR="009B430D" w:rsidRPr="00AE6FC3" w:rsidRDefault="009B430D" w:rsidP="006F5F30">
            <w:pPr>
              <w:jc w:val="left"/>
              <w:rPr>
                <w:sz w:val="18"/>
                <w:szCs w:val="18"/>
              </w:rPr>
            </w:pPr>
          </w:p>
        </w:tc>
      </w:tr>
      <w:tr w:rsidR="009B430D" w:rsidRPr="00AE6FC3" w:rsidTr="006F5F30">
        <w:trPr>
          <w:trHeight w:val="288"/>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Standards</w:t>
            </w:r>
          </w:p>
        </w:tc>
        <w:tc>
          <w:tcPr>
            <w:tcW w:w="3114" w:type="dxa"/>
            <w:hideMark/>
          </w:tcPr>
          <w:p w:rsidR="009B430D" w:rsidRPr="00AE6FC3" w:rsidRDefault="009B430D" w:rsidP="006F5F30">
            <w:pPr>
              <w:jc w:val="left"/>
              <w:rPr>
                <w:sz w:val="18"/>
                <w:szCs w:val="18"/>
              </w:rPr>
            </w:pPr>
            <w:r w:rsidRPr="00AE6FC3">
              <w:rPr>
                <w:sz w:val="18"/>
                <w:szCs w:val="18"/>
              </w:rPr>
              <w:t>Ethical BioTrade Standard</w:t>
            </w:r>
          </w:p>
        </w:tc>
        <w:tc>
          <w:tcPr>
            <w:tcW w:w="3096" w:type="dxa"/>
            <w:hideMark/>
          </w:tcPr>
          <w:p w:rsidR="009B430D" w:rsidRPr="00AE6FC3" w:rsidRDefault="009B430D" w:rsidP="006F5F30">
            <w:pPr>
              <w:jc w:val="left"/>
              <w:rPr>
                <w:sz w:val="18"/>
                <w:szCs w:val="18"/>
              </w:rPr>
            </w:pPr>
            <w:r w:rsidRPr="00AE6FC3">
              <w:rPr>
                <w:sz w:val="18"/>
                <w:szCs w:val="18"/>
              </w:rPr>
              <w:t>Union for Ethical BioTrade (UEBT)</w:t>
            </w:r>
          </w:p>
        </w:tc>
        <w:tc>
          <w:tcPr>
            <w:tcW w:w="5697" w:type="dxa"/>
          </w:tcPr>
          <w:p w:rsidR="009B430D" w:rsidRPr="00AE6FC3" w:rsidRDefault="009D4331" w:rsidP="006F5F30">
            <w:pPr>
              <w:jc w:val="left"/>
              <w:rPr>
                <w:sz w:val="18"/>
                <w:szCs w:val="18"/>
              </w:rPr>
            </w:pPr>
            <w:hyperlink r:id="rId60" w:history="1">
              <w:r w:rsidR="009B430D" w:rsidRPr="00AE6FC3">
                <w:rPr>
                  <w:rStyle w:val="Hyperlink"/>
                  <w:color w:val="auto"/>
                  <w:szCs w:val="18"/>
                </w:rPr>
                <w:t>https://absch.cbd.int/database/A19A20/ABSCH-A19A20-SCBD-207310</w:t>
              </w:r>
            </w:hyperlink>
          </w:p>
          <w:p w:rsidR="009B430D" w:rsidRPr="00AE6FC3" w:rsidRDefault="009D4331" w:rsidP="006F5F30">
            <w:pPr>
              <w:jc w:val="left"/>
              <w:rPr>
                <w:sz w:val="18"/>
                <w:szCs w:val="18"/>
              </w:rPr>
            </w:pPr>
            <w:hyperlink r:id="rId61" w:history="1">
              <w:r w:rsidR="009B430D" w:rsidRPr="00AE6FC3">
                <w:rPr>
                  <w:rStyle w:val="Hyperlink"/>
                  <w:color w:val="auto"/>
                  <w:szCs w:val="18"/>
                </w:rPr>
                <w:t>http://ethicalbiotrade.org/dl/public-and-outreach/Ethical-BioTrade-Standard_2012.pdf</w:t>
              </w:r>
            </w:hyperlink>
          </w:p>
          <w:p w:rsidR="009B430D" w:rsidRPr="00AE6FC3" w:rsidRDefault="009B430D" w:rsidP="006F5F30">
            <w:pPr>
              <w:jc w:val="left"/>
              <w:rPr>
                <w:sz w:val="18"/>
                <w:szCs w:val="18"/>
              </w:rPr>
            </w:pPr>
          </w:p>
        </w:tc>
      </w:tr>
      <w:tr w:rsidR="009B430D" w:rsidRPr="00AE6FC3" w:rsidTr="006F5F30">
        <w:trPr>
          <w:trHeight w:val="576"/>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 xml:space="preserve">Standards - guidelines </w:t>
            </w:r>
          </w:p>
        </w:tc>
        <w:tc>
          <w:tcPr>
            <w:tcW w:w="3114" w:type="dxa"/>
            <w:hideMark/>
          </w:tcPr>
          <w:p w:rsidR="009B430D" w:rsidRPr="00AE6FC3" w:rsidRDefault="009B430D" w:rsidP="006F5F30">
            <w:pPr>
              <w:jc w:val="left"/>
              <w:rPr>
                <w:sz w:val="18"/>
                <w:szCs w:val="18"/>
              </w:rPr>
            </w:pPr>
            <w:r w:rsidRPr="00AE6FC3">
              <w:rPr>
                <w:sz w:val="18"/>
                <w:szCs w:val="18"/>
              </w:rPr>
              <w:t>Supplementary Instructions for Funding Proposals Concerning Research Projects within the Scope of the Convention on Biological Diversity (CBD)</w:t>
            </w:r>
          </w:p>
        </w:tc>
        <w:tc>
          <w:tcPr>
            <w:tcW w:w="3096" w:type="dxa"/>
            <w:hideMark/>
          </w:tcPr>
          <w:p w:rsidR="009B430D" w:rsidRPr="00AE6FC3" w:rsidRDefault="00AC7591" w:rsidP="006F5F30">
            <w:pPr>
              <w:jc w:val="left"/>
              <w:rPr>
                <w:sz w:val="18"/>
                <w:szCs w:val="18"/>
              </w:rPr>
            </w:pPr>
            <w:r w:rsidRPr="00AE6FC3">
              <w:rPr>
                <w:sz w:val="18"/>
                <w:szCs w:val="18"/>
              </w:rPr>
              <w:t>Deutsche Forschungsgemeinschaft (DFG)</w:t>
            </w:r>
          </w:p>
        </w:tc>
        <w:tc>
          <w:tcPr>
            <w:tcW w:w="5697" w:type="dxa"/>
          </w:tcPr>
          <w:p w:rsidR="009B430D" w:rsidRPr="00AE6FC3" w:rsidRDefault="009D4331" w:rsidP="006F5F30">
            <w:pPr>
              <w:jc w:val="left"/>
              <w:rPr>
                <w:rStyle w:val="Hyperlink"/>
                <w:color w:val="auto"/>
                <w:szCs w:val="18"/>
              </w:rPr>
            </w:pPr>
            <w:hyperlink r:id="rId62" w:history="1">
              <w:r w:rsidR="009B430D" w:rsidRPr="00AE6FC3">
                <w:rPr>
                  <w:rStyle w:val="Hyperlink"/>
                  <w:color w:val="auto"/>
                  <w:szCs w:val="18"/>
                </w:rPr>
                <w:t>https://absch.cbd.int/database/A19A20/ABSCH-A19A20-SCBD-208078</w:t>
              </w:r>
            </w:hyperlink>
          </w:p>
          <w:p w:rsidR="009B430D" w:rsidRPr="00AE6FC3" w:rsidRDefault="009D4331" w:rsidP="006F5F30">
            <w:pPr>
              <w:jc w:val="left"/>
              <w:rPr>
                <w:sz w:val="18"/>
                <w:szCs w:val="18"/>
              </w:rPr>
            </w:pPr>
            <w:hyperlink r:id="rId63" w:history="1">
              <w:r w:rsidR="009B430D" w:rsidRPr="00AE6FC3">
                <w:rPr>
                  <w:rStyle w:val="Hyperlink"/>
                  <w:color w:val="auto"/>
                  <w:szCs w:val="18"/>
                </w:rPr>
                <w:t>http://www.dfg.de/formulare/1_021e/1_021e.pdf</w:t>
              </w:r>
            </w:hyperlink>
          </w:p>
          <w:p w:rsidR="009B430D" w:rsidRPr="00AE6FC3" w:rsidRDefault="009B430D" w:rsidP="006F5F30">
            <w:pPr>
              <w:jc w:val="left"/>
              <w:rPr>
                <w:sz w:val="18"/>
                <w:szCs w:val="18"/>
              </w:rPr>
            </w:pPr>
          </w:p>
        </w:tc>
      </w:tr>
      <w:tr w:rsidR="00AE6FC3"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hideMark/>
          </w:tcPr>
          <w:p w:rsidR="009B430D" w:rsidRPr="00AE6FC3" w:rsidRDefault="009B430D" w:rsidP="006F5F30">
            <w:pPr>
              <w:jc w:val="left"/>
              <w:rPr>
                <w:sz w:val="18"/>
                <w:szCs w:val="18"/>
              </w:rPr>
            </w:pPr>
            <w:r w:rsidRPr="00AE6FC3">
              <w:rPr>
                <w:sz w:val="18"/>
                <w:szCs w:val="18"/>
              </w:rPr>
              <w:t>Biocultural Community Protocol for Cerrado Raizeiras</w:t>
            </w:r>
          </w:p>
        </w:tc>
        <w:tc>
          <w:tcPr>
            <w:tcW w:w="3096" w:type="dxa"/>
            <w:hideMark/>
          </w:tcPr>
          <w:p w:rsidR="009B430D" w:rsidRPr="00AE6FC3" w:rsidRDefault="009B430D" w:rsidP="006F5F30">
            <w:pPr>
              <w:jc w:val="left"/>
              <w:rPr>
                <w:sz w:val="18"/>
                <w:szCs w:val="18"/>
              </w:rPr>
            </w:pPr>
            <w:r w:rsidRPr="00AE6FC3">
              <w:rPr>
                <w:sz w:val="18"/>
                <w:szCs w:val="18"/>
              </w:rPr>
              <w:t>Articulação Pacari (PACARI Network)</w:t>
            </w:r>
          </w:p>
        </w:tc>
        <w:tc>
          <w:tcPr>
            <w:tcW w:w="5697" w:type="dxa"/>
          </w:tcPr>
          <w:p w:rsidR="009B430D" w:rsidRPr="00AE6FC3" w:rsidRDefault="009D4331" w:rsidP="006F5F30">
            <w:pPr>
              <w:jc w:val="left"/>
              <w:rPr>
                <w:sz w:val="18"/>
                <w:szCs w:val="18"/>
              </w:rPr>
            </w:pPr>
            <w:hyperlink r:id="rId64" w:history="1">
              <w:r w:rsidR="009B430D" w:rsidRPr="00AE6FC3">
                <w:rPr>
                  <w:rStyle w:val="Hyperlink"/>
                  <w:color w:val="auto"/>
                  <w:szCs w:val="18"/>
                </w:rPr>
                <w:t>https://absch.cbd.int/database/CPP/ABSCH-CPP-SCBD-207587</w:t>
              </w:r>
            </w:hyperlink>
          </w:p>
          <w:p w:rsidR="009B430D" w:rsidRPr="00AE6FC3" w:rsidRDefault="009B430D" w:rsidP="006F5F30">
            <w:pPr>
              <w:jc w:val="left"/>
              <w:rPr>
                <w:sz w:val="18"/>
                <w:szCs w:val="18"/>
              </w:rPr>
            </w:pPr>
          </w:p>
        </w:tc>
      </w:tr>
      <w:tr w:rsidR="009B430D" w:rsidRPr="009D4331" w:rsidTr="006F5F30">
        <w:trPr>
          <w:trHeight w:val="221"/>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hideMark/>
          </w:tcPr>
          <w:p w:rsidR="009B430D" w:rsidRPr="00AE6FC3" w:rsidRDefault="009B430D" w:rsidP="006F5F30">
            <w:pPr>
              <w:jc w:val="left"/>
              <w:rPr>
                <w:sz w:val="18"/>
                <w:szCs w:val="18"/>
              </w:rPr>
            </w:pPr>
            <w:r w:rsidRPr="00AE6FC3">
              <w:rPr>
                <w:sz w:val="18"/>
                <w:szCs w:val="18"/>
              </w:rPr>
              <w:t>Protocolo Biocultural "Protección de los conocimientos indígenas asociados a los recursos genéticos" Comunidad El Piro, Comarca Ngäbe-Bugle, Panamá</w:t>
            </w:r>
          </w:p>
        </w:tc>
        <w:tc>
          <w:tcPr>
            <w:tcW w:w="3096" w:type="dxa"/>
            <w:hideMark/>
          </w:tcPr>
          <w:p w:rsidR="009B430D" w:rsidRPr="00B569BC" w:rsidRDefault="009B430D" w:rsidP="006F5F30">
            <w:pPr>
              <w:jc w:val="left"/>
              <w:rPr>
                <w:sz w:val="18"/>
                <w:szCs w:val="18"/>
                <w:lang w:val="fr-CA"/>
              </w:rPr>
            </w:pPr>
            <w:r w:rsidRPr="00B569BC">
              <w:rPr>
                <w:sz w:val="18"/>
                <w:szCs w:val="18"/>
                <w:lang w:val="fr-CA"/>
              </w:rPr>
              <w:t>Comunidad El Piro, Comarca Ngäbe-Bugle, Panamá Financiamiento y calidad técnica por GIZ, a través del Programa ABS CCAD GIZ Promoción del potencial económico de la biodiversidad de manera justa y sostenible para poner en práctica el Protocolo de Nagoya en Centroamérica y República Dominicana.</w:t>
            </w:r>
          </w:p>
        </w:tc>
        <w:tc>
          <w:tcPr>
            <w:tcW w:w="5697" w:type="dxa"/>
          </w:tcPr>
          <w:p w:rsidR="009B430D" w:rsidRPr="00AE6FC3" w:rsidRDefault="00785C78" w:rsidP="006F5F30">
            <w:pPr>
              <w:jc w:val="left"/>
              <w:rPr>
                <w:sz w:val="18"/>
                <w:szCs w:val="18"/>
                <w:lang w:val="es-ES"/>
              </w:rPr>
            </w:pPr>
            <w:hyperlink r:id="rId65" w:history="1">
              <w:r w:rsidR="009B430D" w:rsidRPr="00AE6FC3">
                <w:rPr>
                  <w:rStyle w:val="Hyperlink"/>
                  <w:color w:val="auto"/>
                  <w:szCs w:val="18"/>
                  <w:lang w:val="es-ES"/>
                </w:rPr>
                <w:t>https://absch.cbd.int/database/CPP/ABSCH-CPP-SCBD-239000</w:t>
              </w:r>
            </w:hyperlink>
          </w:p>
          <w:p w:rsidR="009B430D" w:rsidRPr="00AE6FC3" w:rsidRDefault="009B430D" w:rsidP="006F5F30">
            <w:pPr>
              <w:jc w:val="left"/>
              <w:rPr>
                <w:sz w:val="18"/>
                <w:szCs w:val="18"/>
                <w:lang w:val="es-ES"/>
              </w:rPr>
            </w:pPr>
          </w:p>
        </w:tc>
      </w:tr>
      <w:tr w:rsidR="00AE6FC3" w:rsidRPr="00AE6FC3" w:rsidTr="006F5F30">
        <w:trPr>
          <w:trHeight w:val="432"/>
        </w:trPr>
        <w:tc>
          <w:tcPr>
            <w:tcW w:w="2448" w:type="dxa"/>
            <w:hideMark/>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hideMark/>
          </w:tcPr>
          <w:p w:rsidR="009B430D" w:rsidRPr="00AE6FC3" w:rsidRDefault="009B430D" w:rsidP="006F5F30">
            <w:pPr>
              <w:jc w:val="left"/>
              <w:rPr>
                <w:sz w:val="18"/>
                <w:szCs w:val="18"/>
              </w:rPr>
            </w:pPr>
            <w:r w:rsidRPr="00AE6FC3">
              <w:rPr>
                <w:sz w:val="18"/>
                <w:szCs w:val="18"/>
              </w:rPr>
              <w:t>Ogiek Bio Cultural Community Protocals (BCP)</w:t>
            </w:r>
          </w:p>
        </w:tc>
        <w:tc>
          <w:tcPr>
            <w:tcW w:w="3096" w:type="dxa"/>
            <w:hideMark/>
          </w:tcPr>
          <w:p w:rsidR="009B430D" w:rsidRPr="00AE6FC3" w:rsidRDefault="009B430D" w:rsidP="006F5F30">
            <w:pPr>
              <w:jc w:val="left"/>
              <w:rPr>
                <w:sz w:val="18"/>
                <w:szCs w:val="18"/>
              </w:rPr>
            </w:pPr>
            <w:r w:rsidRPr="00AE6FC3">
              <w:rPr>
                <w:sz w:val="18"/>
                <w:szCs w:val="18"/>
              </w:rPr>
              <w:t>Ogiek Peoples"s development Programme</w:t>
            </w:r>
          </w:p>
        </w:tc>
        <w:tc>
          <w:tcPr>
            <w:tcW w:w="5697" w:type="dxa"/>
          </w:tcPr>
          <w:p w:rsidR="009B430D" w:rsidRPr="00AE6FC3" w:rsidRDefault="009D4331" w:rsidP="006F5F30">
            <w:pPr>
              <w:jc w:val="left"/>
              <w:rPr>
                <w:sz w:val="18"/>
                <w:szCs w:val="18"/>
              </w:rPr>
            </w:pPr>
            <w:hyperlink r:id="rId66" w:history="1">
              <w:r w:rsidR="009B430D" w:rsidRPr="00AE6FC3">
                <w:rPr>
                  <w:rStyle w:val="Hyperlink"/>
                  <w:color w:val="auto"/>
                  <w:szCs w:val="18"/>
                </w:rPr>
                <w:t>https://absch.cbd.int/database/CPP/ABSCH-CPP-SCBD-207314</w:t>
              </w:r>
            </w:hyperlink>
          </w:p>
          <w:p w:rsidR="009B430D" w:rsidRPr="00AE6FC3" w:rsidRDefault="009B430D" w:rsidP="006F5F30">
            <w:pPr>
              <w:jc w:val="left"/>
              <w:rPr>
                <w:sz w:val="18"/>
                <w:szCs w:val="18"/>
              </w:rPr>
            </w:pPr>
          </w:p>
        </w:tc>
      </w:tr>
    </w:tbl>
    <w:p w:rsidR="009B430D" w:rsidRPr="00A739F3" w:rsidRDefault="009B430D" w:rsidP="009B430D"/>
    <w:p w:rsidR="009B430D" w:rsidRPr="00A739F3" w:rsidRDefault="0067280E" w:rsidP="009B430D">
      <w:pPr>
        <w:pStyle w:val="Heading2"/>
        <w:numPr>
          <w:ilvl w:val="1"/>
          <w:numId w:val="7"/>
        </w:numPr>
      </w:pPr>
      <w:r>
        <w:lastRenderedPageBreak/>
        <w:t xml:space="preserve">Tools </w:t>
      </w:r>
      <w:r w:rsidR="001E6610">
        <w:t>a</w:t>
      </w:r>
      <w:r w:rsidR="009B430D" w:rsidRPr="00A739F3">
        <w:t>vailable on the ABS Clearing-</w:t>
      </w:r>
      <w:r w:rsidR="009B430D">
        <w:t>H</w:t>
      </w:r>
      <w:r w:rsidR="009B430D" w:rsidRPr="00A739F3">
        <w:t>ouse</w:t>
      </w:r>
      <w:r w:rsidR="009B430D">
        <w:t xml:space="preserve"> </w:t>
      </w:r>
      <w:r w:rsidR="001E6610">
        <w:t>as n</w:t>
      </w:r>
      <w:r w:rsidR="009B430D">
        <w:t xml:space="preserve">ational </w:t>
      </w:r>
      <w:r w:rsidR="001E6610">
        <w:t>r</w:t>
      </w:r>
      <w:r w:rsidR="009B430D">
        <w:t>ecords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448"/>
        <w:gridCol w:w="3114"/>
        <w:gridCol w:w="3096"/>
        <w:gridCol w:w="5697"/>
      </w:tblGrid>
      <w:tr w:rsidR="009B430D" w:rsidRPr="00AE6FC3" w:rsidTr="006F5F30">
        <w:trPr>
          <w:tblHeader/>
        </w:trPr>
        <w:tc>
          <w:tcPr>
            <w:tcW w:w="2448" w:type="dxa"/>
            <w:shd w:val="clear" w:color="auto" w:fill="F2F2F2" w:themeFill="background1" w:themeFillShade="F2"/>
          </w:tcPr>
          <w:p w:rsidR="009B430D" w:rsidRPr="00AE6FC3" w:rsidRDefault="009B430D" w:rsidP="006F5F30">
            <w:pPr>
              <w:jc w:val="center"/>
              <w:rPr>
                <w:b/>
                <w:sz w:val="18"/>
                <w:szCs w:val="18"/>
              </w:rPr>
            </w:pPr>
            <w:r w:rsidRPr="00AE6FC3">
              <w:rPr>
                <w:b/>
                <w:sz w:val="18"/>
                <w:szCs w:val="18"/>
              </w:rPr>
              <w:t>Type of Document</w:t>
            </w:r>
          </w:p>
        </w:tc>
        <w:tc>
          <w:tcPr>
            <w:tcW w:w="3114" w:type="dxa"/>
            <w:shd w:val="clear" w:color="auto" w:fill="F2F2F2" w:themeFill="background1" w:themeFillShade="F2"/>
          </w:tcPr>
          <w:p w:rsidR="009B430D" w:rsidRPr="00AE6FC3" w:rsidRDefault="009B430D" w:rsidP="006F5F30">
            <w:pPr>
              <w:jc w:val="center"/>
              <w:rPr>
                <w:b/>
                <w:sz w:val="18"/>
                <w:szCs w:val="18"/>
              </w:rPr>
            </w:pPr>
            <w:r w:rsidRPr="00AE6FC3">
              <w:rPr>
                <w:b/>
                <w:sz w:val="18"/>
                <w:szCs w:val="18"/>
              </w:rPr>
              <w:t>Title</w:t>
            </w:r>
          </w:p>
        </w:tc>
        <w:tc>
          <w:tcPr>
            <w:tcW w:w="3096" w:type="dxa"/>
            <w:shd w:val="clear" w:color="auto" w:fill="F2F2F2" w:themeFill="background1" w:themeFillShade="F2"/>
          </w:tcPr>
          <w:p w:rsidR="009B430D" w:rsidRPr="00AE6FC3" w:rsidRDefault="009B430D" w:rsidP="006F5F30">
            <w:pPr>
              <w:jc w:val="center"/>
              <w:rPr>
                <w:b/>
                <w:sz w:val="18"/>
                <w:szCs w:val="18"/>
              </w:rPr>
            </w:pPr>
            <w:r w:rsidRPr="00AE6FC3">
              <w:rPr>
                <w:b/>
                <w:sz w:val="18"/>
                <w:szCs w:val="18"/>
              </w:rPr>
              <w:t>Author</w:t>
            </w:r>
          </w:p>
        </w:tc>
        <w:tc>
          <w:tcPr>
            <w:tcW w:w="5697" w:type="dxa"/>
            <w:shd w:val="clear" w:color="auto" w:fill="F2F2F2" w:themeFill="background1" w:themeFillShade="F2"/>
          </w:tcPr>
          <w:p w:rsidR="009B430D" w:rsidRPr="00AE6FC3" w:rsidRDefault="009B430D" w:rsidP="00AE6FC3">
            <w:pPr>
              <w:jc w:val="center"/>
              <w:rPr>
                <w:b/>
                <w:sz w:val="18"/>
                <w:szCs w:val="18"/>
              </w:rPr>
            </w:pPr>
            <w:r w:rsidRPr="00AE6FC3">
              <w:rPr>
                <w:b/>
                <w:sz w:val="18"/>
                <w:szCs w:val="18"/>
              </w:rPr>
              <w:t>Link</w:t>
            </w:r>
          </w:p>
          <w:p w:rsidR="009B430D" w:rsidRPr="00AE6FC3" w:rsidRDefault="00807653" w:rsidP="00AE6FC3">
            <w:pPr>
              <w:jc w:val="center"/>
              <w:rPr>
                <w:b/>
                <w:sz w:val="18"/>
                <w:szCs w:val="18"/>
              </w:rPr>
            </w:pPr>
            <w:r w:rsidRPr="00603792">
              <w:rPr>
                <w:b/>
                <w:sz w:val="18"/>
                <w:szCs w:val="18"/>
              </w:rPr>
              <w:t>(ABS Clearing-House, other website)</w:t>
            </w:r>
            <w:r w:rsidRPr="000D1AA2" w:rsidDel="00807653">
              <w:rPr>
                <w:b/>
                <w:sz w:val="18"/>
                <w:szCs w:val="18"/>
              </w:rPr>
              <w:t xml:space="preserve"> </w:t>
            </w:r>
          </w:p>
        </w:tc>
      </w:tr>
      <w:tr w:rsidR="009B430D" w:rsidRPr="00AE6FC3" w:rsidTr="006F5F30">
        <w:trPr>
          <w:trHeight w:val="432"/>
        </w:trPr>
        <w:tc>
          <w:tcPr>
            <w:tcW w:w="2448" w:type="dxa"/>
          </w:tcPr>
          <w:p w:rsidR="009B430D" w:rsidRPr="00AE6FC3" w:rsidRDefault="009B430D" w:rsidP="00AC7591">
            <w:pPr>
              <w:pStyle w:val="ListParagraph"/>
              <w:numPr>
                <w:ilvl w:val="0"/>
                <w:numId w:val="8"/>
              </w:numPr>
              <w:ind w:left="180" w:hanging="180"/>
              <w:jc w:val="left"/>
              <w:rPr>
                <w:color w:val="000000"/>
                <w:sz w:val="18"/>
                <w:szCs w:val="18"/>
              </w:rPr>
            </w:pPr>
            <w:r w:rsidRPr="00AE6FC3">
              <w:rPr>
                <w:color w:val="000000"/>
                <w:sz w:val="18"/>
                <w:szCs w:val="18"/>
              </w:rPr>
              <w:t xml:space="preserve">Model </w:t>
            </w:r>
            <w:r w:rsidR="00AC7591" w:rsidRPr="00AE6FC3">
              <w:rPr>
                <w:color w:val="000000"/>
                <w:sz w:val="18"/>
                <w:szCs w:val="18"/>
              </w:rPr>
              <w:t>c</w:t>
            </w:r>
            <w:r w:rsidRPr="00AE6FC3">
              <w:rPr>
                <w:color w:val="000000"/>
                <w:sz w:val="18"/>
                <w:szCs w:val="18"/>
              </w:rPr>
              <w:t>ontractual clauses</w:t>
            </w:r>
          </w:p>
        </w:tc>
        <w:tc>
          <w:tcPr>
            <w:tcW w:w="3114" w:type="dxa"/>
          </w:tcPr>
          <w:p w:rsidR="009B430D" w:rsidRPr="00AE6FC3" w:rsidRDefault="009B430D" w:rsidP="006F5F30">
            <w:pPr>
              <w:jc w:val="left"/>
              <w:rPr>
                <w:color w:val="000000"/>
                <w:sz w:val="18"/>
                <w:szCs w:val="18"/>
              </w:rPr>
            </w:pPr>
            <w:r w:rsidRPr="00AE6FC3">
              <w:rPr>
                <w:color w:val="000000"/>
                <w:sz w:val="18"/>
                <w:szCs w:val="18"/>
              </w:rPr>
              <w:t>(Included in national ABS measures, as reported in interim national report)</w:t>
            </w:r>
          </w:p>
        </w:tc>
        <w:tc>
          <w:tcPr>
            <w:tcW w:w="3096" w:type="dxa"/>
          </w:tcPr>
          <w:p w:rsidR="009B430D" w:rsidRPr="00AE6FC3" w:rsidRDefault="009B430D" w:rsidP="006F5F30">
            <w:pPr>
              <w:rPr>
                <w:sz w:val="18"/>
                <w:szCs w:val="18"/>
              </w:rPr>
            </w:pPr>
            <w:r w:rsidRPr="00AE6FC3">
              <w:rPr>
                <w:sz w:val="18"/>
                <w:szCs w:val="18"/>
              </w:rPr>
              <w:t>Antigua and Barbuda</w:t>
            </w:r>
          </w:p>
        </w:tc>
        <w:tc>
          <w:tcPr>
            <w:tcW w:w="5697" w:type="dxa"/>
          </w:tcPr>
          <w:p w:rsidR="009B430D" w:rsidRPr="00AE6FC3" w:rsidRDefault="009D4331" w:rsidP="006F5F30">
            <w:pPr>
              <w:jc w:val="left"/>
              <w:rPr>
                <w:rStyle w:val="Hyperlink"/>
                <w:szCs w:val="18"/>
              </w:rPr>
            </w:pPr>
            <w:hyperlink r:id="rId67" w:history="1">
              <w:r w:rsidR="009B430D" w:rsidRPr="00AE6FC3">
                <w:rPr>
                  <w:rStyle w:val="Hyperlink"/>
                  <w:szCs w:val="18"/>
                </w:rPr>
                <w:t>https://absch.cbd.int/database/MSR/ABSCH-MSR-AG-238537/1</w:t>
              </w:r>
            </w:hyperlink>
          </w:p>
          <w:p w:rsidR="009B430D" w:rsidRPr="00AE6FC3" w:rsidRDefault="009B430D" w:rsidP="006F5F30">
            <w:pPr>
              <w:jc w:val="left"/>
              <w:rPr>
                <w:color w:val="333333"/>
                <w:sz w:val="18"/>
                <w:szCs w:val="18"/>
                <w:lang w:val="es-ES"/>
              </w:rPr>
            </w:pPr>
          </w:p>
        </w:tc>
      </w:tr>
      <w:tr w:rsidR="009B430D" w:rsidRPr="00AE6FC3" w:rsidTr="006F5F30">
        <w:trPr>
          <w:trHeight w:val="432"/>
        </w:trPr>
        <w:tc>
          <w:tcPr>
            <w:tcW w:w="2448" w:type="dxa"/>
          </w:tcPr>
          <w:p w:rsidR="009B430D" w:rsidRPr="00AE6FC3" w:rsidRDefault="009B430D" w:rsidP="00AC7591">
            <w:pPr>
              <w:pStyle w:val="ListParagraph"/>
              <w:numPr>
                <w:ilvl w:val="0"/>
                <w:numId w:val="8"/>
              </w:numPr>
              <w:ind w:left="180" w:hanging="180"/>
              <w:jc w:val="left"/>
              <w:rPr>
                <w:color w:val="000000"/>
                <w:sz w:val="18"/>
                <w:szCs w:val="18"/>
              </w:rPr>
            </w:pPr>
            <w:r w:rsidRPr="00AE6FC3">
              <w:rPr>
                <w:color w:val="000000"/>
                <w:sz w:val="18"/>
                <w:szCs w:val="18"/>
              </w:rPr>
              <w:t xml:space="preserve">Model </w:t>
            </w:r>
            <w:r w:rsidR="00AC7591" w:rsidRPr="00AE6FC3">
              <w:rPr>
                <w:color w:val="000000"/>
                <w:sz w:val="18"/>
                <w:szCs w:val="18"/>
              </w:rPr>
              <w:t>c</w:t>
            </w:r>
            <w:r w:rsidRPr="00AE6FC3">
              <w:rPr>
                <w:color w:val="000000"/>
                <w:sz w:val="18"/>
                <w:szCs w:val="18"/>
              </w:rPr>
              <w:t xml:space="preserve">ontractual </w:t>
            </w:r>
            <w:r w:rsidR="00AC7591" w:rsidRPr="00AE6FC3">
              <w:rPr>
                <w:color w:val="000000"/>
                <w:sz w:val="18"/>
                <w:szCs w:val="18"/>
              </w:rPr>
              <w:t>c</w:t>
            </w:r>
            <w:r w:rsidRPr="00AE6FC3">
              <w:rPr>
                <w:color w:val="000000"/>
                <w:sz w:val="18"/>
                <w:szCs w:val="18"/>
              </w:rPr>
              <w:t>lauses</w:t>
            </w:r>
          </w:p>
        </w:tc>
        <w:tc>
          <w:tcPr>
            <w:tcW w:w="3114" w:type="dxa"/>
          </w:tcPr>
          <w:p w:rsidR="009B430D" w:rsidRPr="00AE6FC3" w:rsidRDefault="009B430D" w:rsidP="006F5F30">
            <w:pPr>
              <w:jc w:val="left"/>
              <w:rPr>
                <w:color w:val="000000"/>
                <w:sz w:val="18"/>
                <w:szCs w:val="18"/>
              </w:rPr>
            </w:pPr>
            <w:r w:rsidRPr="00AE6FC3">
              <w:rPr>
                <w:color w:val="000000"/>
                <w:sz w:val="18"/>
                <w:szCs w:val="18"/>
              </w:rPr>
              <w:t>Access to Genetic Resources and Community Knowledge, and Community Rights Proclamation (No. 482/2006), (Article 16 and 27(3))</w:t>
            </w:r>
          </w:p>
        </w:tc>
        <w:tc>
          <w:tcPr>
            <w:tcW w:w="3096" w:type="dxa"/>
          </w:tcPr>
          <w:p w:rsidR="009B430D" w:rsidRPr="00AE6FC3" w:rsidRDefault="009B430D" w:rsidP="006F5F30">
            <w:pPr>
              <w:rPr>
                <w:sz w:val="18"/>
                <w:szCs w:val="18"/>
              </w:rPr>
            </w:pPr>
            <w:r w:rsidRPr="00AE6FC3">
              <w:rPr>
                <w:sz w:val="18"/>
                <w:szCs w:val="18"/>
              </w:rPr>
              <w:t>Ethiopia</w:t>
            </w:r>
          </w:p>
        </w:tc>
        <w:tc>
          <w:tcPr>
            <w:tcW w:w="5697" w:type="dxa"/>
          </w:tcPr>
          <w:p w:rsidR="009B430D" w:rsidRPr="00AE6FC3" w:rsidRDefault="009B430D" w:rsidP="006F5F30">
            <w:pPr>
              <w:jc w:val="left"/>
              <w:rPr>
                <w:sz w:val="18"/>
                <w:szCs w:val="18"/>
              </w:rPr>
            </w:pPr>
            <w:r w:rsidRPr="00AE6FC3">
              <w:rPr>
                <w:rStyle w:val="Hyperlink"/>
                <w:szCs w:val="18"/>
              </w:rPr>
              <w:t>https://absch.cbd.int/database/record/ABSCH-MSR-ET-208211</w:t>
            </w:r>
          </w:p>
        </w:tc>
      </w:tr>
      <w:tr w:rsidR="009B430D" w:rsidRPr="00AE6FC3" w:rsidTr="006F5F30">
        <w:trPr>
          <w:trHeight w:val="432"/>
        </w:trPr>
        <w:tc>
          <w:tcPr>
            <w:tcW w:w="2448" w:type="dxa"/>
          </w:tcPr>
          <w:p w:rsidR="009B430D" w:rsidRPr="00AE6FC3" w:rsidRDefault="009B430D" w:rsidP="00AC7591">
            <w:pPr>
              <w:pStyle w:val="ListParagraph"/>
              <w:numPr>
                <w:ilvl w:val="0"/>
                <w:numId w:val="8"/>
              </w:numPr>
              <w:ind w:left="180" w:hanging="180"/>
              <w:jc w:val="left"/>
              <w:rPr>
                <w:color w:val="000000"/>
                <w:sz w:val="18"/>
                <w:szCs w:val="18"/>
              </w:rPr>
            </w:pPr>
            <w:r w:rsidRPr="00AE6FC3">
              <w:rPr>
                <w:color w:val="000000"/>
                <w:sz w:val="18"/>
                <w:szCs w:val="18"/>
              </w:rPr>
              <w:t xml:space="preserve">Model </w:t>
            </w:r>
            <w:r w:rsidR="00AC7591" w:rsidRPr="00AE6FC3">
              <w:rPr>
                <w:color w:val="000000"/>
                <w:sz w:val="18"/>
                <w:szCs w:val="18"/>
              </w:rPr>
              <w:t>c</w:t>
            </w:r>
            <w:r w:rsidRPr="00AE6FC3">
              <w:rPr>
                <w:color w:val="000000"/>
                <w:sz w:val="18"/>
                <w:szCs w:val="18"/>
              </w:rPr>
              <w:t>ontractual clauses</w:t>
            </w:r>
          </w:p>
        </w:tc>
        <w:tc>
          <w:tcPr>
            <w:tcW w:w="3114" w:type="dxa"/>
          </w:tcPr>
          <w:p w:rsidR="009B430D" w:rsidRPr="00AE6FC3" w:rsidRDefault="009B430D" w:rsidP="006F5F30">
            <w:pPr>
              <w:jc w:val="left"/>
              <w:rPr>
                <w:color w:val="000000"/>
                <w:sz w:val="18"/>
                <w:szCs w:val="18"/>
              </w:rPr>
            </w:pPr>
            <w:r w:rsidRPr="00AE6FC3">
              <w:rPr>
                <w:color w:val="000000"/>
                <w:sz w:val="18"/>
                <w:szCs w:val="18"/>
              </w:rPr>
              <w:t>(Included in national ABS measures, as reported in interim national report)</w:t>
            </w:r>
          </w:p>
        </w:tc>
        <w:tc>
          <w:tcPr>
            <w:tcW w:w="3096" w:type="dxa"/>
          </w:tcPr>
          <w:p w:rsidR="009B430D" w:rsidRPr="00AE6FC3" w:rsidRDefault="009B430D" w:rsidP="006F5F30">
            <w:pPr>
              <w:rPr>
                <w:sz w:val="18"/>
                <w:szCs w:val="18"/>
              </w:rPr>
            </w:pPr>
            <w:r w:rsidRPr="00AE6FC3">
              <w:rPr>
                <w:sz w:val="18"/>
                <w:szCs w:val="18"/>
              </w:rPr>
              <w:t xml:space="preserve">Malta </w:t>
            </w:r>
          </w:p>
        </w:tc>
        <w:tc>
          <w:tcPr>
            <w:tcW w:w="5697" w:type="dxa"/>
          </w:tcPr>
          <w:p w:rsidR="009B430D" w:rsidRPr="00AE6FC3" w:rsidRDefault="009B430D" w:rsidP="006F5F30">
            <w:pPr>
              <w:jc w:val="left"/>
              <w:rPr>
                <w:color w:val="0000FF"/>
                <w:sz w:val="18"/>
                <w:szCs w:val="18"/>
                <w:u w:val="single"/>
              </w:rPr>
            </w:pPr>
            <w:r w:rsidRPr="00AE6FC3">
              <w:rPr>
                <w:rStyle w:val="Hyperlink"/>
                <w:szCs w:val="18"/>
              </w:rPr>
              <w:t>https://absch.cbd.int/database/MSR/ABSCH-MSR-SCBD-204508</w:t>
            </w:r>
          </w:p>
        </w:tc>
      </w:tr>
      <w:tr w:rsidR="00723ED1" w:rsidRPr="009D4331" w:rsidTr="006F5F30">
        <w:trPr>
          <w:trHeight w:val="432"/>
        </w:trPr>
        <w:tc>
          <w:tcPr>
            <w:tcW w:w="2448" w:type="dxa"/>
          </w:tcPr>
          <w:p w:rsidR="00723ED1" w:rsidRPr="00AE6FC3" w:rsidRDefault="00723ED1" w:rsidP="00AC7591">
            <w:pPr>
              <w:pStyle w:val="ListParagraph"/>
              <w:numPr>
                <w:ilvl w:val="0"/>
                <w:numId w:val="8"/>
              </w:numPr>
              <w:ind w:left="180" w:hanging="180"/>
              <w:jc w:val="left"/>
              <w:rPr>
                <w:color w:val="000000"/>
                <w:sz w:val="18"/>
                <w:szCs w:val="18"/>
              </w:rPr>
            </w:pPr>
            <w:r w:rsidRPr="00AE6FC3">
              <w:rPr>
                <w:color w:val="000000"/>
                <w:sz w:val="18"/>
                <w:szCs w:val="18"/>
              </w:rPr>
              <w:t>Model contractual clauses</w:t>
            </w:r>
          </w:p>
        </w:tc>
        <w:tc>
          <w:tcPr>
            <w:tcW w:w="3114" w:type="dxa"/>
          </w:tcPr>
          <w:p w:rsidR="00723ED1" w:rsidRPr="00AE6FC3" w:rsidRDefault="00723ED1" w:rsidP="006F5F30">
            <w:pPr>
              <w:jc w:val="left"/>
              <w:rPr>
                <w:color w:val="000000"/>
                <w:sz w:val="18"/>
                <w:szCs w:val="18"/>
                <w:lang w:val="fr-CA"/>
              </w:rPr>
            </w:pPr>
            <w:r w:rsidRPr="00AE6FC3">
              <w:rPr>
                <w:color w:val="000000"/>
                <w:sz w:val="18"/>
                <w:szCs w:val="18"/>
                <w:lang w:val="fr-CA"/>
              </w:rPr>
              <w:t>Temporary measures for requests to access Genetic Resources (Proceso transitorio para la atención de solicitudes de acceso a recursos fitogenéticos para la alimentación y la agricultura conforme al Protocolo de Nagoya)</w:t>
            </w:r>
          </w:p>
        </w:tc>
        <w:tc>
          <w:tcPr>
            <w:tcW w:w="3096" w:type="dxa"/>
          </w:tcPr>
          <w:p w:rsidR="00723ED1" w:rsidRPr="00AE6FC3" w:rsidRDefault="00723ED1" w:rsidP="006F5F30">
            <w:pPr>
              <w:jc w:val="left"/>
              <w:rPr>
                <w:color w:val="000000"/>
                <w:sz w:val="18"/>
                <w:szCs w:val="18"/>
                <w:lang w:val="fr-CA"/>
              </w:rPr>
            </w:pPr>
            <w:r w:rsidRPr="00AE6FC3">
              <w:rPr>
                <w:color w:val="000000"/>
                <w:sz w:val="18"/>
                <w:szCs w:val="18"/>
                <w:lang w:val="fr-CA"/>
              </w:rPr>
              <w:t>Mexico - Servicio Nacional de Inspección y Certificación de Semillas (SNICS) y la Secretaría de Agricultura, Ganadería, Desarrollo Rural, Pesca y Alimentación (SAGARPA)</w:t>
            </w:r>
          </w:p>
        </w:tc>
        <w:tc>
          <w:tcPr>
            <w:tcW w:w="5697" w:type="dxa"/>
          </w:tcPr>
          <w:p w:rsidR="00723ED1" w:rsidRPr="00AE6FC3" w:rsidRDefault="00785C78" w:rsidP="006F5F30">
            <w:pPr>
              <w:jc w:val="left"/>
              <w:rPr>
                <w:color w:val="0000FF"/>
                <w:sz w:val="18"/>
                <w:szCs w:val="18"/>
                <w:u w:val="single"/>
                <w:lang w:val="fr-CA"/>
              </w:rPr>
            </w:pPr>
            <w:hyperlink r:id="rId68" w:history="1">
              <w:r w:rsidR="00723ED1" w:rsidRPr="00AE6FC3">
                <w:rPr>
                  <w:rStyle w:val="Hyperlink"/>
                  <w:szCs w:val="18"/>
                  <w:lang w:val="fr-CA"/>
                </w:rPr>
                <w:t>https://absch.cbd.int/database/record/ABSCH-MSR-MX-238707</w:t>
              </w:r>
            </w:hyperlink>
          </w:p>
        </w:tc>
      </w:tr>
      <w:tr w:rsidR="009B430D" w:rsidRPr="00AE6FC3" w:rsidTr="006F5F30">
        <w:trPr>
          <w:trHeight w:val="432"/>
        </w:trPr>
        <w:tc>
          <w:tcPr>
            <w:tcW w:w="2448" w:type="dxa"/>
          </w:tcPr>
          <w:p w:rsidR="009B430D" w:rsidRPr="00AE6FC3" w:rsidRDefault="009B430D" w:rsidP="00AC7591">
            <w:pPr>
              <w:pStyle w:val="ListParagraph"/>
              <w:numPr>
                <w:ilvl w:val="0"/>
                <w:numId w:val="8"/>
              </w:numPr>
              <w:ind w:left="180" w:hanging="180"/>
              <w:jc w:val="left"/>
              <w:rPr>
                <w:color w:val="000000"/>
                <w:sz w:val="18"/>
                <w:szCs w:val="18"/>
              </w:rPr>
            </w:pPr>
            <w:r w:rsidRPr="00AE6FC3">
              <w:rPr>
                <w:color w:val="000000"/>
                <w:sz w:val="18"/>
                <w:szCs w:val="18"/>
              </w:rPr>
              <w:t xml:space="preserve">Model </w:t>
            </w:r>
            <w:r w:rsidR="00AC7591" w:rsidRPr="00AE6FC3">
              <w:rPr>
                <w:color w:val="000000"/>
                <w:sz w:val="18"/>
                <w:szCs w:val="18"/>
              </w:rPr>
              <w:t>c</w:t>
            </w:r>
            <w:r w:rsidRPr="00AE6FC3">
              <w:rPr>
                <w:color w:val="000000"/>
                <w:sz w:val="18"/>
                <w:szCs w:val="18"/>
              </w:rPr>
              <w:t>ontractual clauses</w:t>
            </w:r>
          </w:p>
          <w:p w:rsidR="00D03617" w:rsidRPr="00AE6FC3" w:rsidRDefault="00D03617" w:rsidP="00D03617">
            <w:pPr>
              <w:pStyle w:val="ListParagraph"/>
              <w:numPr>
                <w:ilvl w:val="0"/>
                <w:numId w:val="8"/>
              </w:numPr>
              <w:ind w:left="180" w:hanging="180"/>
              <w:jc w:val="left"/>
              <w:rPr>
                <w:color w:val="000000"/>
                <w:sz w:val="18"/>
                <w:szCs w:val="18"/>
              </w:rPr>
            </w:pPr>
            <w:r w:rsidRPr="00AE6FC3">
              <w:rPr>
                <w:color w:val="000000"/>
                <w:sz w:val="18"/>
                <w:szCs w:val="18"/>
              </w:rPr>
              <w:t>Regional guidelines</w:t>
            </w:r>
          </w:p>
        </w:tc>
        <w:tc>
          <w:tcPr>
            <w:tcW w:w="3114" w:type="dxa"/>
          </w:tcPr>
          <w:p w:rsidR="009B430D" w:rsidRPr="00AE6FC3" w:rsidRDefault="009B430D" w:rsidP="006F5F30">
            <w:pPr>
              <w:spacing w:before="120" w:after="120"/>
              <w:rPr>
                <w:color w:val="000000"/>
                <w:sz w:val="18"/>
                <w:szCs w:val="18"/>
                <w:lang w:val="en-US"/>
              </w:rPr>
            </w:pPr>
            <w:r w:rsidRPr="00AE6FC3">
              <w:rPr>
                <w:snapToGrid w:val="0"/>
                <w:sz w:val="18"/>
                <w:szCs w:val="18"/>
                <w:lang w:val="es-ES"/>
              </w:rPr>
              <w:t xml:space="preserve">Regional Andean Community ABS Framework: Resolution 415 of the “Junta del Acuerdo de Cartagena” </w:t>
            </w:r>
          </w:p>
        </w:tc>
        <w:tc>
          <w:tcPr>
            <w:tcW w:w="3096" w:type="dxa"/>
          </w:tcPr>
          <w:p w:rsidR="009B430D" w:rsidRPr="00AE6FC3" w:rsidRDefault="00AC7591" w:rsidP="001B34DC">
            <w:pPr>
              <w:jc w:val="left"/>
              <w:rPr>
                <w:sz w:val="18"/>
                <w:szCs w:val="18"/>
              </w:rPr>
            </w:pPr>
            <w:r w:rsidRPr="00AE6FC3">
              <w:rPr>
                <w:sz w:val="18"/>
                <w:szCs w:val="18"/>
              </w:rPr>
              <w:t>Ande</w:t>
            </w:r>
            <w:r w:rsidR="001B34DC" w:rsidRPr="00AE6FC3">
              <w:rPr>
                <w:sz w:val="18"/>
                <w:szCs w:val="18"/>
              </w:rPr>
              <w:t>an Community</w:t>
            </w:r>
            <w:r w:rsidR="009B430D" w:rsidRPr="00AE6FC3">
              <w:rPr>
                <w:sz w:val="18"/>
                <w:szCs w:val="18"/>
              </w:rPr>
              <w:t xml:space="preserve"> </w:t>
            </w:r>
          </w:p>
        </w:tc>
        <w:tc>
          <w:tcPr>
            <w:tcW w:w="5697" w:type="dxa"/>
          </w:tcPr>
          <w:p w:rsidR="009B430D" w:rsidRPr="00AE6FC3" w:rsidRDefault="009B430D" w:rsidP="006F5F30">
            <w:pPr>
              <w:jc w:val="left"/>
              <w:rPr>
                <w:color w:val="0000FF"/>
                <w:sz w:val="18"/>
                <w:szCs w:val="18"/>
                <w:u w:val="single"/>
              </w:rPr>
            </w:pPr>
            <w:r w:rsidRPr="00AE6FC3">
              <w:rPr>
                <w:color w:val="0000FF"/>
                <w:sz w:val="18"/>
                <w:szCs w:val="18"/>
                <w:u w:val="single"/>
              </w:rPr>
              <w:t>https://absch.cbd.int/database/MSR/ABSCH-MSR-PE-237906/1 https://absch.cbd.int/database/MSR/ABSCH-MSR-PE-238242/1</w:t>
            </w:r>
          </w:p>
        </w:tc>
      </w:tr>
      <w:tr w:rsidR="009B430D" w:rsidRPr="00AE6FC3" w:rsidTr="006F5F30">
        <w:trPr>
          <w:trHeight w:val="432"/>
        </w:trPr>
        <w:tc>
          <w:tcPr>
            <w:tcW w:w="2448" w:type="dxa"/>
          </w:tcPr>
          <w:p w:rsidR="009B430D" w:rsidRPr="00AE6FC3" w:rsidRDefault="009B430D" w:rsidP="00AC7591">
            <w:pPr>
              <w:pStyle w:val="ListParagraph"/>
              <w:numPr>
                <w:ilvl w:val="0"/>
                <w:numId w:val="8"/>
              </w:numPr>
              <w:ind w:left="180" w:hanging="180"/>
              <w:jc w:val="left"/>
              <w:rPr>
                <w:color w:val="000000"/>
                <w:sz w:val="18"/>
                <w:szCs w:val="18"/>
              </w:rPr>
            </w:pPr>
            <w:r w:rsidRPr="00AE6FC3">
              <w:rPr>
                <w:color w:val="000000"/>
                <w:sz w:val="18"/>
                <w:szCs w:val="18"/>
              </w:rPr>
              <w:t xml:space="preserve">Model </w:t>
            </w:r>
            <w:r w:rsidR="00AC7591" w:rsidRPr="00AE6FC3">
              <w:rPr>
                <w:color w:val="000000"/>
                <w:sz w:val="18"/>
                <w:szCs w:val="18"/>
              </w:rPr>
              <w:t>c</w:t>
            </w:r>
            <w:r w:rsidRPr="00AE6FC3">
              <w:rPr>
                <w:color w:val="000000"/>
                <w:sz w:val="18"/>
                <w:szCs w:val="18"/>
              </w:rPr>
              <w:t>ontractual clauses</w:t>
            </w:r>
          </w:p>
        </w:tc>
        <w:tc>
          <w:tcPr>
            <w:tcW w:w="3114" w:type="dxa"/>
          </w:tcPr>
          <w:p w:rsidR="009B430D" w:rsidRPr="00AE6FC3" w:rsidRDefault="009B430D" w:rsidP="006F5F30">
            <w:pPr>
              <w:jc w:val="left"/>
              <w:rPr>
                <w:color w:val="000000"/>
                <w:sz w:val="18"/>
                <w:szCs w:val="18"/>
              </w:rPr>
            </w:pPr>
            <w:r w:rsidRPr="00AE6FC3">
              <w:rPr>
                <w:color w:val="000000"/>
                <w:sz w:val="18"/>
                <w:szCs w:val="18"/>
              </w:rPr>
              <w:t>(Included in national ABS measures, as reported in interim national report)</w:t>
            </w:r>
          </w:p>
        </w:tc>
        <w:tc>
          <w:tcPr>
            <w:tcW w:w="3096" w:type="dxa"/>
          </w:tcPr>
          <w:p w:rsidR="009B430D" w:rsidRPr="00AE6FC3" w:rsidRDefault="009B430D" w:rsidP="006F5F30">
            <w:pPr>
              <w:jc w:val="left"/>
              <w:rPr>
                <w:sz w:val="18"/>
                <w:szCs w:val="18"/>
              </w:rPr>
            </w:pPr>
            <w:r w:rsidRPr="00AE6FC3">
              <w:rPr>
                <w:sz w:val="18"/>
                <w:szCs w:val="18"/>
              </w:rPr>
              <w:t>Viet Nam</w:t>
            </w:r>
          </w:p>
        </w:tc>
        <w:tc>
          <w:tcPr>
            <w:tcW w:w="5697" w:type="dxa"/>
          </w:tcPr>
          <w:p w:rsidR="009B430D" w:rsidRPr="00AE6FC3" w:rsidRDefault="009B430D" w:rsidP="006F5F30">
            <w:pPr>
              <w:jc w:val="left"/>
              <w:rPr>
                <w:color w:val="333333"/>
                <w:sz w:val="18"/>
                <w:szCs w:val="18"/>
                <w:lang w:val="es-ES"/>
              </w:rPr>
            </w:pPr>
            <w:r w:rsidRPr="00AE6FC3">
              <w:rPr>
                <w:color w:val="0000FF"/>
                <w:sz w:val="18"/>
                <w:szCs w:val="18"/>
                <w:u w:val="single"/>
              </w:rPr>
              <w:t>https://absch.cbd.int/database/MSR/ABSCH-MSR-SCBD-237595</w:t>
            </w:r>
          </w:p>
        </w:tc>
      </w:tr>
      <w:tr w:rsidR="00D03617" w:rsidRPr="00AE6FC3" w:rsidTr="006F5F30">
        <w:trPr>
          <w:trHeight w:val="432"/>
        </w:trPr>
        <w:tc>
          <w:tcPr>
            <w:tcW w:w="2448" w:type="dxa"/>
          </w:tcPr>
          <w:p w:rsidR="00D03617" w:rsidRPr="00AE6FC3" w:rsidRDefault="00D03617" w:rsidP="00AC7591">
            <w:pPr>
              <w:pStyle w:val="ListParagraph"/>
              <w:numPr>
                <w:ilvl w:val="0"/>
                <w:numId w:val="8"/>
              </w:numPr>
              <w:ind w:left="180" w:hanging="180"/>
              <w:jc w:val="left"/>
              <w:rPr>
                <w:color w:val="000000"/>
                <w:sz w:val="18"/>
                <w:szCs w:val="18"/>
              </w:rPr>
            </w:pPr>
            <w:r w:rsidRPr="00AE6FC3">
              <w:rPr>
                <w:color w:val="000000"/>
                <w:sz w:val="18"/>
                <w:szCs w:val="18"/>
              </w:rPr>
              <w:t>Regional guidelines</w:t>
            </w:r>
          </w:p>
        </w:tc>
        <w:tc>
          <w:tcPr>
            <w:tcW w:w="3114" w:type="dxa"/>
          </w:tcPr>
          <w:p w:rsidR="00D03617" w:rsidRPr="00AE6FC3" w:rsidRDefault="00D03617" w:rsidP="006F5F30">
            <w:pPr>
              <w:jc w:val="left"/>
              <w:rPr>
                <w:color w:val="000000"/>
                <w:sz w:val="18"/>
                <w:szCs w:val="18"/>
              </w:rPr>
            </w:pPr>
            <w:r w:rsidRPr="00AE6FC3">
              <w:rPr>
                <w:color w:val="000000"/>
                <w:sz w:val="18"/>
                <w:szCs w:val="18"/>
              </w:rPr>
              <w:t>Commission notice — Guidance document on the scope of application and core obligations of Regulation (EU) No 511/2014 of the European Parliament and of the Council on the compliance measures for users from the Nagoya Protocol on Access to Genetic Resources and the Fair and Equitable Sharing of Benefits Arising from their Utilisation in the Union</w:t>
            </w:r>
          </w:p>
        </w:tc>
        <w:tc>
          <w:tcPr>
            <w:tcW w:w="3096" w:type="dxa"/>
          </w:tcPr>
          <w:p w:rsidR="00D03617" w:rsidRPr="00AE6FC3" w:rsidRDefault="00D03617" w:rsidP="006F5F30">
            <w:pPr>
              <w:jc w:val="left"/>
              <w:rPr>
                <w:sz w:val="18"/>
                <w:szCs w:val="18"/>
              </w:rPr>
            </w:pPr>
            <w:r w:rsidRPr="00AE6FC3">
              <w:rPr>
                <w:sz w:val="18"/>
                <w:szCs w:val="18"/>
              </w:rPr>
              <w:t>European Union</w:t>
            </w:r>
          </w:p>
        </w:tc>
        <w:tc>
          <w:tcPr>
            <w:tcW w:w="5697" w:type="dxa"/>
          </w:tcPr>
          <w:p w:rsidR="00D03617" w:rsidRPr="00AE6FC3" w:rsidRDefault="00D03617" w:rsidP="006F5F30">
            <w:pPr>
              <w:jc w:val="left"/>
              <w:rPr>
                <w:color w:val="0000FF"/>
                <w:sz w:val="18"/>
                <w:szCs w:val="18"/>
                <w:u w:val="single"/>
              </w:rPr>
            </w:pPr>
            <w:r w:rsidRPr="00AE6FC3">
              <w:rPr>
                <w:color w:val="0000FF"/>
                <w:sz w:val="18"/>
                <w:szCs w:val="18"/>
                <w:u w:val="single"/>
              </w:rPr>
              <w:t>https://absch.cbd.int/database/MSR/ABSCH-MSR-EU-208044</w:t>
            </w:r>
          </w:p>
        </w:tc>
      </w:tr>
      <w:tr w:rsidR="00D03617" w:rsidRPr="00AE6FC3" w:rsidTr="006F5F30">
        <w:trPr>
          <w:trHeight w:val="432"/>
        </w:trPr>
        <w:tc>
          <w:tcPr>
            <w:tcW w:w="2448" w:type="dxa"/>
          </w:tcPr>
          <w:p w:rsidR="00D03617" w:rsidRPr="00AE6FC3" w:rsidRDefault="00D03617" w:rsidP="00D03617">
            <w:pPr>
              <w:pStyle w:val="ListParagraph"/>
              <w:numPr>
                <w:ilvl w:val="0"/>
                <w:numId w:val="8"/>
              </w:numPr>
              <w:ind w:left="180" w:hanging="180"/>
              <w:jc w:val="left"/>
              <w:rPr>
                <w:color w:val="000000"/>
                <w:sz w:val="18"/>
                <w:szCs w:val="18"/>
              </w:rPr>
            </w:pPr>
            <w:r w:rsidRPr="00AE6FC3">
              <w:rPr>
                <w:color w:val="000000"/>
                <w:sz w:val="18"/>
                <w:szCs w:val="18"/>
              </w:rPr>
              <w:t>National or domestic guidelines</w:t>
            </w:r>
          </w:p>
        </w:tc>
        <w:tc>
          <w:tcPr>
            <w:tcW w:w="3114" w:type="dxa"/>
          </w:tcPr>
          <w:p w:rsidR="00D03617" w:rsidRPr="00AE6FC3" w:rsidRDefault="00D03617" w:rsidP="00D03617">
            <w:pPr>
              <w:jc w:val="left"/>
              <w:rPr>
                <w:sz w:val="18"/>
                <w:szCs w:val="18"/>
                <w:lang w:val="fr-CA"/>
              </w:rPr>
            </w:pPr>
            <w:r w:rsidRPr="00AE6FC3">
              <w:rPr>
                <w:sz w:val="18"/>
                <w:szCs w:val="18"/>
                <w:lang w:val="fr-CA"/>
              </w:rPr>
              <w:t>La Biodiversidad, En la República Dominicana, Visión para el año 2025</w:t>
            </w:r>
          </w:p>
        </w:tc>
        <w:tc>
          <w:tcPr>
            <w:tcW w:w="3096" w:type="dxa"/>
          </w:tcPr>
          <w:p w:rsidR="00D03617" w:rsidRPr="00AE6FC3" w:rsidRDefault="00D03617" w:rsidP="00D03617">
            <w:pPr>
              <w:jc w:val="left"/>
              <w:rPr>
                <w:sz w:val="18"/>
                <w:szCs w:val="18"/>
              </w:rPr>
            </w:pPr>
            <w:r w:rsidRPr="00AE6FC3">
              <w:rPr>
                <w:sz w:val="18"/>
                <w:szCs w:val="18"/>
              </w:rPr>
              <w:t>Dominican Republic</w:t>
            </w:r>
          </w:p>
          <w:p w:rsidR="00D03617" w:rsidRPr="00AE6FC3" w:rsidRDefault="00D03617" w:rsidP="006F5F30">
            <w:pPr>
              <w:jc w:val="left"/>
              <w:rPr>
                <w:sz w:val="18"/>
                <w:szCs w:val="18"/>
              </w:rPr>
            </w:pPr>
          </w:p>
        </w:tc>
        <w:tc>
          <w:tcPr>
            <w:tcW w:w="5697" w:type="dxa"/>
          </w:tcPr>
          <w:p w:rsidR="00D03617" w:rsidRPr="00AE6FC3" w:rsidRDefault="00D03617" w:rsidP="006F5F30">
            <w:pPr>
              <w:jc w:val="left"/>
              <w:rPr>
                <w:color w:val="0000FF"/>
                <w:sz w:val="18"/>
                <w:szCs w:val="18"/>
                <w:u w:val="single"/>
              </w:rPr>
            </w:pPr>
            <w:r w:rsidRPr="00AE6FC3">
              <w:rPr>
                <w:color w:val="0000FF"/>
                <w:sz w:val="18"/>
                <w:szCs w:val="18"/>
                <w:u w:val="single"/>
              </w:rPr>
              <w:t>https://absch.cbd.int/database/MSR/ABSCH-MSR-DO-238357</w:t>
            </w:r>
          </w:p>
        </w:tc>
      </w:tr>
    </w:tbl>
    <w:p w:rsidR="009B430D" w:rsidRDefault="009B430D" w:rsidP="009B430D"/>
    <w:p w:rsidR="002D0861" w:rsidRDefault="002D0861" w:rsidP="009B430D"/>
    <w:p w:rsidR="002D0861" w:rsidRDefault="002D0861" w:rsidP="009B430D"/>
    <w:p w:rsidR="002D0861" w:rsidRPr="00D03617" w:rsidRDefault="002D0861" w:rsidP="009B430D"/>
    <w:p w:rsidR="009B430D" w:rsidRDefault="0067280E" w:rsidP="009B430D">
      <w:pPr>
        <w:pStyle w:val="Heading2"/>
        <w:numPr>
          <w:ilvl w:val="1"/>
          <w:numId w:val="7"/>
        </w:numPr>
      </w:pPr>
      <w:r>
        <w:lastRenderedPageBreak/>
        <w:t xml:space="preserve">Tools </w:t>
      </w:r>
      <w:r w:rsidR="001E6610">
        <w:t>a</w:t>
      </w:r>
      <w:r w:rsidR="009B430D" w:rsidRPr="00A739F3">
        <w:t xml:space="preserve">vailable on </w:t>
      </w:r>
      <w:r w:rsidR="001E6610">
        <w:t>o</w:t>
      </w:r>
      <w:r w:rsidR="009B430D">
        <w:t xml:space="preserve">ther </w:t>
      </w:r>
      <w:r w:rsidR="001E6610">
        <w:t>w</w:t>
      </w:r>
      <w:r w:rsidR="009B430D">
        <w:t>ebsites</w:t>
      </w:r>
    </w:p>
    <w:tbl>
      <w:tblPr>
        <w:tblStyle w:val="TableGrid"/>
        <w:tblW w:w="0" w:type="auto"/>
        <w:tblLayout w:type="fixed"/>
        <w:tblLook w:val="04A0" w:firstRow="1" w:lastRow="0" w:firstColumn="1" w:lastColumn="0" w:noHBand="0" w:noVBand="1"/>
      </w:tblPr>
      <w:tblGrid>
        <w:gridCol w:w="2448"/>
        <w:gridCol w:w="3114"/>
        <w:gridCol w:w="3096"/>
        <w:gridCol w:w="5697"/>
      </w:tblGrid>
      <w:tr w:rsidR="00807653" w:rsidRPr="00603792" w:rsidTr="00AE6FC3">
        <w:tc>
          <w:tcPr>
            <w:tcW w:w="2448" w:type="dxa"/>
            <w:shd w:val="pct5" w:color="auto" w:fill="auto"/>
          </w:tcPr>
          <w:p w:rsidR="00807653" w:rsidRPr="00603792" w:rsidRDefault="00807653" w:rsidP="00785C78">
            <w:pPr>
              <w:jc w:val="center"/>
              <w:rPr>
                <w:b/>
                <w:sz w:val="18"/>
                <w:szCs w:val="18"/>
              </w:rPr>
            </w:pPr>
            <w:r w:rsidRPr="00603792">
              <w:rPr>
                <w:b/>
                <w:sz w:val="18"/>
                <w:szCs w:val="18"/>
              </w:rPr>
              <w:t>Type of Document</w:t>
            </w:r>
          </w:p>
        </w:tc>
        <w:tc>
          <w:tcPr>
            <w:tcW w:w="3114" w:type="dxa"/>
            <w:shd w:val="pct5" w:color="auto" w:fill="auto"/>
          </w:tcPr>
          <w:p w:rsidR="00807653" w:rsidRPr="00603792" w:rsidRDefault="00807653" w:rsidP="00785C78">
            <w:pPr>
              <w:jc w:val="center"/>
              <w:rPr>
                <w:b/>
                <w:sz w:val="18"/>
                <w:szCs w:val="18"/>
              </w:rPr>
            </w:pPr>
            <w:r w:rsidRPr="00603792">
              <w:rPr>
                <w:b/>
                <w:sz w:val="18"/>
                <w:szCs w:val="18"/>
              </w:rPr>
              <w:t>Title</w:t>
            </w:r>
          </w:p>
        </w:tc>
        <w:tc>
          <w:tcPr>
            <w:tcW w:w="3096" w:type="dxa"/>
            <w:shd w:val="pct5" w:color="auto" w:fill="auto"/>
          </w:tcPr>
          <w:p w:rsidR="00807653" w:rsidRPr="00603792" w:rsidRDefault="00807653" w:rsidP="00785C78">
            <w:pPr>
              <w:jc w:val="center"/>
              <w:rPr>
                <w:b/>
                <w:sz w:val="18"/>
                <w:szCs w:val="18"/>
              </w:rPr>
            </w:pPr>
            <w:r w:rsidRPr="00603792">
              <w:rPr>
                <w:b/>
                <w:sz w:val="18"/>
                <w:szCs w:val="18"/>
              </w:rPr>
              <w:t>Author</w:t>
            </w:r>
          </w:p>
        </w:tc>
        <w:tc>
          <w:tcPr>
            <w:tcW w:w="5697" w:type="dxa"/>
            <w:shd w:val="pct5" w:color="auto" w:fill="auto"/>
          </w:tcPr>
          <w:p w:rsidR="00807653" w:rsidRPr="00603792" w:rsidRDefault="00807653" w:rsidP="00785C78">
            <w:pPr>
              <w:jc w:val="center"/>
              <w:rPr>
                <w:b/>
                <w:sz w:val="18"/>
                <w:szCs w:val="18"/>
              </w:rPr>
            </w:pPr>
            <w:r w:rsidRPr="00603792">
              <w:rPr>
                <w:b/>
                <w:sz w:val="18"/>
                <w:szCs w:val="18"/>
              </w:rPr>
              <w:t>Link</w:t>
            </w:r>
          </w:p>
          <w:p w:rsidR="00807653" w:rsidRPr="00603792" w:rsidRDefault="00807653" w:rsidP="00785C78">
            <w:pPr>
              <w:jc w:val="center"/>
              <w:rPr>
                <w:b/>
                <w:sz w:val="18"/>
                <w:szCs w:val="18"/>
              </w:rPr>
            </w:pPr>
            <w:r w:rsidRPr="00603792">
              <w:rPr>
                <w:b/>
                <w:sz w:val="18"/>
                <w:szCs w:val="18"/>
              </w:rPr>
              <w:t>(ABS Clearing-House, other website)</w:t>
            </w:r>
            <w:r w:rsidRPr="00603792" w:rsidDel="00807653">
              <w:rPr>
                <w:b/>
                <w:sz w:val="18"/>
                <w:szCs w:val="18"/>
              </w:rPr>
              <w:t xml:space="preserve"> </w:t>
            </w:r>
          </w:p>
        </w:tc>
      </w:tr>
      <w:tr w:rsidR="00807653" w:rsidRPr="009D4331"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tcPr>
          <w:p w:rsidR="009B430D" w:rsidRPr="00AE6FC3" w:rsidRDefault="009B430D" w:rsidP="006F5F30">
            <w:pPr>
              <w:jc w:val="left"/>
              <w:rPr>
                <w:sz w:val="18"/>
                <w:szCs w:val="18"/>
              </w:rPr>
            </w:pPr>
            <w:r w:rsidRPr="00AE6FC3">
              <w:rPr>
                <w:sz w:val="18"/>
                <w:szCs w:val="18"/>
              </w:rPr>
              <w:t>The ECCO core Material Transfer Agreement for the supply of samples of biological material from the public collection</w:t>
            </w:r>
          </w:p>
        </w:tc>
        <w:tc>
          <w:tcPr>
            <w:tcW w:w="3096" w:type="dxa"/>
          </w:tcPr>
          <w:p w:rsidR="009B430D" w:rsidRPr="00AE6FC3" w:rsidRDefault="009B430D" w:rsidP="006F5F30">
            <w:pPr>
              <w:jc w:val="left"/>
              <w:rPr>
                <w:sz w:val="18"/>
                <w:szCs w:val="18"/>
                <w:lang w:val="fr-CA"/>
              </w:rPr>
            </w:pPr>
            <w:r w:rsidRPr="00AE6FC3">
              <w:rPr>
                <w:sz w:val="18"/>
                <w:szCs w:val="18"/>
                <w:lang w:val="fr-CA"/>
              </w:rPr>
              <w:t>European Culture Co</w:t>
            </w:r>
            <w:r w:rsidR="00606E24">
              <w:rPr>
                <w:sz w:val="18"/>
                <w:szCs w:val="18"/>
                <w:lang w:val="fr-CA"/>
              </w:rPr>
              <w:t>llections' Organisation (ECCO)</w:t>
            </w:r>
          </w:p>
        </w:tc>
        <w:tc>
          <w:tcPr>
            <w:tcW w:w="5697" w:type="dxa"/>
          </w:tcPr>
          <w:p w:rsidR="009B430D" w:rsidRPr="00AE6FC3" w:rsidRDefault="00785C78" w:rsidP="006F5F30">
            <w:pPr>
              <w:jc w:val="left"/>
              <w:rPr>
                <w:sz w:val="18"/>
                <w:szCs w:val="18"/>
                <w:u w:val="single"/>
                <w:lang w:val="fr-CA"/>
              </w:rPr>
            </w:pPr>
            <w:hyperlink r:id="rId69" w:history="1">
              <w:r w:rsidR="009B430D" w:rsidRPr="00AE6FC3">
                <w:rPr>
                  <w:sz w:val="18"/>
                  <w:szCs w:val="18"/>
                  <w:u w:val="single"/>
                  <w:lang w:val="fr-CA"/>
                </w:rPr>
                <w:t>https://www.eccosite.org/wp-content/uploads/2014/07/ECCO_core-MTA_V1_Febr09.pdf</w:t>
              </w:r>
            </w:hyperlink>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AC7591" w:rsidRPr="00AE6FC3" w:rsidRDefault="009B430D" w:rsidP="00AC7591">
            <w:pPr>
              <w:pStyle w:val="ListParagraph"/>
              <w:numPr>
                <w:ilvl w:val="0"/>
                <w:numId w:val="8"/>
              </w:numPr>
              <w:ind w:left="180" w:hanging="180"/>
              <w:jc w:val="left"/>
              <w:rPr>
                <w:sz w:val="18"/>
                <w:szCs w:val="18"/>
              </w:rPr>
            </w:pPr>
            <w:r w:rsidRPr="00AE6FC3">
              <w:rPr>
                <w:sz w:val="18"/>
                <w:szCs w:val="18"/>
              </w:rPr>
              <w:t xml:space="preserve">Guidelines </w:t>
            </w:r>
          </w:p>
          <w:p w:rsidR="009B430D" w:rsidRPr="00AE6FC3" w:rsidRDefault="009B430D" w:rsidP="00AC7591">
            <w:pPr>
              <w:pStyle w:val="ListParagraph"/>
              <w:numPr>
                <w:ilvl w:val="0"/>
                <w:numId w:val="8"/>
              </w:numPr>
              <w:ind w:left="180" w:hanging="180"/>
              <w:jc w:val="left"/>
              <w:rPr>
                <w:sz w:val="18"/>
                <w:szCs w:val="18"/>
              </w:rPr>
            </w:pPr>
            <w:r w:rsidRPr="00AE6FC3">
              <w:rPr>
                <w:sz w:val="18"/>
                <w:szCs w:val="18"/>
              </w:rPr>
              <w:t xml:space="preserve">Best </w:t>
            </w:r>
            <w:r w:rsidR="00AC7591" w:rsidRPr="00AE6FC3">
              <w:rPr>
                <w:sz w:val="18"/>
                <w:szCs w:val="18"/>
              </w:rPr>
              <w:t>p</w:t>
            </w:r>
            <w:r w:rsidRPr="00AE6FC3">
              <w:rPr>
                <w:sz w:val="18"/>
                <w:szCs w:val="18"/>
              </w:rPr>
              <w:t>ractices</w:t>
            </w:r>
          </w:p>
        </w:tc>
        <w:tc>
          <w:tcPr>
            <w:tcW w:w="3114" w:type="dxa"/>
          </w:tcPr>
          <w:p w:rsidR="009B430D" w:rsidRPr="00AE6FC3" w:rsidRDefault="009B430D" w:rsidP="006F5F30">
            <w:pPr>
              <w:jc w:val="left"/>
              <w:rPr>
                <w:sz w:val="18"/>
                <w:szCs w:val="18"/>
              </w:rPr>
            </w:pPr>
            <w:r w:rsidRPr="00AE6FC3">
              <w:rPr>
                <w:sz w:val="18"/>
                <w:szCs w:val="18"/>
              </w:rPr>
              <w:t>Commission on Biological Control and ABS</w:t>
            </w:r>
          </w:p>
        </w:tc>
        <w:tc>
          <w:tcPr>
            <w:tcW w:w="3096" w:type="dxa"/>
          </w:tcPr>
          <w:p w:rsidR="009B430D" w:rsidRPr="00AE6FC3" w:rsidRDefault="009B430D" w:rsidP="006F5F30">
            <w:pPr>
              <w:jc w:val="left"/>
              <w:rPr>
                <w:sz w:val="18"/>
                <w:szCs w:val="18"/>
              </w:rPr>
            </w:pPr>
            <w:r w:rsidRPr="00AE6FC3">
              <w:rPr>
                <w:sz w:val="18"/>
                <w:szCs w:val="18"/>
              </w:rPr>
              <w:t xml:space="preserve">International Organisation for Biological Control of Noxious Animals and Plants (IOBC) </w:t>
            </w:r>
          </w:p>
        </w:tc>
        <w:tc>
          <w:tcPr>
            <w:tcW w:w="5697" w:type="dxa"/>
          </w:tcPr>
          <w:p w:rsidR="009B430D" w:rsidRPr="00AE6FC3" w:rsidRDefault="009D4331" w:rsidP="006F5F30">
            <w:pPr>
              <w:jc w:val="left"/>
              <w:rPr>
                <w:sz w:val="18"/>
                <w:szCs w:val="18"/>
                <w:u w:val="single"/>
              </w:rPr>
            </w:pPr>
            <w:hyperlink r:id="rId70" w:history="1">
              <w:r w:rsidR="009B430D" w:rsidRPr="00AE6FC3">
                <w:rPr>
                  <w:sz w:val="18"/>
                  <w:szCs w:val="18"/>
                  <w:u w:val="single"/>
                </w:rPr>
                <w:t xml:space="preserve">http://www.iobc-global.org/global_comm_bc_access_benefit_sharing.html </w:t>
              </w:r>
            </w:hyperlink>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tcPr>
          <w:p w:rsidR="009B430D" w:rsidRPr="00AE6FC3" w:rsidRDefault="009B430D" w:rsidP="006F5F30">
            <w:pPr>
              <w:jc w:val="left"/>
              <w:rPr>
                <w:sz w:val="18"/>
                <w:szCs w:val="18"/>
              </w:rPr>
            </w:pPr>
            <w:r w:rsidRPr="00AE6FC3">
              <w:rPr>
                <w:sz w:val="18"/>
                <w:szCs w:val="18"/>
              </w:rPr>
              <w:t>Material Transfer Agreement</w:t>
            </w:r>
          </w:p>
        </w:tc>
        <w:tc>
          <w:tcPr>
            <w:tcW w:w="3096" w:type="dxa"/>
          </w:tcPr>
          <w:p w:rsidR="009B430D" w:rsidRPr="00AE6FC3" w:rsidRDefault="009B430D" w:rsidP="006F5F30">
            <w:pPr>
              <w:jc w:val="left"/>
              <w:rPr>
                <w:sz w:val="18"/>
                <w:szCs w:val="18"/>
              </w:rPr>
            </w:pPr>
            <w:r w:rsidRPr="00AE6FC3">
              <w:rPr>
                <w:sz w:val="18"/>
                <w:szCs w:val="18"/>
              </w:rPr>
              <w:t>Nordic Genetic Resource Center (NordGen)</w:t>
            </w:r>
          </w:p>
        </w:tc>
        <w:tc>
          <w:tcPr>
            <w:tcW w:w="5697" w:type="dxa"/>
          </w:tcPr>
          <w:p w:rsidR="009B430D" w:rsidRPr="00AE6FC3" w:rsidRDefault="009D4331" w:rsidP="006F5F30">
            <w:pPr>
              <w:jc w:val="left"/>
              <w:rPr>
                <w:sz w:val="18"/>
                <w:szCs w:val="18"/>
                <w:u w:val="single"/>
              </w:rPr>
            </w:pPr>
            <w:hyperlink r:id="rId71" w:history="1">
              <w:r w:rsidR="009B430D" w:rsidRPr="00AE6FC3">
                <w:rPr>
                  <w:sz w:val="18"/>
                  <w:szCs w:val="18"/>
                  <w:u w:val="single"/>
                </w:rPr>
                <w:t>https://www.nordgen.org/en/plants/seed-potato-request/material-transfer-agreements/</w:t>
              </w:r>
            </w:hyperlink>
          </w:p>
          <w:p w:rsidR="009B430D" w:rsidRPr="00AE6FC3" w:rsidRDefault="009B430D" w:rsidP="006F5F30">
            <w:pPr>
              <w:jc w:val="left"/>
              <w:rPr>
                <w:sz w:val="18"/>
                <w:szCs w:val="18"/>
                <w:lang w:val="es-ES"/>
              </w:rPr>
            </w:pP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Manual on including IPLCs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tcPr>
          <w:p w:rsidR="009B430D" w:rsidRPr="00AE6FC3" w:rsidRDefault="009B430D" w:rsidP="006F5F30">
            <w:pPr>
              <w:jc w:val="left"/>
              <w:rPr>
                <w:sz w:val="18"/>
                <w:szCs w:val="18"/>
                <w:lang w:val="fr-CA"/>
              </w:rPr>
            </w:pPr>
            <w:r w:rsidRPr="00AE6FC3">
              <w:rPr>
                <w:sz w:val="18"/>
                <w:szCs w:val="18"/>
                <w:lang w:val="fr-CA"/>
              </w:rPr>
              <w:t>“Manual de planeación participativa con enfoque de equidad en comunidades de Áreas Naturales Protegidas”</w:t>
            </w:r>
          </w:p>
        </w:tc>
        <w:tc>
          <w:tcPr>
            <w:tcW w:w="3096" w:type="dxa"/>
          </w:tcPr>
          <w:p w:rsidR="009B430D" w:rsidRPr="00AE6FC3" w:rsidRDefault="009B430D" w:rsidP="006F5F30">
            <w:pPr>
              <w:jc w:val="left"/>
              <w:rPr>
                <w:sz w:val="18"/>
                <w:szCs w:val="18"/>
              </w:rPr>
            </w:pPr>
            <w:r w:rsidRPr="00AE6FC3">
              <w:rPr>
                <w:sz w:val="18"/>
                <w:szCs w:val="18"/>
              </w:rPr>
              <w:t>Mexico</w:t>
            </w:r>
          </w:p>
        </w:tc>
        <w:tc>
          <w:tcPr>
            <w:tcW w:w="5697" w:type="dxa"/>
          </w:tcPr>
          <w:p w:rsidR="009B430D" w:rsidRPr="00AE6FC3" w:rsidRDefault="009D4331" w:rsidP="006F5F30">
            <w:pPr>
              <w:jc w:val="left"/>
              <w:rPr>
                <w:sz w:val="18"/>
                <w:szCs w:val="18"/>
                <w:u w:val="single"/>
                <w:lang w:val="en-US"/>
              </w:rPr>
            </w:pPr>
            <w:hyperlink r:id="rId72" w:history="1">
              <w:r w:rsidR="009B430D" w:rsidRPr="00AE6FC3">
                <w:rPr>
                  <w:sz w:val="18"/>
                  <w:szCs w:val="18"/>
                  <w:u w:val="single"/>
                  <w:lang w:val="en-US"/>
                </w:rPr>
                <w:t>https://www.gob.mx/cms/uploads/attachment/file/196775/MANUAL_PLAN_PARTICIPATIVA___DIGITAL_2017ok_baja_res.pdf</w:t>
              </w:r>
            </w:hyperlink>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AC7591" w:rsidP="009B430D">
            <w:pPr>
              <w:pStyle w:val="ListParagraph"/>
              <w:numPr>
                <w:ilvl w:val="0"/>
                <w:numId w:val="8"/>
              </w:numPr>
              <w:ind w:left="180" w:hanging="180"/>
              <w:jc w:val="left"/>
              <w:rPr>
                <w:sz w:val="18"/>
                <w:szCs w:val="18"/>
              </w:rPr>
            </w:pPr>
            <w:r w:rsidRPr="00AE6FC3">
              <w:rPr>
                <w:sz w:val="18"/>
                <w:szCs w:val="18"/>
              </w:rPr>
              <w:t>C</w:t>
            </w:r>
            <w:r w:rsidR="009B430D" w:rsidRPr="00AE6FC3">
              <w:rPr>
                <w:sz w:val="18"/>
                <w:szCs w:val="18"/>
              </w:rPr>
              <w:t>odes of conduct</w:t>
            </w:r>
          </w:p>
        </w:tc>
        <w:tc>
          <w:tcPr>
            <w:tcW w:w="3114" w:type="dxa"/>
          </w:tcPr>
          <w:p w:rsidR="009B430D" w:rsidRPr="00AE6FC3" w:rsidRDefault="009B430D" w:rsidP="006F5F30">
            <w:pPr>
              <w:jc w:val="left"/>
              <w:rPr>
                <w:sz w:val="18"/>
                <w:szCs w:val="18"/>
              </w:rPr>
            </w:pPr>
            <w:r w:rsidRPr="00AE6FC3">
              <w:rPr>
                <w:sz w:val="18"/>
                <w:szCs w:val="18"/>
              </w:rPr>
              <w:t>Use of Material Statement</w:t>
            </w:r>
          </w:p>
        </w:tc>
        <w:tc>
          <w:tcPr>
            <w:tcW w:w="3096" w:type="dxa"/>
          </w:tcPr>
          <w:p w:rsidR="009B430D" w:rsidRPr="00AE6FC3" w:rsidRDefault="009B430D" w:rsidP="006F5F30">
            <w:pPr>
              <w:jc w:val="left"/>
              <w:rPr>
                <w:sz w:val="18"/>
                <w:szCs w:val="18"/>
              </w:rPr>
            </w:pPr>
            <w:r w:rsidRPr="00AE6FC3">
              <w:rPr>
                <w:sz w:val="18"/>
                <w:szCs w:val="18"/>
              </w:rPr>
              <w:t>Natural History Museum, UK</w:t>
            </w:r>
          </w:p>
        </w:tc>
        <w:tc>
          <w:tcPr>
            <w:tcW w:w="5697" w:type="dxa"/>
          </w:tcPr>
          <w:p w:rsidR="009B430D" w:rsidRPr="00AE6FC3" w:rsidRDefault="009D4331" w:rsidP="006F5F30">
            <w:pPr>
              <w:jc w:val="left"/>
              <w:rPr>
                <w:sz w:val="18"/>
                <w:szCs w:val="18"/>
                <w:u w:val="single"/>
                <w:lang w:val="en-US"/>
              </w:rPr>
            </w:pPr>
            <w:hyperlink r:id="rId73" w:history="1">
              <w:r w:rsidR="009B430D" w:rsidRPr="00AE6FC3">
                <w:rPr>
                  <w:sz w:val="18"/>
                  <w:szCs w:val="18"/>
                  <w:u w:val="single"/>
                  <w:lang w:val="en-US"/>
                </w:rPr>
                <w:t>http://nagoyaprotocol.myspecies.info/node/5</w:t>
              </w:r>
            </w:hyperlink>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tcPr>
          <w:p w:rsidR="009B430D" w:rsidRPr="00AE6FC3" w:rsidRDefault="009B430D" w:rsidP="006F5F30">
            <w:pPr>
              <w:jc w:val="left"/>
              <w:rPr>
                <w:sz w:val="18"/>
                <w:szCs w:val="18"/>
              </w:rPr>
            </w:pPr>
            <w:r w:rsidRPr="00AE6FC3">
              <w:rPr>
                <w:sz w:val="18"/>
                <w:szCs w:val="18"/>
              </w:rPr>
              <w:t>Lessons learned and best practices on developing community protocols, advantages and challenges</w:t>
            </w:r>
          </w:p>
        </w:tc>
        <w:tc>
          <w:tcPr>
            <w:tcW w:w="3096" w:type="dxa"/>
          </w:tcPr>
          <w:p w:rsidR="009B430D" w:rsidRPr="00AE6FC3" w:rsidRDefault="009B430D" w:rsidP="006F5F30">
            <w:pPr>
              <w:jc w:val="left"/>
              <w:rPr>
                <w:sz w:val="18"/>
                <w:szCs w:val="18"/>
              </w:rPr>
            </w:pPr>
            <w:r w:rsidRPr="00AE6FC3">
              <w:rPr>
                <w:sz w:val="18"/>
                <w:szCs w:val="18"/>
              </w:rPr>
              <w:t>Natural Justice and the ABS Capacity Development Initiative, contributions from ONG CESAREN (Cercle de Sauvegarde des Ressources</w:t>
            </w:r>
            <w:r w:rsidRPr="00AE6FC3">
              <w:rPr>
                <w:sz w:val="18"/>
                <w:szCs w:val="18"/>
              </w:rPr>
              <w:br/>
              <w:t>Naturelles, Benin)</w:t>
            </w:r>
          </w:p>
        </w:tc>
        <w:tc>
          <w:tcPr>
            <w:tcW w:w="5697" w:type="dxa"/>
          </w:tcPr>
          <w:p w:rsidR="009B430D" w:rsidRPr="00AE6FC3" w:rsidRDefault="009D4331" w:rsidP="006F5F30">
            <w:pPr>
              <w:jc w:val="left"/>
              <w:rPr>
                <w:sz w:val="18"/>
                <w:szCs w:val="18"/>
                <w:lang w:val="en-US"/>
              </w:rPr>
            </w:pPr>
            <w:hyperlink r:id="rId74" w:history="1">
              <w:r w:rsidR="009B430D" w:rsidRPr="00AE6FC3">
                <w:rPr>
                  <w:rStyle w:val="Hyperlink"/>
                  <w:color w:val="auto"/>
                  <w:szCs w:val="18"/>
                  <w:lang w:val="en-US"/>
                </w:rPr>
                <w:t>https://www.cbd.int/abs/submissions/assessment/naturaljustice-abs-initiative-en.pdf</w:t>
              </w:r>
            </w:hyperlink>
          </w:p>
          <w:p w:rsidR="009B430D" w:rsidRPr="00AE6FC3" w:rsidRDefault="009B430D" w:rsidP="006F5F30">
            <w:pPr>
              <w:jc w:val="left"/>
              <w:rPr>
                <w:sz w:val="18"/>
                <w:szCs w:val="18"/>
                <w:lang w:val="en-US"/>
              </w:rPr>
            </w:pPr>
          </w:p>
        </w:tc>
      </w:tr>
    </w:tbl>
    <w:p w:rsidR="009B430D" w:rsidRPr="003E4CE4" w:rsidRDefault="009B430D" w:rsidP="009B430D"/>
    <w:p w:rsidR="009B430D" w:rsidRDefault="0067280E" w:rsidP="009B430D">
      <w:pPr>
        <w:pStyle w:val="Heading2"/>
        <w:numPr>
          <w:ilvl w:val="1"/>
          <w:numId w:val="7"/>
        </w:numPr>
      </w:pPr>
      <w:r>
        <w:t>Other tools</w:t>
      </w:r>
    </w:p>
    <w:tbl>
      <w:tblPr>
        <w:tblStyle w:val="TableGrid"/>
        <w:tblW w:w="0" w:type="auto"/>
        <w:tblLayout w:type="fixed"/>
        <w:tblLook w:val="04A0" w:firstRow="1" w:lastRow="0" w:firstColumn="1" w:lastColumn="0" w:noHBand="0" w:noVBand="1"/>
      </w:tblPr>
      <w:tblGrid>
        <w:gridCol w:w="2448"/>
        <w:gridCol w:w="3114"/>
        <w:gridCol w:w="3096"/>
        <w:gridCol w:w="5697"/>
      </w:tblGrid>
      <w:tr w:rsidR="00807653" w:rsidRPr="00603792" w:rsidTr="00AE6FC3">
        <w:tc>
          <w:tcPr>
            <w:tcW w:w="2448" w:type="dxa"/>
            <w:shd w:val="pct5" w:color="auto" w:fill="auto"/>
          </w:tcPr>
          <w:p w:rsidR="00807653" w:rsidRPr="00603792" w:rsidRDefault="00807653" w:rsidP="00785C78">
            <w:pPr>
              <w:jc w:val="center"/>
              <w:rPr>
                <w:b/>
                <w:sz w:val="18"/>
                <w:szCs w:val="18"/>
              </w:rPr>
            </w:pPr>
            <w:r w:rsidRPr="00603792">
              <w:rPr>
                <w:b/>
                <w:sz w:val="18"/>
                <w:szCs w:val="18"/>
              </w:rPr>
              <w:t>Type of Document</w:t>
            </w:r>
          </w:p>
        </w:tc>
        <w:tc>
          <w:tcPr>
            <w:tcW w:w="3114" w:type="dxa"/>
            <w:shd w:val="pct5" w:color="auto" w:fill="auto"/>
          </w:tcPr>
          <w:p w:rsidR="00807653" w:rsidRPr="00603792" w:rsidRDefault="00807653" w:rsidP="00785C78">
            <w:pPr>
              <w:jc w:val="center"/>
              <w:rPr>
                <w:b/>
                <w:sz w:val="18"/>
                <w:szCs w:val="18"/>
              </w:rPr>
            </w:pPr>
            <w:r w:rsidRPr="00603792">
              <w:rPr>
                <w:b/>
                <w:sz w:val="18"/>
                <w:szCs w:val="18"/>
              </w:rPr>
              <w:t>Title</w:t>
            </w:r>
          </w:p>
        </w:tc>
        <w:tc>
          <w:tcPr>
            <w:tcW w:w="3096" w:type="dxa"/>
            <w:shd w:val="pct5" w:color="auto" w:fill="auto"/>
          </w:tcPr>
          <w:p w:rsidR="00807653" w:rsidRPr="00603792" w:rsidRDefault="00807653" w:rsidP="00785C78">
            <w:pPr>
              <w:jc w:val="center"/>
              <w:rPr>
                <w:b/>
                <w:sz w:val="18"/>
                <w:szCs w:val="18"/>
              </w:rPr>
            </w:pPr>
            <w:r w:rsidRPr="00603792">
              <w:rPr>
                <w:b/>
                <w:sz w:val="18"/>
                <w:szCs w:val="18"/>
              </w:rPr>
              <w:t>Author</w:t>
            </w:r>
          </w:p>
        </w:tc>
        <w:tc>
          <w:tcPr>
            <w:tcW w:w="5697" w:type="dxa"/>
            <w:shd w:val="pct5" w:color="auto" w:fill="auto"/>
          </w:tcPr>
          <w:p w:rsidR="00807653" w:rsidRPr="00603792" w:rsidRDefault="00807653" w:rsidP="00785C78">
            <w:pPr>
              <w:jc w:val="center"/>
              <w:rPr>
                <w:b/>
                <w:sz w:val="18"/>
                <w:szCs w:val="18"/>
              </w:rPr>
            </w:pPr>
            <w:r w:rsidRPr="00603792">
              <w:rPr>
                <w:b/>
                <w:sz w:val="18"/>
                <w:szCs w:val="18"/>
              </w:rPr>
              <w:t>Link</w:t>
            </w:r>
          </w:p>
          <w:p w:rsidR="00807653" w:rsidRPr="00603792" w:rsidRDefault="00807653" w:rsidP="00785C78">
            <w:pPr>
              <w:jc w:val="center"/>
              <w:rPr>
                <w:b/>
                <w:sz w:val="18"/>
                <w:szCs w:val="18"/>
              </w:rPr>
            </w:pPr>
            <w:r w:rsidRPr="00603792">
              <w:rPr>
                <w:b/>
                <w:sz w:val="18"/>
                <w:szCs w:val="18"/>
              </w:rPr>
              <w:t>(ABS Clearing-House, other website)</w:t>
            </w:r>
            <w:r w:rsidRPr="00603792" w:rsidDel="00807653">
              <w:rPr>
                <w:b/>
                <w:sz w:val="18"/>
                <w:szCs w:val="18"/>
              </w:rPr>
              <w:t xml:space="preserve"> </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887CF7">
            <w:pPr>
              <w:pStyle w:val="ListParagraph"/>
              <w:numPr>
                <w:ilvl w:val="0"/>
                <w:numId w:val="8"/>
              </w:numPr>
              <w:ind w:left="180" w:hanging="180"/>
              <w:jc w:val="left"/>
              <w:rPr>
                <w:sz w:val="18"/>
                <w:szCs w:val="18"/>
              </w:rPr>
            </w:pPr>
            <w:r w:rsidRPr="00AE6FC3">
              <w:rPr>
                <w:sz w:val="18"/>
                <w:szCs w:val="18"/>
              </w:rPr>
              <w:t xml:space="preserve">Model </w:t>
            </w:r>
            <w:r w:rsidR="00887CF7" w:rsidRPr="00AE6FC3">
              <w:rPr>
                <w:sz w:val="18"/>
                <w:szCs w:val="18"/>
              </w:rPr>
              <w:t>c</w:t>
            </w:r>
            <w:r w:rsidRPr="00AE6FC3">
              <w:rPr>
                <w:sz w:val="18"/>
                <w:szCs w:val="18"/>
              </w:rPr>
              <w:t>ontractual clauses</w:t>
            </w:r>
          </w:p>
        </w:tc>
        <w:tc>
          <w:tcPr>
            <w:tcW w:w="3114" w:type="dxa"/>
          </w:tcPr>
          <w:p w:rsidR="009B430D" w:rsidRPr="00AE6FC3" w:rsidRDefault="004447A5" w:rsidP="004447A5">
            <w:pPr>
              <w:jc w:val="left"/>
              <w:rPr>
                <w:sz w:val="18"/>
                <w:szCs w:val="18"/>
              </w:rPr>
            </w:pPr>
            <w:r>
              <w:rPr>
                <w:sz w:val="18"/>
                <w:szCs w:val="18"/>
              </w:rPr>
              <w:t xml:space="preserve">No title provided, referred to in the </w:t>
            </w:r>
            <w:r w:rsidR="009B430D" w:rsidRPr="00AE6FC3">
              <w:rPr>
                <w:sz w:val="18"/>
                <w:szCs w:val="18"/>
              </w:rPr>
              <w:t>interim national report</w:t>
            </w:r>
          </w:p>
        </w:tc>
        <w:tc>
          <w:tcPr>
            <w:tcW w:w="3096" w:type="dxa"/>
          </w:tcPr>
          <w:p w:rsidR="009B430D" w:rsidRPr="00AE6FC3" w:rsidRDefault="009B430D" w:rsidP="006F5F30">
            <w:pPr>
              <w:rPr>
                <w:sz w:val="18"/>
                <w:szCs w:val="18"/>
              </w:rPr>
            </w:pPr>
            <w:r w:rsidRPr="00AE6FC3">
              <w:rPr>
                <w:sz w:val="18"/>
                <w:szCs w:val="18"/>
              </w:rPr>
              <w:t>Benin</w:t>
            </w:r>
          </w:p>
          <w:p w:rsidR="009B430D" w:rsidRPr="00AE6FC3" w:rsidRDefault="009B430D" w:rsidP="006F5F30">
            <w:pPr>
              <w:rPr>
                <w:sz w:val="18"/>
                <w:szCs w:val="18"/>
              </w:rPr>
            </w:pPr>
            <w:r w:rsidRPr="00AE6FC3">
              <w:rPr>
                <w:sz w:val="18"/>
                <w:szCs w:val="18"/>
              </w:rPr>
              <w:t>Bhutan</w:t>
            </w:r>
          </w:p>
          <w:p w:rsidR="009B430D" w:rsidRPr="00AE6FC3" w:rsidRDefault="009B430D" w:rsidP="006F5F30">
            <w:pPr>
              <w:rPr>
                <w:sz w:val="18"/>
                <w:szCs w:val="18"/>
              </w:rPr>
            </w:pPr>
            <w:r w:rsidRPr="00AE6FC3">
              <w:rPr>
                <w:sz w:val="18"/>
                <w:szCs w:val="18"/>
              </w:rPr>
              <w:t>Burundi</w:t>
            </w:r>
          </w:p>
          <w:p w:rsidR="009B430D" w:rsidRPr="00AE6FC3" w:rsidRDefault="009B430D" w:rsidP="006F5F30">
            <w:pPr>
              <w:rPr>
                <w:sz w:val="18"/>
                <w:szCs w:val="18"/>
              </w:rPr>
            </w:pPr>
            <w:r w:rsidRPr="00AE6FC3">
              <w:rPr>
                <w:sz w:val="18"/>
                <w:szCs w:val="18"/>
              </w:rPr>
              <w:t>Cameroon</w:t>
            </w:r>
          </w:p>
          <w:p w:rsidR="009B430D" w:rsidRPr="00AE6FC3" w:rsidRDefault="009B430D" w:rsidP="006F5F30">
            <w:pPr>
              <w:rPr>
                <w:sz w:val="18"/>
                <w:szCs w:val="18"/>
              </w:rPr>
            </w:pPr>
            <w:r w:rsidRPr="00AE6FC3">
              <w:rPr>
                <w:sz w:val="18"/>
                <w:szCs w:val="18"/>
              </w:rPr>
              <w:t>Cuba</w:t>
            </w:r>
          </w:p>
          <w:p w:rsidR="009B430D" w:rsidRPr="00AE6FC3" w:rsidRDefault="009B430D" w:rsidP="006F5F30">
            <w:pPr>
              <w:rPr>
                <w:sz w:val="18"/>
                <w:szCs w:val="18"/>
              </w:rPr>
            </w:pPr>
            <w:r w:rsidRPr="00AE6FC3">
              <w:rPr>
                <w:sz w:val="18"/>
                <w:szCs w:val="18"/>
              </w:rPr>
              <w:t>France</w:t>
            </w:r>
          </w:p>
          <w:p w:rsidR="009B430D" w:rsidRPr="00AE6FC3" w:rsidRDefault="009B430D" w:rsidP="006F5F30">
            <w:pPr>
              <w:rPr>
                <w:sz w:val="18"/>
                <w:szCs w:val="18"/>
              </w:rPr>
            </w:pPr>
            <w:r w:rsidRPr="00AE6FC3">
              <w:rPr>
                <w:sz w:val="18"/>
                <w:szCs w:val="18"/>
              </w:rPr>
              <w:t>India</w:t>
            </w:r>
          </w:p>
          <w:p w:rsidR="009B430D" w:rsidRPr="00AE6FC3" w:rsidRDefault="009B430D" w:rsidP="006F5F30">
            <w:pPr>
              <w:rPr>
                <w:sz w:val="18"/>
                <w:szCs w:val="18"/>
              </w:rPr>
            </w:pPr>
            <w:r w:rsidRPr="00AE6FC3">
              <w:rPr>
                <w:sz w:val="18"/>
                <w:szCs w:val="18"/>
              </w:rPr>
              <w:t>Qatar</w:t>
            </w:r>
          </w:p>
        </w:tc>
        <w:tc>
          <w:tcPr>
            <w:tcW w:w="5697" w:type="dxa"/>
          </w:tcPr>
          <w:p w:rsidR="009B430D" w:rsidRPr="00AE6FC3" w:rsidRDefault="009B430D" w:rsidP="006F5F30">
            <w:pPr>
              <w:jc w:val="left"/>
              <w:rPr>
                <w:sz w:val="18"/>
                <w:szCs w:val="18"/>
                <w:lang w:val="es-ES"/>
              </w:rPr>
            </w:pPr>
            <w:r w:rsidRPr="00AE6FC3">
              <w:rPr>
                <w:sz w:val="18"/>
                <w:szCs w:val="18"/>
                <w:lang w:val="es-ES"/>
              </w:rPr>
              <w:t xml:space="preserve">Not available </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AC7591" w:rsidRPr="00AE6FC3" w:rsidRDefault="00AC7591" w:rsidP="00887CF7">
            <w:pPr>
              <w:pStyle w:val="ListParagraph"/>
              <w:numPr>
                <w:ilvl w:val="0"/>
                <w:numId w:val="8"/>
              </w:numPr>
              <w:ind w:left="180" w:hanging="180"/>
              <w:jc w:val="left"/>
              <w:rPr>
                <w:sz w:val="18"/>
                <w:szCs w:val="18"/>
              </w:rPr>
            </w:pPr>
            <w:r w:rsidRPr="00AE6FC3">
              <w:rPr>
                <w:sz w:val="18"/>
                <w:szCs w:val="18"/>
              </w:rPr>
              <w:t xml:space="preserve">Model </w:t>
            </w:r>
            <w:r w:rsidR="00887CF7" w:rsidRPr="00AE6FC3">
              <w:rPr>
                <w:sz w:val="18"/>
                <w:szCs w:val="18"/>
              </w:rPr>
              <w:t>c</w:t>
            </w:r>
            <w:r w:rsidRPr="00AE6FC3">
              <w:rPr>
                <w:sz w:val="18"/>
                <w:szCs w:val="18"/>
              </w:rPr>
              <w:t xml:space="preserve">ontractual </w:t>
            </w:r>
            <w:r w:rsidR="00887CF7" w:rsidRPr="00AE6FC3">
              <w:rPr>
                <w:sz w:val="18"/>
                <w:szCs w:val="18"/>
              </w:rPr>
              <w:t>c</w:t>
            </w:r>
            <w:r w:rsidRPr="00AE6FC3">
              <w:rPr>
                <w:sz w:val="18"/>
                <w:szCs w:val="18"/>
              </w:rPr>
              <w:t>lauses</w:t>
            </w:r>
          </w:p>
        </w:tc>
        <w:tc>
          <w:tcPr>
            <w:tcW w:w="3114" w:type="dxa"/>
          </w:tcPr>
          <w:p w:rsidR="00AC7591" w:rsidRPr="00AE6FC3" w:rsidRDefault="004447A5" w:rsidP="006F5F30">
            <w:pPr>
              <w:jc w:val="left"/>
              <w:rPr>
                <w:sz w:val="18"/>
                <w:szCs w:val="18"/>
              </w:rPr>
            </w:pPr>
            <w:r>
              <w:rPr>
                <w:sz w:val="18"/>
                <w:szCs w:val="18"/>
              </w:rPr>
              <w:t xml:space="preserve">No title provided, referred to in the </w:t>
            </w:r>
            <w:r w:rsidRPr="00AE6FC3">
              <w:rPr>
                <w:sz w:val="18"/>
                <w:szCs w:val="18"/>
              </w:rPr>
              <w:t xml:space="preserve">interim national report </w:t>
            </w:r>
            <w:r w:rsidR="00A71DE6" w:rsidRPr="00AE6FC3">
              <w:rPr>
                <w:sz w:val="18"/>
                <w:szCs w:val="18"/>
              </w:rPr>
              <w:t>(Germany)</w:t>
            </w:r>
          </w:p>
        </w:tc>
        <w:tc>
          <w:tcPr>
            <w:tcW w:w="3096" w:type="dxa"/>
          </w:tcPr>
          <w:p w:rsidR="00AC7591" w:rsidRPr="00AE6FC3" w:rsidRDefault="00AC7591" w:rsidP="00AC7591">
            <w:pPr>
              <w:rPr>
                <w:sz w:val="18"/>
                <w:szCs w:val="18"/>
              </w:rPr>
            </w:pPr>
            <w:r w:rsidRPr="00AE6FC3">
              <w:rPr>
                <w:sz w:val="18"/>
                <w:szCs w:val="18"/>
              </w:rPr>
              <w:t>Deutsche Forschungsgemeinschaft (DFG)</w:t>
            </w:r>
          </w:p>
        </w:tc>
        <w:tc>
          <w:tcPr>
            <w:tcW w:w="5697" w:type="dxa"/>
          </w:tcPr>
          <w:p w:rsidR="00AC7591" w:rsidRPr="00AE6FC3" w:rsidRDefault="00AC7591" w:rsidP="006F5F30">
            <w:pPr>
              <w:jc w:val="left"/>
              <w:rPr>
                <w:sz w:val="18"/>
                <w:szCs w:val="18"/>
                <w:lang w:val="es-ES"/>
              </w:rPr>
            </w:pP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Guidelines</w:t>
            </w:r>
          </w:p>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 of conduct</w:t>
            </w:r>
          </w:p>
        </w:tc>
        <w:tc>
          <w:tcPr>
            <w:tcW w:w="3114" w:type="dxa"/>
          </w:tcPr>
          <w:p w:rsidR="009B430D" w:rsidRPr="00AE6FC3" w:rsidRDefault="004447A5" w:rsidP="000D1AA2">
            <w:pPr>
              <w:jc w:val="left"/>
              <w:rPr>
                <w:sz w:val="18"/>
                <w:szCs w:val="18"/>
              </w:rPr>
            </w:pPr>
            <w:r>
              <w:rPr>
                <w:sz w:val="18"/>
                <w:szCs w:val="18"/>
              </w:rPr>
              <w:t xml:space="preserve">No title provided, referred to in the </w:t>
            </w:r>
            <w:r w:rsidRPr="00AE6FC3">
              <w:rPr>
                <w:sz w:val="18"/>
                <w:szCs w:val="18"/>
              </w:rPr>
              <w:t>interim national report</w:t>
            </w:r>
          </w:p>
        </w:tc>
        <w:tc>
          <w:tcPr>
            <w:tcW w:w="3096" w:type="dxa"/>
          </w:tcPr>
          <w:p w:rsidR="009B430D" w:rsidRPr="00AE6FC3" w:rsidRDefault="009B430D" w:rsidP="006F5F30">
            <w:pPr>
              <w:jc w:val="left"/>
              <w:rPr>
                <w:sz w:val="18"/>
                <w:szCs w:val="18"/>
              </w:rPr>
            </w:pPr>
            <w:r w:rsidRPr="00AE6FC3">
              <w:rPr>
                <w:sz w:val="18"/>
                <w:szCs w:val="18"/>
              </w:rPr>
              <w:t>Ethiopia</w:t>
            </w:r>
          </w:p>
        </w:tc>
        <w:tc>
          <w:tcPr>
            <w:tcW w:w="5697" w:type="dxa"/>
          </w:tcPr>
          <w:p w:rsidR="009B430D" w:rsidRPr="00AE6FC3" w:rsidRDefault="009B430D" w:rsidP="006F5F30">
            <w:pPr>
              <w:rPr>
                <w:sz w:val="18"/>
                <w:szCs w:val="18"/>
              </w:rPr>
            </w:pPr>
            <w:r w:rsidRPr="00AE6FC3">
              <w:rPr>
                <w:sz w:val="18"/>
                <w:szCs w:val="18"/>
                <w:lang w:val="es-ES"/>
              </w:rPr>
              <w:t>Not available</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lastRenderedPageBreak/>
              <w:t>Guidelines</w:t>
            </w:r>
          </w:p>
        </w:tc>
        <w:tc>
          <w:tcPr>
            <w:tcW w:w="3114" w:type="dxa"/>
          </w:tcPr>
          <w:p w:rsidR="009B430D" w:rsidRPr="00AE6FC3" w:rsidRDefault="004447A5" w:rsidP="000D1AA2">
            <w:pPr>
              <w:jc w:val="left"/>
              <w:rPr>
                <w:sz w:val="18"/>
                <w:szCs w:val="18"/>
              </w:rPr>
            </w:pPr>
            <w:r>
              <w:rPr>
                <w:sz w:val="18"/>
                <w:szCs w:val="18"/>
              </w:rPr>
              <w:t xml:space="preserve">No title provided, referred to in the </w:t>
            </w:r>
            <w:r w:rsidRPr="00AE6FC3">
              <w:rPr>
                <w:sz w:val="18"/>
                <w:szCs w:val="18"/>
              </w:rPr>
              <w:t>interim national report</w:t>
            </w:r>
          </w:p>
        </w:tc>
        <w:tc>
          <w:tcPr>
            <w:tcW w:w="3096" w:type="dxa"/>
          </w:tcPr>
          <w:p w:rsidR="009B430D" w:rsidRPr="00AE6FC3" w:rsidRDefault="009B430D" w:rsidP="006F5F30">
            <w:pPr>
              <w:jc w:val="left"/>
              <w:rPr>
                <w:sz w:val="18"/>
                <w:szCs w:val="18"/>
              </w:rPr>
            </w:pPr>
            <w:r w:rsidRPr="00AE6FC3">
              <w:rPr>
                <w:sz w:val="18"/>
                <w:szCs w:val="18"/>
              </w:rPr>
              <w:t>Germany</w:t>
            </w:r>
          </w:p>
          <w:p w:rsidR="009B430D" w:rsidRPr="00AE6FC3" w:rsidRDefault="009B430D" w:rsidP="006F5F30">
            <w:pPr>
              <w:jc w:val="left"/>
              <w:rPr>
                <w:sz w:val="18"/>
                <w:szCs w:val="18"/>
              </w:rPr>
            </w:pPr>
            <w:r w:rsidRPr="00AE6FC3">
              <w:rPr>
                <w:sz w:val="18"/>
                <w:szCs w:val="18"/>
              </w:rPr>
              <w:t>Swaziland</w:t>
            </w:r>
          </w:p>
          <w:p w:rsidR="009B430D" w:rsidRPr="00AE6FC3" w:rsidRDefault="009B430D" w:rsidP="006F5F30">
            <w:pPr>
              <w:jc w:val="left"/>
              <w:rPr>
                <w:sz w:val="18"/>
                <w:szCs w:val="18"/>
              </w:rPr>
            </w:pPr>
            <w:r w:rsidRPr="00AE6FC3">
              <w:rPr>
                <w:sz w:val="18"/>
                <w:szCs w:val="18"/>
              </w:rPr>
              <w:t>Uganda</w:t>
            </w:r>
          </w:p>
        </w:tc>
        <w:tc>
          <w:tcPr>
            <w:tcW w:w="5697" w:type="dxa"/>
          </w:tcPr>
          <w:p w:rsidR="009B430D" w:rsidRPr="00AE6FC3" w:rsidRDefault="009B430D" w:rsidP="006F5F30">
            <w:pPr>
              <w:rPr>
                <w:sz w:val="18"/>
                <w:szCs w:val="18"/>
              </w:rPr>
            </w:pPr>
            <w:r w:rsidRPr="00AE6FC3">
              <w:rPr>
                <w:sz w:val="18"/>
                <w:szCs w:val="18"/>
                <w:lang w:val="es-ES"/>
              </w:rPr>
              <w:t>Not available</w:t>
            </w:r>
          </w:p>
        </w:tc>
      </w:tr>
      <w:tr w:rsidR="00807653" w:rsidRPr="00AE6FC3" w:rsidTr="00452B5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9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Codes of conduct</w:t>
            </w:r>
          </w:p>
        </w:tc>
        <w:tc>
          <w:tcPr>
            <w:tcW w:w="3114" w:type="dxa"/>
          </w:tcPr>
          <w:p w:rsidR="009B430D" w:rsidRPr="00AE6FC3" w:rsidRDefault="004447A5" w:rsidP="006F5F30">
            <w:pPr>
              <w:jc w:val="left"/>
              <w:rPr>
                <w:sz w:val="18"/>
                <w:szCs w:val="18"/>
              </w:rPr>
            </w:pPr>
            <w:r>
              <w:rPr>
                <w:sz w:val="18"/>
                <w:szCs w:val="18"/>
              </w:rPr>
              <w:t xml:space="preserve">No title provided, referred to in the </w:t>
            </w:r>
            <w:r w:rsidRPr="00AE6FC3">
              <w:rPr>
                <w:sz w:val="18"/>
                <w:szCs w:val="18"/>
              </w:rPr>
              <w:t>interim national report</w:t>
            </w:r>
          </w:p>
        </w:tc>
        <w:tc>
          <w:tcPr>
            <w:tcW w:w="3096" w:type="dxa"/>
          </w:tcPr>
          <w:p w:rsidR="009B430D" w:rsidRPr="00AE6FC3" w:rsidRDefault="009B430D" w:rsidP="006F5F30">
            <w:pPr>
              <w:rPr>
                <w:sz w:val="18"/>
                <w:szCs w:val="18"/>
              </w:rPr>
            </w:pPr>
            <w:r w:rsidRPr="00AE6FC3">
              <w:rPr>
                <w:sz w:val="18"/>
                <w:szCs w:val="18"/>
              </w:rPr>
              <w:t>Madagascar</w:t>
            </w:r>
          </w:p>
        </w:tc>
        <w:tc>
          <w:tcPr>
            <w:tcW w:w="5697" w:type="dxa"/>
          </w:tcPr>
          <w:p w:rsidR="009B430D" w:rsidRPr="00AE6FC3" w:rsidRDefault="009B430D" w:rsidP="006F5F30">
            <w:pPr>
              <w:jc w:val="left"/>
              <w:rPr>
                <w:sz w:val="18"/>
                <w:szCs w:val="18"/>
                <w:lang w:val="es-ES"/>
              </w:rPr>
            </w:pPr>
            <w:r w:rsidRPr="00AE6FC3">
              <w:rPr>
                <w:sz w:val="18"/>
                <w:szCs w:val="18"/>
                <w:lang w:val="es-ES"/>
              </w:rPr>
              <w:t>Not available</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tcPr>
          <w:p w:rsidR="009B430D" w:rsidRPr="00AE6FC3" w:rsidRDefault="004447A5" w:rsidP="006F5F30">
            <w:pPr>
              <w:jc w:val="left"/>
              <w:rPr>
                <w:sz w:val="18"/>
                <w:szCs w:val="18"/>
              </w:rPr>
            </w:pPr>
            <w:r>
              <w:rPr>
                <w:sz w:val="18"/>
                <w:szCs w:val="18"/>
              </w:rPr>
              <w:t xml:space="preserve">No title provided, referred to in the </w:t>
            </w:r>
            <w:r w:rsidRPr="00AE6FC3">
              <w:rPr>
                <w:sz w:val="18"/>
                <w:szCs w:val="18"/>
              </w:rPr>
              <w:t>interim national report</w:t>
            </w:r>
          </w:p>
        </w:tc>
        <w:tc>
          <w:tcPr>
            <w:tcW w:w="3096" w:type="dxa"/>
          </w:tcPr>
          <w:p w:rsidR="009B430D" w:rsidRPr="00AE6FC3" w:rsidRDefault="009B430D" w:rsidP="006F5F30">
            <w:pPr>
              <w:jc w:val="left"/>
              <w:rPr>
                <w:sz w:val="18"/>
                <w:szCs w:val="18"/>
              </w:rPr>
            </w:pPr>
            <w:r w:rsidRPr="00AE6FC3">
              <w:rPr>
                <w:sz w:val="18"/>
                <w:szCs w:val="18"/>
              </w:rPr>
              <w:t xml:space="preserve">Antigua and Barbuda </w:t>
            </w:r>
          </w:p>
          <w:p w:rsidR="009B430D" w:rsidRPr="00AE6FC3" w:rsidRDefault="009B430D" w:rsidP="006F5F30">
            <w:pPr>
              <w:jc w:val="left"/>
              <w:rPr>
                <w:sz w:val="18"/>
                <w:szCs w:val="18"/>
              </w:rPr>
            </w:pPr>
            <w:r w:rsidRPr="00AE6FC3">
              <w:rPr>
                <w:sz w:val="18"/>
                <w:szCs w:val="18"/>
              </w:rPr>
              <w:t>Burkina Faso</w:t>
            </w:r>
          </w:p>
          <w:p w:rsidR="009B430D" w:rsidRPr="00AE6FC3" w:rsidRDefault="009B430D" w:rsidP="006F5F30">
            <w:pPr>
              <w:jc w:val="left"/>
              <w:rPr>
                <w:sz w:val="18"/>
                <w:szCs w:val="18"/>
              </w:rPr>
            </w:pPr>
            <w:r w:rsidRPr="00AE6FC3">
              <w:rPr>
                <w:sz w:val="18"/>
                <w:szCs w:val="18"/>
              </w:rPr>
              <w:t>Cameroon</w:t>
            </w:r>
          </w:p>
          <w:p w:rsidR="009B430D" w:rsidRPr="00AE6FC3" w:rsidRDefault="009B430D" w:rsidP="006F5F30">
            <w:pPr>
              <w:jc w:val="left"/>
              <w:rPr>
                <w:sz w:val="18"/>
                <w:szCs w:val="18"/>
              </w:rPr>
            </w:pPr>
            <w:r w:rsidRPr="00AE6FC3">
              <w:rPr>
                <w:sz w:val="18"/>
                <w:szCs w:val="18"/>
              </w:rPr>
              <w:t>Kenya</w:t>
            </w:r>
          </w:p>
          <w:p w:rsidR="009B430D" w:rsidRPr="00AE6FC3" w:rsidRDefault="009B430D" w:rsidP="006F5F30">
            <w:pPr>
              <w:jc w:val="left"/>
              <w:rPr>
                <w:sz w:val="18"/>
                <w:szCs w:val="18"/>
              </w:rPr>
            </w:pPr>
            <w:r w:rsidRPr="00AE6FC3">
              <w:rPr>
                <w:sz w:val="18"/>
                <w:szCs w:val="18"/>
              </w:rPr>
              <w:t>Malawi</w:t>
            </w:r>
          </w:p>
          <w:p w:rsidR="009B430D" w:rsidRPr="00AE6FC3" w:rsidRDefault="009B430D" w:rsidP="006F5F30">
            <w:pPr>
              <w:jc w:val="left"/>
              <w:rPr>
                <w:sz w:val="18"/>
                <w:szCs w:val="18"/>
              </w:rPr>
            </w:pPr>
            <w:r w:rsidRPr="00AE6FC3">
              <w:rPr>
                <w:sz w:val="18"/>
                <w:szCs w:val="18"/>
              </w:rPr>
              <w:t>Panama</w:t>
            </w:r>
          </w:p>
        </w:tc>
        <w:tc>
          <w:tcPr>
            <w:tcW w:w="5697" w:type="dxa"/>
          </w:tcPr>
          <w:p w:rsidR="009B430D" w:rsidRPr="00AE6FC3" w:rsidRDefault="009B430D" w:rsidP="006F5F30">
            <w:pPr>
              <w:jc w:val="left"/>
              <w:rPr>
                <w:sz w:val="18"/>
                <w:szCs w:val="18"/>
                <w:lang w:val="es-ES"/>
              </w:rPr>
            </w:pPr>
            <w:r w:rsidRPr="00AE6FC3">
              <w:rPr>
                <w:sz w:val="18"/>
                <w:szCs w:val="18"/>
                <w:lang w:val="es-ES"/>
              </w:rPr>
              <w:t>Not available</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Best Practices</w:t>
            </w:r>
          </w:p>
        </w:tc>
        <w:tc>
          <w:tcPr>
            <w:tcW w:w="3114" w:type="dxa"/>
          </w:tcPr>
          <w:p w:rsidR="009B430D" w:rsidRPr="00AE6FC3" w:rsidRDefault="009B430D" w:rsidP="006F5F30">
            <w:pPr>
              <w:jc w:val="left"/>
              <w:rPr>
                <w:sz w:val="18"/>
                <w:szCs w:val="18"/>
              </w:rPr>
            </w:pPr>
            <w:r w:rsidRPr="00AE6FC3">
              <w:rPr>
                <w:sz w:val="18"/>
                <w:szCs w:val="18"/>
              </w:rPr>
              <w:t xml:space="preserve">Policy on Access and Benefit Sharing (ABS) </w:t>
            </w:r>
          </w:p>
        </w:tc>
        <w:tc>
          <w:tcPr>
            <w:tcW w:w="3096" w:type="dxa"/>
          </w:tcPr>
          <w:p w:rsidR="009B430D" w:rsidRPr="00AE6FC3" w:rsidRDefault="009B430D" w:rsidP="006F5F30">
            <w:pPr>
              <w:jc w:val="left"/>
              <w:rPr>
                <w:sz w:val="18"/>
                <w:szCs w:val="18"/>
              </w:rPr>
            </w:pPr>
            <w:r w:rsidRPr="00AE6FC3">
              <w:rPr>
                <w:sz w:val="18"/>
                <w:szCs w:val="18"/>
              </w:rPr>
              <w:t xml:space="preserve">CABI (Centre for Agriculture and Biosciences International) </w:t>
            </w:r>
          </w:p>
        </w:tc>
        <w:tc>
          <w:tcPr>
            <w:tcW w:w="5697" w:type="dxa"/>
          </w:tcPr>
          <w:p w:rsidR="009B430D" w:rsidRPr="00AE6FC3" w:rsidRDefault="00FA4D2F" w:rsidP="006F5F30">
            <w:pPr>
              <w:jc w:val="left"/>
              <w:rPr>
                <w:sz w:val="18"/>
                <w:szCs w:val="18"/>
                <w:lang w:val="es-ES"/>
              </w:rPr>
            </w:pPr>
            <w:r w:rsidRPr="00AE6FC3">
              <w:rPr>
                <w:sz w:val="18"/>
                <w:szCs w:val="18"/>
                <w:lang w:val="es-ES"/>
              </w:rPr>
              <w:t>Not available</w:t>
            </w:r>
            <w:r w:rsidRPr="00AE6FC3" w:rsidDel="00FA4D2F">
              <w:rPr>
                <w:sz w:val="18"/>
                <w:szCs w:val="18"/>
                <w:lang w:val="es-ES"/>
              </w:rPr>
              <w:t xml:space="preserve"> </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Model contractual clauses</w:t>
            </w:r>
          </w:p>
        </w:tc>
        <w:tc>
          <w:tcPr>
            <w:tcW w:w="3114" w:type="dxa"/>
          </w:tcPr>
          <w:p w:rsidR="009B430D" w:rsidRPr="00AE6FC3" w:rsidRDefault="009B430D" w:rsidP="006F5F30">
            <w:pPr>
              <w:jc w:val="left"/>
              <w:rPr>
                <w:sz w:val="18"/>
                <w:szCs w:val="18"/>
              </w:rPr>
            </w:pPr>
            <w:r w:rsidRPr="00AE6FC3">
              <w:rPr>
                <w:sz w:val="18"/>
                <w:szCs w:val="18"/>
              </w:rPr>
              <w:t>Material Transfer Agreement</w:t>
            </w:r>
          </w:p>
        </w:tc>
        <w:tc>
          <w:tcPr>
            <w:tcW w:w="3096" w:type="dxa"/>
          </w:tcPr>
          <w:p w:rsidR="009B430D" w:rsidRPr="00AE6FC3" w:rsidRDefault="009B430D" w:rsidP="006F5F30">
            <w:pPr>
              <w:jc w:val="left"/>
              <w:rPr>
                <w:sz w:val="18"/>
                <w:szCs w:val="18"/>
              </w:rPr>
            </w:pPr>
            <w:r w:rsidRPr="00AE6FC3">
              <w:rPr>
                <w:sz w:val="18"/>
                <w:szCs w:val="18"/>
              </w:rPr>
              <w:t xml:space="preserve">CABI (Centre for Agriculture and Biosciences International) </w:t>
            </w:r>
          </w:p>
        </w:tc>
        <w:tc>
          <w:tcPr>
            <w:tcW w:w="5697" w:type="dxa"/>
          </w:tcPr>
          <w:p w:rsidR="009B430D" w:rsidRPr="00AE6FC3" w:rsidRDefault="00FA4D2F" w:rsidP="006F5F30">
            <w:pPr>
              <w:jc w:val="left"/>
              <w:rPr>
                <w:sz w:val="18"/>
                <w:szCs w:val="18"/>
                <w:lang w:val="es-ES"/>
              </w:rPr>
            </w:pPr>
            <w:r w:rsidRPr="00AE6FC3">
              <w:rPr>
                <w:sz w:val="18"/>
                <w:szCs w:val="18"/>
                <w:lang w:val="es-ES"/>
              </w:rPr>
              <w:t>Not available</w:t>
            </w:r>
            <w:r w:rsidRPr="00AE6FC3" w:rsidDel="00FA4D2F">
              <w:rPr>
                <w:sz w:val="18"/>
                <w:szCs w:val="18"/>
                <w:lang w:val="es-ES"/>
              </w:rPr>
              <w:t xml:space="preserve"> </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shd w:val="clear" w:color="auto" w:fill="auto"/>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Guidelines</w:t>
            </w:r>
          </w:p>
        </w:tc>
        <w:tc>
          <w:tcPr>
            <w:tcW w:w="3114" w:type="dxa"/>
            <w:shd w:val="clear" w:color="auto" w:fill="auto"/>
          </w:tcPr>
          <w:p w:rsidR="009B430D" w:rsidRPr="00AE6FC3" w:rsidRDefault="009B430D" w:rsidP="006F5F30">
            <w:pPr>
              <w:jc w:val="left"/>
              <w:rPr>
                <w:sz w:val="18"/>
                <w:szCs w:val="18"/>
              </w:rPr>
            </w:pPr>
            <w:r w:rsidRPr="00AE6FC3">
              <w:rPr>
                <w:sz w:val="18"/>
                <w:szCs w:val="18"/>
              </w:rPr>
              <w:t>Guidelines on user obligations</w:t>
            </w:r>
          </w:p>
        </w:tc>
        <w:tc>
          <w:tcPr>
            <w:tcW w:w="3096" w:type="dxa"/>
            <w:shd w:val="clear" w:color="auto" w:fill="auto"/>
          </w:tcPr>
          <w:p w:rsidR="009B430D" w:rsidRPr="00AE6FC3" w:rsidRDefault="009B430D" w:rsidP="006F5F30">
            <w:pPr>
              <w:jc w:val="left"/>
              <w:rPr>
                <w:sz w:val="18"/>
                <w:szCs w:val="18"/>
              </w:rPr>
            </w:pPr>
            <w:r w:rsidRPr="00AE6FC3">
              <w:rPr>
                <w:sz w:val="18"/>
                <w:szCs w:val="18"/>
              </w:rPr>
              <w:t>ESA (European Seed Association)</w:t>
            </w:r>
          </w:p>
        </w:tc>
        <w:tc>
          <w:tcPr>
            <w:tcW w:w="5697" w:type="dxa"/>
            <w:shd w:val="clear" w:color="auto" w:fill="auto"/>
          </w:tcPr>
          <w:p w:rsidR="009B430D" w:rsidRPr="00AE6FC3" w:rsidRDefault="00FA4D2F" w:rsidP="000D1AA2">
            <w:pPr>
              <w:jc w:val="left"/>
              <w:rPr>
                <w:sz w:val="18"/>
                <w:szCs w:val="18"/>
                <w:lang w:val="es-ES"/>
              </w:rPr>
            </w:pPr>
            <w:r w:rsidRPr="00AE6FC3">
              <w:rPr>
                <w:sz w:val="18"/>
                <w:szCs w:val="18"/>
                <w:lang w:val="es-ES"/>
              </w:rPr>
              <w:t>N</w:t>
            </w:r>
            <w:r w:rsidR="009B430D" w:rsidRPr="00AE6FC3">
              <w:rPr>
                <w:sz w:val="18"/>
                <w:szCs w:val="18"/>
                <w:lang w:val="es-ES"/>
              </w:rPr>
              <w:t xml:space="preserve">ot available </w:t>
            </w: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tcPr>
          <w:p w:rsidR="009B430D" w:rsidRPr="00AE6FC3" w:rsidRDefault="009B430D" w:rsidP="006F5F30">
            <w:pPr>
              <w:jc w:val="left"/>
              <w:rPr>
                <w:sz w:val="18"/>
                <w:szCs w:val="18"/>
              </w:rPr>
            </w:pPr>
            <w:r w:rsidRPr="00AE6FC3">
              <w:rPr>
                <w:sz w:val="18"/>
                <w:szCs w:val="18"/>
              </w:rPr>
              <w:t>Namibia: the Khwe community inside Bwabwata National Park</w:t>
            </w:r>
          </w:p>
        </w:tc>
        <w:tc>
          <w:tcPr>
            <w:tcW w:w="3096" w:type="dxa"/>
          </w:tcPr>
          <w:p w:rsidR="009B430D" w:rsidRPr="00AE6FC3" w:rsidRDefault="009B430D" w:rsidP="006F5F30">
            <w:pPr>
              <w:jc w:val="left"/>
              <w:rPr>
                <w:sz w:val="18"/>
                <w:szCs w:val="18"/>
              </w:rPr>
            </w:pPr>
            <w:r w:rsidRPr="00AE6FC3">
              <w:rPr>
                <w:sz w:val="18"/>
                <w:szCs w:val="18"/>
              </w:rPr>
              <w:t>Natural Justice and the ABS Capacity Development Initiative</w:t>
            </w:r>
          </w:p>
        </w:tc>
        <w:tc>
          <w:tcPr>
            <w:tcW w:w="5697" w:type="dxa"/>
          </w:tcPr>
          <w:p w:rsidR="009B430D" w:rsidRPr="00AE6FC3" w:rsidRDefault="009B430D" w:rsidP="006F5F30">
            <w:pPr>
              <w:jc w:val="left"/>
              <w:rPr>
                <w:sz w:val="18"/>
                <w:szCs w:val="18"/>
              </w:rPr>
            </w:pPr>
            <w:r w:rsidRPr="00AE6FC3">
              <w:rPr>
                <w:sz w:val="18"/>
                <w:szCs w:val="18"/>
              </w:rPr>
              <w:t xml:space="preserve">Not available, </w:t>
            </w:r>
            <w:r w:rsidR="00FA4D2F" w:rsidRPr="000D1AA2">
              <w:rPr>
                <w:sz w:val="18"/>
                <w:szCs w:val="18"/>
              </w:rPr>
              <w:t xml:space="preserve">information about the Protocol </w:t>
            </w:r>
            <w:r w:rsidRPr="00AE6FC3">
              <w:rPr>
                <w:sz w:val="18"/>
                <w:szCs w:val="18"/>
              </w:rPr>
              <w:t>at:</w:t>
            </w:r>
          </w:p>
          <w:p w:rsidR="009B430D" w:rsidRPr="00AE6FC3" w:rsidRDefault="009D4331" w:rsidP="006F5F30">
            <w:pPr>
              <w:jc w:val="left"/>
              <w:rPr>
                <w:sz w:val="18"/>
                <w:szCs w:val="18"/>
                <w:lang w:val="en-US"/>
              </w:rPr>
            </w:pPr>
            <w:hyperlink r:id="rId75" w:history="1">
              <w:r w:rsidR="009B430D" w:rsidRPr="00AE6FC3">
                <w:rPr>
                  <w:rStyle w:val="Hyperlink"/>
                  <w:color w:val="auto"/>
                  <w:szCs w:val="18"/>
                </w:rPr>
                <w:t>https://www.cbd.int/abs/submissions/assessment/naturaljustice-abs-initiative-en.pdf</w:t>
              </w:r>
            </w:hyperlink>
            <w:r w:rsidR="009B430D" w:rsidRPr="00AE6FC3">
              <w:rPr>
                <w:sz w:val="18"/>
                <w:szCs w:val="18"/>
              </w:rPr>
              <w:t xml:space="preserve"> and </w:t>
            </w:r>
            <w:hyperlink r:id="rId76" w:history="1">
              <w:r w:rsidR="009B430D" w:rsidRPr="00AE6FC3">
                <w:rPr>
                  <w:rStyle w:val="Hyperlink"/>
                  <w:color w:val="auto"/>
                  <w:szCs w:val="18"/>
                  <w:lang w:val="en-US"/>
                </w:rPr>
                <w:t>http://naturaljustice.org/community-protocols/</w:t>
              </w:r>
            </w:hyperlink>
          </w:p>
          <w:p w:rsidR="009B430D" w:rsidRPr="00AE6FC3" w:rsidRDefault="009B430D" w:rsidP="006F5F30">
            <w:pPr>
              <w:jc w:val="left"/>
              <w:rPr>
                <w:sz w:val="18"/>
                <w:szCs w:val="18"/>
                <w:lang w:val="en-US"/>
              </w:rPr>
            </w:pPr>
          </w:p>
        </w:tc>
      </w:tr>
      <w:tr w:rsidR="00807653" w:rsidRPr="00AE6FC3" w:rsidTr="006F5F30">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9B430D" w:rsidRPr="00AE6FC3" w:rsidRDefault="009B430D" w:rsidP="009B430D">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tcPr>
          <w:p w:rsidR="009B430D" w:rsidRPr="00AE6FC3" w:rsidRDefault="009B430D" w:rsidP="006F5F30">
            <w:pPr>
              <w:jc w:val="left"/>
              <w:rPr>
                <w:sz w:val="18"/>
                <w:szCs w:val="18"/>
              </w:rPr>
            </w:pPr>
            <w:r w:rsidRPr="00AE6FC3">
              <w:rPr>
                <w:sz w:val="18"/>
                <w:szCs w:val="18"/>
              </w:rPr>
              <w:t>Madagascar: the Mariarano community protocol</w:t>
            </w:r>
          </w:p>
        </w:tc>
        <w:tc>
          <w:tcPr>
            <w:tcW w:w="3096" w:type="dxa"/>
          </w:tcPr>
          <w:p w:rsidR="009B430D" w:rsidRPr="00AE6FC3" w:rsidRDefault="009B430D" w:rsidP="006F5F30">
            <w:pPr>
              <w:jc w:val="left"/>
              <w:rPr>
                <w:sz w:val="18"/>
                <w:szCs w:val="18"/>
              </w:rPr>
            </w:pPr>
            <w:r w:rsidRPr="00AE6FC3">
              <w:rPr>
                <w:sz w:val="18"/>
                <w:szCs w:val="18"/>
              </w:rPr>
              <w:t>Natural Justice and the ABS Capacity Development Initiative</w:t>
            </w:r>
          </w:p>
        </w:tc>
        <w:tc>
          <w:tcPr>
            <w:tcW w:w="5697" w:type="dxa"/>
          </w:tcPr>
          <w:p w:rsidR="009B430D" w:rsidRPr="00AE6FC3" w:rsidRDefault="009B430D" w:rsidP="006F5F30">
            <w:pPr>
              <w:jc w:val="left"/>
              <w:rPr>
                <w:sz w:val="18"/>
                <w:szCs w:val="18"/>
              </w:rPr>
            </w:pPr>
            <w:r w:rsidRPr="00AE6FC3">
              <w:rPr>
                <w:sz w:val="18"/>
                <w:szCs w:val="18"/>
              </w:rPr>
              <w:t>Not available,</w:t>
            </w:r>
            <w:r w:rsidR="00FA4D2F" w:rsidRPr="000D1AA2">
              <w:rPr>
                <w:sz w:val="18"/>
                <w:szCs w:val="18"/>
              </w:rPr>
              <w:t xml:space="preserve"> </w:t>
            </w:r>
            <w:r w:rsidR="00FA4D2F" w:rsidRPr="00AE6FC3">
              <w:rPr>
                <w:sz w:val="18"/>
                <w:szCs w:val="18"/>
              </w:rPr>
              <w:t>information about the Protocol</w:t>
            </w:r>
            <w:r w:rsidRPr="00AE6FC3">
              <w:rPr>
                <w:sz w:val="18"/>
                <w:szCs w:val="18"/>
              </w:rPr>
              <w:t>:</w:t>
            </w:r>
          </w:p>
          <w:p w:rsidR="009B430D" w:rsidRPr="00AE6FC3" w:rsidRDefault="009D4331" w:rsidP="006F5F30">
            <w:pPr>
              <w:jc w:val="left"/>
              <w:rPr>
                <w:sz w:val="18"/>
                <w:szCs w:val="18"/>
                <w:lang w:val="en-US"/>
              </w:rPr>
            </w:pPr>
            <w:hyperlink r:id="rId77" w:history="1">
              <w:r w:rsidR="009B430D" w:rsidRPr="00AE6FC3">
                <w:rPr>
                  <w:rStyle w:val="Hyperlink"/>
                  <w:color w:val="auto"/>
                  <w:szCs w:val="18"/>
                </w:rPr>
                <w:t>https://www.cbd.int/abs/submissions/assessment/naturaljustice-abs-initiative-en.pdf</w:t>
              </w:r>
            </w:hyperlink>
            <w:r w:rsidR="009B430D" w:rsidRPr="00AE6FC3">
              <w:rPr>
                <w:sz w:val="18"/>
                <w:szCs w:val="18"/>
              </w:rPr>
              <w:t xml:space="preserve"> and </w:t>
            </w:r>
            <w:hyperlink r:id="rId78" w:history="1">
              <w:r w:rsidR="009B430D" w:rsidRPr="00AE6FC3">
                <w:rPr>
                  <w:rStyle w:val="Hyperlink"/>
                  <w:color w:val="auto"/>
                  <w:szCs w:val="18"/>
                  <w:lang w:val="en-US"/>
                </w:rPr>
                <w:t>http://naturaljustice.org/community-protocols/</w:t>
              </w:r>
            </w:hyperlink>
          </w:p>
          <w:p w:rsidR="009B430D" w:rsidRPr="00AE6FC3" w:rsidRDefault="009B430D" w:rsidP="006F5F30">
            <w:pPr>
              <w:jc w:val="left"/>
              <w:rPr>
                <w:sz w:val="18"/>
                <w:szCs w:val="18"/>
                <w:lang w:val="en-US"/>
              </w:rPr>
            </w:pPr>
          </w:p>
        </w:tc>
      </w:tr>
      <w:tr w:rsidR="00807653" w:rsidRPr="00AE6FC3" w:rsidTr="00B6558C">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B6558C" w:rsidRPr="00AE6FC3" w:rsidRDefault="00B6558C" w:rsidP="00B6558C">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tcPr>
          <w:p w:rsidR="00B6558C" w:rsidRPr="00AE6FC3" w:rsidRDefault="00B6558C" w:rsidP="00B6558C">
            <w:pPr>
              <w:jc w:val="left"/>
              <w:rPr>
                <w:sz w:val="18"/>
                <w:szCs w:val="18"/>
              </w:rPr>
            </w:pPr>
            <w:r w:rsidRPr="00AE6FC3">
              <w:rPr>
                <w:sz w:val="18"/>
                <w:szCs w:val="18"/>
              </w:rPr>
              <w:t>Madagascar: Antavolobe pilot community protocol implementing the Nagoya Protocol and the ITPGRFA</w:t>
            </w:r>
          </w:p>
        </w:tc>
        <w:tc>
          <w:tcPr>
            <w:tcW w:w="3096" w:type="dxa"/>
          </w:tcPr>
          <w:p w:rsidR="00B6558C" w:rsidRPr="00AE6FC3" w:rsidRDefault="00B6558C" w:rsidP="00B6558C">
            <w:pPr>
              <w:jc w:val="left"/>
              <w:rPr>
                <w:sz w:val="18"/>
                <w:szCs w:val="18"/>
              </w:rPr>
            </w:pPr>
            <w:r w:rsidRPr="00AE6FC3">
              <w:rPr>
                <w:sz w:val="18"/>
                <w:szCs w:val="18"/>
              </w:rPr>
              <w:t>Natural Justice and the ABS Capacity Development Initiative</w:t>
            </w:r>
          </w:p>
        </w:tc>
        <w:tc>
          <w:tcPr>
            <w:tcW w:w="5697" w:type="dxa"/>
          </w:tcPr>
          <w:p w:rsidR="00B6558C" w:rsidRPr="00AE6FC3" w:rsidRDefault="00B6558C" w:rsidP="00B6558C">
            <w:pPr>
              <w:jc w:val="left"/>
              <w:rPr>
                <w:sz w:val="18"/>
                <w:szCs w:val="18"/>
              </w:rPr>
            </w:pPr>
            <w:r w:rsidRPr="00AE6FC3">
              <w:rPr>
                <w:sz w:val="18"/>
                <w:szCs w:val="18"/>
              </w:rPr>
              <w:t>Not available,</w:t>
            </w:r>
            <w:r w:rsidR="00FA4D2F" w:rsidRPr="000D1AA2">
              <w:rPr>
                <w:sz w:val="18"/>
                <w:szCs w:val="18"/>
              </w:rPr>
              <w:t xml:space="preserve"> </w:t>
            </w:r>
            <w:r w:rsidR="00FA4D2F" w:rsidRPr="00AE6FC3">
              <w:rPr>
                <w:sz w:val="18"/>
                <w:szCs w:val="18"/>
              </w:rPr>
              <w:t>information about the Protocol</w:t>
            </w:r>
            <w:r w:rsidRPr="00AE6FC3">
              <w:rPr>
                <w:sz w:val="18"/>
                <w:szCs w:val="18"/>
              </w:rPr>
              <w:t>:</w:t>
            </w:r>
          </w:p>
          <w:p w:rsidR="00B6558C" w:rsidRPr="00AE6FC3" w:rsidRDefault="009D4331" w:rsidP="00B6558C">
            <w:pPr>
              <w:jc w:val="left"/>
              <w:rPr>
                <w:sz w:val="18"/>
                <w:szCs w:val="18"/>
                <w:lang w:val="en-US"/>
              </w:rPr>
            </w:pPr>
            <w:hyperlink r:id="rId79" w:history="1">
              <w:r w:rsidR="00B6558C" w:rsidRPr="00AE6FC3">
                <w:rPr>
                  <w:rStyle w:val="Hyperlink"/>
                  <w:color w:val="auto"/>
                  <w:szCs w:val="18"/>
                </w:rPr>
                <w:t>https://www.cbd.int/abs/submissions/assessment/naturaljustice-abs-initiative-en.pdf</w:t>
              </w:r>
            </w:hyperlink>
            <w:r w:rsidR="00B6558C" w:rsidRPr="00AE6FC3">
              <w:rPr>
                <w:sz w:val="18"/>
                <w:szCs w:val="18"/>
              </w:rPr>
              <w:t xml:space="preserve"> and </w:t>
            </w:r>
            <w:hyperlink r:id="rId80" w:history="1">
              <w:r w:rsidR="00B6558C" w:rsidRPr="00AE6FC3">
                <w:rPr>
                  <w:rStyle w:val="Hyperlink"/>
                  <w:color w:val="auto"/>
                  <w:szCs w:val="18"/>
                  <w:lang w:val="en-US"/>
                </w:rPr>
                <w:t>http://naturaljustice.org/community-protocols/</w:t>
              </w:r>
            </w:hyperlink>
          </w:p>
          <w:p w:rsidR="00B6558C" w:rsidRPr="00AE6FC3" w:rsidRDefault="00B6558C" w:rsidP="00B6558C">
            <w:pPr>
              <w:jc w:val="left"/>
              <w:rPr>
                <w:sz w:val="18"/>
                <w:szCs w:val="18"/>
                <w:lang w:val="en-US"/>
              </w:rPr>
            </w:pPr>
          </w:p>
        </w:tc>
      </w:tr>
      <w:tr w:rsidR="00807653" w:rsidRPr="00AE6FC3" w:rsidTr="00B6558C">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32"/>
        </w:trPr>
        <w:tc>
          <w:tcPr>
            <w:tcW w:w="2448" w:type="dxa"/>
          </w:tcPr>
          <w:p w:rsidR="00B6558C" w:rsidRPr="00AE6FC3" w:rsidRDefault="00B6558C" w:rsidP="00B6558C">
            <w:pPr>
              <w:pStyle w:val="ListParagraph"/>
              <w:numPr>
                <w:ilvl w:val="0"/>
                <w:numId w:val="8"/>
              </w:numPr>
              <w:ind w:left="180" w:hanging="180"/>
              <w:jc w:val="left"/>
              <w:rPr>
                <w:sz w:val="18"/>
                <w:szCs w:val="18"/>
              </w:rPr>
            </w:pPr>
            <w:r w:rsidRPr="00AE6FC3">
              <w:rPr>
                <w:sz w:val="18"/>
                <w:szCs w:val="18"/>
              </w:rPr>
              <w:t>Community protocols and procedures</w:t>
            </w:r>
          </w:p>
        </w:tc>
        <w:tc>
          <w:tcPr>
            <w:tcW w:w="3114" w:type="dxa"/>
          </w:tcPr>
          <w:p w:rsidR="00B6558C" w:rsidRPr="00AE6FC3" w:rsidRDefault="00B6558C" w:rsidP="00B6558C">
            <w:pPr>
              <w:jc w:val="left"/>
              <w:rPr>
                <w:sz w:val="18"/>
                <w:szCs w:val="18"/>
              </w:rPr>
            </w:pPr>
            <w:r w:rsidRPr="00AE6FC3">
              <w:rPr>
                <w:sz w:val="18"/>
                <w:szCs w:val="18"/>
              </w:rPr>
              <w:t>Madagascar: Analavory pilot community protocol implementing the Nagoya Protocol and the ITPGRFA</w:t>
            </w:r>
          </w:p>
        </w:tc>
        <w:tc>
          <w:tcPr>
            <w:tcW w:w="3096" w:type="dxa"/>
          </w:tcPr>
          <w:p w:rsidR="00B6558C" w:rsidRPr="00AE6FC3" w:rsidRDefault="00B6558C" w:rsidP="00B6558C">
            <w:pPr>
              <w:jc w:val="left"/>
              <w:rPr>
                <w:sz w:val="18"/>
                <w:szCs w:val="18"/>
              </w:rPr>
            </w:pPr>
            <w:r w:rsidRPr="00AE6FC3">
              <w:rPr>
                <w:sz w:val="18"/>
                <w:szCs w:val="18"/>
              </w:rPr>
              <w:t>Natural Justice and the ABS Capacity Development Initiative</w:t>
            </w:r>
          </w:p>
        </w:tc>
        <w:tc>
          <w:tcPr>
            <w:tcW w:w="5697" w:type="dxa"/>
          </w:tcPr>
          <w:p w:rsidR="00B6558C" w:rsidRPr="00AE6FC3" w:rsidRDefault="00B6558C" w:rsidP="00B6558C">
            <w:pPr>
              <w:jc w:val="left"/>
              <w:rPr>
                <w:sz w:val="18"/>
                <w:szCs w:val="18"/>
              </w:rPr>
            </w:pPr>
            <w:r w:rsidRPr="00AE6FC3">
              <w:rPr>
                <w:sz w:val="18"/>
                <w:szCs w:val="18"/>
              </w:rPr>
              <w:t>Not available</w:t>
            </w:r>
            <w:r w:rsidR="00FA4D2F" w:rsidRPr="000D1AA2">
              <w:rPr>
                <w:sz w:val="18"/>
                <w:szCs w:val="18"/>
              </w:rPr>
              <w:t>,</w:t>
            </w:r>
            <w:r w:rsidR="00FA4D2F" w:rsidRPr="00AE6FC3">
              <w:rPr>
                <w:sz w:val="18"/>
                <w:szCs w:val="18"/>
              </w:rPr>
              <w:t xml:space="preserve"> information about the Protocol</w:t>
            </w:r>
            <w:r w:rsidRPr="00AE6FC3">
              <w:rPr>
                <w:sz w:val="18"/>
                <w:szCs w:val="18"/>
              </w:rPr>
              <w:t>:</w:t>
            </w:r>
          </w:p>
          <w:p w:rsidR="00B6558C" w:rsidRPr="00AE6FC3" w:rsidRDefault="009D4331" w:rsidP="00B6558C">
            <w:pPr>
              <w:jc w:val="left"/>
              <w:rPr>
                <w:sz w:val="18"/>
                <w:szCs w:val="18"/>
                <w:lang w:val="en-US"/>
              </w:rPr>
            </w:pPr>
            <w:hyperlink r:id="rId81" w:history="1">
              <w:r w:rsidR="00B6558C" w:rsidRPr="00AE6FC3">
                <w:rPr>
                  <w:rStyle w:val="Hyperlink"/>
                  <w:color w:val="auto"/>
                  <w:szCs w:val="18"/>
                </w:rPr>
                <w:t>https://www.cbd.int/abs/submissions/assessment/naturaljustice-abs-initiative-en.pdf</w:t>
              </w:r>
            </w:hyperlink>
            <w:r w:rsidR="00B6558C" w:rsidRPr="00AE6FC3">
              <w:rPr>
                <w:sz w:val="18"/>
                <w:szCs w:val="18"/>
              </w:rPr>
              <w:t xml:space="preserve"> and </w:t>
            </w:r>
            <w:hyperlink r:id="rId82" w:history="1">
              <w:r w:rsidR="00B6558C" w:rsidRPr="00AE6FC3">
                <w:rPr>
                  <w:rStyle w:val="Hyperlink"/>
                  <w:color w:val="auto"/>
                  <w:szCs w:val="18"/>
                  <w:lang w:val="en-US"/>
                </w:rPr>
                <w:t>http://naturaljustice.org/community-protocols/</w:t>
              </w:r>
            </w:hyperlink>
          </w:p>
          <w:p w:rsidR="00B6558C" w:rsidRPr="00AE6FC3" w:rsidRDefault="00B6558C" w:rsidP="00B6558C">
            <w:pPr>
              <w:jc w:val="left"/>
              <w:rPr>
                <w:sz w:val="18"/>
                <w:szCs w:val="18"/>
                <w:lang w:val="en-US"/>
              </w:rPr>
            </w:pPr>
          </w:p>
        </w:tc>
      </w:tr>
    </w:tbl>
    <w:p w:rsidR="00963032" w:rsidRDefault="00F05420" w:rsidP="00B569BC">
      <w:pPr>
        <w:pStyle w:val="Heading1"/>
        <w:rPr>
          <w:lang w:val="en-US"/>
        </w:rPr>
      </w:pPr>
      <w:r>
        <w:rPr>
          <w:lang w:val="en-US"/>
        </w:rPr>
        <w:t>__________</w:t>
      </w:r>
    </w:p>
    <w:sectPr w:rsidR="00963032" w:rsidSect="00963032">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331" w:rsidRDefault="009D4331" w:rsidP="00CF1848">
      <w:r>
        <w:separator/>
      </w:r>
    </w:p>
  </w:endnote>
  <w:endnote w:type="continuationSeparator" w:id="0">
    <w:p w:rsidR="009D4331" w:rsidRDefault="009D433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331" w:rsidRDefault="009D4331" w:rsidP="00CF1848">
      <w:r>
        <w:separator/>
      </w:r>
    </w:p>
  </w:footnote>
  <w:footnote w:type="continuationSeparator" w:id="0">
    <w:p w:rsidR="009D4331" w:rsidRDefault="009D4331" w:rsidP="00CF1848">
      <w:r>
        <w:continuationSeparator/>
      </w:r>
    </w:p>
  </w:footnote>
  <w:footnote w:id="1">
    <w:p w:rsidR="009D4331" w:rsidRPr="00633130" w:rsidRDefault="009D4331" w:rsidP="00633130">
      <w:pPr>
        <w:pStyle w:val="FootnoteText"/>
        <w:ind w:firstLine="0"/>
      </w:pPr>
      <w:r w:rsidRPr="00633130">
        <w:rPr>
          <w:rStyle w:val="FootnoteReference"/>
          <w:u w:val="none"/>
          <w:vertAlign w:val="superscript"/>
        </w:rPr>
        <w:footnoteRef/>
      </w:r>
      <w:r>
        <w:t xml:space="preserve"> Finland, Mexico </w:t>
      </w:r>
    </w:p>
  </w:footnote>
  <w:footnote w:id="2">
    <w:p w:rsidR="009D4331" w:rsidRPr="00633130" w:rsidRDefault="009D4331" w:rsidP="00633130">
      <w:pPr>
        <w:pStyle w:val="FootnoteText"/>
        <w:ind w:firstLine="0"/>
      </w:pPr>
      <w:r w:rsidRPr="00633130">
        <w:rPr>
          <w:rStyle w:val="FootnoteReference"/>
          <w:u w:val="none"/>
          <w:vertAlign w:val="superscript"/>
        </w:rPr>
        <w:footnoteRef/>
      </w:r>
      <w:r w:rsidRPr="00633130">
        <w:rPr>
          <w:rStyle w:val="FootnoteReference"/>
          <w:u w:val="none"/>
          <w:vertAlign w:val="superscript"/>
        </w:rPr>
        <w:t xml:space="preserve"> </w:t>
      </w:r>
      <w:r w:rsidRPr="00633130">
        <w:t>Association of Southeast Asian Nations (ASEAN)</w:t>
      </w:r>
    </w:p>
  </w:footnote>
  <w:footnote w:id="3">
    <w:p w:rsidR="009D4331" w:rsidRPr="00E44C82" w:rsidRDefault="009D4331" w:rsidP="00E44C82">
      <w:pPr>
        <w:pStyle w:val="FootnoteText"/>
        <w:ind w:firstLine="0"/>
        <w:rPr>
          <w:szCs w:val="18"/>
        </w:rPr>
      </w:pPr>
      <w:r w:rsidRPr="00E44C82">
        <w:rPr>
          <w:rStyle w:val="FootnoteReference"/>
          <w:u w:val="none"/>
          <w:vertAlign w:val="superscript"/>
        </w:rPr>
        <w:footnoteRef/>
      </w:r>
      <w:r w:rsidRPr="00E44C82">
        <w:rPr>
          <w:vertAlign w:val="superscript"/>
        </w:rPr>
        <w:t xml:space="preserve"> </w:t>
      </w:r>
      <w:r w:rsidRPr="00E44C82">
        <w:t xml:space="preserve">Centre for Agriculture and Biosciences International (CABI), European Seed Association (ESA), </w:t>
      </w:r>
      <w:r w:rsidRPr="000B517C">
        <w:t>Japan Bioindustry Association (JBA)</w:t>
      </w:r>
      <w:r>
        <w:t xml:space="preserve">, </w:t>
      </w:r>
      <w:r w:rsidRPr="00E44C82">
        <w:t>International Chamber of Commerce</w:t>
      </w:r>
      <w:r>
        <w:t>,</w:t>
      </w:r>
      <w:r w:rsidRPr="00E44C82">
        <w:t xml:space="preserve"> the World Business Organization (ICCWBO), Lactic Acid Bactria Industrial Platform (LABIP), Natural History Museum, Natural Justice </w:t>
      </w:r>
      <w:r>
        <w:t xml:space="preserve">and </w:t>
      </w:r>
      <w:r w:rsidRPr="00E44C82">
        <w:t xml:space="preserve">the ABS Capacity Development Initiative (they included contributions from </w:t>
      </w:r>
      <w:r>
        <w:t xml:space="preserve">the </w:t>
      </w:r>
      <w:r w:rsidRPr="00E44C82">
        <w:t>Cercle de Sauvegarde des Ressources Naturelles (ONG CESAREN)</w:t>
      </w:r>
      <w:r>
        <w:t>)</w:t>
      </w:r>
      <w:r w:rsidRPr="00E44C82">
        <w:t xml:space="preserve">, </w:t>
      </w:r>
      <w:r>
        <w:t xml:space="preserve">the </w:t>
      </w:r>
      <w:r w:rsidRPr="00E44C82">
        <w:t xml:space="preserve">Swiss </w:t>
      </w:r>
      <w:r>
        <w:t>A</w:t>
      </w:r>
      <w:r w:rsidRPr="00E44C82">
        <w:t>cademy of Science</w:t>
      </w:r>
      <w:r>
        <w:t>s</w:t>
      </w:r>
      <w:r w:rsidRPr="00E44C82">
        <w:t xml:space="preserve">, </w:t>
      </w:r>
      <w:r>
        <w:t xml:space="preserve">the </w:t>
      </w:r>
      <w:r w:rsidRPr="00E44C82">
        <w:t>Union for Ethical BioTrade (UEBT)</w:t>
      </w:r>
      <w:r>
        <w:t>.</w:t>
      </w:r>
    </w:p>
  </w:footnote>
  <w:footnote w:id="4">
    <w:p w:rsidR="009D4331" w:rsidRPr="00AE6FC3" w:rsidRDefault="009D4331" w:rsidP="00AE6FC3">
      <w:pPr>
        <w:pStyle w:val="FootnoteText"/>
        <w:ind w:firstLine="0"/>
        <w:rPr>
          <w:lang w:val="en-US"/>
        </w:rPr>
      </w:pPr>
      <w:r w:rsidRPr="00BB71AF">
        <w:rPr>
          <w:rStyle w:val="FootnoteReference"/>
          <w:u w:val="none"/>
          <w:vertAlign w:val="superscript"/>
        </w:rPr>
        <w:footnoteRef/>
      </w:r>
      <w:r>
        <w:t xml:space="preserve"> National records have been considered when</w:t>
      </w:r>
      <w:r w:rsidRPr="00C20914">
        <w:t xml:space="preserve"> Parties have provided a link to a national record in response to the </w:t>
      </w:r>
      <w:r>
        <w:t xml:space="preserve">relevant </w:t>
      </w:r>
      <w:r w:rsidRPr="00C20914">
        <w:t xml:space="preserve">questions of the interim national report or when Parties have published “national or domestic guidelines” or “community </w:t>
      </w:r>
      <w:r>
        <w:t>protocols and procedures” under</w:t>
      </w:r>
      <w:r w:rsidRPr="00C20914">
        <w:t xml:space="preserve"> the national record “Legislative, Administrative or Policy Measures on Access and Benefit-Sharing measures”.</w:t>
      </w:r>
    </w:p>
  </w:footnote>
  <w:footnote w:id="5">
    <w:p w:rsidR="009D4331" w:rsidRPr="00CD2CF2" w:rsidRDefault="009D4331" w:rsidP="00EB4122">
      <w:pPr>
        <w:pStyle w:val="FootnoteText"/>
        <w:ind w:firstLine="0"/>
        <w:rPr>
          <w:lang w:val="en-US"/>
        </w:rPr>
      </w:pPr>
      <w:r w:rsidRPr="00B655A2">
        <w:rPr>
          <w:rStyle w:val="FootnoteReference"/>
          <w:u w:val="none"/>
          <w:vertAlign w:val="superscript"/>
        </w:rPr>
        <w:footnoteRef/>
      </w:r>
      <w:r w:rsidRPr="00B655A2">
        <w:rPr>
          <w:lang w:val="en-US"/>
        </w:rPr>
        <w:t xml:space="preserve"> </w:t>
      </w:r>
      <w:r w:rsidRPr="00CD2CF2">
        <w:rPr>
          <w:lang w:val="en-US"/>
        </w:rPr>
        <w:t>Antigua and Barbuda, Benin, Bhutan, Burundi, Cameroon, Cuba, Ethiopia, France, India, Kenya, Malta, Mexico, Qatar, Viet Nam</w:t>
      </w:r>
    </w:p>
  </w:footnote>
  <w:footnote w:id="6">
    <w:p w:rsidR="009D4331" w:rsidRPr="00CD2CF2" w:rsidRDefault="009D4331" w:rsidP="00EB4122">
      <w:pPr>
        <w:pStyle w:val="FootnoteText"/>
        <w:ind w:firstLine="0"/>
        <w:rPr>
          <w:lang w:val="en-US"/>
        </w:rPr>
      </w:pPr>
      <w:r w:rsidRPr="00CD2CF2">
        <w:rPr>
          <w:rStyle w:val="FootnoteReference"/>
          <w:u w:val="none"/>
          <w:vertAlign w:val="superscript"/>
        </w:rPr>
        <w:footnoteRef/>
      </w:r>
      <w:r w:rsidRPr="00CD2CF2">
        <w:t xml:space="preserve"> </w:t>
      </w:r>
      <w:r>
        <w:rPr>
          <w:lang w:val="en-US"/>
        </w:rPr>
        <w:t>Morocco</w:t>
      </w:r>
    </w:p>
  </w:footnote>
  <w:footnote w:id="7">
    <w:p w:rsidR="009D4331" w:rsidRPr="00CD2CF2" w:rsidRDefault="009D4331" w:rsidP="00EB4122">
      <w:pPr>
        <w:pStyle w:val="FootnoteText"/>
        <w:ind w:firstLine="0"/>
        <w:rPr>
          <w:lang w:val="en-US"/>
        </w:rPr>
      </w:pPr>
      <w:r w:rsidRPr="00CD2CF2">
        <w:rPr>
          <w:rStyle w:val="FootnoteReference"/>
          <w:u w:val="none"/>
          <w:vertAlign w:val="superscript"/>
        </w:rPr>
        <w:footnoteRef/>
      </w:r>
      <w:r w:rsidRPr="00CD2CF2">
        <w:t xml:space="preserve"> </w:t>
      </w:r>
      <w:r w:rsidRPr="00CD2CF2">
        <w:rPr>
          <w:lang w:val="en-US"/>
        </w:rPr>
        <w:t>African Union, Andean Community</w:t>
      </w:r>
    </w:p>
  </w:footnote>
  <w:footnote w:id="8">
    <w:p w:rsidR="009D4331" w:rsidRPr="00A739F3" w:rsidRDefault="009D4331" w:rsidP="00EB4122">
      <w:pPr>
        <w:pStyle w:val="FootnoteText"/>
        <w:ind w:firstLine="0"/>
        <w:rPr>
          <w:lang w:val="en-US"/>
        </w:rPr>
      </w:pPr>
      <w:r w:rsidRPr="00CD2CF2">
        <w:rPr>
          <w:rStyle w:val="FootnoteReference"/>
          <w:u w:val="none"/>
          <w:vertAlign w:val="superscript"/>
        </w:rPr>
        <w:footnoteRef/>
      </w:r>
      <w:r w:rsidRPr="00CD2CF2">
        <w:rPr>
          <w:vertAlign w:val="superscript"/>
        </w:rPr>
        <w:t xml:space="preserve"> </w:t>
      </w:r>
      <w:r w:rsidRPr="00CD2CF2">
        <w:rPr>
          <w:lang w:val="en-US"/>
        </w:rPr>
        <w:t xml:space="preserve">Belgian Science Policy Office (Belspo), </w:t>
      </w:r>
      <w:r w:rsidRPr="00CD2CF2">
        <w:rPr>
          <w:szCs w:val="18"/>
        </w:rPr>
        <w:t xml:space="preserve">Biotechnology Innovation Organization (BIO), Bioversity International (BI), Centre for Agriculture and Biosciences International (CABI), Consortium of European Taxonomic Facilities (CETAF), Deutsche Forschungsgemeinschaft (DFG), </w:t>
      </w:r>
      <w:r w:rsidRPr="00CD2CF2">
        <w:rPr>
          <w:szCs w:val="18"/>
          <w:lang w:val="en-US"/>
        </w:rPr>
        <w:t>European Culture Collections’ Organisation (ECCO),</w:t>
      </w:r>
      <w:r w:rsidRPr="00CD2CF2">
        <w:rPr>
          <w:szCs w:val="18"/>
        </w:rPr>
        <w:t xml:space="preserve"> Global Genome Biodiversity Network (GGBN),</w:t>
      </w:r>
      <w:r w:rsidRPr="00CD2CF2">
        <w:rPr>
          <w:lang w:val="en-US"/>
        </w:rPr>
        <w:t xml:space="preserve"> </w:t>
      </w:r>
      <w:r w:rsidRPr="00CD2CF2">
        <w:rPr>
          <w:szCs w:val="18"/>
        </w:rPr>
        <w:t>Nordic Genetic Resource Center (NordGen), Swiss Academies of Arts and Sciences (A+), Swiss Academy of Sciences, World Intellectual Property Organization (WIPO)</w:t>
      </w:r>
    </w:p>
  </w:footnote>
  <w:footnote w:id="9">
    <w:p w:rsidR="009D4331" w:rsidRPr="005B599A" w:rsidRDefault="009D4331" w:rsidP="00C80846">
      <w:pPr>
        <w:pStyle w:val="FootnoteText"/>
        <w:ind w:firstLine="0"/>
        <w:rPr>
          <w:lang w:val="en-US"/>
        </w:rPr>
      </w:pPr>
      <w:r w:rsidRPr="005B599A">
        <w:rPr>
          <w:rStyle w:val="FootnoteReference"/>
          <w:u w:val="none"/>
          <w:vertAlign w:val="superscript"/>
        </w:rPr>
        <w:footnoteRef/>
      </w:r>
      <w:r>
        <w:t xml:space="preserve"> African Union Commission, </w:t>
      </w:r>
      <w:r w:rsidRPr="005B599A">
        <w:t>Belgian Science Policy Office (Belspo)</w:t>
      </w:r>
      <w:r>
        <w:t>, Biotechnology Innovation Organization (BIO), Bioversity International (BI), Consortium of European Taxonomic Facilities (CETAF), Global Genome Biodiversity Network (GGBN), Kenya, Morocco (GIZ Morocco), Swiss Academies of Arts and Sciences (A+),</w:t>
      </w:r>
      <w:r w:rsidRPr="005B599A">
        <w:t xml:space="preserve"> </w:t>
      </w:r>
      <w:r>
        <w:t>Swiss Academy of Sciences, World Intellectual Property Organization (WIPO)</w:t>
      </w:r>
    </w:p>
  </w:footnote>
  <w:footnote w:id="10">
    <w:p w:rsidR="009D4331" w:rsidRPr="00D41DA4" w:rsidRDefault="009D4331" w:rsidP="00C80846">
      <w:pPr>
        <w:rPr>
          <w:rFonts w:asciiTheme="majorHAnsi" w:hAnsiTheme="majorHAnsi"/>
          <w:sz w:val="18"/>
          <w:szCs w:val="18"/>
          <w:lang w:val="en-US"/>
        </w:rPr>
      </w:pPr>
      <w:r w:rsidRPr="00D41DA4">
        <w:rPr>
          <w:rStyle w:val="FootnoteReference"/>
          <w:u w:val="none"/>
          <w:vertAlign w:val="superscript"/>
        </w:rPr>
        <w:footnoteRef/>
      </w:r>
      <w:r w:rsidRPr="00D41DA4">
        <w:rPr>
          <w:lang w:val="en-US"/>
        </w:rPr>
        <w:t xml:space="preserve"> </w:t>
      </w:r>
      <w:r w:rsidRPr="00D41DA4">
        <w:rPr>
          <w:sz w:val="18"/>
        </w:rPr>
        <w:t>A</w:t>
      </w:r>
      <w:r>
        <w:rPr>
          <w:sz w:val="18"/>
        </w:rPr>
        <w:t>ndean Community, A</w:t>
      </w:r>
      <w:r w:rsidRPr="00D41DA4">
        <w:rPr>
          <w:sz w:val="18"/>
        </w:rPr>
        <w:t xml:space="preserve">ntigua and Barbuda, </w:t>
      </w:r>
      <w:r>
        <w:rPr>
          <w:sz w:val="18"/>
        </w:rPr>
        <w:t>Ethiopia</w:t>
      </w:r>
      <w:r w:rsidRPr="00D41DA4">
        <w:rPr>
          <w:sz w:val="18"/>
        </w:rPr>
        <w:t>, Malta, Mexico</w:t>
      </w:r>
      <w:r>
        <w:rPr>
          <w:sz w:val="18"/>
        </w:rPr>
        <w:t xml:space="preserve">, </w:t>
      </w:r>
      <w:r w:rsidRPr="00D41DA4">
        <w:rPr>
          <w:sz w:val="18"/>
        </w:rPr>
        <w:t>Viet Nam</w:t>
      </w:r>
    </w:p>
  </w:footnote>
  <w:footnote w:id="11">
    <w:p w:rsidR="009D4331" w:rsidRPr="00E31A38" w:rsidRDefault="009D4331" w:rsidP="006E3999">
      <w:pPr>
        <w:pStyle w:val="FootnoteText"/>
        <w:ind w:firstLine="0"/>
        <w:rPr>
          <w:lang w:val="en-CA"/>
        </w:rPr>
      </w:pPr>
      <w:r w:rsidRPr="00E31A38">
        <w:rPr>
          <w:rStyle w:val="FootnoteReference"/>
          <w:u w:val="none"/>
          <w:vertAlign w:val="superscript"/>
        </w:rPr>
        <w:footnoteRef/>
      </w:r>
      <w:r>
        <w:t xml:space="preserve"> </w:t>
      </w:r>
      <w:r w:rsidRPr="003A1727">
        <w:t xml:space="preserve">Belgian Science Policy Office (Belspo), </w:t>
      </w:r>
      <w:r w:rsidRPr="00E31A38">
        <w:t xml:space="preserve">Biotechnology Innovation Organization (BIO), Bioversity International (BI), Centre for Agriculture and Biosciences International (CABI), </w:t>
      </w:r>
      <w:r w:rsidRPr="00FA4583">
        <w:t>Consortium of European Taxonomic Facilities</w:t>
      </w:r>
      <w:r>
        <w:t xml:space="preserve"> (CETAF)</w:t>
      </w:r>
      <w:r w:rsidRPr="00FA4583">
        <w:t>,</w:t>
      </w:r>
      <w:r>
        <w:t xml:space="preserve"> </w:t>
      </w:r>
      <w:r w:rsidRPr="002C6EEA">
        <w:rPr>
          <w:rFonts w:eastAsia="Calibri"/>
          <w:snapToGrid w:val="0"/>
          <w:kern w:val="22"/>
          <w:bdr w:val="none" w:sz="0" w:space="0" w:color="auto" w:frame="1"/>
        </w:rPr>
        <w:t xml:space="preserve">Deutsche Forschungsgemeinschaft </w:t>
      </w:r>
      <w:r>
        <w:rPr>
          <w:rFonts w:eastAsia="Calibri"/>
          <w:snapToGrid w:val="0"/>
          <w:kern w:val="22"/>
          <w:bdr w:val="none" w:sz="0" w:space="0" w:color="auto" w:frame="1"/>
        </w:rPr>
        <w:t>(DFG),</w:t>
      </w:r>
      <w:r w:rsidRPr="00FA4583">
        <w:t xml:space="preserve"> European Culture Collections’ Organisation (ECCO), Global Genome Biodiversity Network (GGBN), </w:t>
      </w:r>
      <w:r>
        <w:t xml:space="preserve">Qatar, </w:t>
      </w:r>
      <w:r w:rsidRPr="00E31A38">
        <w:t xml:space="preserve">Nordic Genetic Resource Center (NordGen), </w:t>
      </w:r>
      <w:r w:rsidRPr="00FA4583">
        <w:t xml:space="preserve">Swiss Academies of Arts and Sciences (A+), </w:t>
      </w:r>
      <w:r w:rsidRPr="00E31A38">
        <w:t>Swiss Academy of Sciences</w:t>
      </w:r>
      <w:r>
        <w:t xml:space="preserve">, </w:t>
      </w:r>
      <w:r w:rsidRPr="00847225">
        <w:t>World Intellectual Property Organization (WIPO)</w:t>
      </w:r>
    </w:p>
  </w:footnote>
  <w:footnote w:id="12">
    <w:p w:rsidR="009D4331" w:rsidRPr="009A7479" w:rsidRDefault="009D4331" w:rsidP="00ED7C95">
      <w:pPr>
        <w:pStyle w:val="FootnoteText"/>
        <w:ind w:firstLine="0"/>
        <w:rPr>
          <w:lang w:val="en-US"/>
        </w:rPr>
      </w:pPr>
      <w:r w:rsidRPr="009A7479">
        <w:rPr>
          <w:rStyle w:val="FootnoteReference"/>
          <w:u w:val="none"/>
          <w:vertAlign w:val="superscript"/>
        </w:rPr>
        <w:footnoteRef/>
      </w:r>
      <w:r>
        <w:t xml:space="preserve"> </w:t>
      </w:r>
      <w:r w:rsidRPr="009A7479">
        <w:t>Antigua and Barbuda, Benin, Bhutan, Burundi, Cameroon, Cuba, Ethiopia, France, India, Kenya, Malta, Mexico</w:t>
      </w:r>
      <w:r>
        <w:t xml:space="preserve">, </w:t>
      </w:r>
      <w:r w:rsidRPr="009A7479">
        <w:t>Viet Nam</w:t>
      </w:r>
    </w:p>
  </w:footnote>
  <w:footnote w:id="13">
    <w:p w:rsidR="009D4331" w:rsidRPr="00FE4A63" w:rsidRDefault="009D4331" w:rsidP="00FE4A63">
      <w:pPr>
        <w:pStyle w:val="FootnoteText"/>
        <w:ind w:firstLine="0"/>
        <w:rPr>
          <w:lang w:val="en-US"/>
        </w:rPr>
      </w:pPr>
      <w:r w:rsidRPr="00FE4A63">
        <w:rPr>
          <w:rStyle w:val="FootnoteReference"/>
          <w:u w:val="none"/>
          <w:vertAlign w:val="superscript"/>
        </w:rPr>
        <w:footnoteRef/>
      </w:r>
      <w:r w:rsidRPr="00FE4A63">
        <w:rPr>
          <w:vertAlign w:val="superscript"/>
        </w:rPr>
        <w:t xml:space="preserve"> </w:t>
      </w:r>
      <w:r w:rsidRPr="009A7479">
        <w:t>Morocco</w:t>
      </w:r>
    </w:p>
  </w:footnote>
  <w:footnote w:id="14">
    <w:p w:rsidR="009D4331" w:rsidRPr="009A7479" w:rsidRDefault="009D4331" w:rsidP="00ED7C95">
      <w:pPr>
        <w:pStyle w:val="FootnoteText"/>
        <w:ind w:firstLine="0"/>
        <w:rPr>
          <w:lang w:val="en-US"/>
        </w:rPr>
      </w:pPr>
      <w:r w:rsidRPr="00E31A38">
        <w:rPr>
          <w:rStyle w:val="FootnoteReference"/>
          <w:u w:val="none"/>
          <w:vertAlign w:val="superscript"/>
        </w:rPr>
        <w:footnoteRef/>
      </w:r>
      <w:r>
        <w:t xml:space="preserve"> </w:t>
      </w:r>
      <w:r>
        <w:rPr>
          <w:lang w:val="en-US"/>
        </w:rPr>
        <w:t xml:space="preserve">African Union, </w:t>
      </w:r>
      <w:r>
        <w:t>Andean Community</w:t>
      </w:r>
    </w:p>
  </w:footnote>
  <w:footnote w:id="15">
    <w:p w:rsidR="009D4331" w:rsidRPr="00AE6FC3" w:rsidRDefault="009D4331" w:rsidP="00AE6FC3">
      <w:pPr>
        <w:pStyle w:val="FootnoteText"/>
        <w:ind w:firstLine="0"/>
        <w:rPr>
          <w:lang w:val="en-US"/>
        </w:rPr>
      </w:pPr>
      <w:r w:rsidRPr="00AE6FC3">
        <w:rPr>
          <w:rStyle w:val="FootnoteReference"/>
          <w:u w:val="none"/>
          <w:vertAlign w:val="superscript"/>
        </w:rPr>
        <w:footnoteRef/>
      </w:r>
      <w:r w:rsidRPr="00AE6FC3">
        <w:rPr>
          <w:rStyle w:val="FootnoteReference"/>
          <w:u w:val="none"/>
          <w:vertAlign w:val="superscript"/>
        </w:rPr>
        <w:t xml:space="preserve"> </w:t>
      </w:r>
      <w:r>
        <w:t>A</w:t>
      </w:r>
      <w:r w:rsidRPr="006E3999">
        <w:t xml:space="preserve"> regional group consisting in Bolivia, Colombia, Ecuador and Peru,</w:t>
      </w:r>
    </w:p>
  </w:footnote>
  <w:footnote w:id="16">
    <w:p w:rsidR="009D4331" w:rsidRPr="005D1B77" w:rsidRDefault="009D4331" w:rsidP="0064410B">
      <w:pPr>
        <w:pStyle w:val="FootnoteText"/>
        <w:ind w:firstLine="0"/>
        <w:rPr>
          <w:lang w:val="en-US"/>
        </w:rPr>
      </w:pPr>
      <w:r w:rsidRPr="00B655A2">
        <w:rPr>
          <w:rStyle w:val="FootnoteReference"/>
          <w:u w:val="none"/>
          <w:vertAlign w:val="superscript"/>
        </w:rPr>
        <w:footnoteRef/>
      </w:r>
      <w:r w:rsidRPr="00B655A2">
        <w:rPr>
          <w:lang w:val="en-US"/>
        </w:rPr>
        <w:t xml:space="preserve"> </w:t>
      </w:r>
      <w:r>
        <w:rPr>
          <w:lang w:val="en-US"/>
        </w:rPr>
        <w:t xml:space="preserve">Dominican Republic, </w:t>
      </w:r>
      <w:r w:rsidRPr="0064410B">
        <w:rPr>
          <w:lang w:val="en-US"/>
        </w:rPr>
        <w:t>Ethiopia</w:t>
      </w:r>
      <w:r>
        <w:rPr>
          <w:lang w:val="en-US"/>
        </w:rPr>
        <w:t xml:space="preserve">, Japan, Kenya, </w:t>
      </w:r>
      <w:r w:rsidRPr="0064410B">
        <w:rPr>
          <w:lang w:val="en-US"/>
        </w:rPr>
        <w:t>Madagascar</w:t>
      </w:r>
      <w:r>
        <w:rPr>
          <w:lang w:val="en-US"/>
        </w:rPr>
        <w:t xml:space="preserve">, Mexico, </w:t>
      </w:r>
      <w:r w:rsidRPr="0064410B">
        <w:rPr>
          <w:lang w:val="en-US"/>
        </w:rPr>
        <w:t>Uganda</w:t>
      </w:r>
    </w:p>
  </w:footnote>
  <w:footnote w:id="17">
    <w:p w:rsidR="009D4331" w:rsidRPr="005D1B77" w:rsidRDefault="009D4331" w:rsidP="00091291">
      <w:pPr>
        <w:pStyle w:val="FootnoteText"/>
        <w:ind w:firstLine="0"/>
        <w:rPr>
          <w:lang w:val="en-US"/>
        </w:rPr>
      </w:pPr>
      <w:r w:rsidRPr="00AC4390">
        <w:rPr>
          <w:rStyle w:val="FootnoteReference"/>
          <w:u w:val="none"/>
          <w:vertAlign w:val="superscript"/>
        </w:rPr>
        <w:footnoteRef/>
      </w:r>
      <w:r w:rsidRPr="005D1B77">
        <w:t xml:space="preserve"> </w:t>
      </w:r>
      <w:r>
        <w:rPr>
          <w:lang w:val="en-US"/>
        </w:rPr>
        <w:t>African Union, Andean Community, European Union</w:t>
      </w:r>
    </w:p>
  </w:footnote>
  <w:footnote w:id="18">
    <w:p w:rsidR="009D4331" w:rsidRPr="00A739F3" w:rsidRDefault="009D4331" w:rsidP="00091291">
      <w:pPr>
        <w:pStyle w:val="FootnoteText"/>
        <w:ind w:firstLine="0"/>
        <w:rPr>
          <w:lang w:val="en-US"/>
        </w:rPr>
      </w:pPr>
      <w:r w:rsidRPr="00AC4390">
        <w:rPr>
          <w:rStyle w:val="FootnoteReference"/>
          <w:u w:val="none"/>
          <w:vertAlign w:val="superscript"/>
        </w:rPr>
        <w:footnoteRef/>
      </w:r>
      <w:r w:rsidRPr="00AC4390">
        <w:rPr>
          <w:vertAlign w:val="superscript"/>
        </w:rPr>
        <w:t xml:space="preserve"> </w:t>
      </w:r>
      <w:r w:rsidRPr="00720391">
        <w:rPr>
          <w:lang w:val="en-US"/>
        </w:rPr>
        <w:t xml:space="preserve">Asociación Mexicana de Jardines Botánicos, </w:t>
      </w:r>
      <w:r w:rsidRPr="006F5F30">
        <w:rPr>
          <w:lang w:val="en-US"/>
        </w:rPr>
        <w:t>Belgian Science Policy Office (Belspo)</w:t>
      </w:r>
      <w:r>
        <w:rPr>
          <w:lang w:val="en-US"/>
        </w:rPr>
        <w:t xml:space="preserve">, </w:t>
      </w:r>
      <w:r w:rsidRPr="00720391">
        <w:rPr>
          <w:lang w:val="en-US"/>
        </w:rPr>
        <w:t xml:space="preserve">Biotechnology Innovation Organization (BIO), Botanic Gardens Conservation International, </w:t>
      </w:r>
      <w:r w:rsidRPr="00A541A8">
        <w:rPr>
          <w:lang w:val="en-US"/>
        </w:rPr>
        <w:t>Centre for Agriculture and Biosciences International (CABI),</w:t>
      </w:r>
      <w:r>
        <w:rPr>
          <w:lang w:val="en-US"/>
        </w:rPr>
        <w:t xml:space="preserve"> </w:t>
      </w:r>
      <w:r w:rsidRPr="00720391">
        <w:rPr>
          <w:lang w:val="en-US"/>
        </w:rPr>
        <w:t>Consortium of European Taxonomic Facilities</w:t>
      </w:r>
      <w:r>
        <w:rPr>
          <w:lang w:val="en-US"/>
        </w:rPr>
        <w:t xml:space="preserve"> (CETAF)</w:t>
      </w:r>
      <w:r w:rsidRPr="00720391">
        <w:rPr>
          <w:lang w:val="en-US"/>
        </w:rPr>
        <w:t xml:space="preserve">, </w:t>
      </w:r>
      <w:r w:rsidRPr="003102F7">
        <w:rPr>
          <w:szCs w:val="18"/>
        </w:rPr>
        <w:t>Deutsche Forschungsgemeinschaft (DFG)</w:t>
      </w:r>
      <w:r w:rsidRPr="00720391">
        <w:rPr>
          <w:lang w:val="en-US"/>
        </w:rPr>
        <w:t xml:space="preserve">, </w:t>
      </w:r>
      <w:r w:rsidRPr="00A83DD4">
        <w:rPr>
          <w:lang w:val="en-US"/>
        </w:rPr>
        <w:t>European Seed Association (ESA)</w:t>
      </w:r>
      <w:r>
        <w:rPr>
          <w:lang w:val="en-US"/>
        </w:rPr>
        <w:t>,</w:t>
      </w:r>
      <w:r w:rsidRPr="00A83DD4">
        <w:rPr>
          <w:lang w:val="en-US"/>
        </w:rPr>
        <w:t xml:space="preserve"> </w:t>
      </w:r>
      <w:r w:rsidRPr="00720391">
        <w:rPr>
          <w:lang w:val="en-US"/>
        </w:rPr>
        <w:t xml:space="preserve">Global Genome Biodiversity Network (GGBN), International Federation of Pharmaceutical Manufacturers and Associations, </w:t>
      </w:r>
      <w:r w:rsidRPr="00A541A8">
        <w:rPr>
          <w:lang w:val="en-US"/>
        </w:rPr>
        <w:t xml:space="preserve">International Organisation for Biological Control of Noxious Animals and Plants (IOBC), </w:t>
      </w:r>
      <w:r w:rsidRPr="00720391">
        <w:rPr>
          <w:lang w:val="en-US"/>
        </w:rPr>
        <w:t xml:space="preserve">International Society of Ethnobiology (ISE), Microbial Resource Research Infrastructure (MIRRI), Microbiology Society, </w:t>
      </w:r>
      <w:r>
        <w:rPr>
          <w:lang w:val="en-US"/>
        </w:rPr>
        <w:t>Natural History Museum,</w:t>
      </w:r>
      <w:r w:rsidRPr="00720391">
        <w:rPr>
          <w:lang w:val="en-US"/>
        </w:rPr>
        <w:t xml:space="preserve"> Stratos Inc., </w:t>
      </w:r>
      <w:r w:rsidRPr="006F5F30">
        <w:rPr>
          <w:lang w:val="en-US"/>
        </w:rPr>
        <w:t>Swiss Academy of Sciences</w:t>
      </w:r>
      <w:r>
        <w:rPr>
          <w:lang w:val="en-US"/>
        </w:rPr>
        <w:t xml:space="preserve">, </w:t>
      </w:r>
      <w:r w:rsidRPr="00720391">
        <w:rPr>
          <w:lang w:val="en-US"/>
        </w:rPr>
        <w:t>Un</w:t>
      </w:r>
      <w:r>
        <w:rPr>
          <w:lang w:val="en-US"/>
        </w:rPr>
        <w:t>ion for Ethical BioTrade (UEBT)</w:t>
      </w:r>
    </w:p>
  </w:footnote>
  <w:footnote w:id="19">
    <w:p w:rsidR="009D4331" w:rsidRPr="00E84400" w:rsidRDefault="009D4331" w:rsidP="00B70F58">
      <w:pPr>
        <w:pStyle w:val="FootnoteText"/>
        <w:ind w:firstLine="0"/>
      </w:pPr>
      <w:r w:rsidRPr="00B70F58">
        <w:rPr>
          <w:rStyle w:val="FootnoteReference"/>
          <w:u w:val="none"/>
          <w:vertAlign w:val="superscript"/>
        </w:rPr>
        <w:footnoteRef/>
      </w:r>
      <w:r>
        <w:t xml:space="preserve"> African Union, </w:t>
      </w:r>
      <w:r w:rsidRPr="00720391">
        <w:rPr>
          <w:lang w:val="en-US"/>
        </w:rPr>
        <w:t xml:space="preserve">Asociación Mexicana de Jardines Botánicos, </w:t>
      </w:r>
      <w:r w:rsidRPr="006F5F30">
        <w:rPr>
          <w:lang w:val="en-US"/>
        </w:rPr>
        <w:t>Belgian Science Policy Office (Belspo)</w:t>
      </w:r>
      <w:r>
        <w:rPr>
          <w:lang w:val="en-US"/>
        </w:rPr>
        <w:t xml:space="preserve">, </w:t>
      </w:r>
      <w:r w:rsidRPr="00720391">
        <w:rPr>
          <w:lang w:val="en-US"/>
        </w:rPr>
        <w:t>Biotechnology Innovation Organization (BIO), Botanic Gardens Conservation International,</w:t>
      </w:r>
      <w:r>
        <w:rPr>
          <w:lang w:val="en-US"/>
        </w:rPr>
        <w:t xml:space="preserve"> </w:t>
      </w:r>
      <w:r w:rsidRPr="00720391">
        <w:rPr>
          <w:lang w:val="en-US"/>
        </w:rPr>
        <w:t>Consortium of European Taxonomic Facilities</w:t>
      </w:r>
      <w:r>
        <w:rPr>
          <w:lang w:val="en-US"/>
        </w:rPr>
        <w:t xml:space="preserve"> (CETAF)</w:t>
      </w:r>
      <w:r w:rsidRPr="00720391">
        <w:rPr>
          <w:lang w:val="en-US"/>
        </w:rPr>
        <w:t xml:space="preserve">, </w:t>
      </w:r>
      <w:r w:rsidRPr="003102F7">
        <w:rPr>
          <w:szCs w:val="18"/>
        </w:rPr>
        <w:t>Deutsche Forschungsgemeinschaft (DFG)</w:t>
      </w:r>
      <w:r w:rsidRPr="00720391">
        <w:rPr>
          <w:lang w:val="en-US"/>
        </w:rPr>
        <w:t xml:space="preserve">, Global Genome Biodiversity Network (GGBN), International Federation of Pharmaceutical Manufacturers and Associations, International Society of Ethnobiology (ISE), </w:t>
      </w:r>
      <w:r>
        <w:rPr>
          <w:lang w:val="en-US"/>
        </w:rPr>
        <w:t xml:space="preserve">Japan, Kenya, </w:t>
      </w:r>
      <w:r w:rsidRPr="00720391">
        <w:rPr>
          <w:lang w:val="en-US"/>
        </w:rPr>
        <w:t xml:space="preserve">Microbial Resource Research Infrastructure (MIRRI), Microbiology Society, Stratos Inc., </w:t>
      </w:r>
      <w:r w:rsidRPr="006F5F30">
        <w:rPr>
          <w:lang w:val="en-US"/>
        </w:rPr>
        <w:t>Swiss Academy of Sciences</w:t>
      </w:r>
      <w:r>
        <w:rPr>
          <w:lang w:val="en-US"/>
        </w:rPr>
        <w:t xml:space="preserve">, </w:t>
      </w:r>
      <w:r w:rsidRPr="00720391">
        <w:rPr>
          <w:lang w:val="en-US"/>
        </w:rPr>
        <w:t>Un</w:t>
      </w:r>
      <w:r>
        <w:rPr>
          <w:lang w:val="en-US"/>
        </w:rPr>
        <w:t>ion for Ethical BioTrade (UEBT).</w:t>
      </w:r>
    </w:p>
  </w:footnote>
  <w:footnote w:id="20">
    <w:p w:rsidR="009D4331" w:rsidRPr="00B70F58" w:rsidRDefault="009D4331" w:rsidP="00B70F58">
      <w:pPr>
        <w:pStyle w:val="FootnoteText"/>
        <w:ind w:firstLine="0"/>
      </w:pPr>
      <w:r w:rsidRPr="00B70F58">
        <w:rPr>
          <w:rStyle w:val="FootnoteReference"/>
          <w:u w:val="none"/>
          <w:vertAlign w:val="superscript"/>
        </w:rPr>
        <w:footnoteRef/>
      </w:r>
      <w:r w:rsidRPr="00B70F58">
        <w:rPr>
          <w:vertAlign w:val="superscript"/>
        </w:rPr>
        <w:t xml:space="preserve"> </w:t>
      </w:r>
      <w:r>
        <w:t>Andean Community, Dominican Republic, European Union</w:t>
      </w:r>
    </w:p>
  </w:footnote>
  <w:footnote w:id="21">
    <w:p w:rsidR="009D4331" w:rsidRPr="007B7C5D" w:rsidRDefault="009D4331" w:rsidP="00E84400">
      <w:pPr>
        <w:pStyle w:val="FootnoteText"/>
        <w:ind w:firstLine="0"/>
        <w:rPr>
          <w:lang w:val="en-US"/>
        </w:rPr>
      </w:pPr>
      <w:r w:rsidRPr="00394CDE">
        <w:rPr>
          <w:rStyle w:val="FootnoteReference"/>
          <w:u w:val="none"/>
          <w:vertAlign w:val="superscript"/>
        </w:rPr>
        <w:footnoteRef/>
      </w:r>
      <w:r w:rsidRPr="007B7C5D">
        <w:rPr>
          <w:lang w:val="en-US"/>
        </w:rPr>
        <w:t xml:space="preserve"> </w:t>
      </w:r>
      <w:r w:rsidRPr="00E84400">
        <w:rPr>
          <w:lang w:val="en-US"/>
        </w:rPr>
        <w:t>Bhutan</w:t>
      </w:r>
      <w:r>
        <w:rPr>
          <w:lang w:val="en-US"/>
        </w:rPr>
        <w:t xml:space="preserve">, </w:t>
      </w:r>
      <w:r w:rsidRPr="00E84400">
        <w:rPr>
          <w:lang w:val="en-US"/>
        </w:rPr>
        <w:t>Dominican Republic</w:t>
      </w:r>
      <w:r>
        <w:rPr>
          <w:lang w:val="en-US"/>
        </w:rPr>
        <w:t xml:space="preserve">, </w:t>
      </w:r>
      <w:r w:rsidRPr="00E84400">
        <w:rPr>
          <w:lang w:val="en-US"/>
        </w:rPr>
        <w:t>Ethiopia</w:t>
      </w:r>
      <w:r>
        <w:rPr>
          <w:lang w:val="en-US"/>
        </w:rPr>
        <w:t>, Mexico, Peru, Swaziland, Viet Nam</w:t>
      </w:r>
    </w:p>
  </w:footnote>
  <w:footnote w:id="22">
    <w:p w:rsidR="009D4331" w:rsidRPr="005F67BC" w:rsidRDefault="009D4331" w:rsidP="00655E47">
      <w:pPr>
        <w:pStyle w:val="FootnoteText"/>
        <w:ind w:firstLine="0"/>
        <w:rPr>
          <w:lang w:val="en-US"/>
        </w:rPr>
      </w:pPr>
      <w:r w:rsidRPr="00655E47">
        <w:rPr>
          <w:rStyle w:val="FootnoteReference"/>
          <w:u w:val="none"/>
          <w:vertAlign w:val="superscript"/>
        </w:rPr>
        <w:footnoteRef/>
      </w:r>
      <w:r w:rsidRPr="00655E47">
        <w:rPr>
          <w:vertAlign w:val="superscript"/>
        </w:rPr>
        <w:t xml:space="preserve"> </w:t>
      </w:r>
      <w:r w:rsidRPr="005F67BC">
        <w:t>Dominican Republic, Ethiopia, Kenya</w:t>
      </w:r>
      <w:r>
        <w:t>,</w:t>
      </w:r>
      <w:r w:rsidRPr="005F67BC">
        <w:t xml:space="preserve"> Uganda</w:t>
      </w:r>
    </w:p>
  </w:footnote>
  <w:footnote w:id="23">
    <w:p w:rsidR="009D4331" w:rsidRPr="005F67BC" w:rsidRDefault="009D4331" w:rsidP="005F67BC">
      <w:pPr>
        <w:pStyle w:val="FootnoteText"/>
        <w:ind w:firstLine="0"/>
      </w:pPr>
      <w:r w:rsidRPr="005F67BC">
        <w:rPr>
          <w:rStyle w:val="FootnoteReference"/>
          <w:u w:val="none"/>
          <w:vertAlign w:val="superscript"/>
        </w:rPr>
        <w:footnoteRef/>
      </w:r>
      <w:r>
        <w:t xml:space="preserve"> Andean Community, African Union, European Union</w:t>
      </w:r>
    </w:p>
  </w:footnote>
  <w:footnote w:id="24">
    <w:p w:rsidR="009D4331" w:rsidRDefault="009D4331" w:rsidP="009529D7">
      <w:pPr>
        <w:pStyle w:val="FootnoteText"/>
        <w:ind w:firstLine="0"/>
      </w:pPr>
      <w:r w:rsidRPr="0011116E">
        <w:rPr>
          <w:rStyle w:val="FootnoteReference"/>
          <w:rFonts w:eastAsiaTheme="majorEastAsia"/>
          <w:u w:val="none"/>
          <w:vertAlign w:val="superscript"/>
        </w:rPr>
        <w:footnoteRef/>
      </w:r>
      <w:r>
        <w:t xml:space="preserve"> Japan, Mexico, Madagascar</w:t>
      </w:r>
    </w:p>
  </w:footnote>
  <w:footnote w:id="25">
    <w:p w:rsidR="009D4331" w:rsidRPr="00BC116D" w:rsidRDefault="009D4331" w:rsidP="00BC116D">
      <w:pPr>
        <w:pStyle w:val="FootnoteText"/>
        <w:ind w:firstLine="0"/>
        <w:rPr>
          <w:lang w:val="en-US"/>
        </w:rPr>
      </w:pPr>
      <w:r w:rsidRPr="00BC116D">
        <w:rPr>
          <w:rStyle w:val="FootnoteReference"/>
          <w:rFonts w:eastAsiaTheme="majorEastAsia"/>
          <w:u w:val="none"/>
          <w:vertAlign w:val="superscript"/>
        </w:rPr>
        <w:footnoteRef/>
      </w:r>
      <w:r w:rsidRPr="00BC116D">
        <w:rPr>
          <w:rStyle w:val="FootnoteReference"/>
          <w:rFonts w:eastAsiaTheme="majorEastAsia"/>
          <w:u w:val="none"/>
          <w:vertAlign w:val="superscript"/>
        </w:rPr>
        <w:t xml:space="preserve"> </w:t>
      </w:r>
      <w:r>
        <w:t>A</w:t>
      </w:r>
      <w:r w:rsidRPr="00BC116D">
        <w:t xml:space="preserve">sociación Mexicana de Jardines Botánicos, </w:t>
      </w:r>
      <w:r w:rsidRPr="00A7070E">
        <w:t>Belgian Science Policy Office (Belspo)</w:t>
      </w:r>
      <w:r>
        <w:t xml:space="preserve">, </w:t>
      </w:r>
      <w:r w:rsidRPr="00BC116D">
        <w:t>Biotechnology Innovation Organization (BIO)</w:t>
      </w:r>
      <w:r>
        <w:t xml:space="preserve">, </w:t>
      </w:r>
      <w:r w:rsidRPr="00BC116D">
        <w:rPr>
          <w:lang w:val="en-US"/>
        </w:rPr>
        <w:t>Botanic Gardens Conservation Internationa</w:t>
      </w:r>
      <w:r>
        <w:rPr>
          <w:lang w:val="en-US"/>
        </w:rPr>
        <w:t xml:space="preserve">l, </w:t>
      </w:r>
      <w:r w:rsidRPr="00BC16C5">
        <w:t>Centre for Agriculture and Biosciences International</w:t>
      </w:r>
      <w:r>
        <w:t xml:space="preserve"> (CABI</w:t>
      </w:r>
      <w:r w:rsidRPr="00BC16C5">
        <w:t>)</w:t>
      </w:r>
      <w:r>
        <w:t>,</w:t>
      </w:r>
      <w:r w:rsidRPr="00BC16C5">
        <w:t xml:space="preserve"> </w:t>
      </w:r>
      <w:r w:rsidRPr="00D3416C">
        <w:t>Consortium of European Taxonomic Facilities</w:t>
      </w:r>
      <w:r>
        <w:t xml:space="preserve"> (CETAF), </w:t>
      </w:r>
      <w:r w:rsidRPr="003102F7">
        <w:rPr>
          <w:szCs w:val="18"/>
        </w:rPr>
        <w:t>Deutsche Forschungsgemeinschaft (DFG)</w:t>
      </w:r>
      <w:r>
        <w:rPr>
          <w:lang w:val="en-US"/>
        </w:rPr>
        <w:t xml:space="preserve">, </w:t>
      </w:r>
      <w:r w:rsidRPr="00BC16C5">
        <w:t>European Seed Association</w:t>
      </w:r>
      <w:r>
        <w:t xml:space="preserve"> (ESA</w:t>
      </w:r>
      <w:r w:rsidRPr="00BC16C5">
        <w:t>)</w:t>
      </w:r>
      <w:r>
        <w:t xml:space="preserve">, </w:t>
      </w:r>
      <w:r w:rsidRPr="00BC116D">
        <w:rPr>
          <w:lang w:val="en-US"/>
        </w:rPr>
        <w:t>Global Genome Biodiversity Network (GGBN)</w:t>
      </w:r>
      <w:r>
        <w:rPr>
          <w:lang w:val="en-US"/>
        </w:rPr>
        <w:t xml:space="preserve">, </w:t>
      </w:r>
      <w:r w:rsidRPr="00BC116D">
        <w:rPr>
          <w:lang w:val="en-US"/>
        </w:rPr>
        <w:t>International Federation of Pharmaceutical Manufacturers and Associations</w:t>
      </w:r>
      <w:r>
        <w:rPr>
          <w:lang w:val="en-US"/>
        </w:rPr>
        <w:t xml:space="preserve">, </w:t>
      </w:r>
      <w:r w:rsidRPr="00BC16C5">
        <w:t>International Organisation for Biological Control of Noxious Animals and Plants (IOBC)</w:t>
      </w:r>
      <w:r>
        <w:t xml:space="preserve">, </w:t>
      </w:r>
      <w:r w:rsidRPr="00BC116D">
        <w:t>International Society of Ethnobiology (ISE)</w:t>
      </w:r>
      <w:r>
        <w:t xml:space="preserve">, </w:t>
      </w:r>
      <w:r w:rsidRPr="00BC116D">
        <w:rPr>
          <w:lang w:val="en-US"/>
        </w:rPr>
        <w:t>Microbial Resource Research Infrastructure (MIRRI)</w:t>
      </w:r>
      <w:r>
        <w:rPr>
          <w:lang w:val="en-US"/>
        </w:rPr>
        <w:t xml:space="preserve">, </w:t>
      </w:r>
      <w:r w:rsidRPr="00A4020C">
        <w:rPr>
          <w:lang w:val="en-US"/>
        </w:rPr>
        <w:t>Microbiology Society</w:t>
      </w:r>
      <w:r>
        <w:rPr>
          <w:lang w:val="en-US"/>
        </w:rPr>
        <w:t>,</w:t>
      </w:r>
      <w:r w:rsidRPr="00A4020C">
        <w:rPr>
          <w:lang w:val="en-US"/>
        </w:rPr>
        <w:t xml:space="preserve"> </w:t>
      </w:r>
      <w:r>
        <w:t xml:space="preserve">Natural History Museum, </w:t>
      </w:r>
      <w:r w:rsidRPr="00BC116D">
        <w:t>Swiss Academy of Sciences</w:t>
      </w:r>
      <w:r>
        <w:t>,</w:t>
      </w:r>
      <w:r w:rsidRPr="00BC16C5">
        <w:rPr>
          <w:lang w:val="en-US"/>
        </w:rPr>
        <w:t xml:space="preserve"> </w:t>
      </w:r>
      <w:r w:rsidRPr="00BC116D">
        <w:rPr>
          <w:lang w:val="en-US"/>
        </w:rPr>
        <w:t>Union for Ethical BioTrade (UEBT)</w:t>
      </w:r>
    </w:p>
  </w:footnote>
  <w:footnote w:id="26">
    <w:p w:rsidR="009D4331" w:rsidRPr="00BC16C5" w:rsidRDefault="009D4331" w:rsidP="00BC16C5">
      <w:pPr>
        <w:pStyle w:val="FootnoteText"/>
        <w:ind w:firstLine="0"/>
        <w:rPr>
          <w:lang w:val="en-US"/>
        </w:rPr>
      </w:pPr>
      <w:r w:rsidRPr="00BC16C5">
        <w:rPr>
          <w:rStyle w:val="FootnoteReference"/>
          <w:u w:val="none"/>
          <w:vertAlign w:val="superscript"/>
        </w:rPr>
        <w:footnoteRef/>
      </w:r>
      <w:r>
        <w:t xml:space="preserve"> Stratos Inc., </w:t>
      </w:r>
      <w:r w:rsidRPr="00BC16C5">
        <w:t>Union for Ethical BioTrade (UEBT)</w:t>
      </w:r>
    </w:p>
  </w:footnote>
  <w:footnote w:id="27">
    <w:p w:rsidR="009D4331" w:rsidRPr="00AE6FC3" w:rsidRDefault="009D4331" w:rsidP="00AE6FC3">
      <w:pPr>
        <w:pStyle w:val="FootnoteText"/>
        <w:ind w:firstLine="0"/>
        <w:rPr>
          <w:lang w:val="en-US"/>
        </w:rPr>
      </w:pPr>
      <w:r w:rsidRPr="00BB71AF">
        <w:rPr>
          <w:rStyle w:val="FootnoteReference"/>
          <w:u w:val="none"/>
          <w:vertAlign w:val="superscript"/>
        </w:rPr>
        <w:footnoteRef/>
      </w:r>
      <w:r>
        <w:t xml:space="preserve"> In </w:t>
      </w:r>
      <w:r w:rsidRPr="00AE6FC3">
        <w:t>cooperation with Geoff Burton and Jorge Cabrera, and with the support of the Swiss State Secretariat for Economic Affairs.</w:t>
      </w:r>
    </w:p>
  </w:footnote>
  <w:footnote w:id="28">
    <w:p w:rsidR="009D4331" w:rsidRPr="00056A70" w:rsidRDefault="009D4331" w:rsidP="009B430D">
      <w:pPr>
        <w:pStyle w:val="FootnoteText"/>
        <w:ind w:firstLine="0"/>
      </w:pPr>
      <w:r w:rsidRPr="00056A70">
        <w:rPr>
          <w:rStyle w:val="FootnoteReference"/>
          <w:u w:val="none"/>
          <w:vertAlign w:val="superscript"/>
        </w:rPr>
        <w:footnoteRef/>
      </w:r>
      <w:r>
        <w:rPr>
          <w:vertAlign w:val="superscript"/>
        </w:rPr>
        <w:t xml:space="preserve"> </w:t>
      </w:r>
      <w:r>
        <w:t xml:space="preserve">The following communities have developed community protocols: the </w:t>
      </w:r>
      <w:r w:rsidRPr="00056A70">
        <w:t>Khwe community</w:t>
      </w:r>
      <w:r>
        <w:t xml:space="preserve"> of Namibia, </w:t>
      </w:r>
      <w:r w:rsidRPr="00056A70">
        <w:t>Mariarano community</w:t>
      </w:r>
      <w:r>
        <w:t xml:space="preserve"> of Madagascar, the Pacari Network of Brazil, the El Piro local community in Panama, the </w:t>
      </w:r>
      <w:r w:rsidRPr="008527AA">
        <w:t xml:space="preserve">Ogiek Peoples </w:t>
      </w:r>
      <w:r>
        <w:t>of</w:t>
      </w:r>
      <w:r w:rsidRPr="008527AA">
        <w:t xml:space="preserve"> Kenya</w:t>
      </w:r>
      <w:r>
        <w:t xml:space="preserve"> and the Antavolobe and Analavory communities of Madagascar.</w:t>
      </w:r>
    </w:p>
  </w:footnote>
  <w:footnote w:id="29">
    <w:p w:rsidR="009D4331" w:rsidRPr="00A60CC8" w:rsidRDefault="009D4331" w:rsidP="009B430D">
      <w:pPr>
        <w:pStyle w:val="FootnoteText"/>
        <w:ind w:firstLine="0"/>
      </w:pPr>
      <w:r w:rsidRPr="00243897">
        <w:rPr>
          <w:rStyle w:val="FootnoteReference"/>
          <w:u w:val="none"/>
          <w:vertAlign w:val="superscript"/>
        </w:rPr>
        <w:footnoteRef/>
      </w:r>
      <w:r>
        <w:t xml:space="preserve"> Antigua and Barbuda, Burkina Faso, Cameroon, Kenya, Malawi and Panama.</w:t>
      </w:r>
    </w:p>
  </w:footnote>
  <w:footnote w:id="30">
    <w:p w:rsidR="009D4331" w:rsidRPr="008418A5" w:rsidRDefault="009D4331" w:rsidP="00E3742A">
      <w:pPr>
        <w:pStyle w:val="FootnoteText"/>
        <w:ind w:firstLine="0"/>
      </w:pPr>
      <w:r w:rsidRPr="00243897">
        <w:rPr>
          <w:rStyle w:val="FootnoteReference"/>
          <w:u w:val="none"/>
          <w:vertAlign w:val="superscript"/>
        </w:rPr>
        <w:footnoteRef/>
      </w:r>
      <w:r>
        <w:t xml:space="preserve"> </w:t>
      </w:r>
      <w:r w:rsidRPr="00DB1987">
        <w:t xml:space="preserve">The following communities </w:t>
      </w:r>
      <w:r>
        <w:t xml:space="preserve">are developing </w:t>
      </w:r>
      <w:r w:rsidRPr="00DB1987">
        <w:t>community protocols</w:t>
      </w:r>
      <w:r>
        <w:t xml:space="preserve">: the </w:t>
      </w:r>
      <w:r w:rsidRPr="008527AA">
        <w:t>Endorois community</w:t>
      </w:r>
      <w:r>
        <w:t xml:space="preserve"> in Kenya, the </w:t>
      </w:r>
      <w:r w:rsidRPr="008527AA">
        <w:t>National Khoi and San Council</w:t>
      </w:r>
      <w:r>
        <w:t xml:space="preserve"> </w:t>
      </w:r>
      <w:r w:rsidRPr="008527AA">
        <w:t>Community</w:t>
      </w:r>
      <w:r>
        <w:t xml:space="preserve"> in </w:t>
      </w:r>
      <w:r w:rsidRPr="008418A5">
        <w:t xml:space="preserve">South Africa, </w:t>
      </w:r>
      <w:r>
        <w:t>and the Degbe Aguinninnou</w:t>
      </w:r>
      <w:r w:rsidRPr="008418A5">
        <w:t xml:space="preserve"> community in Benin.</w:t>
      </w:r>
    </w:p>
  </w:footnote>
  <w:footnote w:id="31">
    <w:p w:rsidR="009D4331" w:rsidRPr="008527AA" w:rsidRDefault="009D4331" w:rsidP="009B430D">
      <w:pPr>
        <w:pStyle w:val="FootnoteText"/>
        <w:ind w:firstLine="0"/>
      </w:pPr>
      <w:r w:rsidRPr="008418A5">
        <w:rPr>
          <w:rStyle w:val="FootnoteReference"/>
          <w:u w:val="none"/>
          <w:vertAlign w:val="superscript"/>
        </w:rPr>
        <w:footnoteRef/>
      </w:r>
      <w:r w:rsidRPr="008418A5">
        <w:rPr>
          <w:sz w:val="22"/>
          <w:vertAlign w:val="superscript"/>
        </w:rPr>
        <w:t xml:space="preserve"> </w:t>
      </w:r>
      <w:r w:rsidRPr="008418A5">
        <w:t>Benin, China, Dominican Republic, Madagascar, Mexico, and Uruguay.</w:t>
      </w:r>
    </w:p>
  </w:footnote>
  <w:footnote w:id="32">
    <w:p w:rsidR="009D4331" w:rsidRPr="002634AA" w:rsidRDefault="009D4331" w:rsidP="002634AA">
      <w:pPr>
        <w:pStyle w:val="FootnoteText"/>
        <w:ind w:firstLine="0"/>
        <w:rPr>
          <w:vertAlign w:val="superscript"/>
        </w:rPr>
      </w:pPr>
      <w:r w:rsidRPr="002634AA">
        <w:rPr>
          <w:rStyle w:val="FootnoteReference"/>
          <w:u w:val="none"/>
          <w:vertAlign w:val="superscript"/>
        </w:rPr>
        <w:footnoteRef/>
      </w:r>
      <w:r>
        <w:rPr>
          <w:vertAlign w:val="superscript"/>
        </w:rPr>
        <w:t xml:space="preserve"> </w:t>
      </w:r>
      <w:r>
        <w:t xml:space="preserve">Available at: </w:t>
      </w:r>
      <w:r w:rsidRPr="002634AA">
        <w:t>https://absch.cbd.int/database/CPP/ABSCH-CPP-SCBD-207587</w:t>
      </w:r>
    </w:p>
  </w:footnote>
  <w:footnote w:id="33">
    <w:p w:rsidR="009D4331" w:rsidRPr="0046645D" w:rsidRDefault="009D4331" w:rsidP="0046645D">
      <w:pPr>
        <w:pStyle w:val="FootnoteText"/>
        <w:ind w:firstLine="0"/>
      </w:pPr>
      <w:r w:rsidRPr="0046645D">
        <w:rPr>
          <w:rStyle w:val="FootnoteReference"/>
          <w:u w:val="none"/>
          <w:vertAlign w:val="superscript"/>
        </w:rPr>
        <w:footnoteRef/>
      </w:r>
      <w:r>
        <w:t xml:space="preserve"> Fundação Luterana de Diaconia, Heinrich Böll Stiftung Brasil, Equator Initiative, Projeto Generosidade</w:t>
      </w:r>
    </w:p>
  </w:footnote>
  <w:footnote w:id="34">
    <w:p w:rsidR="009D4331" w:rsidRPr="002634AA" w:rsidRDefault="009D4331" w:rsidP="002634AA">
      <w:pPr>
        <w:pStyle w:val="FootnoteText"/>
        <w:ind w:firstLine="0"/>
      </w:pPr>
      <w:r w:rsidRPr="002634AA">
        <w:rPr>
          <w:rStyle w:val="FootnoteReference"/>
          <w:u w:val="none"/>
          <w:vertAlign w:val="superscript"/>
        </w:rPr>
        <w:footnoteRef/>
      </w:r>
      <w:r w:rsidRPr="002634AA">
        <w:rPr>
          <w:vertAlign w:val="superscript"/>
        </w:rPr>
        <w:t xml:space="preserve"> </w:t>
      </w:r>
      <w:r>
        <w:t xml:space="preserve">Available at: </w:t>
      </w:r>
      <w:r w:rsidRPr="002634AA">
        <w:t>https://absch.cbd.int/database/CPP/ABSCH-CPP-SCBD-239000</w:t>
      </w:r>
    </w:p>
  </w:footnote>
  <w:footnote w:id="35">
    <w:p w:rsidR="009D4331" w:rsidRPr="00ED67C7" w:rsidRDefault="009D4331" w:rsidP="00ED67C7">
      <w:pPr>
        <w:pStyle w:val="FootnoteText"/>
        <w:ind w:firstLine="0"/>
      </w:pPr>
      <w:r w:rsidRPr="00ED67C7">
        <w:rPr>
          <w:rStyle w:val="FootnoteReference"/>
          <w:u w:val="none"/>
          <w:vertAlign w:val="superscript"/>
        </w:rPr>
        <w:footnoteRef/>
      </w:r>
      <w:r>
        <w:t xml:space="preserve"> Available at: </w:t>
      </w:r>
      <w:r w:rsidRPr="00ED67C7">
        <w:t>https://absch.cbd.int/database/CPP/ABSCH-CPP-SCBD-207314</w:t>
      </w:r>
    </w:p>
  </w:footnote>
  <w:footnote w:id="36">
    <w:p w:rsidR="009D4331" w:rsidRPr="007771D5" w:rsidRDefault="009D4331" w:rsidP="009B430D">
      <w:pPr>
        <w:pStyle w:val="FootnoteText"/>
        <w:ind w:firstLine="0"/>
        <w:rPr>
          <w:lang w:val="en-US"/>
        </w:rPr>
      </w:pPr>
      <w:r w:rsidRPr="000F51E8">
        <w:rPr>
          <w:rStyle w:val="FootnoteReference"/>
          <w:u w:val="none"/>
          <w:vertAlign w:val="superscript"/>
        </w:rPr>
        <w:footnoteRef/>
      </w:r>
      <w:r w:rsidRPr="007771D5">
        <w:t xml:space="preserve"> </w:t>
      </w:r>
      <w:r>
        <w:t xml:space="preserve">See the full submissions at: </w:t>
      </w:r>
      <w:hyperlink r:id="rId1" w:history="1">
        <w:r w:rsidRPr="004F6D08">
          <w:rPr>
            <w:rStyle w:val="Hyperlink"/>
          </w:rPr>
          <w:t>https://www.cbd.int/abs/assessment-contribution/default.shtml</w:t>
        </w:r>
      </w:hyperlink>
      <w:r>
        <w:t xml:space="preserve"> </w:t>
      </w:r>
    </w:p>
  </w:footnote>
  <w:footnote w:id="37">
    <w:p w:rsidR="009D4331" w:rsidRPr="00750811" w:rsidRDefault="009D4331" w:rsidP="00C2041C">
      <w:pPr>
        <w:pStyle w:val="FootnoteText"/>
        <w:ind w:firstLine="0"/>
        <w:rPr>
          <w:lang w:val="en-US"/>
        </w:rPr>
      </w:pPr>
      <w:r w:rsidRPr="00BB71AF">
        <w:rPr>
          <w:rStyle w:val="FootnoteReference"/>
          <w:rFonts w:eastAsiaTheme="majorEastAsia"/>
          <w:u w:val="none"/>
          <w:vertAlign w:val="superscript"/>
        </w:rPr>
        <w:footnoteRef/>
      </w:r>
      <w:r>
        <w:t xml:space="preserve"> Such as the experiences and lesson learned shared by Natural Justice and the ABS Capacity Development Initiative with contributions of the ONG CESAREN.</w:t>
      </w:r>
      <w:r w:rsidRPr="00750811">
        <w:t xml:space="preserve"> </w:t>
      </w:r>
      <w:r>
        <w:t>(</w:t>
      </w:r>
      <w:hyperlink r:id="rId2" w:history="1">
        <w:r w:rsidRPr="004F6D08">
          <w:rPr>
            <w:rStyle w:val="Hyperlink"/>
          </w:rPr>
          <w:t>https://www.cbd.int/abs/submissions/assessment/naturaljustice-abs-initiative-en.pdf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115443591"/>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9D4331" w:rsidRDefault="009D4331" w:rsidP="00534681">
        <w:pPr>
          <w:pStyle w:val="Header"/>
        </w:pPr>
        <w:r>
          <w:rPr>
            <w:lang w:val="en-US"/>
          </w:rPr>
          <w:t>CBD/SBI/2/INF/8</w:t>
        </w:r>
      </w:p>
    </w:sdtContent>
  </w:sdt>
  <w:p w:rsidR="009D4331" w:rsidRDefault="009D4331" w:rsidP="00534681">
    <w:pPr>
      <w:pStyle w:val="Header"/>
    </w:pPr>
    <w:r>
      <w:t xml:space="preserve">Page </w:t>
    </w:r>
    <w:r>
      <w:fldChar w:fldCharType="begin"/>
    </w:r>
    <w:r>
      <w:instrText xml:space="preserve"> PAGE   \* MERGEFORMAT </w:instrText>
    </w:r>
    <w:r>
      <w:fldChar w:fldCharType="separate"/>
    </w:r>
    <w:r w:rsidR="00B569BC">
      <w:rPr>
        <w:noProof/>
      </w:rPr>
      <w:t>18</w:t>
    </w:r>
    <w:r>
      <w:rPr>
        <w:noProof/>
      </w:rPr>
      <w:fldChar w:fldCharType="end"/>
    </w:r>
  </w:p>
  <w:p w:rsidR="009D4331" w:rsidRDefault="009D43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462336551"/>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D4331" w:rsidRDefault="009D4331" w:rsidP="009505C9">
        <w:pPr>
          <w:pStyle w:val="Header"/>
          <w:jc w:val="right"/>
        </w:pPr>
        <w:r>
          <w:rPr>
            <w:lang w:val="en-US"/>
          </w:rPr>
          <w:t>CBD/SBI/2/INF/8</w:t>
        </w:r>
      </w:p>
    </w:sdtContent>
  </w:sdt>
  <w:p w:rsidR="009D4331" w:rsidRDefault="009D4331" w:rsidP="009505C9">
    <w:pPr>
      <w:pStyle w:val="Header"/>
      <w:jc w:val="right"/>
    </w:pPr>
    <w:r>
      <w:t xml:space="preserve">Page </w:t>
    </w:r>
    <w:r>
      <w:fldChar w:fldCharType="begin"/>
    </w:r>
    <w:r>
      <w:instrText xml:space="preserve"> PAGE   \* MERGEFORMAT </w:instrText>
    </w:r>
    <w:r>
      <w:fldChar w:fldCharType="separate"/>
    </w:r>
    <w:r w:rsidR="00B569BC">
      <w:rPr>
        <w:noProof/>
      </w:rPr>
      <w:t>19</w:t>
    </w:r>
    <w:r>
      <w:rPr>
        <w:noProof/>
      </w:rPr>
      <w:fldChar w:fldCharType="end"/>
    </w:r>
  </w:p>
  <w:p w:rsidR="009D4331" w:rsidRDefault="009D43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847B9"/>
    <w:multiLevelType w:val="multilevel"/>
    <w:tmpl w:val="C930EC32"/>
    <w:lvl w:ilvl="0">
      <w:start w:val="1"/>
      <w:numFmt w:val="decimal"/>
      <w:lvlText w:val="%1."/>
      <w:lvlJc w:val="left"/>
      <w:pPr>
        <w:tabs>
          <w:tab w:val="num" w:pos="360"/>
        </w:tabs>
        <w:ind w:left="0" w:firstLine="0"/>
      </w:pPr>
      <w:rPr>
        <w:rFonts w:ascii="Times New Roman" w:hAnsi="Times New Roman" w:cs="Times New Roman" w:hint="default"/>
        <w:b w:val="0"/>
        <w:i w:val="0"/>
        <w:sz w:val="22"/>
        <w:lang w:val="en-US"/>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A1B3896"/>
    <w:multiLevelType w:val="hybridMultilevel"/>
    <w:tmpl w:val="0E4A8396"/>
    <w:lvl w:ilvl="0" w:tplc="7512AE7C">
      <w:start w:val="1"/>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 w15:restartNumberingAfterBreak="0">
    <w:nsid w:val="1C6E6426"/>
    <w:multiLevelType w:val="hybridMultilevel"/>
    <w:tmpl w:val="9AC28BE6"/>
    <w:lvl w:ilvl="0" w:tplc="E18A050E">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11444A2"/>
    <w:multiLevelType w:val="hybridMultilevel"/>
    <w:tmpl w:val="9AC28BE6"/>
    <w:lvl w:ilvl="0" w:tplc="E18A050E">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9067B8F"/>
    <w:multiLevelType w:val="hybridMultilevel"/>
    <w:tmpl w:val="2B748C3E"/>
    <w:lvl w:ilvl="0" w:tplc="72A49FEA">
      <w:start w:val="6"/>
      <w:numFmt w:val="decimal"/>
      <w:lvlText w:val="%1."/>
      <w:lvlJc w:val="left"/>
      <w:pPr>
        <w:ind w:left="720" w:hanging="360"/>
      </w:pPr>
      <w:rPr>
        <w:b w:val="0"/>
        <w:i w:val="0"/>
        <w:sz w:val="22"/>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B5D455A"/>
    <w:multiLevelType w:val="hybridMultilevel"/>
    <w:tmpl w:val="D81A04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195B2A"/>
    <w:multiLevelType w:val="hybridMultilevel"/>
    <w:tmpl w:val="9AC28BE6"/>
    <w:lvl w:ilvl="0" w:tplc="E18A050E">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6F636B5"/>
    <w:multiLevelType w:val="hybridMultilevel"/>
    <w:tmpl w:val="A72825CA"/>
    <w:lvl w:ilvl="0" w:tplc="088678B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9C320FF"/>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1521D29"/>
    <w:multiLevelType w:val="hybridMultilevel"/>
    <w:tmpl w:val="2B748C3E"/>
    <w:lvl w:ilvl="0" w:tplc="72A49FEA">
      <w:start w:val="6"/>
      <w:numFmt w:val="decimal"/>
      <w:lvlText w:val="%1."/>
      <w:lvlJc w:val="left"/>
      <w:pPr>
        <w:ind w:left="720" w:hanging="360"/>
      </w:pPr>
      <w:rPr>
        <w:b w:val="0"/>
        <w:i w:val="0"/>
        <w:sz w:val="22"/>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1AA631C"/>
    <w:multiLevelType w:val="hybridMultilevel"/>
    <w:tmpl w:val="1012C1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9C40D9"/>
    <w:multiLevelType w:val="hybridMultilevel"/>
    <w:tmpl w:val="7E644B28"/>
    <w:lvl w:ilvl="0" w:tplc="7512AE7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F93D95"/>
    <w:multiLevelType w:val="hybridMultilevel"/>
    <w:tmpl w:val="A72825CA"/>
    <w:lvl w:ilvl="0" w:tplc="088678B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D492D22"/>
    <w:multiLevelType w:val="multilevel"/>
    <w:tmpl w:val="D0806E00"/>
    <w:lvl w:ilvl="0">
      <w:start w:val="1"/>
      <w:numFmt w:val="decimal"/>
      <w:lvlText w:val="%1."/>
      <w:lvlJc w:val="left"/>
      <w:pPr>
        <w:ind w:left="0" w:firstLine="0"/>
      </w:pPr>
      <w:rPr>
        <w:rFonts w:ascii="Times New Roman" w:hAnsi="Times New Roman" w:cs="Times New Roman" w:hint="default"/>
        <w:b w:val="0"/>
        <w:i w:val="0"/>
        <w:color w:val="000000"/>
        <w:position w:val="0"/>
        <w:sz w:val="22"/>
        <w:szCs w:val="22"/>
        <w:lang w:val="en-GB"/>
      </w:rPr>
    </w:lvl>
    <w:lvl w:ilvl="1">
      <w:start w:val="1"/>
      <w:numFmt w:val="lowerLetter"/>
      <w:lvlText w:val="(%2)"/>
      <w:lvlJc w:val="left"/>
      <w:pPr>
        <w:ind w:left="0" w:firstLine="0"/>
      </w:pPr>
      <w:rPr>
        <w:b w:val="0"/>
        <w:color w:val="000000"/>
        <w:position w:val="0"/>
      </w:rPr>
    </w:lvl>
    <w:lvl w:ilvl="2">
      <w:start w:val="1"/>
      <w:numFmt w:val="lowerRoman"/>
      <w:lvlText w:val="(%3)"/>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b/>
        <w:i w:val="0"/>
        <w:iCs/>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E3461B5"/>
    <w:multiLevelType w:val="hybridMultilevel"/>
    <w:tmpl w:val="FF0E6C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DB7BD7"/>
    <w:multiLevelType w:val="hybridMultilevel"/>
    <w:tmpl w:val="3744BD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EE1522"/>
    <w:multiLevelType w:val="hybridMultilevel"/>
    <w:tmpl w:val="7E366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7E1E48"/>
    <w:multiLevelType w:val="hybridMultilevel"/>
    <w:tmpl w:val="9AC28BE6"/>
    <w:lvl w:ilvl="0" w:tplc="E18A050E">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047FB5"/>
    <w:multiLevelType w:val="hybridMultilevel"/>
    <w:tmpl w:val="7E644B28"/>
    <w:lvl w:ilvl="0" w:tplc="7512AE7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17F0889"/>
    <w:multiLevelType w:val="hybridMultilevel"/>
    <w:tmpl w:val="9AC28BE6"/>
    <w:lvl w:ilvl="0" w:tplc="E18A050E">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2786F8D"/>
    <w:multiLevelType w:val="hybridMultilevel"/>
    <w:tmpl w:val="A72825CA"/>
    <w:lvl w:ilvl="0" w:tplc="088678B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AB55FC8"/>
    <w:multiLevelType w:val="multilevel"/>
    <w:tmpl w:val="34FAB054"/>
    <w:lvl w:ilvl="0">
      <w:start w:val="1"/>
      <w:numFmt w:val="decimal"/>
      <w:lvlText w:val="%1."/>
      <w:lvlJc w:val="left"/>
      <w:pPr>
        <w:ind w:left="0" w:firstLine="0"/>
      </w:pPr>
      <w:rPr>
        <w:rFonts w:ascii="Times New Roman" w:hAnsi="Times New Roman" w:cs="Times New Roman" w:hint="default"/>
        <w:b w:val="0"/>
        <w:i w:val="0"/>
        <w:color w:val="auto"/>
        <w:position w:val="0"/>
        <w:sz w:val="22"/>
        <w:szCs w:val="22"/>
        <w:lang w:val="en-GB"/>
      </w:rPr>
    </w:lvl>
    <w:lvl w:ilvl="1">
      <w:start w:val="1"/>
      <w:numFmt w:val="lowerLetter"/>
      <w:lvlText w:val="(%2)"/>
      <w:lvlJc w:val="left"/>
      <w:pPr>
        <w:ind w:left="0" w:firstLine="0"/>
      </w:pPr>
      <w:rPr>
        <w:b w:val="0"/>
        <w:color w:val="000000"/>
        <w:position w:val="0"/>
      </w:rPr>
    </w:lvl>
    <w:lvl w:ilvl="2">
      <w:start w:val="1"/>
      <w:numFmt w:val="lowerRoman"/>
      <w:lvlText w:val="(%3)"/>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b/>
        <w:i w:val="0"/>
        <w:iCs/>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24" w15:restartNumberingAfterBreak="0">
    <w:nsid w:val="6C472624"/>
    <w:multiLevelType w:val="hybridMultilevel"/>
    <w:tmpl w:val="A72825CA"/>
    <w:lvl w:ilvl="0" w:tplc="088678B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2D3936"/>
    <w:multiLevelType w:val="hybridMultilevel"/>
    <w:tmpl w:val="A72825CA"/>
    <w:lvl w:ilvl="0" w:tplc="088678B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7E1519A"/>
    <w:multiLevelType w:val="hybridMultilevel"/>
    <w:tmpl w:val="9AC28BE6"/>
    <w:lvl w:ilvl="0" w:tplc="E18A050E">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415EC8"/>
    <w:multiLevelType w:val="hybridMultilevel"/>
    <w:tmpl w:val="4FFCED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A06879"/>
    <w:multiLevelType w:val="hybridMultilevel"/>
    <w:tmpl w:val="3744BD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25"/>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4"/>
  </w:num>
  <w:num w:numId="10">
    <w:abstractNumId w:val="3"/>
  </w:num>
  <w:num w:numId="11">
    <w:abstractNumId w:val="17"/>
  </w:num>
  <w:num w:numId="12">
    <w:abstractNumId w:val="16"/>
  </w:num>
  <w:num w:numId="13">
    <w:abstractNumId w:val="10"/>
  </w:num>
  <w:num w:numId="14">
    <w:abstractNumId w:val="24"/>
  </w:num>
  <w:num w:numId="15">
    <w:abstractNumId w:val="13"/>
  </w:num>
  <w:num w:numId="16">
    <w:abstractNumId w:val="11"/>
  </w:num>
  <w:num w:numId="17">
    <w:abstractNumId w:val="1"/>
  </w:num>
  <w:num w:numId="18">
    <w:abstractNumId w:val="20"/>
  </w:num>
  <w:num w:numId="19">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26"/>
  </w:num>
  <w:num w:numId="22">
    <w:abstractNumId w:val="19"/>
  </w:num>
  <w:num w:numId="23">
    <w:abstractNumId w:val="2"/>
  </w:num>
  <w:num w:numId="24">
    <w:abstractNumId w:val="27"/>
  </w:num>
  <w:num w:numId="25">
    <w:abstractNumId w:val="1"/>
  </w:num>
  <w:num w:numId="26">
    <w:abstractNumId w:val="21"/>
  </w:num>
  <w:num w:numId="27">
    <w:abstractNumId w:val="6"/>
  </w:num>
  <w:num w:numId="28">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9"/>
  </w:num>
  <w:num w:numId="33">
    <w:abstractNumId w:val="15"/>
  </w:num>
  <w:num w:numId="34">
    <w:abstractNumId w:val="4"/>
  </w:num>
  <w:num w:numId="35">
    <w:abstractNumId w:val="23"/>
  </w:num>
  <w:num w:numId="36">
    <w:abstractNumId w:val="15"/>
  </w:num>
  <w:num w:numId="37">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1AB7"/>
    <w:rsid w:val="00004C2A"/>
    <w:rsid w:val="00007929"/>
    <w:rsid w:val="0001117A"/>
    <w:rsid w:val="00012397"/>
    <w:rsid w:val="00015F11"/>
    <w:rsid w:val="00017C0A"/>
    <w:rsid w:val="0002184F"/>
    <w:rsid w:val="00026E37"/>
    <w:rsid w:val="00031BB5"/>
    <w:rsid w:val="00032404"/>
    <w:rsid w:val="00037110"/>
    <w:rsid w:val="00037893"/>
    <w:rsid w:val="00056A70"/>
    <w:rsid w:val="000634E0"/>
    <w:rsid w:val="00064552"/>
    <w:rsid w:val="00067ABA"/>
    <w:rsid w:val="00070521"/>
    <w:rsid w:val="00071813"/>
    <w:rsid w:val="00077E41"/>
    <w:rsid w:val="00082060"/>
    <w:rsid w:val="00083700"/>
    <w:rsid w:val="00086176"/>
    <w:rsid w:val="00091291"/>
    <w:rsid w:val="000A5123"/>
    <w:rsid w:val="000B0063"/>
    <w:rsid w:val="000B33E5"/>
    <w:rsid w:val="000B517C"/>
    <w:rsid w:val="000B754A"/>
    <w:rsid w:val="000C2778"/>
    <w:rsid w:val="000D1AA2"/>
    <w:rsid w:val="000D6317"/>
    <w:rsid w:val="000E0F0D"/>
    <w:rsid w:val="000E43BE"/>
    <w:rsid w:val="000E5CCC"/>
    <w:rsid w:val="000E673A"/>
    <w:rsid w:val="000F51E8"/>
    <w:rsid w:val="000F74F5"/>
    <w:rsid w:val="00105372"/>
    <w:rsid w:val="0011116E"/>
    <w:rsid w:val="001113C5"/>
    <w:rsid w:val="0012105D"/>
    <w:rsid w:val="00127235"/>
    <w:rsid w:val="00131A5F"/>
    <w:rsid w:val="00131E7A"/>
    <w:rsid w:val="00135DBF"/>
    <w:rsid w:val="00141EB8"/>
    <w:rsid w:val="00156D4D"/>
    <w:rsid w:val="0016393A"/>
    <w:rsid w:val="00167FDF"/>
    <w:rsid w:val="00172AF6"/>
    <w:rsid w:val="001731E7"/>
    <w:rsid w:val="0017370D"/>
    <w:rsid w:val="00176CEE"/>
    <w:rsid w:val="0018501C"/>
    <w:rsid w:val="00195473"/>
    <w:rsid w:val="001A7299"/>
    <w:rsid w:val="001A7A51"/>
    <w:rsid w:val="001B21D8"/>
    <w:rsid w:val="001B34DC"/>
    <w:rsid w:val="001B3DF7"/>
    <w:rsid w:val="001B5786"/>
    <w:rsid w:val="001B5FFA"/>
    <w:rsid w:val="001C1579"/>
    <w:rsid w:val="001C5280"/>
    <w:rsid w:val="001C6C72"/>
    <w:rsid w:val="001D1725"/>
    <w:rsid w:val="001D2708"/>
    <w:rsid w:val="001D6A7C"/>
    <w:rsid w:val="001E4E4A"/>
    <w:rsid w:val="001E5F1A"/>
    <w:rsid w:val="001E6610"/>
    <w:rsid w:val="001F3413"/>
    <w:rsid w:val="00201064"/>
    <w:rsid w:val="00202081"/>
    <w:rsid w:val="002054A7"/>
    <w:rsid w:val="00210C7F"/>
    <w:rsid w:val="002152F3"/>
    <w:rsid w:val="00221B9B"/>
    <w:rsid w:val="00226FF8"/>
    <w:rsid w:val="0022788F"/>
    <w:rsid w:val="00231588"/>
    <w:rsid w:val="00234CDF"/>
    <w:rsid w:val="002401F0"/>
    <w:rsid w:val="002404AC"/>
    <w:rsid w:val="0024652B"/>
    <w:rsid w:val="00250306"/>
    <w:rsid w:val="00250366"/>
    <w:rsid w:val="00252C9E"/>
    <w:rsid w:val="00255D75"/>
    <w:rsid w:val="002634AA"/>
    <w:rsid w:val="00267158"/>
    <w:rsid w:val="00276CE6"/>
    <w:rsid w:val="002958D8"/>
    <w:rsid w:val="002A00AF"/>
    <w:rsid w:val="002B35C7"/>
    <w:rsid w:val="002B6072"/>
    <w:rsid w:val="002B6134"/>
    <w:rsid w:val="002C13E3"/>
    <w:rsid w:val="002C6EEA"/>
    <w:rsid w:val="002D0481"/>
    <w:rsid w:val="002D0861"/>
    <w:rsid w:val="002D5989"/>
    <w:rsid w:val="002E2396"/>
    <w:rsid w:val="002E3921"/>
    <w:rsid w:val="002F311B"/>
    <w:rsid w:val="00300C5A"/>
    <w:rsid w:val="00302043"/>
    <w:rsid w:val="00305E9E"/>
    <w:rsid w:val="00307219"/>
    <w:rsid w:val="0030798A"/>
    <w:rsid w:val="003102F7"/>
    <w:rsid w:val="003153B9"/>
    <w:rsid w:val="00317F93"/>
    <w:rsid w:val="00324880"/>
    <w:rsid w:val="003254E3"/>
    <w:rsid w:val="00332B8A"/>
    <w:rsid w:val="00336046"/>
    <w:rsid w:val="00336CF9"/>
    <w:rsid w:val="00343334"/>
    <w:rsid w:val="00343AD5"/>
    <w:rsid w:val="0035075C"/>
    <w:rsid w:val="0035401C"/>
    <w:rsid w:val="00357309"/>
    <w:rsid w:val="00360CA7"/>
    <w:rsid w:val="00363296"/>
    <w:rsid w:val="00363D5B"/>
    <w:rsid w:val="0036561D"/>
    <w:rsid w:val="00367444"/>
    <w:rsid w:val="00371A4A"/>
    <w:rsid w:val="00372F74"/>
    <w:rsid w:val="0038110A"/>
    <w:rsid w:val="00382CB1"/>
    <w:rsid w:val="00382FCE"/>
    <w:rsid w:val="00386DC7"/>
    <w:rsid w:val="00387FB1"/>
    <w:rsid w:val="00394CDE"/>
    <w:rsid w:val="00394F38"/>
    <w:rsid w:val="003A1727"/>
    <w:rsid w:val="003B0059"/>
    <w:rsid w:val="003B490C"/>
    <w:rsid w:val="003C7B90"/>
    <w:rsid w:val="003D0C81"/>
    <w:rsid w:val="003D4D1F"/>
    <w:rsid w:val="003E2B05"/>
    <w:rsid w:val="003F66DF"/>
    <w:rsid w:val="003F721B"/>
    <w:rsid w:val="003F7224"/>
    <w:rsid w:val="00423915"/>
    <w:rsid w:val="004250EB"/>
    <w:rsid w:val="004325DE"/>
    <w:rsid w:val="00433954"/>
    <w:rsid w:val="00434E6C"/>
    <w:rsid w:val="004419F5"/>
    <w:rsid w:val="00441FD9"/>
    <w:rsid w:val="0044282E"/>
    <w:rsid w:val="004447A5"/>
    <w:rsid w:val="0045176A"/>
    <w:rsid w:val="00452B50"/>
    <w:rsid w:val="00461D7C"/>
    <w:rsid w:val="004644C2"/>
    <w:rsid w:val="0046645D"/>
    <w:rsid w:val="0046720A"/>
    <w:rsid w:val="00467F9C"/>
    <w:rsid w:val="00471367"/>
    <w:rsid w:val="00475745"/>
    <w:rsid w:val="0048298D"/>
    <w:rsid w:val="004839DE"/>
    <w:rsid w:val="00486A05"/>
    <w:rsid w:val="004925D9"/>
    <w:rsid w:val="004A6037"/>
    <w:rsid w:val="004B4BA0"/>
    <w:rsid w:val="004C520E"/>
    <w:rsid w:val="004D2285"/>
    <w:rsid w:val="004E4637"/>
    <w:rsid w:val="00514F24"/>
    <w:rsid w:val="00530C12"/>
    <w:rsid w:val="00534681"/>
    <w:rsid w:val="0053760D"/>
    <w:rsid w:val="0055125C"/>
    <w:rsid w:val="005535B1"/>
    <w:rsid w:val="00554DC5"/>
    <w:rsid w:val="0055703F"/>
    <w:rsid w:val="00560378"/>
    <w:rsid w:val="005666CC"/>
    <w:rsid w:val="005761ED"/>
    <w:rsid w:val="00576B23"/>
    <w:rsid w:val="00584891"/>
    <w:rsid w:val="00585490"/>
    <w:rsid w:val="00586601"/>
    <w:rsid w:val="00587384"/>
    <w:rsid w:val="00591135"/>
    <w:rsid w:val="005917D2"/>
    <w:rsid w:val="005954AB"/>
    <w:rsid w:val="005957D6"/>
    <w:rsid w:val="00595BD2"/>
    <w:rsid w:val="00596E38"/>
    <w:rsid w:val="005A2ACF"/>
    <w:rsid w:val="005A7B0E"/>
    <w:rsid w:val="005B599A"/>
    <w:rsid w:val="005B7DAF"/>
    <w:rsid w:val="005C017A"/>
    <w:rsid w:val="005C1D5F"/>
    <w:rsid w:val="005C49F3"/>
    <w:rsid w:val="005D1B77"/>
    <w:rsid w:val="005E5D85"/>
    <w:rsid w:val="005E67E6"/>
    <w:rsid w:val="005F0F23"/>
    <w:rsid w:val="005F60A0"/>
    <w:rsid w:val="005F67BC"/>
    <w:rsid w:val="005F6D89"/>
    <w:rsid w:val="005F7804"/>
    <w:rsid w:val="0060247A"/>
    <w:rsid w:val="00605EED"/>
    <w:rsid w:val="00606E24"/>
    <w:rsid w:val="006122BA"/>
    <w:rsid w:val="00613B28"/>
    <w:rsid w:val="006262E1"/>
    <w:rsid w:val="006279D4"/>
    <w:rsid w:val="00633130"/>
    <w:rsid w:val="00640046"/>
    <w:rsid w:val="006439EA"/>
    <w:rsid w:val="0064410B"/>
    <w:rsid w:val="00644B3A"/>
    <w:rsid w:val="006454F4"/>
    <w:rsid w:val="006464BF"/>
    <w:rsid w:val="00655E47"/>
    <w:rsid w:val="00657F7E"/>
    <w:rsid w:val="00667F7E"/>
    <w:rsid w:val="006709E9"/>
    <w:rsid w:val="0067125F"/>
    <w:rsid w:val="006721F4"/>
    <w:rsid w:val="0067280E"/>
    <w:rsid w:val="0067618A"/>
    <w:rsid w:val="00677C82"/>
    <w:rsid w:val="00680843"/>
    <w:rsid w:val="00684267"/>
    <w:rsid w:val="00690143"/>
    <w:rsid w:val="00697FF2"/>
    <w:rsid w:val="006B1F10"/>
    <w:rsid w:val="006B2290"/>
    <w:rsid w:val="006B3C48"/>
    <w:rsid w:val="006C049C"/>
    <w:rsid w:val="006D1368"/>
    <w:rsid w:val="006D2A06"/>
    <w:rsid w:val="006D2B10"/>
    <w:rsid w:val="006D38D7"/>
    <w:rsid w:val="006E1544"/>
    <w:rsid w:val="006E3999"/>
    <w:rsid w:val="006E6BE7"/>
    <w:rsid w:val="006E78F1"/>
    <w:rsid w:val="006F1837"/>
    <w:rsid w:val="006F5F30"/>
    <w:rsid w:val="007013E3"/>
    <w:rsid w:val="007054B6"/>
    <w:rsid w:val="00707E8C"/>
    <w:rsid w:val="00715B18"/>
    <w:rsid w:val="00717D88"/>
    <w:rsid w:val="00720391"/>
    <w:rsid w:val="00723B78"/>
    <w:rsid w:val="00723ED1"/>
    <w:rsid w:val="00734D91"/>
    <w:rsid w:val="007404F7"/>
    <w:rsid w:val="00744BDE"/>
    <w:rsid w:val="00751186"/>
    <w:rsid w:val="00752ADB"/>
    <w:rsid w:val="0075645A"/>
    <w:rsid w:val="0076491D"/>
    <w:rsid w:val="00777DAA"/>
    <w:rsid w:val="00785337"/>
    <w:rsid w:val="00785C78"/>
    <w:rsid w:val="00790AA1"/>
    <w:rsid w:val="00791978"/>
    <w:rsid w:val="007942D3"/>
    <w:rsid w:val="007A148F"/>
    <w:rsid w:val="007A26DE"/>
    <w:rsid w:val="007A6BD3"/>
    <w:rsid w:val="007B1853"/>
    <w:rsid w:val="007B6896"/>
    <w:rsid w:val="007B6C09"/>
    <w:rsid w:val="007B7C5D"/>
    <w:rsid w:val="007C4C21"/>
    <w:rsid w:val="007D0B09"/>
    <w:rsid w:val="007D207E"/>
    <w:rsid w:val="007D334C"/>
    <w:rsid w:val="007E09DA"/>
    <w:rsid w:val="007E0B88"/>
    <w:rsid w:val="007E4A21"/>
    <w:rsid w:val="007E7F2B"/>
    <w:rsid w:val="00800707"/>
    <w:rsid w:val="008041AC"/>
    <w:rsid w:val="008045D1"/>
    <w:rsid w:val="00804633"/>
    <w:rsid w:val="00807653"/>
    <w:rsid w:val="008138EB"/>
    <w:rsid w:val="00813B1A"/>
    <w:rsid w:val="00816EA5"/>
    <w:rsid w:val="008178B6"/>
    <w:rsid w:val="00822FE2"/>
    <w:rsid w:val="0082503B"/>
    <w:rsid w:val="00833956"/>
    <w:rsid w:val="00836F99"/>
    <w:rsid w:val="00847225"/>
    <w:rsid w:val="008527AA"/>
    <w:rsid w:val="00854744"/>
    <w:rsid w:val="0085782A"/>
    <w:rsid w:val="008655FD"/>
    <w:rsid w:val="00865B74"/>
    <w:rsid w:val="00866831"/>
    <w:rsid w:val="008750A8"/>
    <w:rsid w:val="00883A8B"/>
    <w:rsid w:val="008871D8"/>
    <w:rsid w:val="00887CF7"/>
    <w:rsid w:val="00892A9D"/>
    <w:rsid w:val="00893088"/>
    <w:rsid w:val="008A449A"/>
    <w:rsid w:val="008B05B9"/>
    <w:rsid w:val="008B5494"/>
    <w:rsid w:val="008C0B3E"/>
    <w:rsid w:val="008C3A41"/>
    <w:rsid w:val="008C3B84"/>
    <w:rsid w:val="008C40CA"/>
    <w:rsid w:val="008C6115"/>
    <w:rsid w:val="008E3270"/>
    <w:rsid w:val="008E53D6"/>
    <w:rsid w:val="008F237B"/>
    <w:rsid w:val="008F5751"/>
    <w:rsid w:val="008F6CD1"/>
    <w:rsid w:val="008F7C38"/>
    <w:rsid w:val="00911017"/>
    <w:rsid w:val="00913A35"/>
    <w:rsid w:val="009229C3"/>
    <w:rsid w:val="009229D5"/>
    <w:rsid w:val="00923837"/>
    <w:rsid w:val="0092383F"/>
    <w:rsid w:val="00923D36"/>
    <w:rsid w:val="009252FC"/>
    <w:rsid w:val="0092750F"/>
    <w:rsid w:val="0093169E"/>
    <w:rsid w:val="00932F30"/>
    <w:rsid w:val="0094562C"/>
    <w:rsid w:val="009505C9"/>
    <w:rsid w:val="00951B62"/>
    <w:rsid w:val="009529D7"/>
    <w:rsid w:val="009538AB"/>
    <w:rsid w:val="00954428"/>
    <w:rsid w:val="00956181"/>
    <w:rsid w:val="009577BA"/>
    <w:rsid w:val="009603DF"/>
    <w:rsid w:val="00963032"/>
    <w:rsid w:val="009647DA"/>
    <w:rsid w:val="009733B2"/>
    <w:rsid w:val="009754B1"/>
    <w:rsid w:val="009775E7"/>
    <w:rsid w:val="00977D7F"/>
    <w:rsid w:val="00986D6A"/>
    <w:rsid w:val="009879CE"/>
    <w:rsid w:val="00991CB4"/>
    <w:rsid w:val="009A6188"/>
    <w:rsid w:val="009A7479"/>
    <w:rsid w:val="009B430D"/>
    <w:rsid w:val="009B4D59"/>
    <w:rsid w:val="009C36F0"/>
    <w:rsid w:val="009C711B"/>
    <w:rsid w:val="009D1D4F"/>
    <w:rsid w:val="009D4331"/>
    <w:rsid w:val="009D591F"/>
    <w:rsid w:val="009D5B24"/>
    <w:rsid w:val="009E0EA5"/>
    <w:rsid w:val="009F0103"/>
    <w:rsid w:val="009F37DF"/>
    <w:rsid w:val="009F47D8"/>
    <w:rsid w:val="00A07B78"/>
    <w:rsid w:val="00A103E7"/>
    <w:rsid w:val="00A13009"/>
    <w:rsid w:val="00A133D9"/>
    <w:rsid w:val="00A222D5"/>
    <w:rsid w:val="00A30A62"/>
    <w:rsid w:val="00A30EDA"/>
    <w:rsid w:val="00A31865"/>
    <w:rsid w:val="00A34B70"/>
    <w:rsid w:val="00A40090"/>
    <w:rsid w:val="00A4020C"/>
    <w:rsid w:val="00A42B75"/>
    <w:rsid w:val="00A4539C"/>
    <w:rsid w:val="00A51ACF"/>
    <w:rsid w:val="00A541A8"/>
    <w:rsid w:val="00A7070E"/>
    <w:rsid w:val="00A71DE6"/>
    <w:rsid w:val="00A7211B"/>
    <w:rsid w:val="00A73690"/>
    <w:rsid w:val="00A739F3"/>
    <w:rsid w:val="00A73FCF"/>
    <w:rsid w:val="00A75681"/>
    <w:rsid w:val="00A77860"/>
    <w:rsid w:val="00A80FBD"/>
    <w:rsid w:val="00A83DD4"/>
    <w:rsid w:val="00A86AB9"/>
    <w:rsid w:val="00A9225B"/>
    <w:rsid w:val="00AA1412"/>
    <w:rsid w:val="00AA32D9"/>
    <w:rsid w:val="00AB5C07"/>
    <w:rsid w:val="00AB78C0"/>
    <w:rsid w:val="00AC1777"/>
    <w:rsid w:val="00AC40E9"/>
    <w:rsid w:val="00AC4390"/>
    <w:rsid w:val="00AC7591"/>
    <w:rsid w:val="00AE0F57"/>
    <w:rsid w:val="00AE1C58"/>
    <w:rsid w:val="00AE6FC3"/>
    <w:rsid w:val="00AF2FFC"/>
    <w:rsid w:val="00B0181B"/>
    <w:rsid w:val="00B13CEA"/>
    <w:rsid w:val="00B225A8"/>
    <w:rsid w:val="00B22A3B"/>
    <w:rsid w:val="00B2387C"/>
    <w:rsid w:val="00B3369F"/>
    <w:rsid w:val="00B36D88"/>
    <w:rsid w:val="00B50B7D"/>
    <w:rsid w:val="00B53B09"/>
    <w:rsid w:val="00B56222"/>
    <w:rsid w:val="00B569BC"/>
    <w:rsid w:val="00B56E0D"/>
    <w:rsid w:val="00B61CDF"/>
    <w:rsid w:val="00B62CBD"/>
    <w:rsid w:val="00B6558C"/>
    <w:rsid w:val="00B655A2"/>
    <w:rsid w:val="00B6724B"/>
    <w:rsid w:val="00B673B6"/>
    <w:rsid w:val="00B70F58"/>
    <w:rsid w:val="00B73E63"/>
    <w:rsid w:val="00B75439"/>
    <w:rsid w:val="00B80CB3"/>
    <w:rsid w:val="00B86552"/>
    <w:rsid w:val="00B96FAE"/>
    <w:rsid w:val="00BA386E"/>
    <w:rsid w:val="00BA3F3F"/>
    <w:rsid w:val="00BA47CA"/>
    <w:rsid w:val="00BB0343"/>
    <w:rsid w:val="00BB46CB"/>
    <w:rsid w:val="00BB71AF"/>
    <w:rsid w:val="00BB72EF"/>
    <w:rsid w:val="00BC0070"/>
    <w:rsid w:val="00BC116D"/>
    <w:rsid w:val="00BC16C5"/>
    <w:rsid w:val="00BC1A2F"/>
    <w:rsid w:val="00BC4637"/>
    <w:rsid w:val="00BD14DC"/>
    <w:rsid w:val="00BD64ED"/>
    <w:rsid w:val="00BE56FC"/>
    <w:rsid w:val="00BF0CCD"/>
    <w:rsid w:val="00BF2CDB"/>
    <w:rsid w:val="00BF330C"/>
    <w:rsid w:val="00BF4299"/>
    <w:rsid w:val="00C02BD2"/>
    <w:rsid w:val="00C050A7"/>
    <w:rsid w:val="00C06082"/>
    <w:rsid w:val="00C2041C"/>
    <w:rsid w:val="00C20914"/>
    <w:rsid w:val="00C2451C"/>
    <w:rsid w:val="00C32FB9"/>
    <w:rsid w:val="00C34520"/>
    <w:rsid w:val="00C35770"/>
    <w:rsid w:val="00C41183"/>
    <w:rsid w:val="00C424F1"/>
    <w:rsid w:val="00C4596A"/>
    <w:rsid w:val="00C60B1B"/>
    <w:rsid w:val="00C655E0"/>
    <w:rsid w:val="00C656A9"/>
    <w:rsid w:val="00C66F37"/>
    <w:rsid w:val="00C80846"/>
    <w:rsid w:val="00C9161D"/>
    <w:rsid w:val="00C92940"/>
    <w:rsid w:val="00C95968"/>
    <w:rsid w:val="00CA335D"/>
    <w:rsid w:val="00CA3A02"/>
    <w:rsid w:val="00CA7060"/>
    <w:rsid w:val="00CA72C2"/>
    <w:rsid w:val="00CB0055"/>
    <w:rsid w:val="00CB0957"/>
    <w:rsid w:val="00CB09AF"/>
    <w:rsid w:val="00CB2FDC"/>
    <w:rsid w:val="00CB42F9"/>
    <w:rsid w:val="00CB44F0"/>
    <w:rsid w:val="00CB5C46"/>
    <w:rsid w:val="00CC1283"/>
    <w:rsid w:val="00CC5DEB"/>
    <w:rsid w:val="00CC69E7"/>
    <w:rsid w:val="00CD2CF2"/>
    <w:rsid w:val="00CD3E26"/>
    <w:rsid w:val="00CF1848"/>
    <w:rsid w:val="00CF7357"/>
    <w:rsid w:val="00D001FA"/>
    <w:rsid w:val="00D005E7"/>
    <w:rsid w:val="00D00864"/>
    <w:rsid w:val="00D03617"/>
    <w:rsid w:val="00D03E0C"/>
    <w:rsid w:val="00D0446C"/>
    <w:rsid w:val="00D06E43"/>
    <w:rsid w:val="00D07AA0"/>
    <w:rsid w:val="00D12044"/>
    <w:rsid w:val="00D1329C"/>
    <w:rsid w:val="00D13918"/>
    <w:rsid w:val="00D1440C"/>
    <w:rsid w:val="00D163BD"/>
    <w:rsid w:val="00D20BB1"/>
    <w:rsid w:val="00D21FFE"/>
    <w:rsid w:val="00D32B2B"/>
    <w:rsid w:val="00D32C6F"/>
    <w:rsid w:val="00D3416C"/>
    <w:rsid w:val="00D361C9"/>
    <w:rsid w:val="00D401F2"/>
    <w:rsid w:val="00D41DA4"/>
    <w:rsid w:val="00D43C47"/>
    <w:rsid w:val="00D46B77"/>
    <w:rsid w:val="00D61B1A"/>
    <w:rsid w:val="00D64E39"/>
    <w:rsid w:val="00D7069D"/>
    <w:rsid w:val="00D72502"/>
    <w:rsid w:val="00D7586A"/>
    <w:rsid w:val="00D76954"/>
    <w:rsid w:val="00D76A18"/>
    <w:rsid w:val="00D7746E"/>
    <w:rsid w:val="00D818A0"/>
    <w:rsid w:val="00D819C7"/>
    <w:rsid w:val="00D847C5"/>
    <w:rsid w:val="00D84881"/>
    <w:rsid w:val="00D87188"/>
    <w:rsid w:val="00D904B1"/>
    <w:rsid w:val="00D90BC8"/>
    <w:rsid w:val="00D9534F"/>
    <w:rsid w:val="00DA5AC1"/>
    <w:rsid w:val="00DB224A"/>
    <w:rsid w:val="00DB3C54"/>
    <w:rsid w:val="00DB43FF"/>
    <w:rsid w:val="00DB6A04"/>
    <w:rsid w:val="00DC5969"/>
    <w:rsid w:val="00DD118C"/>
    <w:rsid w:val="00DD4A0F"/>
    <w:rsid w:val="00DE1F25"/>
    <w:rsid w:val="00DE3DFA"/>
    <w:rsid w:val="00DE70D8"/>
    <w:rsid w:val="00DF208F"/>
    <w:rsid w:val="00E01EEE"/>
    <w:rsid w:val="00E05D57"/>
    <w:rsid w:val="00E2048D"/>
    <w:rsid w:val="00E2056E"/>
    <w:rsid w:val="00E207A6"/>
    <w:rsid w:val="00E21613"/>
    <w:rsid w:val="00E22434"/>
    <w:rsid w:val="00E317FB"/>
    <w:rsid w:val="00E31A38"/>
    <w:rsid w:val="00E31D76"/>
    <w:rsid w:val="00E3742A"/>
    <w:rsid w:val="00E404FE"/>
    <w:rsid w:val="00E40F5C"/>
    <w:rsid w:val="00E4238D"/>
    <w:rsid w:val="00E428E4"/>
    <w:rsid w:val="00E44C82"/>
    <w:rsid w:val="00E628D5"/>
    <w:rsid w:val="00E6294B"/>
    <w:rsid w:val="00E64D33"/>
    <w:rsid w:val="00E66235"/>
    <w:rsid w:val="00E704D0"/>
    <w:rsid w:val="00E7520D"/>
    <w:rsid w:val="00E826C9"/>
    <w:rsid w:val="00E830A9"/>
    <w:rsid w:val="00E83C24"/>
    <w:rsid w:val="00E841FD"/>
    <w:rsid w:val="00E84400"/>
    <w:rsid w:val="00E92DDB"/>
    <w:rsid w:val="00E9318D"/>
    <w:rsid w:val="00E96CDA"/>
    <w:rsid w:val="00EA308C"/>
    <w:rsid w:val="00EA44CF"/>
    <w:rsid w:val="00EA7A44"/>
    <w:rsid w:val="00EB4122"/>
    <w:rsid w:val="00EC05BC"/>
    <w:rsid w:val="00EC69FC"/>
    <w:rsid w:val="00ED1880"/>
    <w:rsid w:val="00ED19A4"/>
    <w:rsid w:val="00ED67C7"/>
    <w:rsid w:val="00ED7C95"/>
    <w:rsid w:val="00EE29A1"/>
    <w:rsid w:val="00EE621B"/>
    <w:rsid w:val="00EE771A"/>
    <w:rsid w:val="00EF77A2"/>
    <w:rsid w:val="00F012DD"/>
    <w:rsid w:val="00F05420"/>
    <w:rsid w:val="00F13057"/>
    <w:rsid w:val="00F20EED"/>
    <w:rsid w:val="00F226E4"/>
    <w:rsid w:val="00F2682C"/>
    <w:rsid w:val="00F30C3B"/>
    <w:rsid w:val="00F36677"/>
    <w:rsid w:val="00F44FBD"/>
    <w:rsid w:val="00F557B8"/>
    <w:rsid w:val="00F60127"/>
    <w:rsid w:val="00F62F99"/>
    <w:rsid w:val="00F714B3"/>
    <w:rsid w:val="00F71854"/>
    <w:rsid w:val="00F7395A"/>
    <w:rsid w:val="00F76117"/>
    <w:rsid w:val="00F8282B"/>
    <w:rsid w:val="00F9200E"/>
    <w:rsid w:val="00F94774"/>
    <w:rsid w:val="00F958D9"/>
    <w:rsid w:val="00F962A7"/>
    <w:rsid w:val="00F9635E"/>
    <w:rsid w:val="00FA4583"/>
    <w:rsid w:val="00FA4D2F"/>
    <w:rsid w:val="00FB1E88"/>
    <w:rsid w:val="00FB36D1"/>
    <w:rsid w:val="00FB41A5"/>
    <w:rsid w:val="00FB51AF"/>
    <w:rsid w:val="00FB6753"/>
    <w:rsid w:val="00FC01CD"/>
    <w:rsid w:val="00FC3084"/>
    <w:rsid w:val="00FC3AD4"/>
    <w:rsid w:val="00FC53DB"/>
    <w:rsid w:val="00FD5D9B"/>
    <w:rsid w:val="00FD5DB1"/>
    <w:rsid w:val="00FD7935"/>
    <w:rsid w:val="00FE3BAB"/>
    <w:rsid w:val="00FE4A63"/>
    <w:rsid w:val="00FE5AF1"/>
    <w:rsid w:val="00FF20C5"/>
    <w:rsid w:val="00FF2926"/>
    <w:rsid w:val="00FF3651"/>
    <w:rsid w:val="00FF5C64"/>
    <w:rsid w:val="00FF7A1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79924B7"/>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6"/>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7E09DA"/>
    <w:rPr>
      <w:sz w:val="18"/>
      <w:u w:val="single"/>
      <w:vertAlign w:val="baseli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link w:val="CaptionChar"/>
    <w:uiPriority w:val="35"/>
    <w:unhideWhenUsed/>
    <w:qFormat/>
    <w:rsid w:val="00D12044"/>
    <w:pPr>
      <w:keepNext/>
      <w:keepLines/>
      <w:spacing w:after="200"/>
    </w:pPr>
    <w:rPr>
      <w:b/>
      <w:iCs/>
      <w:szCs w:val="18"/>
    </w:rPr>
  </w:style>
  <w:style w:type="character" w:customStyle="1" w:styleId="CaptionChar">
    <w:name w:val="Caption Char"/>
    <w:link w:val="Caption"/>
    <w:uiPriority w:val="35"/>
    <w:locked/>
    <w:rsid w:val="00707E8C"/>
    <w:rPr>
      <w:rFonts w:ascii="Times New Roman" w:eastAsia="Times New Roman" w:hAnsi="Times New Roman" w:cs="Times New Roman"/>
      <w:b/>
      <w:iCs/>
      <w:sz w:val="22"/>
      <w:szCs w:val="18"/>
      <w:lang w:val="en-GB"/>
    </w:rPr>
  </w:style>
  <w:style w:type="table" w:styleId="LightShading">
    <w:name w:val="Light Shading"/>
    <w:basedOn w:val="TableNormal"/>
    <w:uiPriority w:val="60"/>
    <w:rsid w:val="00707E8C"/>
    <w:rPr>
      <w:rFonts w:ascii="Calibri" w:eastAsia="Calibri" w:hAnsi="Calibri" w:cs="Times New Roman"/>
      <w:color w:val="000000" w:themeColor="text1" w:themeShade="BF"/>
      <w:sz w:val="20"/>
      <w:szCs w:val="20"/>
      <w:lang w:val="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E22434"/>
    <w:rPr>
      <w:i/>
      <w:iCs/>
    </w:rPr>
  </w:style>
  <w:style w:type="paragraph" w:styleId="CommentSubject">
    <w:name w:val="annotation subject"/>
    <w:basedOn w:val="CommentText"/>
    <w:next w:val="CommentText"/>
    <w:link w:val="CommentSubjectChar"/>
    <w:uiPriority w:val="99"/>
    <w:semiHidden/>
    <w:unhideWhenUsed/>
    <w:rsid w:val="0055125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5125C"/>
    <w:rPr>
      <w:rFonts w:ascii="Times New Roman" w:eastAsia="Times New Roman" w:hAnsi="Times New Roman" w:cs="Times New Roman"/>
      <w:b/>
      <w:bCs/>
      <w:sz w:val="20"/>
      <w:szCs w:val="20"/>
      <w:lang w:val="en-GB"/>
    </w:rPr>
  </w:style>
  <w:style w:type="paragraph" w:styleId="Revision">
    <w:name w:val="Revision"/>
    <w:hidden/>
    <w:uiPriority w:val="99"/>
    <w:semiHidden/>
    <w:rsid w:val="00FE3BAB"/>
    <w:rPr>
      <w:rFonts w:ascii="Times New Roman" w:eastAsia="Times New Roman" w:hAnsi="Times New Roman" w:cs="Times New Roman"/>
      <w:sz w:val="22"/>
      <w:lang w:val="en-GB"/>
    </w:rPr>
  </w:style>
  <w:style w:type="character" w:styleId="Strong">
    <w:name w:val="Strong"/>
    <w:basedOn w:val="DefaultParagraphFont"/>
    <w:uiPriority w:val="22"/>
    <w:qFormat/>
    <w:rsid w:val="00F714B3"/>
    <w:rPr>
      <w:b/>
      <w:bCs/>
    </w:rPr>
  </w:style>
  <w:style w:type="paragraph" w:styleId="HTMLPreformatted">
    <w:name w:val="HTML Preformatted"/>
    <w:basedOn w:val="Normal"/>
    <w:link w:val="HTMLPreformattedChar"/>
    <w:uiPriority w:val="99"/>
    <w:unhideWhenUsed/>
    <w:rsid w:val="00595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5957D6"/>
    <w:rPr>
      <w:rFonts w:ascii="Courier New" w:eastAsia="Times New Roman" w:hAnsi="Courier New" w:cs="Courier New"/>
      <w:sz w:val="20"/>
      <w:szCs w:val="20"/>
      <w:lang w:val="en-US"/>
    </w:rPr>
  </w:style>
  <w:style w:type="character" w:styleId="UnresolvedMention">
    <w:name w:val="Unresolved Mention"/>
    <w:basedOn w:val="DefaultParagraphFont"/>
    <w:uiPriority w:val="99"/>
    <w:semiHidden/>
    <w:unhideWhenUsed/>
    <w:rsid w:val="009D433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42408">
      <w:bodyDiv w:val="1"/>
      <w:marLeft w:val="0"/>
      <w:marRight w:val="0"/>
      <w:marTop w:val="0"/>
      <w:marBottom w:val="0"/>
      <w:divBdr>
        <w:top w:val="none" w:sz="0" w:space="0" w:color="auto"/>
        <w:left w:val="none" w:sz="0" w:space="0" w:color="auto"/>
        <w:bottom w:val="none" w:sz="0" w:space="0" w:color="auto"/>
        <w:right w:val="none" w:sz="0" w:space="0" w:color="auto"/>
      </w:divBdr>
    </w:div>
    <w:div w:id="94441603">
      <w:bodyDiv w:val="1"/>
      <w:marLeft w:val="0"/>
      <w:marRight w:val="0"/>
      <w:marTop w:val="0"/>
      <w:marBottom w:val="0"/>
      <w:divBdr>
        <w:top w:val="none" w:sz="0" w:space="0" w:color="auto"/>
        <w:left w:val="none" w:sz="0" w:space="0" w:color="auto"/>
        <w:bottom w:val="none" w:sz="0" w:space="0" w:color="auto"/>
        <w:right w:val="none" w:sz="0" w:space="0" w:color="auto"/>
      </w:divBdr>
    </w:div>
    <w:div w:id="152646594">
      <w:bodyDiv w:val="1"/>
      <w:marLeft w:val="0"/>
      <w:marRight w:val="0"/>
      <w:marTop w:val="0"/>
      <w:marBottom w:val="0"/>
      <w:divBdr>
        <w:top w:val="none" w:sz="0" w:space="0" w:color="auto"/>
        <w:left w:val="none" w:sz="0" w:space="0" w:color="auto"/>
        <w:bottom w:val="none" w:sz="0" w:space="0" w:color="auto"/>
        <w:right w:val="none" w:sz="0" w:space="0" w:color="auto"/>
      </w:divBdr>
    </w:div>
    <w:div w:id="182406471">
      <w:bodyDiv w:val="1"/>
      <w:marLeft w:val="0"/>
      <w:marRight w:val="0"/>
      <w:marTop w:val="0"/>
      <w:marBottom w:val="0"/>
      <w:divBdr>
        <w:top w:val="none" w:sz="0" w:space="0" w:color="auto"/>
        <w:left w:val="none" w:sz="0" w:space="0" w:color="auto"/>
        <w:bottom w:val="none" w:sz="0" w:space="0" w:color="auto"/>
        <w:right w:val="none" w:sz="0" w:space="0" w:color="auto"/>
      </w:divBdr>
    </w:div>
    <w:div w:id="222303636">
      <w:bodyDiv w:val="1"/>
      <w:marLeft w:val="0"/>
      <w:marRight w:val="0"/>
      <w:marTop w:val="0"/>
      <w:marBottom w:val="0"/>
      <w:divBdr>
        <w:top w:val="none" w:sz="0" w:space="0" w:color="auto"/>
        <w:left w:val="none" w:sz="0" w:space="0" w:color="auto"/>
        <w:bottom w:val="none" w:sz="0" w:space="0" w:color="auto"/>
        <w:right w:val="none" w:sz="0" w:space="0" w:color="auto"/>
      </w:divBdr>
    </w:div>
    <w:div w:id="403185572">
      <w:bodyDiv w:val="1"/>
      <w:marLeft w:val="0"/>
      <w:marRight w:val="0"/>
      <w:marTop w:val="0"/>
      <w:marBottom w:val="0"/>
      <w:divBdr>
        <w:top w:val="none" w:sz="0" w:space="0" w:color="auto"/>
        <w:left w:val="none" w:sz="0" w:space="0" w:color="auto"/>
        <w:bottom w:val="none" w:sz="0" w:space="0" w:color="auto"/>
        <w:right w:val="none" w:sz="0" w:space="0" w:color="auto"/>
      </w:divBdr>
    </w:div>
    <w:div w:id="422536810">
      <w:bodyDiv w:val="1"/>
      <w:marLeft w:val="0"/>
      <w:marRight w:val="0"/>
      <w:marTop w:val="0"/>
      <w:marBottom w:val="0"/>
      <w:divBdr>
        <w:top w:val="none" w:sz="0" w:space="0" w:color="auto"/>
        <w:left w:val="none" w:sz="0" w:space="0" w:color="auto"/>
        <w:bottom w:val="none" w:sz="0" w:space="0" w:color="auto"/>
        <w:right w:val="none" w:sz="0" w:space="0" w:color="auto"/>
      </w:divBdr>
    </w:div>
    <w:div w:id="460878195">
      <w:bodyDiv w:val="1"/>
      <w:marLeft w:val="0"/>
      <w:marRight w:val="0"/>
      <w:marTop w:val="0"/>
      <w:marBottom w:val="0"/>
      <w:divBdr>
        <w:top w:val="none" w:sz="0" w:space="0" w:color="auto"/>
        <w:left w:val="none" w:sz="0" w:space="0" w:color="auto"/>
        <w:bottom w:val="none" w:sz="0" w:space="0" w:color="auto"/>
        <w:right w:val="none" w:sz="0" w:space="0" w:color="auto"/>
      </w:divBdr>
    </w:div>
    <w:div w:id="593169948">
      <w:bodyDiv w:val="1"/>
      <w:marLeft w:val="0"/>
      <w:marRight w:val="0"/>
      <w:marTop w:val="0"/>
      <w:marBottom w:val="0"/>
      <w:divBdr>
        <w:top w:val="none" w:sz="0" w:space="0" w:color="auto"/>
        <w:left w:val="none" w:sz="0" w:space="0" w:color="auto"/>
        <w:bottom w:val="none" w:sz="0" w:space="0" w:color="auto"/>
        <w:right w:val="none" w:sz="0" w:space="0" w:color="auto"/>
      </w:divBdr>
    </w:div>
    <w:div w:id="625161495">
      <w:bodyDiv w:val="1"/>
      <w:marLeft w:val="0"/>
      <w:marRight w:val="0"/>
      <w:marTop w:val="0"/>
      <w:marBottom w:val="0"/>
      <w:divBdr>
        <w:top w:val="none" w:sz="0" w:space="0" w:color="auto"/>
        <w:left w:val="none" w:sz="0" w:space="0" w:color="auto"/>
        <w:bottom w:val="none" w:sz="0" w:space="0" w:color="auto"/>
        <w:right w:val="none" w:sz="0" w:space="0" w:color="auto"/>
      </w:divBdr>
    </w:div>
    <w:div w:id="652635374">
      <w:bodyDiv w:val="1"/>
      <w:marLeft w:val="0"/>
      <w:marRight w:val="0"/>
      <w:marTop w:val="0"/>
      <w:marBottom w:val="0"/>
      <w:divBdr>
        <w:top w:val="none" w:sz="0" w:space="0" w:color="auto"/>
        <w:left w:val="none" w:sz="0" w:space="0" w:color="auto"/>
        <w:bottom w:val="none" w:sz="0" w:space="0" w:color="auto"/>
        <w:right w:val="none" w:sz="0" w:space="0" w:color="auto"/>
      </w:divBdr>
    </w:div>
    <w:div w:id="694766564">
      <w:bodyDiv w:val="1"/>
      <w:marLeft w:val="0"/>
      <w:marRight w:val="0"/>
      <w:marTop w:val="0"/>
      <w:marBottom w:val="0"/>
      <w:divBdr>
        <w:top w:val="none" w:sz="0" w:space="0" w:color="auto"/>
        <w:left w:val="none" w:sz="0" w:space="0" w:color="auto"/>
        <w:bottom w:val="none" w:sz="0" w:space="0" w:color="auto"/>
        <w:right w:val="none" w:sz="0" w:space="0" w:color="auto"/>
      </w:divBdr>
    </w:div>
    <w:div w:id="714550549">
      <w:bodyDiv w:val="1"/>
      <w:marLeft w:val="0"/>
      <w:marRight w:val="0"/>
      <w:marTop w:val="0"/>
      <w:marBottom w:val="0"/>
      <w:divBdr>
        <w:top w:val="none" w:sz="0" w:space="0" w:color="auto"/>
        <w:left w:val="none" w:sz="0" w:space="0" w:color="auto"/>
        <w:bottom w:val="none" w:sz="0" w:space="0" w:color="auto"/>
        <w:right w:val="none" w:sz="0" w:space="0" w:color="auto"/>
      </w:divBdr>
    </w:div>
    <w:div w:id="735932368">
      <w:bodyDiv w:val="1"/>
      <w:marLeft w:val="0"/>
      <w:marRight w:val="0"/>
      <w:marTop w:val="0"/>
      <w:marBottom w:val="0"/>
      <w:divBdr>
        <w:top w:val="none" w:sz="0" w:space="0" w:color="auto"/>
        <w:left w:val="none" w:sz="0" w:space="0" w:color="auto"/>
        <w:bottom w:val="none" w:sz="0" w:space="0" w:color="auto"/>
        <w:right w:val="none" w:sz="0" w:space="0" w:color="auto"/>
      </w:divBdr>
    </w:div>
    <w:div w:id="743449242">
      <w:bodyDiv w:val="1"/>
      <w:marLeft w:val="0"/>
      <w:marRight w:val="0"/>
      <w:marTop w:val="0"/>
      <w:marBottom w:val="0"/>
      <w:divBdr>
        <w:top w:val="none" w:sz="0" w:space="0" w:color="auto"/>
        <w:left w:val="none" w:sz="0" w:space="0" w:color="auto"/>
        <w:bottom w:val="none" w:sz="0" w:space="0" w:color="auto"/>
        <w:right w:val="none" w:sz="0" w:space="0" w:color="auto"/>
      </w:divBdr>
    </w:div>
    <w:div w:id="844827439">
      <w:bodyDiv w:val="1"/>
      <w:marLeft w:val="0"/>
      <w:marRight w:val="0"/>
      <w:marTop w:val="0"/>
      <w:marBottom w:val="0"/>
      <w:divBdr>
        <w:top w:val="none" w:sz="0" w:space="0" w:color="auto"/>
        <w:left w:val="none" w:sz="0" w:space="0" w:color="auto"/>
        <w:bottom w:val="none" w:sz="0" w:space="0" w:color="auto"/>
        <w:right w:val="none" w:sz="0" w:space="0" w:color="auto"/>
      </w:divBdr>
    </w:div>
    <w:div w:id="923615071">
      <w:bodyDiv w:val="1"/>
      <w:marLeft w:val="0"/>
      <w:marRight w:val="0"/>
      <w:marTop w:val="0"/>
      <w:marBottom w:val="0"/>
      <w:divBdr>
        <w:top w:val="none" w:sz="0" w:space="0" w:color="auto"/>
        <w:left w:val="none" w:sz="0" w:space="0" w:color="auto"/>
        <w:bottom w:val="none" w:sz="0" w:space="0" w:color="auto"/>
        <w:right w:val="none" w:sz="0" w:space="0" w:color="auto"/>
      </w:divBdr>
    </w:div>
    <w:div w:id="990403522">
      <w:bodyDiv w:val="1"/>
      <w:marLeft w:val="0"/>
      <w:marRight w:val="0"/>
      <w:marTop w:val="0"/>
      <w:marBottom w:val="0"/>
      <w:divBdr>
        <w:top w:val="none" w:sz="0" w:space="0" w:color="auto"/>
        <w:left w:val="none" w:sz="0" w:space="0" w:color="auto"/>
        <w:bottom w:val="none" w:sz="0" w:space="0" w:color="auto"/>
        <w:right w:val="none" w:sz="0" w:space="0" w:color="auto"/>
      </w:divBdr>
    </w:div>
    <w:div w:id="1058895327">
      <w:bodyDiv w:val="1"/>
      <w:marLeft w:val="0"/>
      <w:marRight w:val="0"/>
      <w:marTop w:val="0"/>
      <w:marBottom w:val="0"/>
      <w:divBdr>
        <w:top w:val="none" w:sz="0" w:space="0" w:color="auto"/>
        <w:left w:val="none" w:sz="0" w:space="0" w:color="auto"/>
        <w:bottom w:val="none" w:sz="0" w:space="0" w:color="auto"/>
        <w:right w:val="none" w:sz="0" w:space="0" w:color="auto"/>
      </w:divBdr>
    </w:div>
    <w:div w:id="1091125526">
      <w:bodyDiv w:val="1"/>
      <w:marLeft w:val="0"/>
      <w:marRight w:val="0"/>
      <w:marTop w:val="0"/>
      <w:marBottom w:val="0"/>
      <w:divBdr>
        <w:top w:val="none" w:sz="0" w:space="0" w:color="auto"/>
        <w:left w:val="none" w:sz="0" w:space="0" w:color="auto"/>
        <w:bottom w:val="none" w:sz="0" w:space="0" w:color="auto"/>
        <w:right w:val="none" w:sz="0" w:space="0" w:color="auto"/>
      </w:divBdr>
    </w:div>
    <w:div w:id="1145046210">
      <w:bodyDiv w:val="1"/>
      <w:marLeft w:val="0"/>
      <w:marRight w:val="0"/>
      <w:marTop w:val="0"/>
      <w:marBottom w:val="0"/>
      <w:divBdr>
        <w:top w:val="none" w:sz="0" w:space="0" w:color="auto"/>
        <w:left w:val="none" w:sz="0" w:space="0" w:color="auto"/>
        <w:bottom w:val="none" w:sz="0" w:space="0" w:color="auto"/>
        <w:right w:val="none" w:sz="0" w:space="0" w:color="auto"/>
      </w:divBdr>
    </w:div>
    <w:div w:id="1177772360">
      <w:bodyDiv w:val="1"/>
      <w:marLeft w:val="0"/>
      <w:marRight w:val="0"/>
      <w:marTop w:val="0"/>
      <w:marBottom w:val="0"/>
      <w:divBdr>
        <w:top w:val="none" w:sz="0" w:space="0" w:color="auto"/>
        <w:left w:val="none" w:sz="0" w:space="0" w:color="auto"/>
        <w:bottom w:val="none" w:sz="0" w:space="0" w:color="auto"/>
        <w:right w:val="none" w:sz="0" w:space="0" w:color="auto"/>
      </w:divBdr>
    </w:div>
    <w:div w:id="1208179506">
      <w:bodyDiv w:val="1"/>
      <w:marLeft w:val="0"/>
      <w:marRight w:val="0"/>
      <w:marTop w:val="0"/>
      <w:marBottom w:val="0"/>
      <w:divBdr>
        <w:top w:val="none" w:sz="0" w:space="0" w:color="auto"/>
        <w:left w:val="none" w:sz="0" w:space="0" w:color="auto"/>
        <w:bottom w:val="none" w:sz="0" w:space="0" w:color="auto"/>
        <w:right w:val="none" w:sz="0" w:space="0" w:color="auto"/>
      </w:divBdr>
    </w:div>
    <w:div w:id="1289169338">
      <w:bodyDiv w:val="1"/>
      <w:marLeft w:val="0"/>
      <w:marRight w:val="0"/>
      <w:marTop w:val="0"/>
      <w:marBottom w:val="0"/>
      <w:divBdr>
        <w:top w:val="none" w:sz="0" w:space="0" w:color="auto"/>
        <w:left w:val="none" w:sz="0" w:space="0" w:color="auto"/>
        <w:bottom w:val="none" w:sz="0" w:space="0" w:color="auto"/>
        <w:right w:val="none" w:sz="0" w:space="0" w:color="auto"/>
      </w:divBdr>
    </w:div>
    <w:div w:id="1328434614">
      <w:bodyDiv w:val="1"/>
      <w:marLeft w:val="0"/>
      <w:marRight w:val="0"/>
      <w:marTop w:val="0"/>
      <w:marBottom w:val="0"/>
      <w:divBdr>
        <w:top w:val="none" w:sz="0" w:space="0" w:color="auto"/>
        <w:left w:val="none" w:sz="0" w:space="0" w:color="auto"/>
        <w:bottom w:val="none" w:sz="0" w:space="0" w:color="auto"/>
        <w:right w:val="none" w:sz="0" w:space="0" w:color="auto"/>
      </w:divBdr>
    </w:div>
    <w:div w:id="1365206549">
      <w:bodyDiv w:val="1"/>
      <w:marLeft w:val="0"/>
      <w:marRight w:val="0"/>
      <w:marTop w:val="0"/>
      <w:marBottom w:val="0"/>
      <w:divBdr>
        <w:top w:val="none" w:sz="0" w:space="0" w:color="auto"/>
        <w:left w:val="none" w:sz="0" w:space="0" w:color="auto"/>
        <w:bottom w:val="none" w:sz="0" w:space="0" w:color="auto"/>
        <w:right w:val="none" w:sz="0" w:space="0" w:color="auto"/>
      </w:divBdr>
    </w:div>
    <w:div w:id="1431507006">
      <w:bodyDiv w:val="1"/>
      <w:marLeft w:val="0"/>
      <w:marRight w:val="0"/>
      <w:marTop w:val="0"/>
      <w:marBottom w:val="0"/>
      <w:divBdr>
        <w:top w:val="none" w:sz="0" w:space="0" w:color="auto"/>
        <w:left w:val="none" w:sz="0" w:space="0" w:color="auto"/>
        <w:bottom w:val="none" w:sz="0" w:space="0" w:color="auto"/>
        <w:right w:val="none" w:sz="0" w:space="0" w:color="auto"/>
      </w:divBdr>
    </w:div>
    <w:div w:id="1432895843">
      <w:bodyDiv w:val="1"/>
      <w:marLeft w:val="0"/>
      <w:marRight w:val="0"/>
      <w:marTop w:val="0"/>
      <w:marBottom w:val="0"/>
      <w:divBdr>
        <w:top w:val="none" w:sz="0" w:space="0" w:color="auto"/>
        <w:left w:val="none" w:sz="0" w:space="0" w:color="auto"/>
        <w:bottom w:val="none" w:sz="0" w:space="0" w:color="auto"/>
        <w:right w:val="none" w:sz="0" w:space="0" w:color="auto"/>
      </w:divBdr>
    </w:div>
    <w:div w:id="1509563848">
      <w:bodyDiv w:val="1"/>
      <w:marLeft w:val="0"/>
      <w:marRight w:val="0"/>
      <w:marTop w:val="0"/>
      <w:marBottom w:val="0"/>
      <w:divBdr>
        <w:top w:val="none" w:sz="0" w:space="0" w:color="auto"/>
        <w:left w:val="none" w:sz="0" w:space="0" w:color="auto"/>
        <w:bottom w:val="none" w:sz="0" w:space="0" w:color="auto"/>
        <w:right w:val="none" w:sz="0" w:space="0" w:color="auto"/>
      </w:divBdr>
    </w:div>
    <w:div w:id="1511527333">
      <w:bodyDiv w:val="1"/>
      <w:marLeft w:val="0"/>
      <w:marRight w:val="0"/>
      <w:marTop w:val="0"/>
      <w:marBottom w:val="0"/>
      <w:divBdr>
        <w:top w:val="none" w:sz="0" w:space="0" w:color="auto"/>
        <w:left w:val="none" w:sz="0" w:space="0" w:color="auto"/>
        <w:bottom w:val="none" w:sz="0" w:space="0" w:color="auto"/>
        <w:right w:val="none" w:sz="0" w:space="0" w:color="auto"/>
      </w:divBdr>
    </w:div>
    <w:div w:id="1511674896">
      <w:bodyDiv w:val="1"/>
      <w:marLeft w:val="0"/>
      <w:marRight w:val="0"/>
      <w:marTop w:val="0"/>
      <w:marBottom w:val="0"/>
      <w:divBdr>
        <w:top w:val="none" w:sz="0" w:space="0" w:color="auto"/>
        <w:left w:val="none" w:sz="0" w:space="0" w:color="auto"/>
        <w:bottom w:val="none" w:sz="0" w:space="0" w:color="auto"/>
        <w:right w:val="none" w:sz="0" w:space="0" w:color="auto"/>
      </w:divBdr>
    </w:div>
    <w:div w:id="1538352375">
      <w:bodyDiv w:val="1"/>
      <w:marLeft w:val="0"/>
      <w:marRight w:val="0"/>
      <w:marTop w:val="0"/>
      <w:marBottom w:val="0"/>
      <w:divBdr>
        <w:top w:val="none" w:sz="0" w:space="0" w:color="auto"/>
        <w:left w:val="none" w:sz="0" w:space="0" w:color="auto"/>
        <w:bottom w:val="none" w:sz="0" w:space="0" w:color="auto"/>
        <w:right w:val="none" w:sz="0" w:space="0" w:color="auto"/>
      </w:divBdr>
    </w:div>
    <w:div w:id="1566640757">
      <w:bodyDiv w:val="1"/>
      <w:marLeft w:val="0"/>
      <w:marRight w:val="0"/>
      <w:marTop w:val="0"/>
      <w:marBottom w:val="0"/>
      <w:divBdr>
        <w:top w:val="none" w:sz="0" w:space="0" w:color="auto"/>
        <w:left w:val="none" w:sz="0" w:space="0" w:color="auto"/>
        <w:bottom w:val="none" w:sz="0" w:space="0" w:color="auto"/>
        <w:right w:val="none" w:sz="0" w:space="0" w:color="auto"/>
      </w:divBdr>
    </w:div>
    <w:div w:id="1664967824">
      <w:bodyDiv w:val="1"/>
      <w:marLeft w:val="0"/>
      <w:marRight w:val="0"/>
      <w:marTop w:val="0"/>
      <w:marBottom w:val="0"/>
      <w:divBdr>
        <w:top w:val="none" w:sz="0" w:space="0" w:color="auto"/>
        <w:left w:val="none" w:sz="0" w:space="0" w:color="auto"/>
        <w:bottom w:val="none" w:sz="0" w:space="0" w:color="auto"/>
        <w:right w:val="none" w:sz="0" w:space="0" w:color="auto"/>
      </w:divBdr>
    </w:div>
    <w:div w:id="1747266890">
      <w:bodyDiv w:val="1"/>
      <w:marLeft w:val="0"/>
      <w:marRight w:val="0"/>
      <w:marTop w:val="0"/>
      <w:marBottom w:val="0"/>
      <w:divBdr>
        <w:top w:val="none" w:sz="0" w:space="0" w:color="auto"/>
        <w:left w:val="none" w:sz="0" w:space="0" w:color="auto"/>
        <w:bottom w:val="none" w:sz="0" w:space="0" w:color="auto"/>
        <w:right w:val="none" w:sz="0" w:space="0" w:color="auto"/>
      </w:divBdr>
    </w:div>
    <w:div w:id="1821380838">
      <w:bodyDiv w:val="1"/>
      <w:marLeft w:val="0"/>
      <w:marRight w:val="0"/>
      <w:marTop w:val="0"/>
      <w:marBottom w:val="0"/>
      <w:divBdr>
        <w:top w:val="none" w:sz="0" w:space="0" w:color="auto"/>
        <w:left w:val="none" w:sz="0" w:space="0" w:color="auto"/>
        <w:bottom w:val="none" w:sz="0" w:space="0" w:color="auto"/>
        <w:right w:val="none" w:sz="0" w:space="0" w:color="auto"/>
      </w:divBdr>
    </w:div>
    <w:div w:id="1829007138">
      <w:bodyDiv w:val="1"/>
      <w:marLeft w:val="0"/>
      <w:marRight w:val="0"/>
      <w:marTop w:val="0"/>
      <w:marBottom w:val="0"/>
      <w:divBdr>
        <w:top w:val="none" w:sz="0" w:space="0" w:color="auto"/>
        <w:left w:val="none" w:sz="0" w:space="0" w:color="auto"/>
        <w:bottom w:val="none" w:sz="0" w:space="0" w:color="auto"/>
        <w:right w:val="none" w:sz="0" w:space="0" w:color="auto"/>
      </w:divBdr>
    </w:div>
    <w:div w:id="1890455812">
      <w:bodyDiv w:val="1"/>
      <w:marLeft w:val="0"/>
      <w:marRight w:val="0"/>
      <w:marTop w:val="0"/>
      <w:marBottom w:val="0"/>
      <w:divBdr>
        <w:top w:val="none" w:sz="0" w:space="0" w:color="auto"/>
        <w:left w:val="none" w:sz="0" w:space="0" w:color="auto"/>
        <w:bottom w:val="none" w:sz="0" w:space="0" w:color="auto"/>
        <w:right w:val="none" w:sz="0" w:space="0" w:color="auto"/>
      </w:divBdr>
    </w:div>
    <w:div w:id="2003973193">
      <w:bodyDiv w:val="1"/>
      <w:marLeft w:val="0"/>
      <w:marRight w:val="0"/>
      <w:marTop w:val="0"/>
      <w:marBottom w:val="0"/>
      <w:divBdr>
        <w:top w:val="none" w:sz="0" w:space="0" w:color="auto"/>
        <w:left w:val="none" w:sz="0" w:space="0" w:color="auto"/>
        <w:bottom w:val="none" w:sz="0" w:space="0" w:color="auto"/>
        <w:right w:val="none" w:sz="0" w:space="0" w:color="auto"/>
      </w:divBdr>
    </w:div>
    <w:div w:id="20724620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np-mop-02/np-mop-02-dec-04-en.pdf" TargetMode="External"/><Relationship Id="rId18" Type="http://schemas.openxmlformats.org/officeDocument/2006/relationships/hyperlink" Target="https://www.bioversityinternational.org/index.php?id=244&amp;tx_news_pi1%5Bnews%5D=1379&amp;cHash=bd6432ff877aaf021522edfe57a7af90" TargetMode="External"/><Relationship Id="rId26" Type="http://schemas.openxmlformats.org/officeDocument/2006/relationships/hyperlink" Target="https://absch.cbd.int/database/A19A20/ABSCH-A19A20-SCBD-207246" TargetMode="External"/><Relationship Id="rId39" Type="http://schemas.openxmlformats.org/officeDocument/2006/relationships/hyperlink" Target="https://absch.cbd.int/database/A19A20/ABSCH-A19A20-SCBD-238060" TargetMode="External"/><Relationship Id="rId21" Type="http://schemas.openxmlformats.org/officeDocument/2006/relationships/hyperlink" Target="https://library.ggbn.org/share/s/BW3F3qiiT8W9S3qeTwMMww" TargetMode="External"/><Relationship Id="rId34" Type="http://schemas.openxmlformats.org/officeDocument/2006/relationships/hyperlink" Target="https://library.ggbn.org/share/s/UM5JietQR9aevtYDymHbjw" TargetMode="External"/><Relationship Id="rId42" Type="http://schemas.openxmlformats.org/officeDocument/2006/relationships/hyperlink" Target="http://ethicalbiotrade.org/dl/benefit-sharing/ABS_manual_ENG.pdf" TargetMode="External"/><Relationship Id="rId47" Type="http://schemas.openxmlformats.org/officeDocument/2006/relationships/hyperlink" Target="https://absch.cbd.int/database/A19A20/ABSCH-A19A20-SCBD-208213" TargetMode="External"/><Relationship Id="rId50" Type="http://schemas.openxmlformats.org/officeDocument/2006/relationships/hyperlink" Target="https://absch.cbd.int/database/A19A20/ABSCH-A19A20-SCBD-208660" TargetMode="External"/><Relationship Id="rId55" Type="http://schemas.openxmlformats.org/officeDocument/2006/relationships/hyperlink" Target="http://ethicalbiotrade.org/resources/" TargetMode="External"/><Relationship Id="rId63" Type="http://schemas.openxmlformats.org/officeDocument/2006/relationships/hyperlink" Target="http://www.dfg.de/formulare/1_021e/1_021e.pdf" TargetMode="External"/><Relationship Id="rId68" Type="http://schemas.openxmlformats.org/officeDocument/2006/relationships/hyperlink" Target="https://absch.cbd.int/database/record/ABSCH-MSR-MX-238707" TargetMode="External"/><Relationship Id="rId76" Type="http://schemas.openxmlformats.org/officeDocument/2006/relationships/hyperlink" Target="http://naturaljustice.org/community-protocols/" TargetMode="External"/><Relationship Id="rId84"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s://www.nordgen.org/en/plants/seed-potato-request/material-transfer-agreements/"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absch.cbd.int/database/A19A20/ABSCH-A19A20-SCBD-238048" TargetMode="External"/><Relationship Id="rId11" Type="http://schemas.openxmlformats.org/officeDocument/2006/relationships/image" Target="media/image3.emf"/><Relationship Id="rId24" Type="http://schemas.openxmlformats.org/officeDocument/2006/relationships/hyperlink" Target="https://absch.cbd.int/database/A19A20/ABSCH-A19A20-SCBD-238061" TargetMode="External"/><Relationship Id="rId32" Type="http://schemas.openxmlformats.org/officeDocument/2006/relationships/hyperlink" Target="https://naturwissenschaften.ch/organisations/biodiversity/abs" TargetMode="External"/><Relationship Id="rId37" Type="http://schemas.openxmlformats.org/officeDocument/2006/relationships/hyperlink" Target="https://absch.cbd.int/database/A19A20/ABSCH-A19A20-SCBD-207283" TargetMode="External"/><Relationship Id="rId40" Type="http://schemas.openxmlformats.org/officeDocument/2006/relationships/hyperlink" Target="http://www.ethnobiology.net/what-we-do/core-programs/ise-ethics-program/code-of-ethics/" TargetMode="External"/><Relationship Id="rId45" Type="http://schemas.openxmlformats.org/officeDocument/2006/relationships/hyperlink" Target="http://www.mabs.jp/archives/pdf/iden_tebiki_e_v2.pdf" TargetMode="External"/><Relationship Id="rId53" Type="http://schemas.openxmlformats.org/officeDocument/2006/relationships/hyperlink" Target="http://bccm.belspo.be/projects/trust" TargetMode="External"/><Relationship Id="rId58" Type="http://schemas.openxmlformats.org/officeDocument/2006/relationships/hyperlink" Target="https://absch.cbd.int/database/A19A20/ABSCH-A19A20-SCBD-238056" TargetMode="External"/><Relationship Id="rId66" Type="http://schemas.openxmlformats.org/officeDocument/2006/relationships/hyperlink" Target="https://absch.cbd.int/database/CPP/ABSCH-CPP-SCBD-207314" TargetMode="External"/><Relationship Id="rId74" Type="http://schemas.openxmlformats.org/officeDocument/2006/relationships/hyperlink" Target="https://www.cbd.int/abs/submissions/assessment/naturaljustice-abs-initiative-en.pdf" TargetMode="External"/><Relationship Id="rId79" Type="http://schemas.openxmlformats.org/officeDocument/2006/relationships/hyperlink" Target="https://www.cbd.int/abs/submissions/assessment/naturaljustice-abs-initiative-en.pdf" TargetMode="External"/><Relationship Id="rId5" Type="http://schemas.openxmlformats.org/officeDocument/2006/relationships/settings" Target="settings.xml"/><Relationship Id="rId61" Type="http://schemas.openxmlformats.org/officeDocument/2006/relationships/hyperlink" Target="http://ethicalbiotrade.org/dl/public-and-outreach/Ethical-BioTrade-Standard_2012.pdf" TargetMode="External"/><Relationship Id="rId82" Type="http://schemas.openxmlformats.org/officeDocument/2006/relationships/hyperlink" Target="http://naturaljustice.org/community-protocols/" TargetMode="External"/><Relationship Id="rId19" Type="http://schemas.openxmlformats.org/officeDocument/2006/relationships/hyperlink" Target="https://absch.cbd.int/database/A19A20/ABSCH-A19A20-SCBD-207205"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abs/assessment-contribution/default.shtml" TargetMode="External"/><Relationship Id="rId22" Type="http://schemas.openxmlformats.org/officeDocument/2006/relationships/hyperlink" Target="https://absch.cbd.int/database/A19A20/ABSCH-A19A20-SCBD-238867" TargetMode="External"/><Relationship Id="rId27" Type="http://schemas.openxmlformats.org/officeDocument/2006/relationships/hyperlink" Target="https://absch.cbd.int/database/A19A20/ABSCH-A19A20-SCBD-238058" TargetMode="External"/><Relationship Id="rId30" Type="http://schemas.openxmlformats.org/officeDocument/2006/relationships/hyperlink" Target="http://cetaf.org/" TargetMode="External"/><Relationship Id="rId35" Type="http://schemas.openxmlformats.org/officeDocument/2006/relationships/hyperlink" Target="https://absch.cbd.int/database/A19A20/ABSCH-A19A20-SCBD-237638" TargetMode="External"/><Relationship Id="rId43" Type="http://schemas.openxmlformats.org/officeDocument/2006/relationships/hyperlink" Target="https://absch.cbd.int/database/A19A20/ABSCH-A19A20-SCBD-208068" TargetMode="External"/><Relationship Id="rId48" Type="http://schemas.openxmlformats.org/officeDocument/2006/relationships/hyperlink" Target="https://www.mirri.org/fileadmin/mirri/media/Dokumente/generalDocs/MIRRI_ABS_Manual_web.pdf" TargetMode="External"/><Relationship Id="rId56" Type="http://schemas.openxmlformats.org/officeDocument/2006/relationships/hyperlink" Target="http://ethicalbiotrade.org/dl/public-and-outreach/UEBT_principles_on_patents_biodiversity_EN.pdf" TargetMode="External"/><Relationship Id="rId64" Type="http://schemas.openxmlformats.org/officeDocument/2006/relationships/hyperlink" Target="https://absch.cbd.int/database/CPP/ABSCH-CPP-SCBD-207587" TargetMode="External"/><Relationship Id="rId69" Type="http://schemas.openxmlformats.org/officeDocument/2006/relationships/hyperlink" Target="https://www.eccosite.org/wp-content/uploads/2014/07/ECCO_core-MTA_V1_Febr09.pdf" TargetMode="External"/><Relationship Id="rId77" Type="http://schemas.openxmlformats.org/officeDocument/2006/relationships/hyperlink" Target="https://www.cbd.int/abs/submissions/assessment/naturaljustice-abs-initiative-en.pdf" TargetMode="External"/><Relationship Id="rId8" Type="http://schemas.openxmlformats.org/officeDocument/2006/relationships/endnotes" Target="endnotes.xml"/><Relationship Id="rId51" Type="http://schemas.openxmlformats.org/officeDocument/2006/relationships/hyperlink" Target="https://library.ggbn.org/share/s/AyZENG2hSMmXH0KFPz5yfg" TargetMode="External"/><Relationship Id="rId72" Type="http://schemas.openxmlformats.org/officeDocument/2006/relationships/hyperlink" Target="https://www.gob.mx/cms/uploads/attachment/file/196775/MANUAL_PLAN_PARTICIPATIVA___DIGITAL_2017ok_baja_res.pdf" TargetMode="External"/><Relationship Id="rId80" Type="http://schemas.openxmlformats.org/officeDocument/2006/relationships/hyperlink" Target="http://naturaljustice.org/community-protocols/" TargetMode="Externa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cbd.int/doc/decisions/np-mop-01/np-mop-01-dec-05-en.pdf" TargetMode="External"/><Relationship Id="rId17" Type="http://schemas.openxmlformats.org/officeDocument/2006/relationships/hyperlink" Target="https://absch.cbd.int/database/A19A20/ABSCH-A19A20-SCBD-238047" TargetMode="External"/><Relationship Id="rId25" Type="http://schemas.openxmlformats.org/officeDocument/2006/relationships/hyperlink" Target="https://www.wipo.int/tk/en/databases/contracts/" TargetMode="External"/><Relationship Id="rId33" Type="http://schemas.openxmlformats.org/officeDocument/2006/relationships/hyperlink" Target="https://absch.cbd.int/database/A19A20/ABSCH-A19A20-SCBD-208662" TargetMode="External"/><Relationship Id="rId38" Type="http://schemas.openxmlformats.org/officeDocument/2006/relationships/hyperlink" Target="http://bccm.belspo.be/projects/mosaicc" TargetMode="External"/><Relationship Id="rId46" Type="http://schemas.openxmlformats.org/officeDocument/2006/relationships/hyperlink" Target="https://absch.cbd.int/database/A19A20/ABSCH-A19A20-SCBD-204326" TargetMode="External"/><Relationship Id="rId59" Type="http://schemas.openxmlformats.org/officeDocument/2006/relationships/hyperlink" Target="http://www.bgci.org/policy/abs_principles/" TargetMode="External"/><Relationship Id="rId67" Type="http://schemas.openxmlformats.org/officeDocument/2006/relationships/hyperlink" Target="https://absch.cbd.int/database/MSR/ABSCH-MSR-AG-238537/1" TargetMode="External"/><Relationship Id="rId20" Type="http://schemas.openxmlformats.org/officeDocument/2006/relationships/hyperlink" Target="https://absch.cbd.int/database/A19A20/ABSCH-A19A20-SCBD-208665" TargetMode="External"/><Relationship Id="rId41" Type="http://schemas.openxmlformats.org/officeDocument/2006/relationships/hyperlink" Target="https://absch.cbd.int/database/A19A20/ABSCH-A19A20-SCBD-207320" TargetMode="External"/><Relationship Id="rId54" Type="http://schemas.openxmlformats.org/officeDocument/2006/relationships/hyperlink" Target="https://absch.cbd.int/database/A19A20/ABSCH-A19A20-SCBD-208169" TargetMode="External"/><Relationship Id="rId62" Type="http://schemas.openxmlformats.org/officeDocument/2006/relationships/hyperlink" Target="https://absch.cbd.int/database/A19A20/ABSCH-A19A20-SCBD-208078" TargetMode="External"/><Relationship Id="rId70" Type="http://schemas.openxmlformats.org/officeDocument/2006/relationships/hyperlink" Target="http://www.iobc-global.org/global_comm_bc_access_benefit_sharing.html" TargetMode="External"/><Relationship Id="rId75" Type="http://schemas.openxmlformats.org/officeDocument/2006/relationships/hyperlink" Target="https://www.cbd.int/abs/submissions/assessment/naturaljustice-abs-initiative-en.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naturwissenschaften.ch/organisations/biodiversity/abs/toolbox" TargetMode="External"/><Relationship Id="rId28" Type="http://schemas.openxmlformats.org/officeDocument/2006/relationships/hyperlink" Target="https://www.bio.org/articles/bio-bioprospecting-guidelines" TargetMode="External"/><Relationship Id="rId36" Type="http://schemas.openxmlformats.org/officeDocument/2006/relationships/hyperlink" Target="https://absch.cbd.int/database/A19A20/ABSCH-A19A20-SCBD-238348" TargetMode="External"/><Relationship Id="rId49" Type="http://schemas.openxmlformats.org/officeDocument/2006/relationships/hyperlink" Target="https://absch.cbd.int/database/A19A20/ABSCH-A19A20-SCBD-207247" TargetMode="External"/><Relationship Id="rId57" Type="http://schemas.openxmlformats.org/officeDocument/2006/relationships/hyperlink" Target="https://absch.cbd.int/database/A19A20/ABSCH-A19A20-SCBD-237975" TargetMode="External"/><Relationship Id="rId10" Type="http://schemas.openxmlformats.org/officeDocument/2006/relationships/image" Target="media/image2.emf"/><Relationship Id="rId31" Type="http://schemas.openxmlformats.org/officeDocument/2006/relationships/hyperlink" Target="https://absch.cbd.int/database/A19A20/ABSCH-A19A20-SCBD-238868" TargetMode="External"/><Relationship Id="rId44" Type="http://schemas.openxmlformats.org/officeDocument/2006/relationships/hyperlink" Target="https://absch.cbd.int/database/A19A20/ABSCH-A19A20-SCBD-207597" TargetMode="External"/><Relationship Id="rId52" Type="http://schemas.openxmlformats.org/officeDocument/2006/relationships/hyperlink" Target="https://absch.cbd.int/database/A19A20/ABSCH-A19A20-SCBD-208170" TargetMode="External"/><Relationship Id="rId60" Type="http://schemas.openxmlformats.org/officeDocument/2006/relationships/hyperlink" Target="https://absch.cbd.int/database/A19A20/ABSCH-A19A20-SCBD-207310" TargetMode="External"/><Relationship Id="rId65" Type="http://schemas.openxmlformats.org/officeDocument/2006/relationships/hyperlink" Target="https://absch.cbd.int/database/CPP/ABSCH-CPP-SCBD-239000" TargetMode="External"/><Relationship Id="rId73" Type="http://schemas.openxmlformats.org/officeDocument/2006/relationships/hyperlink" Target="http://nagoyaprotocol.myspecies.info/node/5" TargetMode="External"/><Relationship Id="rId78" Type="http://schemas.openxmlformats.org/officeDocument/2006/relationships/hyperlink" Target="http://naturaljustice.org/community-protocols/" TargetMode="External"/><Relationship Id="rId81" Type="http://schemas.openxmlformats.org/officeDocument/2006/relationships/hyperlink" Target="https://www.cbd.int/abs/submissions/assessment/naturaljustice-abs-initiative-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abs/submissions/assessment/naturaljustice-abs-initiative-en.pdf" TargetMode="External"/><Relationship Id="rId1" Type="http://schemas.openxmlformats.org/officeDocument/2006/relationships/hyperlink" Target="https://www.cbd.int/abs/assessment-contribution/default.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2C01EDD6A9204A44877968C7112FC33D"/>
        <w:category>
          <w:name w:val="General"/>
          <w:gallery w:val="placeholder"/>
        </w:category>
        <w:types>
          <w:type w:val="bbPlcHdr"/>
        </w:types>
        <w:behaviors>
          <w:behavior w:val="content"/>
        </w:behaviors>
        <w:guid w:val="{4D97A324-B534-4E03-8423-FE7BE29233C9}"/>
      </w:docPartPr>
      <w:docPartBody>
        <w:p w:rsidR="001B639E" w:rsidRDefault="001B639E">
          <w:pPr>
            <w:pStyle w:val="2C01EDD6A9204A44877968C7112FC33D"/>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7625F"/>
    <w:rsid w:val="000803F1"/>
    <w:rsid w:val="000846F5"/>
    <w:rsid w:val="001B639E"/>
    <w:rsid w:val="002404C1"/>
    <w:rsid w:val="003750A3"/>
    <w:rsid w:val="00497B5E"/>
    <w:rsid w:val="004F33C5"/>
    <w:rsid w:val="00500A2B"/>
    <w:rsid w:val="00521BE9"/>
    <w:rsid w:val="0058288D"/>
    <w:rsid w:val="00674CD1"/>
    <w:rsid w:val="006801B3"/>
    <w:rsid w:val="00705D4C"/>
    <w:rsid w:val="007A067A"/>
    <w:rsid w:val="00810A55"/>
    <w:rsid w:val="008C6619"/>
    <w:rsid w:val="008D420E"/>
    <w:rsid w:val="00944CE0"/>
    <w:rsid w:val="0098642F"/>
    <w:rsid w:val="009A1371"/>
    <w:rsid w:val="00B27C40"/>
    <w:rsid w:val="00CD29D4"/>
    <w:rsid w:val="00D01752"/>
    <w:rsid w:val="00DF4EDA"/>
    <w:rsid w:val="00E32568"/>
    <w:rsid w:val="00F3407E"/>
    <w:rsid w:val="00FE6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2C01EDD6A9204A44877968C7112FC33D">
    <w:name w:val="2C01EDD6A9204A44877968C7112FC3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671E59-4E76-46AA-8539-EAC565935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9375</Words>
  <Characters>53444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STOCK-TAKING OF MODEL CONTRACTUAL CLAUSES, CODES OF CONDUCT, GUIDELINES, BEST PRACTICES AND STANDARDS AS WELL AS INDIGENOUS PEOPLES AND LOCAL COMMUNITIES’ CUSTOMARY LAWS, COMMUNITY PROTOCOLS AND PROCEDURES</vt:lpstr>
    </vt:vector>
  </TitlesOfParts>
  <Company>SCBD</Company>
  <LinksUpToDate>false</LinksUpToDate>
  <CharactersWithSpaces>62694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STOCK-TAKING OF MODEL CONTRACTUAL CLAUSES, CODES OF CONDUCT, GUIDELINES, BEST PRACTICES AND STANDARDS AS WELL AS INDIGENOUS PEOPLES AND LOCAL COMMUNITIES’ CUSTOMARY LAWS, COMMUNITY PROTOCOLS AND PROCEDURES</dc:title>
  <dc:subject>CBD/SBI/2/INF/8</dc:subject>
  <dc:creator>SCBD</dc:creator>
  <cp:lastModifiedBy>veronique lefebvre</cp:lastModifiedBy>
  <cp:revision>3</cp:revision>
  <cp:lastPrinted>2018-05-25T18:33:00Z</cp:lastPrinted>
  <dcterms:created xsi:type="dcterms:W3CDTF">2018-06-25T00:23:00Z</dcterms:created>
  <dcterms:modified xsi:type="dcterms:W3CDTF">2018-06-25T00:24:00Z</dcterms:modified>
  <cp:contentStatus>GENERAL</cp:contentStatus>
</cp:coreProperties>
</file>