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3"/>
        <w:gridCol w:w="4095"/>
        <w:gridCol w:w="5765"/>
      </w:tblGrid>
      <w:tr w:rsidR="00A96B21" w:rsidRPr="006A5361" w14:paraId="46D7FE46" w14:textId="77777777">
        <w:trPr>
          <w:trHeight w:val="851"/>
        </w:trPr>
        <w:tc>
          <w:tcPr>
            <w:tcW w:w="465" w:type="pct"/>
            <w:tcBorders>
              <w:bottom w:val="single" w:sz="8" w:space="0" w:color="auto"/>
            </w:tcBorders>
            <w:vAlign w:val="bottom"/>
          </w:tcPr>
          <w:p w14:paraId="4E779057" w14:textId="77777777" w:rsidR="00A96B21" w:rsidRPr="006A5361" w:rsidRDefault="00A96B21">
            <w:pPr>
              <w:spacing w:after="120"/>
              <w:jc w:val="left"/>
            </w:pPr>
            <w:bookmarkStart w:id="0" w:name="_Hlk143266149"/>
            <w:bookmarkStart w:id="1" w:name="_Hlk137651738"/>
            <w:bookmarkEnd w:id="0"/>
            <w:r w:rsidRPr="006A5361">
              <w:rPr>
                <w:noProof/>
              </w:rPr>
              <w:drawing>
                <wp:inline distT="0" distB="0" distL="0" distR="0" wp14:anchorId="57BF5D04" wp14:editId="63605804">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5BE93850" w14:textId="77777777" w:rsidR="00A96B21" w:rsidRPr="006A5361" w:rsidRDefault="00A96B21">
            <w:pPr>
              <w:spacing w:after="120"/>
              <w:jc w:val="left"/>
            </w:pPr>
            <w:r w:rsidRPr="006A5361">
              <w:rPr>
                <w:noProof/>
              </w:rPr>
              <w:drawing>
                <wp:inline distT="0" distB="0" distL="0" distR="0" wp14:anchorId="021D6B12" wp14:editId="3DA14E4E">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1D2245AF" w14:textId="0EB96A24" w:rsidR="00A96B21" w:rsidRPr="006A5361" w:rsidRDefault="00A96B21" w:rsidP="00184909">
            <w:pPr>
              <w:spacing w:after="120"/>
              <w:ind w:left="2021"/>
              <w:jc w:val="right"/>
              <w:rPr>
                <w:szCs w:val="22"/>
              </w:rPr>
            </w:pPr>
            <w:r w:rsidRPr="00C8196A">
              <w:rPr>
                <w:sz w:val="40"/>
                <w:szCs w:val="40"/>
              </w:rPr>
              <w:t>CBD</w:t>
            </w:r>
            <w:r w:rsidRPr="006A5361">
              <w:rPr>
                <w:szCs w:val="22"/>
              </w:rPr>
              <w:t>/</w:t>
            </w:r>
            <w:r w:rsidR="009C6041" w:rsidRPr="00C8196A">
              <w:rPr>
                <w:szCs w:val="22"/>
              </w:rPr>
              <w:t>CP</w:t>
            </w:r>
            <w:r w:rsidR="009C6041" w:rsidRPr="006A5361">
              <w:rPr>
                <w:szCs w:val="22"/>
              </w:rPr>
              <w:t>/</w:t>
            </w:r>
            <w:r w:rsidR="009C6041" w:rsidRPr="00C8196A">
              <w:rPr>
                <w:szCs w:val="22"/>
              </w:rPr>
              <w:t>CC</w:t>
            </w:r>
            <w:r w:rsidR="009C6041" w:rsidRPr="006A5361">
              <w:rPr>
                <w:szCs w:val="22"/>
              </w:rPr>
              <w:t>/18/</w:t>
            </w:r>
            <w:r w:rsidR="008A4787" w:rsidRPr="006A5361">
              <w:rPr>
                <w:szCs w:val="22"/>
              </w:rPr>
              <w:t>2</w:t>
            </w:r>
          </w:p>
        </w:tc>
      </w:tr>
      <w:tr w:rsidR="00A96B21" w:rsidRPr="006A5361" w14:paraId="4F7A9A32" w14:textId="77777777">
        <w:tc>
          <w:tcPr>
            <w:tcW w:w="2297" w:type="pct"/>
            <w:gridSpan w:val="2"/>
            <w:tcBorders>
              <w:top w:val="single" w:sz="8" w:space="0" w:color="auto"/>
              <w:bottom w:val="single" w:sz="12" w:space="0" w:color="auto"/>
            </w:tcBorders>
          </w:tcPr>
          <w:p w14:paraId="6742AA01" w14:textId="77777777" w:rsidR="00A96B21" w:rsidRPr="006A5361" w:rsidRDefault="00A96B21">
            <w:pPr>
              <w:pStyle w:val="Cornernotation"/>
              <w:suppressLineNumbers/>
              <w:suppressAutoHyphens/>
              <w:spacing w:before="120" w:after="120"/>
              <w:ind w:left="0" w:right="0" w:firstLine="0"/>
            </w:pPr>
            <w:r w:rsidRPr="006A5361">
              <w:rPr>
                <w:b w:val="0"/>
                <w:bCs/>
                <w:noProof/>
              </w:rPr>
              <w:drawing>
                <wp:inline distT="0" distB="0" distL="0" distR="0" wp14:anchorId="7045EC17" wp14:editId="457F1276">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0380DBC2" w14:textId="77777777" w:rsidR="00A96B21" w:rsidRPr="006A5361" w:rsidRDefault="00A96B21" w:rsidP="003C6F10">
            <w:pPr>
              <w:ind w:left="2584"/>
              <w:rPr>
                <w:sz w:val="22"/>
                <w:szCs w:val="22"/>
              </w:rPr>
            </w:pPr>
            <w:r w:rsidRPr="006A5361">
              <w:rPr>
                <w:sz w:val="22"/>
                <w:szCs w:val="22"/>
              </w:rPr>
              <w:t>Distr.: General</w:t>
            </w:r>
          </w:p>
          <w:p w14:paraId="017B4A77" w14:textId="01D64899" w:rsidR="00A96B21" w:rsidRPr="006A5361" w:rsidRDefault="001D3132" w:rsidP="003C6F10">
            <w:pPr>
              <w:ind w:left="2584"/>
              <w:rPr>
                <w:sz w:val="22"/>
                <w:szCs w:val="22"/>
              </w:rPr>
            </w:pPr>
            <w:r w:rsidRPr="006A5361">
              <w:rPr>
                <w:sz w:val="22"/>
                <w:szCs w:val="22"/>
              </w:rPr>
              <w:t>6 September</w:t>
            </w:r>
            <w:r w:rsidR="00A96B21" w:rsidRPr="006A5361">
              <w:rPr>
                <w:sz w:val="22"/>
                <w:szCs w:val="22"/>
              </w:rPr>
              <w:t xml:space="preserve"> 2023</w:t>
            </w:r>
          </w:p>
          <w:p w14:paraId="71E4786A" w14:textId="77777777" w:rsidR="00A96B21" w:rsidRPr="006A5361" w:rsidRDefault="00A96B21" w:rsidP="003C6F10">
            <w:pPr>
              <w:ind w:left="2584"/>
              <w:rPr>
                <w:sz w:val="22"/>
                <w:szCs w:val="22"/>
              </w:rPr>
            </w:pPr>
          </w:p>
          <w:p w14:paraId="64EC7BC2" w14:textId="4B426AF8" w:rsidR="00A96B21" w:rsidRPr="006A5361" w:rsidRDefault="00A96B21" w:rsidP="003C6F10">
            <w:pPr>
              <w:ind w:left="2584"/>
              <w:rPr>
                <w:sz w:val="22"/>
                <w:szCs w:val="22"/>
              </w:rPr>
            </w:pPr>
            <w:r w:rsidRPr="006A5361">
              <w:rPr>
                <w:sz w:val="22"/>
                <w:szCs w:val="22"/>
              </w:rPr>
              <w:t>English</w:t>
            </w:r>
            <w:r w:rsidR="008D5FA5" w:rsidRPr="006A5361">
              <w:rPr>
                <w:sz w:val="22"/>
                <w:szCs w:val="22"/>
              </w:rPr>
              <w:t xml:space="preserve"> only</w:t>
            </w:r>
          </w:p>
          <w:p w14:paraId="5F54B397" w14:textId="77777777" w:rsidR="00A96B21" w:rsidRPr="006A5361" w:rsidRDefault="00A96B21"/>
        </w:tc>
      </w:tr>
    </w:tbl>
    <w:p w14:paraId="570AB91F" w14:textId="77777777" w:rsidR="00C90C34" w:rsidRPr="006A5361" w:rsidRDefault="00C90C34" w:rsidP="00C90C34">
      <w:pPr>
        <w:pStyle w:val="Cornernotation"/>
        <w:ind w:left="0" w:firstLine="0"/>
        <w:rPr>
          <w:bCs/>
        </w:rPr>
      </w:pPr>
      <w:r w:rsidRPr="006A5361">
        <w:rPr>
          <w:bCs/>
        </w:rPr>
        <w:t xml:space="preserve">Compliance Committee under the </w:t>
      </w:r>
    </w:p>
    <w:p w14:paraId="516CD19F" w14:textId="77777777" w:rsidR="00C90C34" w:rsidRPr="006A5361" w:rsidRDefault="00C90C34" w:rsidP="00C90C34">
      <w:pPr>
        <w:pStyle w:val="Cornernotation"/>
        <w:ind w:left="0" w:firstLine="0"/>
        <w:rPr>
          <w:bCs/>
        </w:rPr>
      </w:pPr>
      <w:r w:rsidRPr="006A5361">
        <w:rPr>
          <w:bCs/>
        </w:rPr>
        <w:t>Cartagena Protocol on Biosafety</w:t>
      </w:r>
    </w:p>
    <w:p w14:paraId="56B2A829" w14:textId="1EC78CE7" w:rsidR="00C90C34" w:rsidRPr="006A5361" w:rsidRDefault="00EC57BE" w:rsidP="00C90C34">
      <w:pPr>
        <w:pStyle w:val="Cornernotation"/>
        <w:rPr>
          <w:bCs/>
          <w:sz w:val="22"/>
          <w:szCs w:val="22"/>
        </w:rPr>
      </w:pPr>
      <w:r w:rsidRPr="006A5361">
        <w:rPr>
          <w:bCs/>
          <w:sz w:val="22"/>
          <w:szCs w:val="22"/>
        </w:rPr>
        <w:t>Eighteenth</w:t>
      </w:r>
      <w:r w:rsidR="00C90C34" w:rsidRPr="006A5361">
        <w:rPr>
          <w:bCs/>
          <w:sz w:val="22"/>
          <w:szCs w:val="22"/>
        </w:rPr>
        <w:t xml:space="preserve"> meeting </w:t>
      </w:r>
    </w:p>
    <w:p w14:paraId="4EC2EDE2" w14:textId="77777777" w:rsidR="00B367B2" w:rsidRPr="00C8196A" w:rsidRDefault="00B367B2" w:rsidP="00B367B2">
      <w:pPr>
        <w:pStyle w:val="Venuedate"/>
      </w:pPr>
      <w:r w:rsidRPr="00C8196A">
        <w:t>Montreal, Canada, 24–26 October 2023</w:t>
      </w:r>
    </w:p>
    <w:p w14:paraId="48A334E7" w14:textId="687540F3" w:rsidR="00C90C34" w:rsidRPr="00C8196A" w:rsidRDefault="00C90C34" w:rsidP="00C90C34">
      <w:pPr>
        <w:pStyle w:val="Venuedate"/>
      </w:pPr>
      <w:r w:rsidRPr="00C8196A">
        <w:t xml:space="preserve">Item </w:t>
      </w:r>
      <w:r w:rsidR="00D609C2" w:rsidRPr="00C8196A">
        <w:t>3</w:t>
      </w:r>
      <w:r w:rsidR="0078011A" w:rsidRPr="00C8196A">
        <w:t xml:space="preserve"> of the </w:t>
      </w:r>
      <w:r w:rsidR="0026778B" w:rsidRPr="00C8196A">
        <w:t>provisional agenda</w:t>
      </w:r>
      <w:r w:rsidR="008D5FA5" w:rsidRPr="00C8196A">
        <w:rPr>
          <w:rStyle w:val="FootnoteReference"/>
        </w:rPr>
        <w:footnoteReference w:customMarkFollows="1" w:id="2"/>
        <w:t>*</w:t>
      </w:r>
    </w:p>
    <w:p w14:paraId="7E602568" w14:textId="4BA23205" w:rsidR="00D609C2" w:rsidRPr="006A5361" w:rsidRDefault="008C2E3B" w:rsidP="00C8196A">
      <w:pPr>
        <w:pStyle w:val="Venuedate"/>
        <w:ind w:left="0" w:firstLine="0"/>
        <w:rPr>
          <w:b/>
          <w:bCs w:val="0"/>
        </w:rPr>
      </w:pPr>
      <w:r w:rsidRPr="006A5361">
        <w:rPr>
          <w:b/>
          <w:bCs w:val="0"/>
        </w:rPr>
        <w:t>Outcomes of the tenth meeting of the Conference of the Parties serving as the meeting of the Parties to the Cartagena Protocol on Biosafety regarding items relevant to compliance</w:t>
      </w:r>
    </w:p>
    <w:p w14:paraId="7B31F626" w14:textId="0487E46A" w:rsidR="008A4787" w:rsidRPr="006A5361" w:rsidRDefault="000852AB" w:rsidP="000852AB">
      <w:pPr>
        <w:pStyle w:val="Title"/>
        <w:tabs>
          <w:tab w:val="left" w:pos="540"/>
        </w:tabs>
        <w:ind w:left="540"/>
        <w:jc w:val="left"/>
      </w:pPr>
      <w:sdt>
        <w:sdtPr>
          <w:alias w:val="Title"/>
          <w:tag w:val=""/>
          <w:id w:val="-1869446449"/>
          <w:placeholder>
            <w:docPart w:val="79CCC1EF6EA74C1FA69465BB67D46B85"/>
          </w:placeholder>
          <w:dataBinding w:prefixMappings="xmlns:ns0='http://purl.org/dc/elements/1.1/' xmlns:ns1='http://schemas.openxmlformats.org/package/2006/metadata/core-properties' " w:xpath="/ns1:coreProperties[1]/ns0:title[1]" w:storeItemID="{6C3C8BC8-F283-45AE-878A-BAB7291924A1}"/>
          <w:text/>
        </w:sdtPr>
        <w:sdtContent>
          <w:r w:rsidRPr="000852AB">
            <w:t>Outcomes of the tenth meeting of the Conference of the Parties serving as the meeting of the Parties to the Cartagena Protocol on Biosafety regarding items relevant to compliance</w:t>
          </w:r>
        </w:sdtContent>
      </w:sdt>
      <w:bookmarkEnd w:id="1"/>
    </w:p>
    <w:p w14:paraId="6908A0DC" w14:textId="46BD12A1" w:rsidR="00A96B21" w:rsidRPr="006A5361" w:rsidRDefault="00A96B21" w:rsidP="00B6543C">
      <w:pPr>
        <w:pStyle w:val="Title"/>
        <w:tabs>
          <w:tab w:val="left" w:pos="540"/>
        </w:tabs>
        <w:ind w:left="540"/>
        <w:rPr>
          <w:rFonts w:ascii="Times New Roman" w:hAnsi="Times New Roman"/>
          <w:sz w:val="22"/>
          <w:szCs w:val="22"/>
        </w:rPr>
      </w:pPr>
      <w:r w:rsidRPr="006A5361">
        <w:rPr>
          <w:rFonts w:ascii="Times New Roman" w:hAnsi="Times New Roman"/>
          <w:sz w:val="22"/>
          <w:szCs w:val="22"/>
        </w:rPr>
        <w:t>Note by the Secretariat</w:t>
      </w:r>
    </w:p>
    <w:p w14:paraId="0B100D43" w14:textId="57F69C7C" w:rsidR="00FA18C9" w:rsidRPr="00C8196A" w:rsidRDefault="00DD6A8F" w:rsidP="00B6543C">
      <w:pPr>
        <w:pStyle w:val="Heading1"/>
        <w:tabs>
          <w:tab w:val="left" w:pos="540"/>
        </w:tabs>
        <w:ind w:left="540" w:hanging="540"/>
        <w:rPr>
          <w:lang w:val="en-GB"/>
        </w:rPr>
      </w:pPr>
      <w:r w:rsidRPr="00C8196A">
        <w:rPr>
          <w:lang w:val="en-GB"/>
        </w:rPr>
        <w:t>Introduction</w:t>
      </w:r>
    </w:p>
    <w:p w14:paraId="1644D1C6" w14:textId="13D62DE9" w:rsidR="00D609C2" w:rsidRPr="00C8196A" w:rsidRDefault="00D609C2" w:rsidP="00C8196A">
      <w:pPr>
        <w:pStyle w:val="Para10"/>
        <w:numPr>
          <w:ilvl w:val="0"/>
          <w:numId w:val="6"/>
        </w:numPr>
        <w:tabs>
          <w:tab w:val="clear" w:pos="360"/>
          <w:tab w:val="clear" w:pos="1134"/>
          <w:tab w:val="left" w:pos="1080"/>
        </w:tabs>
        <w:spacing w:after="0"/>
        <w:ind w:left="540"/>
        <w:rPr>
          <w:snapToGrid w:val="0"/>
          <w:kern w:val="22"/>
          <w:szCs w:val="22"/>
          <w:lang w:val="en-GB"/>
        </w:rPr>
      </w:pPr>
      <w:r w:rsidRPr="00C8196A">
        <w:rPr>
          <w:snapToGrid w:val="0"/>
          <w:kern w:val="22"/>
          <w:szCs w:val="22"/>
          <w:lang w:val="en-GB"/>
        </w:rPr>
        <w:t xml:space="preserve">The tenth meeting of the Conference of the Parties serving as the meeting of the Parties to the Cartagena Protocol on Biosafety </w:t>
      </w:r>
      <w:r w:rsidR="00561C70" w:rsidRPr="00C8196A">
        <w:rPr>
          <w:snapToGrid w:val="0"/>
          <w:kern w:val="22"/>
          <w:szCs w:val="22"/>
          <w:lang w:val="en-GB"/>
        </w:rPr>
        <w:t xml:space="preserve">to the Convention on Biological Diversity </w:t>
      </w:r>
      <w:r w:rsidRPr="00C8196A">
        <w:rPr>
          <w:snapToGrid w:val="0"/>
          <w:kern w:val="22"/>
          <w:szCs w:val="22"/>
          <w:lang w:val="en-GB"/>
        </w:rPr>
        <w:t xml:space="preserve">was held in two parts. </w:t>
      </w:r>
      <w:r w:rsidR="00831467" w:rsidRPr="00C8196A">
        <w:rPr>
          <w:snapToGrid w:val="0"/>
          <w:kern w:val="22"/>
          <w:szCs w:val="22"/>
          <w:lang w:val="en-GB"/>
        </w:rPr>
        <w:t xml:space="preserve">The first </w:t>
      </w:r>
      <w:r w:rsidR="00831467" w:rsidRPr="00C8196A">
        <w:rPr>
          <w:rFonts w:eastAsia="SimSun"/>
          <w:kern w:val="22"/>
          <w:lang w:val="en-GB"/>
        </w:rPr>
        <w:t>p</w:t>
      </w:r>
      <w:r w:rsidRPr="00C8196A">
        <w:rPr>
          <w:rFonts w:eastAsia="SimSun"/>
          <w:kern w:val="22"/>
          <w:lang w:val="en-GB"/>
        </w:rPr>
        <w:t xml:space="preserve">art was a hybrid meeting with the in-person component </w:t>
      </w:r>
      <w:r w:rsidR="009B1F02">
        <w:rPr>
          <w:rFonts w:eastAsia="SimSun"/>
          <w:kern w:val="22"/>
          <w:lang w:val="en-GB"/>
        </w:rPr>
        <w:t xml:space="preserve">held </w:t>
      </w:r>
      <w:r w:rsidRPr="00C8196A">
        <w:rPr>
          <w:rFonts w:eastAsia="SimSun"/>
          <w:kern w:val="22"/>
          <w:lang w:val="en-GB"/>
        </w:rPr>
        <w:t>in Kunming, China, from 11 to 15</w:t>
      </w:r>
      <w:r w:rsidR="0013019B">
        <w:rPr>
          <w:rFonts w:eastAsia="SimSun"/>
          <w:kern w:val="22"/>
          <w:lang w:val="en-GB"/>
        </w:rPr>
        <w:t> </w:t>
      </w:r>
      <w:r w:rsidRPr="00C8196A">
        <w:rPr>
          <w:rFonts w:eastAsia="SimSun"/>
          <w:kern w:val="22"/>
          <w:lang w:val="en-GB"/>
        </w:rPr>
        <w:t xml:space="preserve">October 2021. </w:t>
      </w:r>
      <w:r w:rsidR="00EE1AD9" w:rsidRPr="00C8196A">
        <w:rPr>
          <w:rFonts w:eastAsia="SimSun"/>
          <w:kern w:val="22"/>
          <w:lang w:val="en-GB"/>
        </w:rPr>
        <w:t>The second p</w:t>
      </w:r>
      <w:r w:rsidRPr="00C8196A">
        <w:rPr>
          <w:rFonts w:eastAsia="SimSun"/>
          <w:kern w:val="22"/>
          <w:lang w:val="en-GB"/>
        </w:rPr>
        <w:t>art</w:t>
      </w:r>
      <w:r w:rsidRPr="00C8196A">
        <w:rPr>
          <w:snapToGrid w:val="0"/>
          <w:kern w:val="22"/>
          <w:szCs w:val="22"/>
          <w:lang w:val="en-GB"/>
        </w:rPr>
        <w:t xml:space="preserve"> was held in </w:t>
      </w:r>
      <w:r w:rsidRPr="00C8196A">
        <w:rPr>
          <w:noProof/>
          <w:snapToGrid w:val="0"/>
          <w:kern w:val="22"/>
          <w:szCs w:val="22"/>
          <w:lang w:val="en-GB"/>
        </w:rPr>
        <w:t>Montreal, Canada</w:t>
      </w:r>
      <w:r w:rsidRPr="00C8196A">
        <w:rPr>
          <w:snapToGrid w:val="0"/>
          <w:kern w:val="22"/>
          <w:szCs w:val="22"/>
          <w:lang w:val="en-GB"/>
        </w:rPr>
        <w:t xml:space="preserve">, from 7 to 19 December 2022. The meeting was held concurrently with the fifteenth </w:t>
      </w:r>
      <w:r w:rsidRPr="00C8196A">
        <w:rPr>
          <w:kern w:val="22"/>
          <w:szCs w:val="22"/>
          <w:lang w:val="en-GB"/>
        </w:rPr>
        <w:t>meeting</w:t>
      </w:r>
      <w:r w:rsidRPr="00C8196A">
        <w:rPr>
          <w:snapToGrid w:val="0"/>
          <w:kern w:val="22"/>
          <w:szCs w:val="22"/>
          <w:lang w:val="en-GB"/>
        </w:rPr>
        <w:t xml:space="preserve"> of the Conference of the Parties </w:t>
      </w:r>
      <w:r w:rsidR="006C43D8" w:rsidRPr="00C8196A">
        <w:rPr>
          <w:snapToGrid w:val="0"/>
          <w:kern w:val="22"/>
          <w:szCs w:val="22"/>
          <w:lang w:val="en-GB"/>
        </w:rPr>
        <w:t>to the Convention</w:t>
      </w:r>
      <w:r w:rsidR="00B16F4F" w:rsidRPr="00C8196A">
        <w:rPr>
          <w:snapToGrid w:val="0"/>
          <w:kern w:val="22"/>
          <w:szCs w:val="22"/>
          <w:lang w:val="en-GB"/>
        </w:rPr>
        <w:t xml:space="preserve"> </w:t>
      </w:r>
      <w:r w:rsidRPr="00C8196A">
        <w:rPr>
          <w:snapToGrid w:val="0"/>
          <w:kern w:val="22"/>
          <w:szCs w:val="22"/>
          <w:lang w:val="en-GB"/>
        </w:rPr>
        <w:t xml:space="preserve">and the fourth meeting of the Conference of the Parties serving as the meeting of the Parties to the Nagoya Protocol on Access to Genetic Resources and the Fair and Equitable Sharing of the Benefits Arising from their Utilization. The Conference of the Parties serving as the meeting of the Parties to the </w:t>
      </w:r>
      <w:r w:rsidR="00216C6B" w:rsidRPr="00C8196A">
        <w:rPr>
          <w:snapToGrid w:val="0"/>
          <w:kern w:val="22"/>
          <w:szCs w:val="22"/>
          <w:lang w:val="en-GB"/>
        </w:rPr>
        <w:t xml:space="preserve">Cartagena </w:t>
      </w:r>
      <w:r w:rsidRPr="00C8196A">
        <w:rPr>
          <w:snapToGrid w:val="0"/>
          <w:kern w:val="22"/>
          <w:szCs w:val="22"/>
          <w:lang w:val="en-GB"/>
        </w:rPr>
        <w:t>Protocol</w:t>
      </w:r>
      <w:r w:rsidRPr="00C8196A" w:rsidDel="00B669AA">
        <w:rPr>
          <w:snapToGrid w:val="0"/>
          <w:kern w:val="22"/>
          <w:szCs w:val="22"/>
          <w:lang w:val="en-GB"/>
        </w:rPr>
        <w:t xml:space="preserve"> </w:t>
      </w:r>
      <w:r w:rsidRPr="00C8196A">
        <w:rPr>
          <w:snapToGrid w:val="0"/>
          <w:kern w:val="22"/>
          <w:szCs w:val="22"/>
          <w:lang w:val="en-GB"/>
        </w:rPr>
        <w:t xml:space="preserve">considered the report submitted by the Compliance Committee </w:t>
      </w:r>
      <w:r w:rsidR="00DE7AB7" w:rsidRPr="00C8196A">
        <w:rPr>
          <w:snapToGrid w:val="0"/>
          <w:kern w:val="22"/>
          <w:szCs w:val="22"/>
          <w:lang w:val="en-GB"/>
        </w:rPr>
        <w:t xml:space="preserve">under the Cartagena Protocol </w:t>
      </w:r>
      <w:r w:rsidRPr="00C8196A">
        <w:rPr>
          <w:snapToGrid w:val="0"/>
          <w:kern w:val="22"/>
          <w:szCs w:val="22"/>
          <w:lang w:val="en-GB"/>
        </w:rPr>
        <w:t xml:space="preserve">on the work </w:t>
      </w:r>
      <w:r w:rsidR="00747DDE">
        <w:rPr>
          <w:snapToGrid w:val="0"/>
          <w:kern w:val="22"/>
          <w:szCs w:val="22"/>
          <w:lang w:val="en-GB"/>
        </w:rPr>
        <w:t xml:space="preserve">that the latter </w:t>
      </w:r>
      <w:r w:rsidR="00414055" w:rsidRPr="00C8196A">
        <w:rPr>
          <w:snapToGrid w:val="0"/>
          <w:kern w:val="22"/>
          <w:szCs w:val="22"/>
          <w:lang w:val="en-GB"/>
        </w:rPr>
        <w:t xml:space="preserve">conducted </w:t>
      </w:r>
      <w:r w:rsidR="003120A8" w:rsidRPr="00C8196A">
        <w:rPr>
          <w:snapToGrid w:val="0"/>
          <w:kern w:val="22"/>
          <w:szCs w:val="22"/>
          <w:lang w:val="en-GB"/>
        </w:rPr>
        <w:t>at</w:t>
      </w:r>
      <w:r w:rsidRPr="00C8196A">
        <w:rPr>
          <w:snapToGrid w:val="0"/>
          <w:kern w:val="22"/>
          <w:szCs w:val="22"/>
          <w:lang w:val="en-GB"/>
        </w:rPr>
        <w:t xml:space="preserve"> its sixteenth </w:t>
      </w:r>
      <w:r w:rsidR="00414055" w:rsidRPr="00C8196A">
        <w:rPr>
          <w:snapToGrid w:val="0"/>
          <w:kern w:val="22"/>
          <w:szCs w:val="22"/>
          <w:lang w:val="en-GB"/>
        </w:rPr>
        <w:t xml:space="preserve">(29–31 May 2019) </w:t>
      </w:r>
      <w:r w:rsidRPr="00C8196A">
        <w:rPr>
          <w:snapToGrid w:val="0"/>
          <w:kern w:val="22"/>
          <w:szCs w:val="22"/>
          <w:lang w:val="en-GB"/>
        </w:rPr>
        <w:t xml:space="preserve">and seventeenth </w:t>
      </w:r>
      <w:r w:rsidR="005B1AF0" w:rsidRPr="00C8196A">
        <w:rPr>
          <w:snapToGrid w:val="0"/>
          <w:kern w:val="22"/>
          <w:szCs w:val="22"/>
          <w:lang w:val="en-GB"/>
        </w:rPr>
        <w:t>(15</w:t>
      </w:r>
      <w:r w:rsidR="00414055" w:rsidRPr="00C8196A">
        <w:rPr>
          <w:snapToGrid w:val="0"/>
          <w:kern w:val="22"/>
          <w:szCs w:val="22"/>
          <w:lang w:val="en-GB"/>
        </w:rPr>
        <w:t>–</w:t>
      </w:r>
      <w:r w:rsidR="005B1AF0" w:rsidRPr="00C8196A">
        <w:rPr>
          <w:snapToGrid w:val="0"/>
          <w:kern w:val="22"/>
          <w:szCs w:val="22"/>
          <w:lang w:val="en-GB"/>
        </w:rPr>
        <w:t xml:space="preserve">17 April 2020) </w:t>
      </w:r>
      <w:r w:rsidRPr="00C8196A">
        <w:rPr>
          <w:snapToGrid w:val="0"/>
          <w:kern w:val="22"/>
          <w:szCs w:val="22"/>
          <w:lang w:val="en-GB"/>
        </w:rPr>
        <w:t>meetings,</w:t>
      </w:r>
      <w:r w:rsidR="00375982">
        <w:rPr>
          <w:rStyle w:val="FootnoteReference"/>
          <w:snapToGrid w:val="0"/>
          <w:kern w:val="22"/>
          <w:szCs w:val="22"/>
          <w:lang w:val="en-GB"/>
        </w:rPr>
        <w:footnoteReference w:id="3"/>
      </w:r>
      <w:r w:rsidRPr="00C8196A">
        <w:rPr>
          <w:snapToGrid w:val="0"/>
          <w:kern w:val="22"/>
          <w:szCs w:val="22"/>
          <w:lang w:val="en-GB"/>
        </w:rPr>
        <w:t xml:space="preserve"> including recommendations, and adopted </w:t>
      </w:r>
      <w:proofErr w:type="gramStart"/>
      <w:r w:rsidRPr="00C8196A">
        <w:rPr>
          <w:snapToGrid w:val="0"/>
          <w:kern w:val="22"/>
          <w:szCs w:val="22"/>
          <w:lang w:val="en-GB"/>
        </w:rPr>
        <w:t>a number of</w:t>
      </w:r>
      <w:proofErr w:type="gramEnd"/>
      <w:r w:rsidRPr="00C8196A">
        <w:rPr>
          <w:snapToGrid w:val="0"/>
          <w:kern w:val="22"/>
          <w:szCs w:val="22"/>
          <w:lang w:val="en-GB"/>
        </w:rPr>
        <w:t xml:space="preserve"> decisions.</w:t>
      </w:r>
    </w:p>
    <w:p w14:paraId="69305ED6" w14:textId="480F2260" w:rsidR="00D609C2" w:rsidRPr="00C8196A" w:rsidRDefault="00D609C2" w:rsidP="00B6543C">
      <w:pPr>
        <w:pStyle w:val="Para10"/>
        <w:numPr>
          <w:ilvl w:val="0"/>
          <w:numId w:val="6"/>
        </w:numPr>
        <w:tabs>
          <w:tab w:val="clear" w:pos="360"/>
          <w:tab w:val="clear" w:pos="1134"/>
          <w:tab w:val="left" w:pos="1080"/>
        </w:tabs>
        <w:spacing w:after="0"/>
        <w:ind w:left="540"/>
        <w:rPr>
          <w:kern w:val="22"/>
          <w:szCs w:val="22"/>
          <w:lang w:val="en-GB"/>
        </w:rPr>
      </w:pPr>
      <w:r w:rsidRPr="00C8196A">
        <w:rPr>
          <w:kern w:val="22"/>
          <w:szCs w:val="22"/>
          <w:lang w:val="en-GB"/>
        </w:rPr>
        <w:t xml:space="preserve">Section II of the present document </w:t>
      </w:r>
      <w:r w:rsidR="00012F51" w:rsidRPr="00C8196A">
        <w:rPr>
          <w:kern w:val="22"/>
          <w:szCs w:val="22"/>
          <w:lang w:val="en-GB"/>
        </w:rPr>
        <w:t xml:space="preserve">contains </w:t>
      </w:r>
      <w:r w:rsidRPr="00C8196A">
        <w:rPr>
          <w:kern w:val="22"/>
          <w:szCs w:val="22"/>
          <w:lang w:val="en-GB"/>
        </w:rPr>
        <w:t>an overview of decisions relevan</w:t>
      </w:r>
      <w:r w:rsidR="00F64A66">
        <w:rPr>
          <w:kern w:val="22"/>
          <w:szCs w:val="22"/>
          <w:lang w:val="en-GB"/>
        </w:rPr>
        <w:t>t</w:t>
      </w:r>
      <w:r w:rsidRPr="00C8196A">
        <w:rPr>
          <w:kern w:val="22"/>
          <w:szCs w:val="22"/>
          <w:lang w:val="en-GB"/>
        </w:rPr>
        <w:t xml:space="preserve"> to compliance </w:t>
      </w:r>
      <w:r w:rsidR="003F3DDE">
        <w:rPr>
          <w:kern w:val="22"/>
          <w:szCs w:val="22"/>
          <w:lang w:val="en-GB"/>
        </w:rPr>
        <w:t xml:space="preserve">that </w:t>
      </w:r>
      <w:r w:rsidRPr="00C8196A">
        <w:rPr>
          <w:kern w:val="22"/>
          <w:szCs w:val="22"/>
          <w:lang w:val="en-GB"/>
        </w:rPr>
        <w:t xml:space="preserve">the Conference of the Parties serving as the meeting of the Parties to the Protocol </w:t>
      </w:r>
      <w:r w:rsidR="003F3DDE">
        <w:rPr>
          <w:kern w:val="22"/>
          <w:szCs w:val="22"/>
          <w:lang w:val="en-GB"/>
        </w:rPr>
        <w:t xml:space="preserve">adopted </w:t>
      </w:r>
      <w:r w:rsidRPr="00C8196A">
        <w:rPr>
          <w:kern w:val="22"/>
          <w:szCs w:val="22"/>
          <w:lang w:val="en-GB"/>
        </w:rPr>
        <w:t>at its tenth meeting</w:t>
      </w:r>
      <w:r w:rsidR="00F44F74" w:rsidRPr="00C8196A">
        <w:rPr>
          <w:kern w:val="22"/>
          <w:szCs w:val="22"/>
          <w:lang w:val="en-GB"/>
        </w:rPr>
        <w:t>,</w:t>
      </w:r>
      <w:r w:rsidRPr="00C8196A">
        <w:rPr>
          <w:kern w:val="22"/>
          <w:szCs w:val="22"/>
          <w:lang w:val="en-GB"/>
        </w:rPr>
        <w:t xml:space="preserve"> </w:t>
      </w:r>
      <w:bookmarkStart w:id="2" w:name="_Hlk137220110"/>
      <w:r w:rsidR="00F44F74" w:rsidRPr="00C8196A">
        <w:rPr>
          <w:kern w:val="22"/>
          <w:szCs w:val="22"/>
          <w:lang w:val="en-GB"/>
        </w:rPr>
        <w:t xml:space="preserve">as well as </w:t>
      </w:r>
      <w:r w:rsidRPr="00C8196A">
        <w:rPr>
          <w:kern w:val="22"/>
          <w:szCs w:val="22"/>
          <w:lang w:val="en-GB"/>
        </w:rPr>
        <w:t xml:space="preserve">other decisions adopted by the </w:t>
      </w:r>
      <w:r w:rsidR="00AD73C0">
        <w:rPr>
          <w:kern w:val="22"/>
          <w:szCs w:val="22"/>
          <w:lang w:val="en-GB"/>
        </w:rPr>
        <w:t xml:space="preserve">same body </w:t>
      </w:r>
      <w:r w:rsidR="009A27A5" w:rsidRPr="00C8196A">
        <w:rPr>
          <w:kern w:val="22"/>
          <w:szCs w:val="22"/>
          <w:lang w:val="en-GB"/>
        </w:rPr>
        <w:t xml:space="preserve">and </w:t>
      </w:r>
      <w:r w:rsidR="00AD73C0">
        <w:rPr>
          <w:kern w:val="22"/>
          <w:szCs w:val="22"/>
          <w:lang w:val="en-GB"/>
        </w:rPr>
        <w:t xml:space="preserve">by </w:t>
      </w:r>
      <w:r w:rsidR="009A27A5" w:rsidRPr="00C8196A">
        <w:rPr>
          <w:kern w:val="22"/>
          <w:szCs w:val="22"/>
          <w:lang w:val="en-GB"/>
        </w:rPr>
        <w:t xml:space="preserve">the Conference of the Parties </w:t>
      </w:r>
      <w:r w:rsidR="00B6473F" w:rsidRPr="00C8196A">
        <w:rPr>
          <w:kern w:val="22"/>
          <w:szCs w:val="22"/>
          <w:lang w:val="en-GB"/>
        </w:rPr>
        <w:t xml:space="preserve">to the Convention </w:t>
      </w:r>
      <w:r w:rsidRPr="00C8196A">
        <w:rPr>
          <w:kern w:val="22"/>
          <w:szCs w:val="22"/>
          <w:lang w:val="en-GB"/>
        </w:rPr>
        <w:t xml:space="preserve">that may </w:t>
      </w:r>
      <w:r w:rsidR="00DF1A06" w:rsidRPr="00C8196A">
        <w:rPr>
          <w:kern w:val="22"/>
          <w:szCs w:val="22"/>
          <w:lang w:val="en-GB"/>
        </w:rPr>
        <w:t xml:space="preserve">be of interest to the work of the </w:t>
      </w:r>
      <w:r w:rsidR="00493B5B">
        <w:rPr>
          <w:kern w:val="22"/>
          <w:szCs w:val="22"/>
          <w:lang w:val="en-GB"/>
        </w:rPr>
        <w:t xml:space="preserve">Compliance </w:t>
      </w:r>
      <w:r w:rsidR="00DF1A06" w:rsidRPr="00C8196A">
        <w:rPr>
          <w:kern w:val="22"/>
          <w:szCs w:val="22"/>
          <w:lang w:val="en-GB"/>
        </w:rPr>
        <w:t>Committee.</w:t>
      </w:r>
      <w:bookmarkEnd w:id="2"/>
      <w:r w:rsidRPr="00C8196A">
        <w:rPr>
          <w:kern w:val="22"/>
          <w:szCs w:val="22"/>
          <w:lang w:val="en-GB"/>
        </w:rPr>
        <w:t xml:space="preserve"> </w:t>
      </w:r>
      <w:r w:rsidR="00D528A2" w:rsidRPr="00C8196A">
        <w:rPr>
          <w:kern w:val="22"/>
          <w:szCs w:val="22"/>
          <w:lang w:val="en-GB"/>
        </w:rPr>
        <w:t>A</w:t>
      </w:r>
      <w:r w:rsidRPr="00C8196A">
        <w:rPr>
          <w:kern w:val="22"/>
          <w:szCs w:val="22"/>
          <w:lang w:val="en-GB"/>
        </w:rPr>
        <w:t xml:space="preserve"> possible workplan for the Committee for the current intersessional period</w:t>
      </w:r>
      <w:r w:rsidR="00D528A2" w:rsidRPr="00C8196A">
        <w:rPr>
          <w:kern w:val="22"/>
          <w:szCs w:val="22"/>
          <w:lang w:val="en-GB"/>
        </w:rPr>
        <w:t xml:space="preserve"> is proposed in section III</w:t>
      </w:r>
      <w:r w:rsidRPr="00C8196A">
        <w:rPr>
          <w:kern w:val="22"/>
          <w:szCs w:val="22"/>
          <w:lang w:val="en-GB"/>
        </w:rPr>
        <w:t xml:space="preserve">. </w:t>
      </w:r>
      <w:r w:rsidR="00DF29BB" w:rsidRPr="00C8196A">
        <w:rPr>
          <w:kern w:val="22"/>
          <w:szCs w:val="22"/>
          <w:lang w:val="en-GB"/>
        </w:rPr>
        <w:t>Lastly,</w:t>
      </w:r>
      <w:r w:rsidRPr="00C8196A">
        <w:rPr>
          <w:kern w:val="22"/>
          <w:szCs w:val="22"/>
          <w:lang w:val="en-GB"/>
        </w:rPr>
        <w:t xml:space="preserve"> the current membership of the Committee</w:t>
      </w:r>
      <w:r w:rsidR="003F1B4C" w:rsidRPr="00C8196A">
        <w:rPr>
          <w:kern w:val="22"/>
          <w:szCs w:val="22"/>
          <w:lang w:val="en-GB"/>
        </w:rPr>
        <w:t xml:space="preserve"> is </w:t>
      </w:r>
      <w:r w:rsidR="00DA187C" w:rsidRPr="00C8196A">
        <w:rPr>
          <w:kern w:val="22"/>
          <w:szCs w:val="22"/>
          <w:lang w:val="en-GB"/>
        </w:rPr>
        <w:t>provided</w:t>
      </w:r>
      <w:r w:rsidR="003F1B4C" w:rsidRPr="00C8196A">
        <w:rPr>
          <w:kern w:val="22"/>
          <w:szCs w:val="22"/>
          <w:lang w:val="en-GB"/>
        </w:rPr>
        <w:t xml:space="preserve"> in section IV</w:t>
      </w:r>
      <w:r w:rsidR="00E77FCF">
        <w:rPr>
          <w:kern w:val="22"/>
          <w:szCs w:val="22"/>
          <w:lang w:val="en-GB"/>
        </w:rPr>
        <w:t>.</w:t>
      </w:r>
      <w:r w:rsidRPr="00C8196A">
        <w:rPr>
          <w:kern w:val="22"/>
          <w:szCs w:val="22"/>
          <w:lang w:val="en-GB"/>
        </w:rPr>
        <w:t xml:space="preserve"> </w:t>
      </w:r>
    </w:p>
    <w:p w14:paraId="6E665B83" w14:textId="07A68F87" w:rsidR="001F2962" w:rsidRPr="00C8196A" w:rsidRDefault="00D609C2" w:rsidP="00B6543C">
      <w:pPr>
        <w:pStyle w:val="Heading1"/>
        <w:ind w:left="540" w:hanging="540"/>
        <w:rPr>
          <w:lang w:val="en-GB"/>
        </w:rPr>
      </w:pPr>
      <w:r w:rsidRPr="00C8196A">
        <w:rPr>
          <w:lang w:val="en-GB"/>
        </w:rPr>
        <w:lastRenderedPageBreak/>
        <w:t>D</w:t>
      </w:r>
      <w:r w:rsidRPr="00C8196A">
        <w:rPr>
          <w:rFonts w:ascii="Times New Roman Bold" w:hAnsi="Times New Roman Bold" w:cs="Times New Roman Bold"/>
          <w:snapToGrid w:val="0"/>
          <w:kern w:val="22"/>
          <w:szCs w:val="22"/>
          <w:lang w:val="en-GB"/>
        </w:rPr>
        <w:t xml:space="preserve">ecisions </w:t>
      </w:r>
      <w:r w:rsidR="00D04A75">
        <w:rPr>
          <w:rFonts w:ascii="Times New Roman Bold" w:hAnsi="Times New Roman Bold" w:cs="Times New Roman Bold"/>
          <w:snapToGrid w:val="0"/>
          <w:kern w:val="22"/>
          <w:szCs w:val="22"/>
          <w:lang w:val="en-GB"/>
        </w:rPr>
        <w:t>adopted</w:t>
      </w:r>
      <w:r w:rsidR="00D04A75" w:rsidRPr="00C8196A">
        <w:rPr>
          <w:rFonts w:ascii="Times New Roman Bold" w:hAnsi="Times New Roman Bold" w:cs="Times New Roman Bold"/>
          <w:snapToGrid w:val="0"/>
          <w:kern w:val="22"/>
          <w:szCs w:val="22"/>
          <w:lang w:val="en-GB"/>
        </w:rPr>
        <w:t xml:space="preserve"> </w:t>
      </w:r>
      <w:r w:rsidRPr="00C8196A">
        <w:rPr>
          <w:rFonts w:ascii="Times New Roman Bold" w:hAnsi="Times New Roman Bold" w:cs="Times New Roman Bold"/>
          <w:snapToGrid w:val="0"/>
          <w:kern w:val="22"/>
          <w:szCs w:val="22"/>
          <w:lang w:val="en-GB"/>
        </w:rPr>
        <w:t xml:space="preserve">by the Conference of the Parties serving as the meeting of the Parties </w:t>
      </w:r>
      <w:r w:rsidR="00B30C3D" w:rsidRPr="00C8196A">
        <w:rPr>
          <w:rFonts w:ascii="Times New Roman Bold" w:hAnsi="Times New Roman Bold" w:cs="Times New Roman Bold"/>
          <w:snapToGrid w:val="0"/>
          <w:kern w:val="22"/>
          <w:szCs w:val="22"/>
          <w:lang w:val="en-GB"/>
        </w:rPr>
        <w:t xml:space="preserve">to the </w:t>
      </w:r>
      <w:r w:rsidR="00D04A75" w:rsidRPr="00CD4B70">
        <w:rPr>
          <w:snapToGrid w:val="0"/>
          <w:kern w:val="22"/>
          <w:szCs w:val="22"/>
          <w:lang w:val="en-GB"/>
        </w:rPr>
        <w:t xml:space="preserve">Cartagena </w:t>
      </w:r>
      <w:r w:rsidR="00B30C3D" w:rsidRPr="00C8196A">
        <w:rPr>
          <w:rFonts w:ascii="Times New Roman Bold" w:hAnsi="Times New Roman Bold" w:cs="Times New Roman Bold"/>
          <w:snapToGrid w:val="0"/>
          <w:kern w:val="22"/>
          <w:szCs w:val="22"/>
          <w:lang w:val="en-GB"/>
        </w:rPr>
        <w:t xml:space="preserve">Protocol </w:t>
      </w:r>
      <w:r w:rsidRPr="00C8196A">
        <w:rPr>
          <w:rFonts w:ascii="Times New Roman Bold" w:hAnsi="Times New Roman Bold" w:cs="Times New Roman Bold"/>
          <w:snapToGrid w:val="0"/>
          <w:kern w:val="22"/>
          <w:szCs w:val="22"/>
          <w:lang w:val="en-GB"/>
        </w:rPr>
        <w:t xml:space="preserve">with relevance to </w:t>
      </w:r>
      <w:proofErr w:type="gramStart"/>
      <w:r w:rsidRPr="00C8196A">
        <w:rPr>
          <w:rFonts w:ascii="Times New Roman Bold" w:hAnsi="Times New Roman Bold" w:cs="Times New Roman Bold"/>
          <w:snapToGrid w:val="0"/>
          <w:kern w:val="22"/>
          <w:szCs w:val="22"/>
          <w:lang w:val="en-GB"/>
        </w:rPr>
        <w:t>compliance</w:t>
      </w:r>
      <w:proofErr w:type="gramEnd"/>
    </w:p>
    <w:p w14:paraId="59167F5A" w14:textId="3F272C77" w:rsidR="00D609C2" w:rsidRPr="00C8196A" w:rsidRDefault="00D609C2" w:rsidP="00B6543C">
      <w:pPr>
        <w:pStyle w:val="Para1"/>
        <w:numPr>
          <w:ilvl w:val="0"/>
          <w:numId w:val="6"/>
        </w:numPr>
        <w:tabs>
          <w:tab w:val="left" w:pos="1080"/>
        </w:tabs>
        <w:ind w:left="540"/>
        <w:jc w:val="both"/>
        <w:rPr>
          <w:kern w:val="22"/>
          <w:sz w:val="22"/>
          <w:szCs w:val="22"/>
          <w:lang w:val="en-GB"/>
        </w:rPr>
      </w:pPr>
      <w:r w:rsidRPr="00C8196A">
        <w:rPr>
          <w:kern w:val="22"/>
          <w:sz w:val="22"/>
          <w:szCs w:val="22"/>
          <w:lang w:val="en-GB"/>
        </w:rPr>
        <w:t xml:space="preserve">The Compliance Committee to the Conference of the Parties serving as the meeting of the Parties </w:t>
      </w:r>
      <w:r w:rsidR="00B30C3D" w:rsidRPr="00C8196A">
        <w:rPr>
          <w:kern w:val="22"/>
          <w:sz w:val="22"/>
          <w:szCs w:val="22"/>
          <w:lang w:val="en-GB"/>
        </w:rPr>
        <w:t>to the Protocol</w:t>
      </w:r>
      <w:r w:rsidR="00B30C3D" w:rsidRPr="00C8196A" w:rsidDel="00B669AA">
        <w:rPr>
          <w:kern w:val="22"/>
          <w:szCs w:val="22"/>
          <w:lang w:val="en-GB"/>
        </w:rPr>
        <w:t xml:space="preserve"> </w:t>
      </w:r>
      <w:r w:rsidR="00A464C8">
        <w:rPr>
          <w:kern w:val="22"/>
          <w:sz w:val="22"/>
          <w:szCs w:val="22"/>
          <w:lang w:val="en-GB"/>
        </w:rPr>
        <w:t xml:space="preserve">submitted </w:t>
      </w:r>
      <w:r w:rsidRPr="00C8196A">
        <w:rPr>
          <w:kern w:val="22"/>
          <w:sz w:val="22"/>
          <w:szCs w:val="22"/>
          <w:lang w:val="en-GB"/>
        </w:rPr>
        <w:t xml:space="preserve">a consolidated report on </w:t>
      </w:r>
      <w:r w:rsidR="00A464C8">
        <w:rPr>
          <w:kern w:val="22"/>
          <w:sz w:val="22"/>
          <w:szCs w:val="22"/>
          <w:lang w:val="en-GB"/>
        </w:rPr>
        <w:t>its</w:t>
      </w:r>
      <w:r w:rsidR="00A464C8" w:rsidRPr="00C8196A">
        <w:rPr>
          <w:kern w:val="22"/>
          <w:sz w:val="22"/>
          <w:szCs w:val="22"/>
          <w:lang w:val="en-GB"/>
        </w:rPr>
        <w:t xml:space="preserve"> </w:t>
      </w:r>
      <w:r w:rsidRPr="00C8196A">
        <w:rPr>
          <w:kern w:val="22"/>
          <w:sz w:val="22"/>
          <w:szCs w:val="22"/>
          <w:lang w:val="en-GB"/>
        </w:rPr>
        <w:t xml:space="preserve">work </w:t>
      </w:r>
      <w:r w:rsidR="00AE5E10" w:rsidRPr="00C8196A">
        <w:rPr>
          <w:kern w:val="22"/>
          <w:sz w:val="22"/>
          <w:szCs w:val="22"/>
          <w:lang w:val="en-GB"/>
        </w:rPr>
        <w:t xml:space="preserve">carried out </w:t>
      </w:r>
      <w:r w:rsidR="00BC10E0" w:rsidRPr="00C8196A">
        <w:rPr>
          <w:kern w:val="22"/>
          <w:sz w:val="22"/>
          <w:szCs w:val="22"/>
          <w:lang w:val="en-GB"/>
        </w:rPr>
        <w:t>at its</w:t>
      </w:r>
      <w:r w:rsidRPr="00C8196A">
        <w:rPr>
          <w:kern w:val="22"/>
          <w:sz w:val="22"/>
          <w:szCs w:val="22"/>
          <w:lang w:val="en-GB"/>
        </w:rPr>
        <w:t xml:space="preserve"> sixteenth and seventeenth meetings, including recommendations</w:t>
      </w:r>
      <w:r w:rsidR="007238A3">
        <w:rPr>
          <w:kern w:val="22"/>
          <w:sz w:val="22"/>
          <w:szCs w:val="22"/>
          <w:lang w:val="en-GB"/>
        </w:rPr>
        <w:t xml:space="preserve"> that it had </w:t>
      </w:r>
      <w:r w:rsidRPr="00C8196A">
        <w:rPr>
          <w:kern w:val="22"/>
          <w:sz w:val="22"/>
          <w:szCs w:val="22"/>
          <w:lang w:val="en-GB"/>
        </w:rPr>
        <w:t xml:space="preserve">adopted </w:t>
      </w:r>
      <w:r w:rsidR="00C064C7" w:rsidRPr="00C8196A">
        <w:rPr>
          <w:kern w:val="22"/>
          <w:sz w:val="22"/>
          <w:szCs w:val="22"/>
          <w:lang w:val="en-GB"/>
        </w:rPr>
        <w:t xml:space="preserve">at </w:t>
      </w:r>
      <w:r w:rsidR="007238A3">
        <w:rPr>
          <w:kern w:val="22"/>
          <w:sz w:val="22"/>
          <w:szCs w:val="22"/>
          <w:lang w:val="en-GB"/>
        </w:rPr>
        <w:t xml:space="preserve">the latter </w:t>
      </w:r>
      <w:r w:rsidRPr="00C8196A">
        <w:rPr>
          <w:kern w:val="22"/>
          <w:sz w:val="22"/>
          <w:szCs w:val="22"/>
          <w:lang w:val="en-GB"/>
        </w:rPr>
        <w:t>meeting</w:t>
      </w:r>
      <w:r w:rsidR="00A537E4" w:rsidRPr="00C8196A">
        <w:rPr>
          <w:kern w:val="22"/>
          <w:sz w:val="22"/>
          <w:szCs w:val="22"/>
          <w:lang w:val="en-GB"/>
        </w:rPr>
        <w:t>.</w:t>
      </w:r>
    </w:p>
    <w:p w14:paraId="4F2075B6" w14:textId="55EC9DC5" w:rsidR="00D609C2" w:rsidRPr="00C8196A" w:rsidRDefault="002C664D" w:rsidP="00B6543C">
      <w:pPr>
        <w:pStyle w:val="Para10"/>
        <w:numPr>
          <w:ilvl w:val="0"/>
          <w:numId w:val="6"/>
        </w:numPr>
        <w:tabs>
          <w:tab w:val="clear" w:pos="1134"/>
          <w:tab w:val="left" w:pos="1080"/>
        </w:tabs>
        <w:spacing w:before="0"/>
        <w:ind w:left="540"/>
        <w:rPr>
          <w:szCs w:val="22"/>
          <w:lang w:val="en-GB"/>
        </w:rPr>
      </w:pPr>
      <w:bookmarkStart w:id="3" w:name="_Hlk143078730"/>
      <w:r w:rsidRPr="00C8196A">
        <w:rPr>
          <w:snapToGrid w:val="0"/>
          <w:kern w:val="22"/>
          <w:szCs w:val="22"/>
          <w:lang w:val="en-GB"/>
        </w:rPr>
        <w:t>T</w:t>
      </w:r>
      <w:r w:rsidR="00D609C2" w:rsidRPr="00C8196A">
        <w:rPr>
          <w:snapToGrid w:val="0"/>
          <w:kern w:val="22"/>
          <w:szCs w:val="22"/>
          <w:lang w:val="en-GB"/>
        </w:rPr>
        <w:t xml:space="preserve">he Chair of the </w:t>
      </w:r>
      <w:r w:rsidR="00493B5B">
        <w:rPr>
          <w:kern w:val="22"/>
          <w:szCs w:val="22"/>
          <w:lang w:val="en-GB"/>
        </w:rPr>
        <w:t xml:space="preserve">Compliance </w:t>
      </w:r>
      <w:r w:rsidR="00D609C2" w:rsidRPr="00C8196A">
        <w:rPr>
          <w:snapToGrid w:val="0"/>
          <w:kern w:val="22"/>
          <w:szCs w:val="22"/>
          <w:lang w:val="en-GB"/>
        </w:rPr>
        <w:t>Committee</w:t>
      </w:r>
      <w:bookmarkEnd w:id="3"/>
      <w:r w:rsidR="00D609C2" w:rsidRPr="00C8196A">
        <w:rPr>
          <w:snapToGrid w:val="0"/>
          <w:kern w:val="22"/>
          <w:szCs w:val="22"/>
          <w:lang w:val="en-GB"/>
        </w:rPr>
        <w:t xml:space="preserve">, </w:t>
      </w:r>
      <w:proofErr w:type="spellStart"/>
      <w:r w:rsidR="00714D7D" w:rsidRPr="00C8196A">
        <w:rPr>
          <w:szCs w:val="22"/>
          <w:lang w:val="en-GB"/>
        </w:rPr>
        <w:t>Rigobert</w:t>
      </w:r>
      <w:proofErr w:type="spellEnd"/>
      <w:r w:rsidR="00714D7D" w:rsidRPr="00C8196A">
        <w:rPr>
          <w:szCs w:val="22"/>
          <w:lang w:val="en-GB"/>
        </w:rPr>
        <w:t xml:space="preserve"> </w:t>
      </w:r>
      <w:proofErr w:type="spellStart"/>
      <w:r w:rsidR="00714D7D" w:rsidRPr="00C8196A">
        <w:rPr>
          <w:szCs w:val="22"/>
          <w:lang w:val="en-GB"/>
        </w:rPr>
        <w:t>Ntep</w:t>
      </w:r>
      <w:proofErr w:type="spellEnd"/>
      <w:r w:rsidR="00714D7D" w:rsidRPr="00C8196A">
        <w:rPr>
          <w:szCs w:val="22"/>
          <w:lang w:val="en-GB"/>
        </w:rPr>
        <w:t xml:space="preserve">, </w:t>
      </w:r>
      <w:r w:rsidR="00D469AC">
        <w:rPr>
          <w:snapToGrid w:val="0"/>
          <w:kern w:val="22"/>
          <w:szCs w:val="22"/>
          <w:lang w:val="en-GB"/>
        </w:rPr>
        <w:t xml:space="preserve">presented </w:t>
      </w:r>
      <w:r w:rsidR="00D609C2" w:rsidRPr="00C8196A">
        <w:rPr>
          <w:snapToGrid w:val="0"/>
          <w:kern w:val="22"/>
          <w:szCs w:val="22"/>
          <w:lang w:val="en-GB"/>
        </w:rPr>
        <w:t xml:space="preserve">the report of the Committee during </w:t>
      </w:r>
      <w:r w:rsidR="00831467" w:rsidRPr="00C8196A">
        <w:rPr>
          <w:snapToGrid w:val="0"/>
          <w:kern w:val="22"/>
          <w:szCs w:val="22"/>
          <w:lang w:val="en-GB"/>
        </w:rPr>
        <w:t xml:space="preserve">the first </w:t>
      </w:r>
      <w:r w:rsidR="00D609C2" w:rsidRPr="00C8196A">
        <w:rPr>
          <w:snapToGrid w:val="0"/>
          <w:kern w:val="22"/>
          <w:szCs w:val="22"/>
          <w:lang w:val="en-GB"/>
        </w:rPr>
        <w:t xml:space="preserve">part of the </w:t>
      </w:r>
      <w:r w:rsidR="00D469AC">
        <w:rPr>
          <w:snapToGrid w:val="0"/>
          <w:kern w:val="22"/>
          <w:szCs w:val="22"/>
          <w:lang w:val="en-GB"/>
        </w:rPr>
        <w:t xml:space="preserve">tenth </w:t>
      </w:r>
      <w:r w:rsidR="00D609C2" w:rsidRPr="00C8196A">
        <w:rPr>
          <w:snapToGrid w:val="0"/>
          <w:kern w:val="22"/>
          <w:szCs w:val="22"/>
          <w:lang w:val="en-GB"/>
        </w:rPr>
        <w:t>meeting</w:t>
      </w:r>
      <w:r w:rsidR="001C5151">
        <w:rPr>
          <w:snapToGrid w:val="0"/>
          <w:kern w:val="22"/>
          <w:szCs w:val="22"/>
          <w:lang w:val="en-GB"/>
        </w:rPr>
        <w:t xml:space="preserve"> of t</w:t>
      </w:r>
      <w:r w:rsidR="00D609C2" w:rsidRPr="00C8196A">
        <w:rPr>
          <w:snapToGrid w:val="0"/>
          <w:kern w:val="22"/>
          <w:szCs w:val="22"/>
          <w:lang w:val="en-GB"/>
        </w:rPr>
        <w:t xml:space="preserve">he </w:t>
      </w:r>
      <w:r w:rsidR="00B30C3D" w:rsidRPr="00C8196A">
        <w:rPr>
          <w:kern w:val="22"/>
          <w:szCs w:val="22"/>
          <w:lang w:val="en-GB"/>
        </w:rPr>
        <w:t xml:space="preserve">Conference of the Parties serving as the meeting of the Parties </w:t>
      </w:r>
      <w:r w:rsidR="00B30C3D" w:rsidRPr="00C8196A">
        <w:rPr>
          <w:snapToGrid w:val="0"/>
          <w:kern w:val="22"/>
          <w:szCs w:val="22"/>
          <w:lang w:val="en-GB"/>
        </w:rPr>
        <w:t>to the Protocol</w:t>
      </w:r>
      <w:r w:rsidR="001C5151">
        <w:rPr>
          <w:snapToGrid w:val="0"/>
          <w:kern w:val="22"/>
          <w:szCs w:val="22"/>
          <w:lang w:val="en-GB"/>
        </w:rPr>
        <w:t>, which</w:t>
      </w:r>
      <w:r w:rsidR="00B30C3D" w:rsidRPr="00C8196A" w:rsidDel="00B669AA">
        <w:rPr>
          <w:snapToGrid w:val="0"/>
          <w:kern w:val="22"/>
          <w:szCs w:val="22"/>
          <w:lang w:val="en-GB"/>
        </w:rPr>
        <w:t xml:space="preserve"> </w:t>
      </w:r>
      <w:r w:rsidR="00D609C2" w:rsidRPr="00C8196A">
        <w:rPr>
          <w:snapToGrid w:val="0"/>
          <w:kern w:val="22"/>
          <w:szCs w:val="22"/>
          <w:lang w:val="en-GB"/>
        </w:rPr>
        <w:t xml:space="preserve">took note of the report and agreed to defer consideration of the Committee’s recommendations until </w:t>
      </w:r>
      <w:r w:rsidR="00831467" w:rsidRPr="00C8196A">
        <w:rPr>
          <w:snapToGrid w:val="0"/>
          <w:kern w:val="22"/>
          <w:szCs w:val="22"/>
          <w:lang w:val="en-GB"/>
        </w:rPr>
        <w:t xml:space="preserve">the second </w:t>
      </w:r>
      <w:r w:rsidR="00D609C2" w:rsidRPr="00C8196A">
        <w:rPr>
          <w:snapToGrid w:val="0"/>
          <w:kern w:val="22"/>
          <w:szCs w:val="22"/>
          <w:lang w:val="en-GB"/>
        </w:rPr>
        <w:t>part of the meeting</w:t>
      </w:r>
      <w:r w:rsidR="00B30C3D" w:rsidRPr="00C8196A">
        <w:rPr>
          <w:snapToGrid w:val="0"/>
          <w:kern w:val="22"/>
          <w:szCs w:val="22"/>
          <w:lang w:val="en-GB"/>
        </w:rPr>
        <w:t>.</w:t>
      </w:r>
      <w:r w:rsidR="00B30C3D" w:rsidRPr="00C8196A">
        <w:rPr>
          <w:rStyle w:val="FootnoteReference"/>
          <w:snapToGrid w:val="0"/>
          <w:kern w:val="22"/>
          <w:szCs w:val="22"/>
          <w:lang w:val="en-GB"/>
        </w:rPr>
        <w:footnoteReference w:id="4"/>
      </w:r>
    </w:p>
    <w:p w14:paraId="523E0604" w14:textId="11759F7A" w:rsidR="00D609C2" w:rsidRPr="00C8196A" w:rsidRDefault="00D609C2" w:rsidP="00B6543C">
      <w:pPr>
        <w:pStyle w:val="Para10"/>
        <w:numPr>
          <w:ilvl w:val="0"/>
          <w:numId w:val="6"/>
        </w:numPr>
        <w:tabs>
          <w:tab w:val="clear" w:pos="1134"/>
          <w:tab w:val="left" w:pos="1080"/>
        </w:tabs>
        <w:spacing w:before="0" w:after="0"/>
        <w:ind w:left="540"/>
        <w:rPr>
          <w:szCs w:val="22"/>
          <w:lang w:val="en-GB"/>
        </w:rPr>
      </w:pPr>
      <w:r w:rsidRPr="00C8196A">
        <w:rPr>
          <w:snapToGrid w:val="0"/>
          <w:kern w:val="22"/>
          <w:szCs w:val="22"/>
          <w:lang w:val="en-GB"/>
        </w:rPr>
        <w:t xml:space="preserve">The Chair of the </w:t>
      </w:r>
      <w:r w:rsidR="00493B5B">
        <w:rPr>
          <w:kern w:val="22"/>
          <w:szCs w:val="22"/>
          <w:lang w:val="en-GB"/>
        </w:rPr>
        <w:t xml:space="preserve">Compliance </w:t>
      </w:r>
      <w:r w:rsidRPr="00C8196A">
        <w:rPr>
          <w:snapToGrid w:val="0"/>
          <w:kern w:val="22"/>
          <w:szCs w:val="22"/>
          <w:lang w:val="en-GB"/>
        </w:rPr>
        <w:t xml:space="preserve">Committee made a statement at the opening plenary </w:t>
      </w:r>
      <w:r w:rsidR="0008220A" w:rsidRPr="00C8196A">
        <w:rPr>
          <w:snapToGrid w:val="0"/>
          <w:kern w:val="22"/>
          <w:szCs w:val="22"/>
          <w:lang w:val="en-GB"/>
        </w:rPr>
        <w:t xml:space="preserve">session </w:t>
      </w:r>
      <w:r w:rsidRPr="00C8196A">
        <w:rPr>
          <w:snapToGrid w:val="0"/>
          <w:kern w:val="22"/>
          <w:szCs w:val="22"/>
          <w:lang w:val="en-GB"/>
        </w:rPr>
        <w:t xml:space="preserve">of the second part of the tenth meeting to highlight the main substantive matters contained in the report and to provide additional context. </w:t>
      </w:r>
    </w:p>
    <w:p w14:paraId="3079A8F0" w14:textId="3421B044" w:rsidR="00D609C2" w:rsidRPr="00C8196A" w:rsidRDefault="00D609C2" w:rsidP="00B6543C">
      <w:pPr>
        <w:pStyle w:val="Para1"/>
        <w:numPr>
          <w:ilvl w:val="0"/>
          <w:numId w:val="6"/>
        </w:numPr>
        <w:tabs>
          <w:tab w:val="left" w:pos="1080"/>
        </w:tabs>
        <w:ind w:left="540"/>
        <w:jc w:val="both"/>
        <w:rPr>
          <w:kern w:val="22"/>
          <w:sz w:val="22"/>
          <w:szCs w:val="22"/>
          <w:lang w:val="en-GB"/>
        </w:rPr>
      </w:pPr>
      <w:r w:rsidRPr="00C8196A">
        <w:rPr>
          <w:kern w:val="22"/>
          <w:sz w:val="22"/>
          <w:szCs w:val="22"/>
          <w:lang w:val="en-GB"/>
        </w:rPr>
        <w:t>Following past practice</w:t>
      </w:r>
      <w:r w:rsidR="00445D0A">
        <w:rPr>
          <w:kern w:val="22"/>
          <w:sz w:val="22"/>
          <w:szCs w:val="22"/>
          <w:lang w:val="en-GB"/>
        </w:rPr>
        <w:t>,</w:t>
      </w:r>
      <w:r w:rsidRPr="00C8196A">
        <w:rPr>
          <w:kern w:val="22"/>
          <w:sz w:val="22"/>
          <w:szCs w:val="22"/>
          <w:lang w:val="en-GB"/>
        </w:rPr>
        <w:t xml:space="preserve"> and </w:t>
      </w:r>
      <w:r w:rsidR="007E023C">
        <w:rPr>
          <w:kern w:val="22"/>
          <w:sz w:val="22"/>
          <w:szCs w:val="22"/>
          <w:lang w:val="en-GB"/>
        </w:rPr>
        <w:t xml:space="preserve">further to </w:t>
      </w:r>
      <w:r w:rsidRPr="00C8196A">
        <w:rPr>
          <w:kern w:val="22"/>
          <w:sz w:val="22"/>
          <w:szCs w:val="22"/>
          <w:lang w:val="en-GB"/>
        </w:rPr>
        <w:t xml:space="preserve">the suggestion of the </w:t>
      </w:r>
      <w:r w:rsidR="008112A9">
        <w:rPr>
          <w:kern w:val="22"/>
          <w:sz w:val="22"/>
          <w:szCs w:val="22"/>
          <w:lang w:val="en-GB"/>
        </w:rPr>
        <w:t xml:space="preserve">Compliance </w:t>
      </w:r>
      <w:r w:rsidRPr="00C8196A">
        <w:rPr>
          <w:kern w:val="22"/>
          <w:sz w:val="22"/>
          <w:szCs w:val="22"/>
          <w:lang w:val="en-GB"/>
        </w:rPr>
        <w:t>Committee</w:t>
      </w:r>
      <w:r w:rsidR="0012261E">
        <w:rPr>
          <w:kern w:val="22"/>
          <w:sz w:val="22"/>
          <w:szCs w:val="22"/>
          <w:lang w:val="en-GB"/>
        </w:rPr>
        <w:t xml:space="preserve"> made </w:t>
      </w:r>
      <w:r w:rsidRPr="00C8196A">
        <w:rPr>
          <w:kern w:val="22"/>
          <w:sz w:val="22"/>
          <w:szCs w:val="22"/>
          <w:lang w:val="en-GB"/>
        </w:rPr>
        <w:t xml:space="preserve">in the annex to its report, </w:t>
      </w:r>
      <w:r w:rsidR="001F39C5" w:rsidRPr="00C8196A">
        <w:rPr>
          <w:kern w:val="22"/>
          <w:sz w:val="22"/>
          <w:szCs w:val="22"/>
          <w:lang w:val="en-GB"/>
        </w:rPr>
        <w:t xml:space="preserve">each </w:t>
      </w:r>
      <w:r w:rsidRPr="00C8196A">
        <w:rPr>
          <w:kern w:val="22"/>
          <w:sz w:val="22"/>
          <w:szCs w:val="22"/>
          <w:lang w:val="en-GB"/>
        </w:rPr>
        <w:t xml:space="preserve">recommendation of the Committee </w:t>
      </w:r>
      <w:r w:rsidR="001F39C5" w:rsidRPr="00C8196A">
        <w:rPr>
          <w:kern w:val="22"/>
          <w:sz w:val="22"/>
          <w:szCs w:val="22"/>
          <w:lang w:val="en-GB"/>
        </w:rPr>
        <w:t>was considered under</w:t>
      </w:r>
      <w:r w:rsidRPr="00C8196A">
        <w:rPr>
          <w:kern w:val="22"/>
          <w:sz w:val="22"/>
          <w:szCs w:val="22"/>
          <w:lang w:val="en-GB"/>
        </w:rPr>
        <w:t xml:space="preserve"> the </w:t>
      </w:r>
      <w:r w:rsidR="001F39C5" w:rsidRPr="00C8196A">
        <w:rPr>
          <w:kern w:val="22"/>
          <w:sz w:val="22"/>
          <w:szCs w:val="22"/>
          <w:lang w:val="en-GB"/>
        </w:rPr>
        <w:t xml:space="preserve">corresponding </w:t>
      </w:r>
      <w:r w:rsidRPr="00C8196A">
        <w:rPr>
          <w:kern w:val="22"/>
          <w:sz w:val="22"/>
          <w:szCs w:val="22"/>
          <w:lang w:val="en-GB"/>
        </w:rPr>
        <w:t xml:space="preserve">agenda item of the </w:t>
      </w:r>
      <w:r w:rsidR="00806DF5" w:rsidRPr="00C8196A">
        <w:rPr>
          <w:kern w:val="22"/>
          <w:sz w:val="22"/>
          <w:szCs w:val="22"/>
          <w:lang w:val="en-GB"/>
        </w:rPr>
        <w:t>tenth meeting</w:t>
      </w:r>
      <w:r w:rsidR="007E46DA" w:rsidRPr="00C8196A">
        <w:rPr>
          <w:kern w:val="22"/>
          <w:sz w:val="22"/>
          <w:szCs w:val="22"/>
          <w:lang w:val="en-GB"/>
        </w:rPr>
        <w:t>,</w:t>
      </w:r>
      <w:r w:rsidRPr="00C8196A">
        <w:rPr>
          <w:kern w:val="22"/>
          <w:sz w:val="22"/>
          <w:szCs w:val="22"/>
          <w:lang w:val="en-GB"/>
        </w:rPr>
        <w:t xml:space="preserve"> as reflected in the compilation of draft decisions for th</w:t>
      </w:r>
      <w:r w:rsidR="0012261E">
        <w:rPr>
          <w:kern w:val="22"/>
          <w:sz w:val="22"/>
          <w:szCs w:val="22"/>
          <w:lang w:val="en-GB"/>
        </w:rPr>
        <w:t>at</w:t>
      </w:r>
      <w:r w:rsidRPr="00C8196A">
        <w:rPr>
          <w:kern w:val="22"/>
          <w:sz w:val="22"/>
          <w:szCs w:val="22"/>
          <w:lang w:val="en-GB"/>
        </w:rPr>
        <w:t xml:space="preserve"> meeting</w:t>
      </w:r>
      <w:r w:rsidR="007E46DA" w:rsidRPr="00C8196A">
        <w:rPr>
          <w:kern w:val="22"/>
          <w:sz w:val="22"/>
          <w:szCs w:val="22"/>
          <w:lang w:val="en-GB"/>
        </w:rPr>
        <w:t>,</w:t>
      </w:r>
      <w:r w:rsidR="009A27A5" w:rsidRPr="00C8196A">
        <w:rPr>
          <w:rStyle w:val="FootnoteReference"/>
          <w:kern w:val="22"/>
          <w:sz w:val="22"/>
          <w:szCs w:val="22"/>
          <w:lang w:val="en-GB"/>
        </w:rPr>
        <w:footnoteReference w:id="5"/>
      </w:r>
      <w:r w:rsidR="0068098E" w:rsidRPr="0068098E">
        <w:rPr>
          <w:kern w:val="22"/>
          <w:sz w:val="22"/>
          <w:szCs w:val="22"/>
          <w:lang w:val="en-GB"/>
        </w:rPr>
        <w:t xml:space="preserve"> </w:t>
      </w:r>
      <w:r w:rsidR="0068098E" w:rsidRPr="00CD4B70">
        <w:rPr>
          <w:kern w:val="22"/>
          <w:sz w:val="22"/>
          <w:szCs w:val="22"/>
          <w:lang w:val="en-GB"/>
        </w:rPr>
        <w:t>namely:</w:t>
      </w:r>
    </w:p>
    <w:p w14:paraId="4652BEBA" w14:textId="7940309B" w:rsidR="00D609C2" w:rsidRPr="00C8196A" w:rsidRDefault="00D609C2" w:rsidP="00C8196A">
      <w:pPr>
        <w:pStyle w:val="Para1"/>
        <w:numPr>
          <w:ilvl w:val="1"/>
          <w:numId w:val="6"/>
        </w:numPr>
        <w:tabs>
          <w:tab w:val="clear" w:pos="1570"/>
          <w:tab w:val="left" w:pos="630"/>
          <w:tab w:val="num" w:pos="1701"/>
        </w:tabs>
        <w:spacing w:after="0"/>
        <w:ind w:left="630" w:firstLine="504"/>
        <w:jc w:val="both"/>
        <w:rPr>
          <w:kern w:val="22"/>
          <w:sz w:val="22"/>
          <w:szCs w:val="22"/>
          <w:lang w:val="en-GB"/>
        </w:rPr>
      </w:pPr>
      <w:r w:rsidRPr="00C8196A">
        <w:rPr>
          <w:kern w:val="22"/>
          <w:sz w:val="22"/>
          <w:szCs w:val="22"/>
          <w:lang w:val="en-GB"/>
        </w:rPr>
        <w:t xml:space="preserve">Recommendations 1 to 5 and 17 were considered under </w:t>
      </w:r>
      <w:r w:rsidR="00BE4598">
        <w:rPr>
          <w:kern w:val="22"/>
          <w:sz w:val="22"/>
          <w:szCs w:val="22"/>
          <w:lang w:val="en-GB"/>
        </w:rPr>
        <w:t xml:space="preserve">agenda </w:t>
      </w:r>
      <w:r w:rsidRPr="00C8196A">
        <w:rPr>
          <w:kern w:val="22"/>
          <w:sz w:val="22"/>
          <w:szCs w:val="22"/>
          <w:lang w:val="en-GB"/>
        </w:rPr>
        <w:t xml:space="preserve">item </w:t>
      </w:r>
      <w:r w:rsidR="00EC14B9">
        <w:rPr>
          <w:kern w:val="22"/>
          <w:sz w:val="22"/>
          <w:szCs w:val="22"/>
          <w:lang w:val="en-GB"/>
        </w:rPr>
        <w:t>5</w:t>
      </w:r>
      <w:r w:rsidRPr="00C8196A">
        <w:rPr>
          <w:kern w:val="22"/>
          <w:sz w:val="22"/>
          <w:szCs w:val="22"/>
          <w:lang w:val="en-GB"/>
        </w:rPr>
        <w:t xml:space="preserve"> </w:t>
      </w:r>
      <w:r w:rsidR="005B15A2" w:rsidRPr="00C8196A">
        <w:rPr>
          <w:kern w:val="22"/>
          <w:sz w:val="22"/>
          <w:szCs w:val="22"/>
          <w:lang w:val="en-GB"/>
        </w:rPr>
        <w:t>(</w:t>
      </w:r>
      <w:r w:rsidR="00EC14B9">
        <w:rPr>
          <w:kern w:val="22"/>
          <w:sz w:val="22"/>
          <w:szCs w:val="22"/>
          <w:lang w:val="en-GB"/>
        </w:rPr>
        <w:t xml:space="preserve">report of the </w:t>
      </w:r>
      <w:r w:rsidRPr="00C8196A">
        <w:rPr>
          <w:kern w:val="22"/>
          <w:sz w:val="22"/>
          <w:szCs w:val="22"/>
          <w:lang w:val="en-GB"/>
        </w:rPr>
        <w:t>Compliance</w:t>
      </w:r>
      <w:r w:rsidR="00EC14B9">
        <w:rPr>
          <w:kern w:val="22"/>
          <w:sz w:val="22"/>
          <w:szCs w:val="22"/>
          <w:lang w:val="en-GB"/>
        </w:rPr>
        <w:t xml:space="preserve"> Committee</w:t>
      </w:r>
      <w:proofErr w:type="gramStart"/>
      <w:r w:rsidR="005B15A2" w:rsidRPr="00C8196A">
        <w:rPr>
          <w:kern w:val="22"/>
          <w:sz w:val="22"/>
          <w:szCs w:val="22"/>
          <w:lang w:val="en-GB"/>
        </w:rPr>
        <w:t>)</w:t>
      </w:r>
      <w:r w:rsidRPr="00C8196A">
        <w:rPr>
          <w:kern w:val="22"/>
          <w:sz w:val="22"/>
          <w:szCs w:val="22"/>
          <w:lang w:val="en-GB"/>
        </w:rPr>
        <w:t>;</w:t>
      </w:r>
      <w:proofErr w:type="gramEnd"/>
    </w:p>
    <w:p w14:paraId="6F6BC09B" w14:textId="406781FE" w:rsidR="00D609C2" w:rsidRPr="00C8196A" w:rsidRDefault="00D609C2" w:rsidP="00C8196A">
      <w:pPr>
        <w:pStyle w:val="Para1"/>
        <w:numPr>
          <w:ilvl w:val="1"/>
          <w:numId w:val="6"/>
        </w:numPr>
        <w:tabs>
          <w:tab w:val="clear" w:pos="1570"/>
          <w:tab w:val="left" w:pos="630"/>
          <w:tab w:val="num" w:pos="1701"/>
        </w:tabs>
        <w:spacing w:after="0"/>
        <w:ind w:left="630" w:firstLine="504"/>
        <w:jc w:val="both"/>
        <w:rPr>
          <w:kern w:val="22"/>
          <w:sz w:val="22"/>
          <w:szCs w:val="22"/>
          <w:lang w:val="en-GB"/>
        </w:rPr>
      </w:pPr>
      <w:r w:rsidRPr="00C8196A">
        <w:rPr>
          <w:kern w:val="22"/>
          <w:sz w:val="22"/>
          <w:szCs w:val="22"/>
          <w:lang w:val="en-GB"/>
        </w:rPr>
        <w:t xml:space="preserve">Recommendations 6 to 11 were considered under </w:t>
      </w:r>
      <w:r w:rsidR="00BE4598">
        <w:rPr>
          <w:kern w:val="22"/>
          <w:sz w:val="22"/>
          <w:szCs w:val="22"/>
          <w:lang w:val="en-GB"/>
        </w:rPr>
        <w:t xml:space="preserve">agenda </w:t>
      </w:r>
      <w:r w:rsidRPr="00C8196A">
        <w:rPr>
          <w:kern w:val="22"/>
          <w:sz w:val="22"/>
          <w:szCs w:val="22"/>
          <w:lang w:val="en-GB"/>
        </w:rPr>
        <w:t xml:space="preserve">item 8 </w:t>
      </w:r>
      <w:r w:rsidR="00A56BF8" w:rsidRPr="00C8196A">
        <w:rPr>
          <w:kern w:val="22"/>
          <w:sz w:val="22"/>
          <w:szCs w:val="22"/>
          <w:lang w:val="en-GB"/>
        </w:rPr>
        <w:t>(m</w:t>
      </w:r>
      <w:r w:rsidRPr="00C8196A">
        <w:rPr>
          <w:kern w:val="22"/>
          <w:sz w:val="22"/>
          <w:szCs w:val="22"/>
          <w:lang w:val="en-GB"/>
        </w:rPr>
        <w:t>onitoring and reporting</w:t>
      </w:r>
      <w:proofErr w:type="gramStart"/>
      <w:r w:rsidR="00A56BF8" w:rsidRPr="00C8196A">
        <w:rPr>
          <w:kern w:val="22"/>
          <w:sz w:val="22"/>
          <w:szCs w:val="22"/>
          <w:lang w:val="en-GB"/>
        </w:rPr>
        <w:t>)</w:t>
      </w:r>
      <w:r w:rsidRPr="00C8196A">
        <w:rPr>
          <w:kern w:val="22"/>
          <w:sz w:val="22"/>
          <w:szCs w:val="22"/>
          <w:lang w:val="en-GB"/>
        </w:rPr>
        <w:t>;</w:t>
      </w:r>
      <w:proofErr w:type="gramEnd"/>
    </w:p>
    <w:p w14:paraId="13C8EEC0" w14:textId="48753CB2" w:rsidR="00D609C2" w:rsidRPr="00C8196A" w:rsidRDefault="00D609C2" w:rsidP="00C8196A">
      <w:pPr>
        <w:pStyle w:val="Para1"/>
        <w:numPr>
          <w:ilvl w:val="1"/>
          <w:numId w:val="6"/>
        </w:numPr>
        <w:tabs>
          <w:tab w:val="clear" w:pos="1570"/>
          <w:tab w:val="left" w:pos="630"/>
          <w:tab w:val="num" w:pos="1701"/>
        </w:tabs>
        <w:spacing w:after="0"/>
        <w:ind w:left="630" w:firstLine="504"/>
        <w:jc w:val="both"/>
        <w:rPr>
          <w:kern w:val="22"/>
          <w:sz w:val="22"/>
          <w:szCs w:val="22"/>
          <w:lang w:val="en-GB"/>
        </w:rPr>
      </w:pPr>
      <w:r w:rsidRPr="00C8196A">
        <w:rPr>
          <w:kern w:val="22"/>
          <w:sz w:val="22"/>
          <w:szCs w:val="22"/>
          <w:lang w:val="en-GB"/>
        </w:rPr>
        <w:t xml:space="preserve">Recommendations 12 to 16 and 18 to 21 were considered under </w:t>
      </w:r>
      <w:r w:rsidR="00BE4598">
        <w:rPr>
          <w:kern w:val="22"/>
          <w:sz w:val="22"/>
          <w:szCs w:val="22"/>
          <w:lang w:val="en-GB"/>
        </w:rPr>
        <w:t xml:space="preserve">agenda </w:t>
      </w:r>
      <w:r w:rsidRPr="00C8196A">
        <w:rPr>
          <w:kern w:val="22"/>
          <w:sz w:val="22"/>
          <w:szCs w:val="22"/>
          <w:lang w:val="en-GB"/>
        </w:rPr>
        <w:t xml:space="preserve">item 9 </w:t>
      </w:r>
      <w:r w:rsidR="00A56BF8" w:rsidRPr="00C8196A">
        <w:rPr>
          <w:kern w:val="22"/>
          <w:sz w:val="22"/>
          <w:szCs w:val="22"/>
          <w:lang w:val="en-GB"/>
        </w:rPr>
        <w:t>(</w:t>
      </w:r>
      <w:r w:rsidR="00A56BF8" w:rsidRPr="00C8196A">
        <w:rPr>
          <w:sz w:val="22"/>
          <w:szCs w:val="22"/>
          <w:lang w:val="en-GB"/>
        </w:rPr>
        <w:t>a</w:t>
      </w:r>
      <w:r w:rsidRPr="00C8196A">
        <w:rPr>
          <w:sz w:val="22"/>
          <w:szCs w:val="22"/>
          <w:lang w:val="en-GB"/>
        </w:rPr>
        <w:t>ssessment and review of the effectiveness of the Protocol and final evaluation of the Strategic Plan for the Cartagena Protocol on Biosafety for the period 2011</w:t>
      </w:r>
      <w:r w:rsidR="00A33A71" w:rsidRPr="00C8196A">
        <w:rPr>
          <w:sz w:val="22"/>
          <w:szCs w:val="22"/>
          <w:lang w:val="en-GB"/>
        </w:rPr>
        <w:t>–</w:t>
      </w:r>
      <w:r w:rsidRPr="00C8196A">
        <w:rPr>
          <w:sz w:val="22"/>
          <w:szCs w:val="22"/>
          <w:lang w:val="en-GB"/>
        </w:rPr>
        <w:t>2020</w:t>
      </w:r>
      <w:proofErr w:type="gramStart"/>
      <w:r w:rsidR="00A56BF8" w:rsidRPr="00C8196A">
        <w:rPr>
          <w:sz w:val="22"/>
          <w:szCs w:val="22"/>
          <w:lang w:val="en-GB"/>
        </w:rPr>
        <w:t>)</w:t>
      </w:r>
      <w:r w:rsidR="00034D84" w:rsidRPr="00C8196A">
        <w:rPr>
          <w:kern w:val="22"/>
          <w:sz w:val="22"/>
          <w:szCs w:val="22"/>
          <w:lang w:val="en-GB"/>
        </w:rPr>
        <w:t>;</w:t>
      </w:r>
      <w:proofErr w:type="gramEnd"/>
    </w:p>
    <w:p w14:paraId="1E7BF9B8" w14:textId="0A42415A" w:rsidR="00D609C2" w:rsidRPr="00C8196A" w:rsidRDefault="00D609C2" w:rsidP="00C8196A">
      <w:pPr>
        <w:pStyle w:val="Para1"/>
        <w:numPr>
          <w:ilvl w:val="1"/>
          <w:numId w:val="6"/>
        </w:numPr>
        <w:tabs>
          <w:tab w:val="clear" w:pos="1570"/>
          <w:tab w:val="left" w:pos="630"/>
          <w:tab w:val="num" w:pos="1701"/>
        </w:tabs>
        <w:spacing w:after="0"/>
        <w:ind w:left="630" w:firstLine="504"/>
        <w:jc w:val="both"/>
        <w:rPr>
          <w:kern w:val="22"/>
          <w:sz w:val="22"/>
          <w:szCs w:val="22"/>
          <w:lang w:val="en-GB"/>
        </w:rPr>
      </w:pPr>
      <w:r w:rsidRPr="00C8196A">
        <w:rPr>
          <w:kern w:val="22"/>
          <w:sz w:val="22"/>
          <w:szCs w:val="22"/>
          <w:lang w:val="en-GB"/>
        </w:rPr>
        <w:t xml:space="preserve">Recommendations 22 to 24 were considered under </w:t>
      </w:r>
      <w:r w:rsidR="00BE4598">
        <w:rPr>
          <w:kern w:val="22"/>
          <w:sz w:val="22"/>
          <w:szCs w:val="22"/>
          <w:lang w:val="en-GB"/>
        </w:rPr>
        <w:t xml:space="preserve">agenda </w:t>
      </w:r>
      <w:r w:rsidRPr="00C8196A">
        <w:rPr>
          <w:kern w:val="22"/>
          <w:sz w:val="22"/>
          <w:szCs w:val="22"/>
          <w:lang w:val="en-GB"/>
        </w:rPr>
        <w:t xml:space="preserve">item 10 </w:t>
      </w:r>
      <w:r w:rsidR="00061A70" w:rsidRPr="00C8196A">
        <w:rPr>
          <w:sz w:val="22"/>
          <w:szCs w:val="22"/>
          <w:lang w:val="en-GB"/>
        </w:rPr>
        <w:t>(</w:t>
      </w:r>
      <w:r w:rsidR="00034D84" w:rsidRPr="00C8196A">
        <w:rPr>
          <w:sz w:val="22"/>
          <w:szCs w:val="22"/>
          <w:lang w:val="en-GB"/>
        </w:rPr>
        <w:t>m</w:t>
      </w:r>
      <w:r w:rsidRPr="00C8196A">
        <w:rPr>
          <w:sz w:val="22"/>
          <w:szCs w:val="22"/>
          <w:lang w:val="en-GB"/>
        </w:rPr>
        <w:t>atters related to the financial mechanism and resources</w:t>
      </w:r>
      <w:r w:rsidR="00061A70" w:rsidRPr="00C8196A">
        <w:rPr>
          <w:sz w:val="22"/>
          <w:szCs w:val="22"/>
          <w:lang w:val="en-GB"/>
        </w:rPr>
        <w:t>)</w:t>
      </w:r>
      <w:r w:rsidRPr="00C8196A">
        <w:rPr>
          <w:sz w:val="22"/>
          <w:szCs w:val="22"/>
          <w:lang w:val="en-GB"/>
        </w:rPr>
        <w:t>.</w:t>
      </w:r>
    </w:p>
    <w:p w14:paraId="0B654EEE" w14:textId="2E580EBF" w:rsidR="00800AFE" w:rsidRPr="00C8196A" w:rsidRDefault="374F3611" w:rsidP="00B6543C">
      <w:pPr>
        <w:pStyle w:val="Para1"/>
        <w:numPr>
          <w:ilvl w:val="0"/>
          <w:numId w:val="6"/>
        </w:numPr>
        <w:tabs>
          <w:tab w:val="left" w:pos="1080"/>
        </w:tabs>
        <w:ind w:left="540"/>
        <w:jc w:val="both"/>
        <w:rPr>
          <w:kern w:val="22"/>
          <w:sz w:val="22"/>
          <w:szCs w:val="22"/>
          <w:lang w:val="en-GB"/>
        </w:rPr>
      </w:pPr>
      <w:r w:rsidRPr="00C8196A">
        <w:rPr>
          <w:kern w:val="22"/>
          <w:sz w:val="22"/>
          <w:szCs w:val="22"/>
          <w:lang w:val="en-GB"/>
        </w:rPr>
        <w:t>The Conference of the Parties serving as the meeting of the Parties to the Protocol</w:t>
      </w:r>
      <w:r w:rsidR="1DDA18F2" w:rsidRPr="00C8196A">
        <w:rPr>
          <w:kern w:val="22"/>
          <w:sz w:val="22"/>
          <w:szCs w:val="22"/>
          <w:lang w:val="en-GB"/>
        </w:rPr>
        <w:t xml:space="preserve"> </w:t>
      </w:r>
      <w:r w:rsidRPr="00C8196A">
        <w:rPr>
          <w:kern w:val="22"/>
          <w:sz w:val="22"/>
          <w:szCs w:val="22"/>
          <w:lang w:val="en-GB"/>
        </w:rPr>
        <w:t xml:space="preserve">considered the recommendations of the </w:t>
      </w:r>
      <w:r w:rsidR="48499959" w:rsidRPr="0218D188">
        <w:rPr>
          <w:sz w:val="22"/>
          <w:szCs w:val="22"/>
          <w:lang w:val="en-GB"/>
        </w:rPr>
        <w:t xml:space="preserve">Compliance </w:t>
      </w:r>
      <w:r w:rsidRPr="00C8196A">
        <w:rPr>
          <w:kern w:val="22"/>
          <w:sz w:val="22"/>
          <w:szCs w:val="22"/>
          <w:lang w:val="en-GB"/>
        </w:rPr>
        <w:t>Committee favourably.</w:t>
      </w:r>
      <w:r w:rsidR="1DDA18F2" w:rsidRPr="00C8196A">
        <w:rPr>
          <w:kern w:val="22"/>
          <w:sz w:val="22"/>
          <w:szCs w:val="22"/>
          <w:lang w:val="en-GB"/>
        </w:rPr>
        <w:t xml:space="preserve"> </w:t>
      </w:r>
      <w:r w:rsidR="00E63582">
        <w:rPr>
          <w:kern w:val="22"/>
          <w:sz w:val="22"/>
          <w:szCs w:val="22"/>
          <w:lang w:val="en-GB"/>
        </w:rPr>
        <w:t>T</w:t>
      </w:r>
      <w:r w:rsidR="1DDA18F2" w:rsidRPr="00C8196A">
        <w:rPr>
          <w:kern w:val="22"/>
          <w:sz w:val="22"/>
          <w:szCs w:val="22"/>
          <w:lang w:val="en-GB"/>
        </w:rPr>
        <w:t xml:space="preserve">ables </w:t>
      </w:r>
      <w:r w:rsidR="00E63582">
        <w:rPr>
          <w:kern w:val="22"/>
          <w:sz w:val="22"/>
          <w:szCs w:val="22"/>
          <w:lang w:val="en-GB"/>
        </w:rPr>
        <w:t xml:space="preserve">1 to 4 </w:t>
      </w:r>
      <w:r w:rsidR="1DDA18F2" w:rsidRPr="00C8196A">
        <w:rPr>
          <w:kern w:val="22"/>
          <w:sz w:val="22"/>
          <w:szCs w:val="22"/>
          <w:lang w:val="en-GB"/>
        </w:rPr>
        <w:t>below show t</w:t>
      </w:r>
      <w:r w:rsidRPr="00C8196A">
        <w:rPr>
          <w:kern w:val="22"/>
          <w:sz w:val="22"/>
          <w:szCs w:val="22"/>
          <w:lang w:val="en-GB"/>
        </w:rPr>
        <w:t xml:space="preserve">he extent to which the recommendations </w:t>
      </w:r>
      <w:r w:rsidR="0C8DB671" w:rsidRPr="00C8196A">
        <w:rPr>
          <w:kern w:val="22"/>
          <w:sz w:val="22"/>
          <w:szCs w:val="22"/>
          <w:lang w:val="en-GB"/>
        </w:rPr>
        <w:t xml:space="preserve">proposed, as contained in the annex to the </w:t>
      </w:r>
      <w:r w:rsidR="3822DD20" w:rsidRPr="00C8196A">
        <w:rPr>
          <w:sz w:val="22"/>
          <w:szCs w:val="22"/>
          <w:lang w:val="en-GB"/>
        </w:rPr>
        <w:t xml:space="preserve">report of the </w:t>
      </w:r>
      <w:r w:rsidR="0C8DB671" w:rsidRPr="00C8196A">
        <w:rPr>
          <w:kern w:val="22"/>
          <w:sz w:val="22"/>
          <w:szCs w:val="22"/>
          <w:lang w:val="en-GB"/>
        </w:rPr>
        <w:t xml:space="preserve">Committee, </w:t>
      </w:r>
      <w:r w:rsidRPr="00C8196A">
        <w:rPr>
          <w:kern w:val="22"/>
          <w:sz w:val="22"/>
          <w:szCs w:val="22"/>
          <w:lang w:val="en-GB"/>
        </w:rPr>
        <w:t xml:space="preserve">were accepted and, as appropriate, included in the decisions of the Conference of the Parties serving as the meeting of the Parties </w:t>
      </w:r>
      <w:r w:rsidR="1DDA18F2" w:rsidRPr="00C8196A">
        <w:rPr>
          <w:kern w:val="22"/>
          <w:sz w:val="22"/>
          <w:szCs w:val="22"/>
          <w:lang w:val="en-GB"/>
        </w:rPr>
        <w:t>to the Protocol.</w:t>
      </w:r>
      <w:r w:rsidR="304F4F66" w:rsidRPr="00E63582">
        <w:rPr>
          <w:sz w:val="22"/>
          <w:szCs w:val="22"/>
          <w:lang w:val="en-GB"/>
        </w:rPr>
        <w:t xml:space="preserve"> </w:t>
      </w:r>
      <w:r w:rsidR="00E63582" w:rsidRPr="00C8196A">
        <w:rPr>
          <w:sz w:val="22"/>
          <w:szCs w:val="22"/>
          <w:lang w:val="en-GB"/>
        </w:rPr>
        <w:t>T</w:t>
      </w:r>
      <w:r w:rsidR="304F4F66" w:rsidRPr="00E63582">
        <w:rPr>
          <w:sz w:val="22"/>
          <w:szCs w:val="22"/>
          <w:lang w:val="en-GB"/>
        </w:rPr>
        <w:t xml:space="preserve">ext </w:t>
      </w:r>
      <w:r w:rsidR="00E63582" w:rsidRPr="00C8196A">
        <w:rPr>
          <w:sz w:val="22"/>
          <w:szCs w:val="22"/>
          <w:lang w:val="en-GB"/>
        </w:rPr>
        <w:t xml:space="preserve">shown </w:t>
      </w:r>
      <w:r w:rsidR="304F4F66" w:rsidRPr="00E63582">
        <w:rPr>
          <w:sz w:val="22"/>
          <w:szCs w:val="22"/>
          <w:lang w:val="en-GB"/>
        </w:rPr>
        <w:t xml:space="preserve">in bold </w:t>
      </w:r>
      <w:r w:rsidR="00E63582" w:rsidRPr="00C8196A">
        <w:rPr>
          <w:sz w:val="22"/>
          <w:szCs w:val="22"/>
          <w:lang w:val="en-GB"/>
        </w:rPr>
        <w:t>indicates</w:t>
      </w:r>
      <w:r w:rsidR="304F4F66" w:rsidRPr="00E63582">
        <w:rPr>
          <w:sz w:val="22"/>
          <w:szCs w:val="22"/>
          <w:lang w:val="en-GB"/>
        </w:rPr>
        <w:t xml:space="preserve"> </w:t>
      </w:r>
      <w:r w:rsidR="45CBE54D" w:rsidRPr="00C8196A">
        <w:rPr>
          <w:sz w:val="22"/>
          <w:szCs w:val="22"/>
          <w:lang w:val="en-GB"/>
        </w:rPr>
        <w:t>substanti</w:t>
      </w:r>
      <w:r w:rsidR="2DE4DE98" w:rsidRPr="00C8196A">
        <w:rPr>
          <w:sz w:val="22"/>
          <w:szCs w:val="22"/>
          <w:lang w:val="en-GB"/>
        </w:rPr>
        <w:t xml:space="preserve">ve </w:t>
      </w:r>
      <w:r w:rsidR="1E4B58B1" w:rsidRPr="00C8196A">
        <w:rPr>
          <w:sz w:val="22"/>
          <w:szCs w:val="22"/>
          <w:lang w:val="en-GB"/>
        </w:rPr>
        <w:t xml:space="preserve">additions or changes to </w:t>
      </w:r>
      <w:r w:rsidR="304F4F66" w:rsidRPr="00E63582">
        <w:rPr>
          <w:sz w:val="22"/>
          <w:szCs w:val="22"/>
          <w:lang w:val="en-GB"/>
        </w:rPr>
        <w:t xml:space="preserve">the </w:t>
      </w:r>
      <w:r w:rsidR="1E4B58B1" w:rsidRPr="00C8196A">
        <w:rPr>
          <w:sz w:val="22"/>
          <w:szCs w:val="22"/>
          <w:lang w:val="en-GB"/>
        </w:rPr>
        <w:t>wording</w:t>
      </w:r>
      <w:r w:rsidR="304F4F66" w:rsidRPr="00E63582">
        <w:rPr>
          <w:sz w:val="22"/>
          <w:szCs w:val="22"/>
          <w:lang w:val="en-GB"/>
        </w:rPr>
        <w:t xml:space="preserve"> of the recommendations </w:t>
      </w:r>
      <w:r w:rsidR="00E63582" w:rsidRPr="00C8196A">
        <w:rPr>
          <w:sz w:val="22"/>
          <w:szCs w:val="22"/>
          <w:lang w:val="en-GB"/>
        </w:rPr>
        <w:t xml:space="preserve">made </w:t>
      </w:r>
      <w:r w:rsidR="304F4F66" w:rsidRPr="00E63582">
        <w:rPr>
          <w:sz w:val="22"/>
          <w:szCs w:val="22"/>
          <w:lang w:val="en-GB"/>
        </w:rPr>
        <w:t>by the Commit</w:t>
      </w:r>
      <w:r w:rsidR="00E63582" w:rsidRPr="00C8196A">
        <w:rPr>
          <w:sz w:val="22"/>
          <w:szCs w:val="22"/>
          <w:lang w:val="en-GB"/>
        </w:rPr>
        <w:t>t</w:t>
      </w:r>
      <w:r w:rsidR="304F4F66" w:rsidRPr="00E63582">
        <w:rPr>
          <w:sz w:val="22"/>
          <w:szCs w:val="22"/>
          <w:lang w:val="en-GB"/>
        </w:rPr>
        <w:t xml:space="preserve">ee. </w:t>
      </w:r>
      <w:r w:rsidRPr="00C8196A">
        <w:rPr>
          <w:kern w:val="22"/>
          <w:sz w:val="22"/>
          <w:szCs w:val="22"/>
          <w:lang w:val="en-GB"/>
        </w:rPr>
        <w:t xml:space="preserve">Additional paragraphs relevant to the work of the Committee </w:t>
      </w:r>
      <w:r w:rsidR="79A12EBD" w:rsidRPr="0218D188">
        <w:rPr>
          <w:sz w:val="22"/>
          <w:szCs w:val="22"/>
          <w:lang w:val="en-GB"/>
        </w:rPr>
        <w:t xml:space="preserve">that were adopted in the decisions </w:t>
      </w:r>
      <w:r w:rsidRPr="00C8196A">
        <w:rPr>
          <w:kern w:val="22"/>
          <w:sz w:val="22"/>
          <w:szCs w:val="22"/>
          <w:lang w:val="en-GB"/>
        </w:rPr>
        <w:t xml:space="preserve">are also </w:t>
      </w:r>
      <w:r w:rsidR="03AA676E" w:rsidRPr="00C8196A">
        <w:rPr>
          <w:sz w:val="22"/>
          <w:szCs w:val="22"/>
          <w:lang w:val="en-GB"/>
        </w:rPr>
        <w:t>indicated</w:t>
      </w:r>
      <w:r w:rsidRPr="00C8196A">
        <w:rPr>
          <w:kern w:val="22"/>
          <w:sz w:val="22"/>
          <w:szCs w:val="22"/>
          <w:lang w:val="en-GB"/>
        </w:rPr>
        <w:t>.</w:t>
      </w:r>
      <w:r w:rsidR="1DDA18F2" w:rsidRPr="00C8196A">
        <w:rPr>
          <w:kern w:val="22"/>
          <w:sz w:val="22"/>
          <w:szCs w:val="22"/>
          <w:lang w:val="en-GB"/>
        </w:rPr>
        <w:t xml:space="preserve"> </w:t>
      </w:r>
    </w:p>
    <w:p w14:paraId="287056DC" w14:textId="1B29F8FE" w:rsidR="00A555FE" w:rsidRPr="00C8196A" w:rsidRDefault="0008781D" w:rsidP="00C8196A">
      <w:pPr>
        <w:pStyle w:val="Para1"/>
        <w:keepNext/>
        <w:numPr>
          <w:ilvl w:val="0"/>
          <w:numId w:val="0"/>
        </w:numPr>
        <w:tabs>
          <w:tab w:val="left" w:pos="1080"/>
        </w:tabs>
        <w:spacing w:before="240" w:after="0"/>
        <w:ind w:left="547"/>
        <w:jc w:val="both"/>
        <w:rPr>
          <w:kern w:val="22"/>
          <w:sz w:val="22"/>
          <w:szCs w:val="22"/>
          <w:lang w:val="en-GB"/>
        </w:rPr>
      </w:pPr>
      <w:r w:rsidRPr="00C8196A">
        <w:rPr>
          <w:kern w:val="22"/>
          <w:sz w:val="22"/>
          <w:szCs w:val="22"/>
          <w:lang w:val="en-GB"/>
        </w:rPr>
        <w:t>Table 1</w:t>
      </w:r>
    </w:p>
    <w:p w14:paraId="24EE51E2" w14:textId="033A78AD" w:rsidR="0008781D" w:rsidRPr="00C8196A" w:rsidRDefault="00172D8F" w:rsidP="00C8196A">
      <w:pPr>
        <w:pStyle w:val="Para1"/>
        <w:keepNext/>
        <w:numPr>
          <w:ilvl w:val="0"/>
          <w:numId w:val="0"/>
        </w:numPr>
        <w:tabs>
          <w:tab w:val="left" w:pos="1080"/>
        </w:tabs>
        <w:spacing w:before="0"/>
        <w:ind w:left="547"/>
        <w:jc w:val="both"/>
        <w:rPr>
          <w:b/>
          <w:bCs/>
          <w:kern w:val="22"/>
          <w:sz w:val="22"/>
          <w:szCs w:val="22"/>
          <w:lang w:val="en-GB"/>
        </w:rPr>
      </w:pPr>
      <w:r w:rsidRPr="00C8196A">
        <w:rPr>
          <w:b/>
          <w:bCs/>
          <w:kern w:val="22"/>
          <w:sz w:val="22"/>
          <w:szCs w:val="22"/>
          <w:lang w:val="en-GB"/>
        </w:rPr>
        <w:t xml:space="preserve">Report of the </w:t>
      </w:r>
      <w:r w:rsidR="0008781D" w:rsidRPr="00C8196A">
        <w:rPr>
          <w:b/>
          <w:bCs/>
          <w:kern w:val="22"/>
          <w:sz w:val="22"/>
          <w:szCs w:val="22"/>
          <w:lang w:val="en-GB"/>
        </w:rPr>
        <w:t>Compliance</w:t>
      </w:r>
      <w:r w:rsidRPr="00C8196A">
        <w:rPr>
          <w:b/>
          <w:bCs/>
          <w:kern w:val="22"/>
          <w:sz w:val="22"/>
          <w:szCs w:val="22"/>
          <w:lang w:val="en-GB"/>
        </w:rPr>
        <w:t xml:space="preserve"> Committee</w:t>
      </w:r>
    </w:p>
    <w:tbl>
      <w:tblPr>
        <w:tblW w:w="0" w:type="auto"/>
        <w:tblInd w:w="13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02"/>
        <w:gridCol w:w="3544"/>
        <w:gridCol w:w="2902"/>
      </w:tblGrid>
      <w:tr w:rsidR="00996F73" w:rsidRPr="006A5361" w14:paraId="04898D45" w14:textId="77777777" w:rsidTr="00C8196A">
        <w:trPr>
          <w:tblHeader/>
        </w:trPr>
        <w:tc>
          <w:tcPr>
            <w:tcW w:w="3402" w:type="dxa"/>
            <w:tcBorders>
              <w:top w:val="single" w:sz="4" w:space="0" w:color="auto"/>
              <w:left w:val="single" w:sz="4" w:space="0" w:color="auto"/>
              <w:bottom w:val="single" w:sz="4" w:space="0" w:color="auto"/>
              <w:right w:val="single" w:sz="4" w:space="0" w:color="auto"/>
            </w:tcBorders>
          </w:tcPr>
          <w:p w14:paraId="28BCDED3" w14:textId="75343CAB" w:rsidR="00996F73" w:rsidRPr="00C8196A" w:rsidRDefault="00996F73" w:rsidP="00C8196A">
            <w:pPr>
              <w:pStyle w:val="Para10"/>
              <w:numPr>
                <w:ilvl w:val="0"/>
                <w:numId w:val="0"/>
              </w:numPr>
              <w:jc w:val="left"/>
              <w:rPr>
                <w:rFonts w:asciiTheme="majorBidi" w:eastAsia="Calibri" w:hAnsiTheme="majorBidi" w:cstheme="majorBidi"/>
                <w:i/>
                <w:iCs/>
                <w:snapToGrid w:val="0"/>
                <w:kern w:val="22"/>
                <w:szCs w:val="22"/>
                <w:lang w:val="en-GB"/>
              </w:rPr>
            </w:pPr>
            <w:r w:rsidRPr="00C8196A">
              <w:rPr>
                <w:rFonts w:asciiTheme="majorBidi" w:eastAsia="Calibri" w:hAnsiTheme="majorBidi" w:cstheme="majorBidi"/>
                <w:i/>
                <w:iCs/>
                <w:snapToGrid w:val="0"/>
                <w:kern w:val="22"/>
                <w:szCs w:val="22"/>
                <w:lang w:val="en-GB"/>
              </w:rPr>
              <w:t xml:space="preserve">Recommendation </w:t>
            </w:r>
            <w:r w:rsidR="00B63190" w:rsidRPr="00C8196A">
              <w:rPr>
                <w:rFonts w:asciiTheme="majorBidi" w:eastAsia="Calibri" w:hAnsiTheme="majorBidi" w:cstheme="majorBidi"/>
                <w:i/>
                <w:iCs/>
                <w:snapToGrid w:val="0"/>
                <w:kern w:val="22"/>
                <w:szCs w:val="22"/>
                <w:lang w:val="en-GB"/>
              </w:rPr>
              <w:t xml:space="preserve">by </w:t>
            </w:r>
            <w:r w:rsidRPr="00C8196A">
              <w:rPr>
                <w:rFonts w:asciiTheme="majorBidi" w:eastAsia="Calibri" w:hAnsiTheme="majorBidi" w:cstheme="majorBidi"/>
                <w:i/>
                <w:iCs/>
                <w:snapToGrid w:val="0"/>
                <w:kern w:val="22"/>
                <w:szCs w:val="22"/>
                <w:lang w:val="en-GB"/>
              </w:rPr>
              <w:t xml:space="preserve">the </w:t>
            </w:r>
            <w:r w:rsidR="005913B0">
              <w:rPr>
                <w:rFonts w:asciiTheme="majorBidi" w:eastAsia="Calibri" w:hAnsiTheme="majorBidi" w:cstheme="majorBidi"/>
                <w:i/>
                <w:iCs/>
                <w:snapToGrid w:val="0"/>
                <w:kern w:val="22"/>
                <w:szCs w:val="22"/>
                <w:lang w:val="en-GB"/>
              </w:rPr>
              <w:t xml:space="preserve">Compliance </w:t>
            </w:r>
            <w:r w:rsidRPr="00C8196A">
              <w:rPr>
                <w:rFonts w:asciiTheme="majorBidi" w:eastAsia="Calibri" w:hAnsiTheme="majorBidi" w:cstheme="majorBidi"/>
                <w:i/>
                <w:iCs/>
                <w:snapToGrid w:val="0"/>
                <w:kern w:val="22"/>
                <w:szCs w:val="22"/>
                <w:lang w:val="en-GB"/>
              </w:rPr>
              <w:t>Committee</w:t>
            </w:r>
            <w:r w:rsidRPr="00C8196A">
              <w:rPr>
                <w:rFonts w:asciiTheme="majorBidi" w:eastAsia="Calibri" w:hAnsiTheme="majorBidi" w:cstheme="majorBidi"/>
                <w:i/>
                <w:iCs/>
                <w:snapToGrid w:val="0"/>
                <w:kern w:val="22"/>
                <w:szCs w:val="22"/>
                <w:lang w:val="en-GB"/>
              </w:rPr>
              <w:br/>
              <w:t>(CBD/CP/MOP/10/2, annex)</w:t>
            </w:r>
          </w:p>
        </w:tc>
        <w:tc>
          <w:tcPr>
            <w:tcW w:w="3544" w:type="dxa"/>
            <w:tcBorders>
              <w:top w:val="single" w:sz="4" w:space="0" w:color="auto"/>
              <w:left w:val="single" w:sz="4" w:space="0" w:color="auto"/>
              <w:bottom w:val="single" w:sz="4" w:space="0" w:color="auto"/>
              <w:right w:val="single" w:sz="4" w:space="0" w:color="auto"/>
            </w:tcBorders>
          </w:tcPr>
          <w:p w14:paraId="70BD1D97" w14:textId="7F5BB139" w:rsidR="00996F73" w:rsidRPr="00C8196A" w:rsidRDefault="00FD590D" w:rsidP="00C8196A">
            <w:pPr>
              <w:pStyle w:val="Decision"/>
              <w:tabs>
                <w:tab w:val="center" w:pos="2252"/>
                <w:tab w:val="left" w:pos="3804"/>
              </w:tabs>
              <w:jc w:val="left"/>
              <w:rPr>
                <w:rFonts w:eastAsia="Calibri"/>
                <w:b w:val="0"/>
                <w:bCs w:val="0"/>
                <w:snapToGrid w:val="0"/>
              </w:rPr>
            </w:pPr>
            <w:bookmarkStart w:id="4" w:name="_Toc199057389"/>
            <w:r w:rsidRPr="001C7DDB">
              <w:rPr>
                <w:rFonts w:asciiTheme="majorBidi" w:eastAsia="Calibri" w:hAnsiTheme="majorBidi" w:cstheme="majorBidi"/>
                <w:b w:val="0"/>
                <w:bCs w:val="0"/>
                <w:snapToGrid w:val="0"/>
                <w:kern w:val="22"/>
                <w:szCs w:val="22"/>
              </w:rPr>
              <w:t>Decision</w:t>
            </w:r>
            <w:r w:rsidRPr="00C8196A">
              <w:rPr>
                <w:rFonts w:asciiTheme="majorBidi" w:eastAsia="Calibri" w:hAnsiTheme="majorBidi" w:cstheme="majorBidi"/>
                <w:i w:val="0"/>
                <w:iCs w:val="0"/>
                <w:snapToGrid w:val="0"/>
                <w:kern w:val="22"/>
                <w:szCs w:val="22"/>
              </w:rPr>
              <w:t xml:space="preserve"> </w:t>
            </w:r>
            <w:r w:rsidR="00285556" w:rsidRPr="0068098E">
              <w:rPr>
                <w:rFonts w:asciiTheme="majorBidi" w:eastAsia="Calibri" w:hAnsiTheme="majorBidi" w:cstheme="majorBidi"/>
                <w:b w:val="0"/>
                <w:bCs w:val="0"/>
                <w:snapToGrid w:val="0"/>
                <w:kern w:val="22"/>
                <w:szCs w:val="22"/>
              </w:rPr>
              <w:t>CP-10/2</w:t>
            </w:r>
            <w:bookmarkEnd w:id="4"/>
          </w:p>
        </w:tc>
        <w:tc>
          <w:tcPr>
            <w:tcW w:w="2902" w:type="dxa"/>
            <w:tcBorders>
              <w:top w:val="single" w:sz="4" w:space="0" w:color="auto"/>
              <w:left w:val="single" w:sz="4" w:space="0" w:color="auto"/>
              <w:bottom w:val="single" w:sz="4" w:space="0" w:color="auto"/>
            </w:tcBorders>
          </w:tcPr>
          <w:p w14:paraId="22251B00" w14:textId="7BAAC10E" w:rsidR="00996F73" w:rsidRPr="00C8196A" w:rsidRDefault="00996F73" w:rsidP="00FA6BE8">
            <w:pPr>
              <w:pStyle w:val="Para10"/>
              <w:numPr>
                <w:ilvl w:val="0"/>
                <w:numId w:val="0"/>
              </w:numPr>
              <w:rPr>
                <w:rFonts w:asciiTheme="majorBidi" w:eastAsia="Calibri" w:hAnsiTheme="majorBidi" w:cstheme="majorBidi"/>
                <w:i/>
                <w:iCs/>
                <w:snapToGrid w:val="0"/>
                <w:kern w:val="22"/>
                <w:szCs w:val="22"/>
                <w:lang w:val="en-GB"/>
              </w:rPr>
            </w:pPr>
            <w:r w:rsidRPr="00C8196A">
              <w:rPr>
                <w:rFonts w:asciiTheme="majorBidi" w:eastAsia="Calibri" w:hAnsiTheme="majorBidi" w:cstheme="majorBidi"/>
                <w:i/>
                <w:iCs/>
                <w:snapToGrid w:val="0"/>
                <w:kern w:val="22"/>
                <w:szCs w:val="22"/>
                <w:lang w:val="en-GB"/>
              </w:rPr>
              <w:t>Remarks</w:t>
            </w:r>
            <w:r w:rsidR="00A70DAF" w:rsidRPr="00C8196A">
              <w:rPr>
                <w:rFonts w:asciiTheme="majorBidi" w:eastAsia="Calibri" w:hAnsiTheme="majorBidi" w:cstheme="majorBidi"/>
                <w:i/>
                <w:iCs/>
                <w:snapToGrid w:val="0"/>
                <w:kern w:val="22"/>
                <w:szCs w:val="22"/>
                <w:lang w:val="en-GB"/>
              </w:rPr>
              <w:t xml:space="preserve"> and </w:t>
            </w:r>
            <w:r w:rsidRPr="00C8196A">
              <w:rPr>
                <w:rFonts w:asciiTheme="majorBidi" w:eastAsia="Calibri" w:hAnsiTheme="majorBidi" w:cstheme="majorBidi"/>
                <w:i/>
                <w:iCs/>
                <w:snapToGrid w:val="0"/>
                <w:kern w:val="22"/>
                <w:szCs w:val="22"/>
                <w:lang w:val="en-GB"/>
              </w:rPr>
              <w:t>clarifications</w:t>
            </w:r>
          </w:p>
        </w:tc>
      </w:tr>
      <w:tr w:rsidR="002E73CB" w:rsidRPr="006A5361" w14:paraId="0B1572F9" w14:textId="77777777" w:rsidTr="00C8196A">
        <w:tc>
          <w:tcPr>
            <w:tcW w:w="3402" w:type="dxa"/>
            <w:tcBorders>
              <w:top w:val="single" w:sz="4" w:space="0" w:color="auto"/>
              <w:left w:val="single" w:sz="4" w:space="0" w:color="auto"/>
              <w:right w:val="single" w:sz="4" w:space="0" w:color="auto"/>
            </w:tcBorders>
          </w:tcPr>
          <w:p w14:paraId="0AA56D77" w14:textId="61AC5DDB" w:rsidR="002E73CB" w:rsidRPr="006A5361" w:rsidRDefault="007305E6" w:rsidP="00C8196A">
            <w:pPr>
              <w:tabs>
                <w:tab w:val="left" w:pos="259"/>
              </w:tabs>
              <w:spacing w:before="120" w:after="120"/>
              <w:jc w:val="left"/>
            </w:pPr>
            <w:r w:rsidRPr="006A5361">
              <w:t>1.</w:t>
            </w:r>
            <w:r w:rsidRPr="006A5361">
              <w:tab/>
            </w:r>
            <w:r w:rsidR="002E73CB" w:rsidRPr="006A5361">
              <w:t xml:space="preserve">Remind Parties of rule II, paragraph 4, of the procedures and mechanisms on compliance, and urge them to ensure that members are elected on the understanding </w:t>
            </w:r>
            <w:r w:rsidR="002E73CB" w:rsidRPr="006A5361">
              <w:lastRenderedPageBreak/>
              <w:t>that they will serve a full four-year term;</w:t>
            </w:r>
          </w:p>
        </w:tc>
        <w:tc>
          <w:tcPr>
            <w:tcW w:w="3544" w:type="dxa"/>
            <w:tcBorders>
              <w:top w:val="single" w:sz="4" w:space="0" w:color="auto"/>
              <w:left w:val="single" w:sz="4" w:space="0" w:color="auto"/>
              <w:right w:val="single" w:sz="4" w:space="0" w:color="auto"/>
            </w:tcBorders>
          </w:tcPr>
          <w:p w14:paraId="07651C3D" w14:textId="60BD1EE9" w:rsidR="002E73CB" w:rsidRPr="006A5361" w:rsidRDefault="002E73CB" w:rsidP="00CB4C53">
            <w:pPr>
              <w:tabs>
                <w:tab w:val="left" w:pos="529"/>
              </w:tabs>
              <w:spacing w:before="120" w:after="120"/>
              <w:jc w:val="left"/>
              <w:rPr>
                <w:rFonts w:eastAsia="Calibri"/>
                <w:snapToGrid w:val="0"/>
              </w:rPr>
            </w:pPr>
            <w:r w:rsidRPr="006A5361">
              <w:rPr>
                <w:rFonts w:eastAsia="Calibri"/>
                <w:snapToGrid w:val="0"/>
              </w:rPr>
              <w:lastRenderedPageBreak/>
              <w:t>1.</w:t>
            </w:r>
            <w:r w:rsidR="00826C7D" w:rsidRPr="006A5361">
              <w:rPr>
                <w:rFonts w:eastAsia="Calibri"/>
                <w:snapToGrid w:val="0"/>
              </w:rPr>
              <w:tab/>
            </w:r>
            <w:r w:rsidRPr="00C8196A">
              <w:rPr>
                <w:rFonts w:eastAsia="Calibri"/>
                <w:i/>
                <w:iCs/>
                <w:snapToGrid w:val="0"/>
              </w:rPr>
              <w:t>Reminds</w:t>
            </w:r>
            <w:r w:rsidRPr="006A5361">
              <w:rPr>
                <w:rFonts w:eastAsia="Calibri"/>
                <w:snapToGrid w:val="0"/>
              </w:rPr>
              <w:t xml:space="preserve"> Parties of rule II, paragraph 4, of the procedures and mechanisms on compliance, and urges them to ensure that members are elected to the Compliance </w:t>
            </w:r>
            <w:r w:rsidRPr="006A5361">
              <w:rPr>
                <w:rFonts w:eastAsia="Calibri"/>
                <w:snapToGrid w:val="0"/>
              </w:rPr>
              <w:lastRenderedPageBreak/>
              <w:t>Committee under the Cartagena Protocol on Biosafety on the understanding that they will serve a full four-year term;</w:t>
            </w:r>
          </w:p>
        </w:tc>
        <w:tc>
          <w:tcPr>
            <w:tcW w:w="2902" w:type="dxa"/>
            <w:tcBorders>
              <w:top w:val="single" w:sz="4" w:space="0" w:color="auto"/>
              <w:left w:val="single" w:sz="4" w:space="0" w:color="auto"/>
            </w:tcBorders>
          </w:tcPr>
          <w:p w14:paraId="3AE19BF1" w14:textId="5257AEFA" w:rsidR="000F1920" w:rsidRPr="006A5361" w:rsidRDefault="000F1920" w:rsidP="00C8196A">
            <w:pPr>
              <w:spacing w:before="120" w:after="120"/>
              <w:jc w:val="left"/>
              <w:rPr>
                <w:rFonts w:eastAsia="Calibri"/>
                <w:snapToGrid w:val="0"/>
              </w:rPr>
            </w:pPr>
          </w:p>
          <w:p w14:paraId="4CF917DE" w14:textId="4DF78830" w:rsidR="002E73CB" w:rsidRPr="006A5361" w:rsidRDefault="00A54DEB" w:rsidP="00C8196A">
            <w:pPr>
              <w:spacing w:before="120" w:after="120"/>
              <w:jc w:val="left"/>
              <w:rPr>
                <w:rFonts w:eastAsia="Calibri"/>
                <w:i/>
                <w:iCs/>
                <w:snapToGrid w:val="0"/>
              </w:rPr>
            </w:pPr>
            <w:r w:rsidRPr="006A5361">
              <w:rPr>
                <w:rFonts w:eastAsia="Calibri"/>
                <w:snapToGrid w:val="0"/>
              </w:rPr>
              <w:t xml:space="preserve">All recommendations adopted, with a minor </w:t>
            </w:r>
            <w:r w:rsidRPr="006A5361">
              <w:rPr>
                <w:rFonts w:eastAsia="Calibri"/>
                <w:snapToGrid w:val="0"/>
              </w:rPr>
              <w:lastRenderedPageBreak/>
              <w:t>editorial clarification to paragraph 1.</w:t>
            </w:r>
          </w:p>
        </w:tc>
      </w:tr>
      <w:tr w:rsidR="007305E6" w:rsidRPr="006A5361" w14:paraId="7E63CFFF" w14:textId="77777777" w:rsidTr="00C8196A">
        <w:tc>
          <w:tcPr>
            <w:tcW w:w="3402" w:type="dxa"/>
            <w:tcBorders>
              <w:left w:val="single" w:sz="4" w:space="0" w:color="auto"/>
              <w:right w:val="single" w:sz="4" w:space="0" w:color="auto"/>
            </w:tcBorders>
          </w:tcPr>
          <w:p w14:paraId="1B56658F" w14:textId="6FD3F2F3" w:rsidR="007305E6" w:rsidRPr="006A5361" w:rsidRDefault="007305E6" w:rsidP="00C8196A">
            <w:pPr>
              <w:tabs>
                <w:tab w:val="left" w:pos="284"/>
              </w:tabs>
              <w:spacing w:before="120" w:after="120"/>
              <w:jc w:val="left"/>
            </w:pPr>
            <w:r w:rsidRPr="006A5361">
              <w:lastRenderedPageBreak/>
              <w:t>2.</w:t>
            </w:r>
            <w:r w:rsidRPr="006A5361">
              <w:tab/>
              <w:t>Also remind Parties of their obligation to designate a national focal point for the Cartagena Protocol, and one or more competent national authorities, and to notify the Secretariat accordingly, as per Article 19 of the Protocol;</w:t>
            </w:r>
          </w:p>
        </w:tc>
        <w:tc>
          <w:tcPr>
            <w:tcW w:w="3544" w:type="dxa"/>
            <w:tcBorders>
              <w:left w:val="single" w:sz="4" w:space="0" w:color="auto"/>
              <w:right w:val="single" w:sz="4" w:space="0" w:color="auto"/>
            </w:tcBorders>
          </w:tcPr>
          <w:p w14:paraId="5C82E95A" w14:textId="2C3077A0" w:rsidR="007305E6" w:rsidRPr="006A5361" w:rsidRDefault="007305E6" w:rsidP="00C8196A">
            <w:pPr>
              <w:tabs>
                <w:tab w:val="left" w:pos="557"/>
              </w:tabs>
              <w:spacing w:before="120" w:after="120"/>
              <w:jc w:val="left"/>
              <w:rPr>
                <w:rFonts w:eastAsia="Calibri"/>
                <w:snapToGrid w:val="0"/>
              </w:rPr>
            </w:pPr>
            <w:r w:rsidRPr="006A5361">
              <w:rPr>
                <w:rFonts w:eastAsia="Calibri"/>
                <w:snapToGrid w:val="0"/>
              </w:rPr>
              <w:t>2.</w:t>
            </w:r>
            <w:r w:rsidR="00826C7D" w:rsidRPr="006A5361">
              <w:rPr>
                <w:rFonts w:eastAsia="Calibri"/>
                <w:snapToGrid w:val="0"/>
              </w:rPr>
              <w:tab/>
            </w:r>
            <w:r w:rsidRPr="00C8196A">
              <w:rPr>
                <w:rFonts w:eastAsia="Calibri"/>
                <w:i/>
                <w:iCs/>
                <w:snapToGrid w:val="0"/>
              </w:rPr>
              <w:t>Also reminds</w:t>
            </w:r>
            <w:r w:rsidRPr="006A5361">
              <w:rPr>
                <w:rFonts w:eastAsia="Calibri"/>
                <w:snapToGrid w:val="0"/>
              </w:rPr>
              <w:t xml:space="preserve"> Parties of their obligation to designate a national focal point for the Cartagena Protocol, and one or more competent national authorities, and to notify the Secretariat accordingly, as per Article 19 of the Protocol; </w:t>
            </w:r>
          </w:p>
        </w:tc>
        <w:tc>
          <w:tcPr>
            <w:tcW w:w="2902" w:type="dxa"/>
            <w:tcBorders>
              <w:left w:val="single" w:sz="4" w:space="0" w:color="auto"/>
            </w:tcBorders>
          </w:tcPr>
          <w:p w14:paraId="253F09B3" w14:textId="77777777" w:rsidR="007305E6" w:rsidRPr="00C8196A" w:rsidRDefault="007305E6">
            <w:pPr>
              <w:pStyle w:val="Para10"/>
              <w:numPr>
                <w:ilvl w:val="0"/>
                <w:numId w:val="0"/>
              </w:numPr>
              <w:jc w:val="left"/>
              <w:rPr>
                <w:rFonts w:asciiTheme="majorBidi" w:eastAsia="Calibri" w:hAnsiTheme="majorBidi" w:cstheme="majorBidi"/>
                <w:snapToGrid w:val="0"/>
                <w:kern w:val="22"/>
                <w:szCs w:val="22"/>
                <w:lang w:val="en-GB"/>
              </w:rPr>
            </w:pPr>
          </w:p>
        </w:tc>
      </w:tr>
      <w:tr w:rsidR="007305E6" w:rsidRPr="006A5361" w14:paraId="72001025" w14:textId="77777777" w:rsidTr="00C8196A">
        <w:tc>
          <w:tcPr>
            <w:tcW w:w="3402" w:type="dxa"/>
            <w:tcBorders>
              <w:left w:val="single" w:sz="4" w:space="0" w:color="auto"/>
              <w:right w:val="single" w:sz="4" w:space="0" w:color="auto"/>
            </w:tcBorders>
          </w:tcPr>
          <w:p w14:paraId="3675B3A2" w14:textId="23FE1FC0" w:rsidR="007305E6" w:rsidRPr="006A5361" w:rsidRDefault="007305E6" w:rsidP="00C8196A">
            <w:pPr>
              <w:tabs>
                <w:tab w:val="left" w:pos="284"/>
              </w:tabs>
              <w:spacing w:before="120" w:after="120"/>
              <w:jc w:val="left"/>
            </w:pPr>
            <w:r w:rsidRPr="006A5361">
              <w:t>3.</w:t>
            </w:r>
            <w:r w:rsidRPr="006A5361">
              <w:tab/>
              <w:t xml:space="preserve">Further remind Parties of their obligation to designate a national focal point for the Biosafety Clearing-House, in line with </w:t>
            </w:r>
            <w:r w:rsidRPr="006A5361">
              <w:rPr>
                <w:rFonts w:asciiTheme="majorBidi" w:hAnsiTheme="majorBidi" w:cstheme="majorBidi"/>
                <w:kern w:val="22"/>
                <w:szCs w:val="22"/>
              </w:rPr>
              <w:t xml:space="preserve">decision </w:t>
            </w:r>
            <w:hyperlink r:id="rId14" w:history="1">
              <w:r w:rsidRPr="006A5361">
                <w:rPr>
                  <w:rStyle w:val="Hyperlink"/>
                  <w:rFonts w:asciiTheme="majorBidi" w:hAnsiTheme="majorBidi" w:cstheme="majorBidi"/>
                  <w:kern w:val="22"/>
                  <w:szCs w:val="22"/>
                </w:rPr>
                <w:t>BS-I/3</w:t>
              </w:r>
            </w:hyperlink>
            <w:r w:rsidRPr="006A5361">
              <w:t xml:space="preserve"> and </w:t>
            </w:r>
            <w:r w:rsidRPr="006A5361">
              <w:rPr>
                <w:rFonts w:asciiTheme="majorBidi" w:hAnsiTheme="majorBidi" w:cstheme="majorBidi"/>
                <w:kern w:val="22"/>
                <w:szCs w:val="22"/>
              </w:rPr>
              <w:t xml:space="preserve">decision </w:t>
            </w:r>
            <w:hyperlink r:id="rId15" w:history="1">
              <w:r w:rsidRPr="006A5361">
                <w:rPr>
                  <w:rStyle w:val="Hyperlink"/>
                  <w:rFonts w:asciiTheme="majorBidi" w:hAnsiTheme="majorBidi" w:cstheme="majorBidi"/>
                  <w:kern w:val="22"/>
                  <w:szCs w:val="22"/>
                </w:rPr>
                <w:t>II/7</w:t>
              </w:r>
            </w:hyperlink>
            <w:r w:rsidRPr="006A5361">
              <w:t xml:space="preserve"> of the Conference of the Parties;</w:t>
            </w:r>
          </w:p>
        </w:tc>
        <w:tc>
          <w:tcPr>
            <w:tcW w:w="3544" w:type="dxa"/>
            <w:tcBorders>
              <w:left w:val="single" w:sz="4" w:space="0" w:color="auto"/>
              <w:right w:val="single" w:sz="4" w:space="0" w:color="auto"/>
            </w:tcBorders>
          </w:tcPr>
          <w:p w14:paraId="5C790ED0" w14:textId="7189B8C4" w:rsidR="007305E6" w:rsidRPr="006A5361" w:rsidRDefault="007305E6" w:rsidP="00C8196A">
            <w:pPr>
              <w:tabs>
                <w:tab w:val="left" w:pos="557"/>
              </w:tabs>
              <w:spacing w:before="120" w:after="120"/>
              <w:jc w:val="left"/>
              <w:rPr>
                <w:rFonts w:eastAsia="Calibri"/>
                <w:snapToGrid w:val="0"/>
              </w:rPr>
            </w:pPr>
            <w:r w:rsidRPr="006A5361">
              <w:rPr>
                <w:rFonts w:eastAsia="Calibri"/>
                <w:snapToGrid w:val="0"/>
              </w:rPr>
              <w:t>3.</w:t>
            </w:r>
            <w:r w:rsidR="00826C7D" w:rsidRPr="006A5361">
              <w:rPr>
                <w:rFonts w:eastAsia="Calibri"/>
                <w:snapToGrid w:val="0"/>
              </w:rPr>
              <w:tab/>
            </w:r>
            <w:r w:rsidRPr="00C8196A">
              <w:rPr>
                <w:rFonts w:eastAsia="Calibri"/>
                <w:i/>
                <w:iCs/>
                <w:snapToGrid w:val="0"/>
              </w:rPr>
              <w:t>Further reminds</w:t>
            </w:r>
            <w:r w:rsidRPr="006A5361">
              <w:rPr>
                <w:rFonts w:eastAsia="Calibri"/>
                <w:snapToGrid w:val="0"/>
              </w:rPr>
              <w:t xml:space="preserve"> Parties of their obligation to designate a national focal point for the Biosafety </w:t>
            </w:r>
            <w:proofErr w:type="gramStart"/>
            <w:r w:rsidRPr="006A5361">
              <w:rPr>
                <w:rFonts w:eastAsia="Calibri"/>
                <w:snapToGrid w:val="0"/>
              </w:rPr>
              <w:t>Clearing-House</w:t>
            </w:r>
            <w:proofErr w:type="gramEnd"/>
            <w:r w:rsidRPr="006A5361">
              <w:rPr>
                <w:rFonts w:eastAsia="Calibri"/>
                <w:snapToGrid w:val="0"/>
              </w:rPr>
              <w:t xml:space="preserve">, in line with decision BS-I/3 and decision II/7 of the Conference of the Parties; </w:t>
            </w:r>
          </w:p>
        </w:tc>
        <w:tc>
          <w:tcPr>
            <w:tcW w:w="2902" w:type="dxa"/>
            <w:tcBorders>
              <w:left w:val="single" w:sz="4" w:space="0" w:color="auto"/>
            </w:tcBorders>
          </w:tcPr>
          <w:p w14:paraId="2B3A2DE9" w14:textId="77777777" w:rsidR="007305E6" w:rsidRPr="00C8196A" w:rsidRDefault="007305E6">
            <w:pPr>
              <w:pStyle w:val="Para10"/>
              <w:numPr>
                <w:ilvl w:val="0"/>
                <w:numId w:val="0"/>
              </w:numPr>
              <w:jc w:val="left"/>
              <w:rPr>
                <w:rFonts w:asciiTheme="majorBidi" w:eastAsia="Calibri" w:hAnsiTheme="majorBidi" w:cstheme="majorBidi"/>
                <w:snapToGrid w:val="0"/>
                <w:kern w:val="22"/>
                <w:szCs w:val="22"/>
                <w:lang w:val="en-GB"/>
              </w:rPr>
            </w:pPr>
          </w:p>
        </w:tc>
      </w:tr>
      <w:tr w:rsidR="007305E6" w:rsidRPr="006A5361" w14:paraId="21F92337" w14:textId="77777777" w:rsidTr="00C8196A">
        <w:tc>
          <w:tcPr>
            <w:tcW w:w="3402" w:type="dxa"/>
            <w:tcBorders>
              <w:left w:val="single" w:sz="4" w:space="0" w:color="auto"/>
              <w:right w:val="single" w:sz="4" w:space="0" w:color="auto"/>
            </w:tcBorders>
          </w:tcPr>
          <w:p w14:paraId="49FB9EF8" w14:textId="1208763A" w:rsidR="007305E6" w:rsidRPr="006A5361" w:rsidRDefault="007305E6" w:rsidP="00C8196A">
            <w:pPr>
              <w:tabs>
                <w:tab w:val="left" w:pos="284"/>
              </w:tabs>
              <w:spacing w:before="120" w:after="120"/>
              <w:jc w:val="left"/>
            </w:pPr>
            <w:r w:rsidRPr="006A5361">
              <w:t>4.</w:t>
            </w:r>
            <w:r w:rsidRPr="006A5361">
              <w:tab/>
              <w:t xml:space="preserve">Remind Parties of their obligation to make available in the Biosafety </w:t>
            </w:r>
            <w:proofErr w:type="gramStart"/>
            <w:r w:rsidRPr="006A5361">
              <w:t>Clearing-House</w:t>
            </w:r>
            <w:proofErr w:type="gramEnd"/>
            <w:r w:rsidRPr="006A5361">
              <w:t xml:space="preserve"> the relevant details setting out their point of contact for the purposes of receiving notifications under Article 17 of the Protocol and to urge them to do so as soon as possible;</w:t>
            </w:r>
          </w:p>
        </w:tc>
        <w:tc>
          <w:tcPr>
            <w:tcW w:w="3544" w:type="dxa"/>
            <w:tcBorders>
              <w:left w:val="single" w:sz="4" w:space="0" w:color="auto"/>
              <w:right w:val="single" w:sz="4" w:space="0" w:color="auto"/>
            </w:tcBorders>
          </w:tcPr>
          <w:p w14:paraId="550E6AD5" w14:textId="5DACA7E7" w:rsidR="007305E6" w:rsidRPr="006A5361" w:rsidRDefault="00440AA4" w:rsidP="00C8196A">
            <w:pPr>
              <w:tabs>
                <w:tab w:val="left" w:pos="543"/>
              </w:tabs>
              <w:spacing w:before="120" w:after="120"/>
              <w:jc w:val="left"/>
              <w:rPr>
                <w:rFonts w:eastAsia="Calibri"/>
                <w:snapToGrid w:val="0"/>
              </w:rPr>
            </w:pPr>
            <w:r w:rsidRPr="006A5361">
              <w:rPr>
                <w:rFonts w:eastAsia="Calibri"/>
                <w:snapToGrid w:val="0"/>
              </w:rPr>
              <w:t>4.</w:t>
            </w:r>
            <w:r w:rsidR="00826C7D" w:rsidRPr="006A5361">
              <w:rPr>
                <w:rFonts w:eastAsia="Calibri"/>
                <w:snapToGrid w:val="0"/>
              </w:rPr>
              <w:tab/>
            </w:r>
            <w:r w:rsidRPr="00C8196A">
              <w:rPr>
                <w:rFonts w:eastAsia="Calibri"/>
                <w:i/>
                <w:iCs/>
                <w:snapToGrid w:val="0"/>
              </w:rPr>
              <w:t>Reminds</w:t>
            </w:r>
            <w:r w:rsidRPr="006A5361">
              <w:rPr>
                <w:rFonts w:eastAsia="Calibri"/>
                <w:snapToGrid w:val="0"/>
              </w:rPr>
              <w:t xml:space="preserve"> Parties of their obligation to make available in the Biosafety </w:t>
            </w:r>
            <w:proofErr w:type="gramStart"/>
            <w:r w:rsidRPr="006A5361">
              <w:rPr>
                <w:rFonts w:eastAsia="Calibri"/>
                <w:snapToGrid w:val="0"/>
              </w:rPr>
              <w:t>Clearing-House</w:t>
            </w:r>
            <w:proofErr w:type="gramEnd"/>
            <w:r w:rsidRPr="006A5361">
              <w:rPr>
                <w:rFonts w:eastAsia="Calibri"/>
                <w:snapToGrid w:val="0"/>
              </w:rPr>
              <w:t xml:space="preserve"> the relevant details setting out</w:t>
            </w:r>
            <w:r w:rsidRPr="00C8196A">
              <w:rPr>
                <w:rFonts w:eastAsia="Calibri"/>
                <w:b/>
                <w:i/>
                <w:snapToGrid w:val="0"/>
              </w:rPr>
              <w:t xml:space="preserve"> </w:t>
            </w:r>
            <w:r w:rsidRPr="006A5361">
              <w:rPr>
                <w:rFonts w:eastAsia="Calibri"/>
                <w:snapToGrid w:val="0"/>
              </w:rPr>
              <w:t>their point of contact for the purposes of receiving notifications under Article 17 of</w:t>
            </w:r>
            <w:r w:rsidRPr="00C8196A">
              <w:rPr>
                <w:rFonts w:eastAsia="Calibri"/>
                <w:b/>
                <w:i/>
                <w:snapToGrid w:val="0"/>
              </w:rPr>
              <w:t xml:space="preserve"> </w:t>
            </w:r>
            <w:r w:rsidRPr="006A5361">
              <w:rPr>
                <w:rFonts w:eastAsia="Calibri"/>
                <w:snapToGrid w:val="0"/>
              </w:rPr>
              <w:t xml:space="preserve">the Protocol, and urges them to do so as soon as possible; </w:t>
            </w:r>
          </w:p>
        </w:tc>
        <w:tc>
          <w:tcPr>
            <w:tcW w:w="2902" w:type="dxa"/>
            <w:tcBorders>
              <w:left w:val="single" w:sz="4" w:space="0" w:color="auto"/>
            </w:tcBorders>
          </w:tcPr>
          <w:p w14:paraId="252545F2" w14:textId="77777777" w:rsidR="007305E6" w:rsidRPr="00C8196A" w:rsidRDefault="007305E6">
            <w:pPr>
              <w:pStyle w:val="Para10"/>
              <w:numPr>
                <w:ilvl w:val="0"/>
                <w:numId w:val="0"/>
              </w:numPr>
              <w:jc w:val="left"/>
              <w:rPr>
                <w:rFonts w:asciiTheme="majorBidi" w:eastAsia="Calibri" w:hAnsiTheme="majorBidi" w:cstheme="majorBidi"/>
                <w:snapToGrid w:val="0"/>
                <w:kern w:val="22"/>
                <w:szCs w:val="22"/>
                <w:lang w:val="en-GB"/>
              </w:rPr>
            </w:pPr>
          </w:p>
        </w:tc>
      </w:tr>
      <w:tr w:rsidR="00440AA4" w:rsidRPr="006A5361" w14:paraId="3764610C" w14:textId="77777777" w:rsidTr="00C8196A">
        <w:tc>
          <w:tcPr>
            <w:tcW w:w="3402" w:type="dxa"/>
            <w:tcBorders>
              <w:left w:val="single" w:sz="4" w:space="0" w:color="auto"/>
              <w:right w:val="single" w:sz="4" w:space="0" w:color="auto"/>
            </w:tcBorders>
          </w:tcPr>
          <w:p w14:paraId="0BC6444B" w14:textId="0BE151F7" w:rsidR="00440AA4" w:rsidRPr="006A5361" w:rsidRDefault="00440AA4" w:rsidP="00C8196A">
            <w:pPr>
              <w:tabs>
                <w:tab w:val="left" w:pos="259"/>
              </w:tabs>
              <w:spacing w:before="120" w:after="120"/>
              <w:jc w:val="left"/>
            </w:pPr>
            <w:r w:rsidRPr="006A5361">
              <w:t>5.</w:t>
            </w:r>
            <w:r w:rsidRPr="006A5361">
              <w:tab/>
              <w:t>Urge Parties and invite other Governments to provide voluntary funds in support of the four Parties</w:t>
            </w:r>
            <w:r w:rsidRPr="006A5361">
              <w:rPr>
                <w:vertAlign w:val="superscript"/>
              </w:rPr>
              <w:footnoteReference w:id="6"/>
            </w:r>
            <w:r w:rsidRPr="006A5361">
              <w:t xml:space="preserve"> that have developed compliance action plans, as well as any additional Parties that develop and implement compliance action plans at the request of the </w:t>
            </w:r>
            <w:proofErr w:type="gramStart"/>
            <w:r w:rsidRPr="006A5361">
              <w:t>Committee;</w:t>
            </w:r>
            <w:proofErr w:type="gramEnd"/>
          </w:p>
        </w:tc>
        <w:tc>
          <w:tcPr>
            <w:tcW w:w="3544" w:type="dxa"/>
            <w:tcBorders>
              <w:left w:val="single" w:sz="4" w:space="0" w:color="auto"/>
              <w:right w:val="single" w:sz="4" w:space="0" w:color="auto"/>
            </w:tcBorders>
          </w:tcPr>
          <w:p w14:paraId="50369C8E" w14:textId="43B23929" w:rsidR="00440AA4" w:rsidRPr="006A5361" w:rsidRDefault="00440AA4" w:rsidP="00C8196A">
            <w:pPr>
              <w:tabs>
                <w:tab w:val="left" w:pos="543"/>
              </w:tabs>
              <w:spacing w:before="120" w:after="120"/>
              <w:jc w:val="left"/>
              <w:rPr>
                <w:rFonts w:eastAsia="Calibri"/>
                <w:snapToGrid w:val="0"/>
              </w:rPr>
            </w:pPr>
            <w:r w:rsidRPr="006A5361">
              <w:rPr>
                <w:rFonts w:eastAsia="Calibri"/>
                <w:snapToGrid w:val="0"/>
              </w:rPr>
              <w:t>5.</w:t>
            </w:r>
            <w:r w:rsidR="00826C7D" w:rsidRPr="006A5361">
              <w:rPr>
                <w:rFonts w:eastAsia="Calibri"/>
                <w:snapToGrid w:val="0"/>
              </w:rPr>
              <w:tab/>
            </w:r>
            <w:r w:rsidRPr="00C8196A">
              <w:rPr>
                <w:rFonts w:eastAsia="Calibri"/>
                <w:i/>
                <w:iCs/>
                <w:snapToGrid w:val="0"/>
              </w:rPr>
              <w:t>Urges</w:t>
            </w:r>
            <w:r w:rsidRPr="006A5361">
              <w:rPr>
                <w:rFonts w:eastAsia="Calibri"/>
                <w:snapToGrid w:val="0"/>
              </w:rPr>
              <w:t xml:space="preserve"> Parties and invites other Governments to provide voluntary funds in support of the four Parties1 that have developed compliance action plans, as well as any additional Parties that develop and implement compliance action plans at the request of the Committee; </w:t>
            </w:r>
          </w:p>
        </w:tc>
        <w:tc>
          <w:tcPr>
            <w:tcW w:w="2902" w:type="dxa"/>
            <w:tcBorders>
              <w:left w:val="single" w:sz="4" w:space="0" w:color="auto"/>
            </w:tcBorders>
          </w:tcPr>
          <w:p w14:paraId="5A20CCF9" w14:textId="77777777" w:rsidR="00440AA4" w:rsidRPr="00C8196A" w:rsidRDefault="00440AA4">
            <w:pPr>
              <w:pStyle w:val="Para10"/>
              <w:numPr>
                <w:ilvl w:val="0"/>
                <w:numId w:val="0"/>
              </w:numPr>
              <w:jc w:val="left"/>
              <w:rPr>
                <w:rFonts w:asciiTheme="majorBidi" w:eastAsia="Calibri" w:hAnsiTheme="majorBidi" w:cstheme="majorBidi"/>
                <w:snapToGrid w:val="0"/>
                <w:kern w:val="22"/>
                <w:szCs w:val="22"/>
                <w:lang w:val="en-GB"/>
              </w:rPr>
            </w:pPr>
          </w:p>
        </w:tc>
      </w:tr>
      <w:tr w:rsidR="00996F73" w:rsidRPr="006A5361" w14:paraId="1D9681E5" w14:textId="77777777" w:rsidTr="004E541F">
        <w:tblPrEx>
          <w:tblBorders>
            <w:insideH w:val="single" w:sz="4" w:space="0" w:color="auto"/>
            <w:insideV w:val="single" w:sz="4" w:space="0" w:color="auto"/>
          </w:tblBorders>
        </w:tblPrEx>
        <w:tc>
          <w:tcPr>
            <w:tcW w:w="3150" w:type="dxa"/>
          </w:tcPr>
          <w:p w14:paraId="5DAE4990" w14:textId="1D091579" w:rsidR="00996F73" w:rsidRPr="006A5361" w:rsidRDefault="001D3132" w:rsidP="00C8196A">
            <w:pPr>
              <w:spacing w:before="120" w:after="120"/>
              <w:jc w:val="left"/>
            </w:pPr>
            <w:r w:rsidRPr="006A5361">
              <w:t>17.</w:t>
            </w:r>
            <w:r w:rsidR="00996F73" w:rsidRPr="006A5361">
              <w:t xml:space="preserve"> Request the Executive Secretary to:</w:t>
            </w:r>
          </w:p>
          <w:p w14:paraId="0248F3FB" w14:textId="52D5C728" w:rsidR="00996F73" w:rsidRPr="006A5361" w:rsidRDefault="007305E6" w:rsidP="00C8196A">
            <w:pPr>
              <w:tabs>
                <w:tab w:val="left" w:pos="462"/>
              </w:tabs>
              <w:spacing w:before="120" w:after="120"/>
              <w:jc w:val="left"/>
              <w:rPr>
                <w:snapToGrid w:val="0"/>
              </w:rPr>
            </w:pPr>
            <w:r w:rsidRPr="006A5361">
              <w:rPr>
                <w:snapToGrid w:val="0"/>
              </w:rPr>
              <w:t>(a)</w:t>
            </w:r>
            <w:r w:rsidRPr="006A5361">
              <w:rPr>
                <w:snapToGrid w:val="0"/>
              </w:rPr>
              <w:tab/>
            </w:r>
            <w:r w:rsidR="00996F73" w:rsidRPr="006A5361">
              <w:rPr>
                <w:snapToGrid w:val="0"/>
              </w:rPr>
              <w:t>Develop an online survey on the national limitations and challenges in fulfilling (</w:t>
            </w:r>
            <w:proofErr w:type="spellStart"/>
            <w:r w:rsidR="00996F73" w:rsidRPr="006A5361">
              <w:rPr>
                <w:snapToGrid w:val="0"/>
              </w:rPr>
              <w:t>i</w:t>
            </w:r>
            <w:proofErr w:type="spellEnd"/>
            <w:r w:rsidR="00996F73" w:rsidRPr="006A5361">
              <w:rPr>
                <w:snapToGrid w:val="0"/>
              </w:rPr>
              <w:t xml:space="preserve">) the obligation to take the necessary legal, administrative and other measures to implement the Protocol, and (ii) the obligation to submit a national report in a timely </w:t>
            </w:r>
            <w:proofErr w:type="gramStart"/>
            <w:r w:rsidR="00996F73" w:rsidRPr="006A5361">
              <w:rPr>
                <w:snapToGrid w:val="0"/>
              </w:rPr>
              <w:t>manner;</w:t>
            </w:r>
            <w:proofErr w:type="gramEnd"/>
            <w:r w:rsidR="00996F73" w:rsidRPr="006A5361">
              <w:rPr>
                <w:snapToGrid w:val="0"/>
              </w:rPr>
              <w:t xml:space="preserve"> </w:t>
            </w:r>
          </w:p>
          <w:p w14:paraId="43C48F6B" w14:textId="377D092D" w:rsidR="00996F73" w:rsidRPr="006A5361" w:rsidRDefault="007305E6" w:rsidP="00C8196A">
            <w:pPr>
              <w:tabs>
                <w:tab w:val="left" w:pos="462"/>
              </w:tabs>
              <w:spacing w:before="120" w:after="120"/>
              <w:jc w:val="left"/>
              <w:rPr>
                <w:snapToGrid w:val="0"/>
              </w:rPr>
            </w:pPr>
            <w:r w:rsidRPr="006A5361">
              <w:rPr>
                <w:snapToGrid w:val="0"/>
              </w:rPr>
              <w:t>(b)</w:t>
            </w:r>
            <w:r w:rsidRPr="006A5361">
              <w:rPr>
                <w:snapToGrid w:val="0"/>
              </w:rPr>
              <w:tab/>
            </w:r>
            <w:r w:rsidR="00996F73" w:rsidRPr="006A5361">
              <w:rPr>
                <w:snapToGrid w:val="0"/>
              </w:rPr>
              <w:t xml:space="preserve">Invite all Parties to complete the </w:t>
            </w:r>
            <w:proofErr w:type="gramStart"/>
            <w:r w:rsidR="00996F73" w:rsidRPr="006A5361">
              <w:rPr>
                <w:snapToGrid w:val="0"/>
              </w:rPr>
              <w:t>survey;</w:t>
            </w:r>
            <w:proofErr w:type="gramEnd"/>
          </w:p>
          <w:p w14:paraId="40FCFC98" w14:textId="1079C131" w:rsidR="00996F73" w:rsidRPr="006A5361" w:rsidRDefault="007305E6" w:rsidP="00C8196A">
            <w:pPr>
              <w:tabs>
                <w:tab w:val="left" w:pos="462"/>
              </w:tabs>
              <w:spacing w:before="120" w:after="120"/>
              <w:jc w:val="left"/>
              <w:rPr>
                <w:snapToGrid w:val="0"/>
              </w:rPr>
            </w:pPr>
            <w:r w:rsidRPr="006A5361">
              <w:rPr>
                <w:snapToGrid w:val="0"/>
              </w:rPr>
              <w:t>(c)</w:t>
            </w:r>
            <w:r w:rsidRPr="006A5361">
              <w:rPr>
                <w:snapToGrid w:val="0"/>
              </w:rPr>
              <w:tab/>
            </w:r>
            <w:r w:rsidR="00996F73" w:rsidRPr="006A5361">
              <w:rPr>
                <w:snapToGrid w:val="0"/>
              </w:rPr>
              <w:t xml:space="preserve">Compile the findings and submit these for consideration by the Committee, at its eighteenth meeting; </w:t>
            </w:r>
          </w:p>
        </w:tc>
        <w:tc>
          <w:tcPr>
            <w:tcW w:w="3398" w:type="dxa"/>
            <w:tcBorders>
              <w:bottom w:val="single" w:sz="4" w:space="0" w:color="auto"/>
            </w:tcBorders>
          </w:tcPr>
          <w:p w14:paraId="5CFDE8A8" w14:textId="37DA4869" w:rsidR="00A87687" w:rsidRPr="006A5361" w:rsidRDefault="00996F73" w:rsidP="00CB4C53">
            <w:pPr>
              <w:tabs>
                <w:tab w:val="left" w:pos="543"/>
              </w:tabs>
              <w:spacing w:before="120" w:after="120"/>
              <w:jc w:val="left"/>
              <w:rPr>
                <w:rFonts w:eastAsia="Calibri"/>
                <w:snapToGrid w:val="0"/>
              </w:rPr>
            </w:pPr>
            <w:r w:rsidRPr="006A5361">
              <w:rPr>
                <w:rFonts w:eastAsia="Calibri"/>
                <w:snapToGrid w:val="0"/>
              </w:rPr>
              <w:t>6.</w:t>
            </w:r>
            <w:r w:rsidR="00826C7D" w:rsidRPr="006A5361">
              <w:rPr>
                <w:rFonts w:eastAsia="Calibri"/>
                <w:snapToGrid w:val="0"/>
              </w:rPr>
              <w:tab/>
            </w:r>
            <w:r w:rsidRPr="00C8196A">
              <w:rPr>
                <w:rFonts w:eastAsia="Calibri"/>
                <w:i/>
                <w:iCs/>
                <w:snapToGrid w:val="0"/>
              </w:rPr>
              <w:t>Requests</w:t>
            </w:r>
            <w:r w:rsidRPr="006A5361">
              <w:rPr>
                <w:rFonts w:eastAsia="Calibri"/>
                <w:snapToGrid w:val="0"/>
              </w:rPr>
              <w:t xml:space="preserve"> the Executive Secretary:</w:t>
            </w:r>
          </w:p>
          <w:p w14:paraId="7B8F7EF9" w14:textId="4C18BFC8" w:rsidR="00996F73" w:rsidRPr="006A5361" w:rsidRDefault="00996F73" w:rsidP="00CB4C53">
            <w:pPr>
              <w:tabs>
                <w:tab w:val="left" w:pos="516"/>
              </w:tabs>
              <w:spacing w:before="120" w:after="120"/>
              <w:jc w:val="left"/>
              <w:rPr>
                <w:rFonts w:eastAsia="Calibri"/>
                <w:snapToGrid w:val="0"/>
              </w:rPr>
            </w:pPr>
            <w:r w:rsidRPr="006A5361">
              <w:rPr>
                <w:rFonts w:eastAsia="Calibri"/>
                <w:snapToGrid w:val="0"/>
              </w:rPr>
              <w:t>(a)</w:t>
            </w:r>
            <w:r w:rsidR="00172D8F" w:rsidRPr="006A5361">
              <w:rPr>
                <w:rFonts w:eastAsia="Calibri"/>
                <w:snapToGrid w:val="0"/>
              </w:rPr>
              <w:tab/>
            </w:r>
            <w:r w:rsidRPr="006A5361">
              <w:rPr>
                <w:rFonts w:eastAsia="Calibri"/>
                <w:snapToGrid w:val="0"/>
              </w:rPr>
              <w:t>To develop an online survey on the national limitations and challenges in fulfilling (</w:t>
            </w:r>
            <w:proofErr w:type="spellStart"/>
            <w:r w:rsidRPr="006A5361">
              <w:rPr>
                <w:rFonts w:eastAsia="Calibri"/>
                <w:snapToGrid w:val="0"/>
              </w:rPr>
              <w:t>i</w:t>
            </w:r>
            <w:proofErr w:type="spellEnd"/>
            <w:r w:rsidRPr="006A5361">
              <w:rPr>
                <w:rFonts w:eastAsia="Calibri"/>
                <w:snapToGrid w:val="0"/>
              </w:rPr>
              <w:t xml:space="preserve">) the obligation to take the necessary legal, administrative and other measures to implement the Protocol, and (ii) the obligation to submit a national report in a timely </w:t>
            </w:r>
            <w:proofErr w:type="gramStart"/>
            <w:r w:rsidRPr="006A5361">
              <w:rPr>
                <w:rFonts w:eastAsia="Calibri"/>
                <w:snapToGrid w:val="0"/>
              </w:rPr>
              <w:t>manner;</w:t>
            </w:r>
            <w:proofErr w:type="gramEnd"/>
            <w:r w:rsidRPr="006A5361">
              <w:rPr>
                <w:rFonts w:eastAsia="Calibri"/>
                <w:snapToGrid w:val="0"/>
              </w:rPr>
              <w:t xml:space="preserve"> </w:t>
            </w:r>
          </w:p>
          <w:p w14:paraId="4B0722F2" w14:textId="6C823B1D" w:rsidR="00996F73" w:rsidRPr="006A5361" w:rsidRDefault="00996F73" w:rsidP="00CB4C53">
            <w:pPr>
              <w:tabs>
                <w:tab w:val="left" w:pos="516"/>
              </w:tabs>
              <w:spacing w:before="120" w:after="120"/>
              <w:jc w:val="left"/>
              <w:rPr>
                <w:rFonts w:eastAsia="Calibri"/>
                <w:snapToGrid w:val="0"/>
              </w:rPr>
            </w:pPr>
            <w:r w:rsidRPr="006A5361">
              <w:rPr>
                <w:rFonts w:eastAsia="Calibri"/>
                <w:snapToGrid w:val="0"/>
              </w:rPr>
              <w:t>(b)</w:t>
            </w:r>
            <w:r w:rsidR="00172D8F" w:rsidRPr="006A5361">
              <w:rPr>
                <w:rFonts w:eastAsia="Calibri"/>
                <w:snapToGrid w:val="0"/>
              </w:rPr>
              <w:tab/>
            </w:r>
            <w:r w:rsidRPr="006A5361">
              <w:rPr>
                <w:rFonts w:eastAsia="Calibri"/>
                <w:snapToGrid w:val="0"/>
              </w:rPr>
              <w:t xml:space="preserve">To invite all Parties to complete the </w:t>
            </w:r>
            <w:proofErr w:type="gramStart"/>
            <w:r w:rsidRPr="006A5361">
              <w:rPr>
                <w:rFonts w:eastAsia="Calibri"/>
                <w:snapToGrid w:val="0"/>
              </w:rPr>
              <w:t>survey;</w:t>
            </w:r>
            <w:proofErr w:type="gramEnd"/>
          </w:p>
          <w:p w14:paraId="5455D281" w14:textId="5B22B11C" w:rsidR="00996F73" w:rsidRPr="006A5361" w:rsidRDefault="00996F73" w:rsidP="00CB4C53">
            <w:pPr>
              <w:tabs>
                <w:tab w:val="left" w:pos="516"/>
              </w:tabs>
              <w:spacing w:before="120" w:after="120"/>
              <w:jc w:val="left"/>
              <w:rPr>
                <w:snapToGrid w:val="0"/>
              </w:rPr>
            </w:pPr>
            <w:r w:rsidRPr="006A5361">
              <w:rPr>
                <w:rFonts w:eastAsia="Calibri"/>
                <w:snapToGrid w:val="0"/>
              </w:rPr>
              <w:t>(c)</w:t>
            </w:r>
            <w:r w:rsidR="00172D8F" w:rsidRPr="006A5361">
              <w:rPr>
                <w:rFonts w:eastAsia="Calibri"/>
                <w:snapToGrid w:val="0"/>
              </w:rPr>
              <w:tab/>
            </w:r>
            <w:r w:rsidRPr="006A5361">
              <w:rPr>
                <w:rFonts w:eastAsia="Calibri"/>
                <w:snapToGrid w:val="0"/>
              </w:rPr>
              <w:t>To compile the findings and submit these for consideration by the Committee, at its eighteenth meeting.</w:t>
            </w:r>
          </w:p>
        </w:tc>
        <w:tc>
          <w:tcPr>
            <w:tcW w:w="2902" w:type="dxa"/>
            <w:tcBorders>
              <w:bottom w:val="single" w:sz="4" w:space="0" w:color="auto"/>
            </w:tcBorders>
          </w:tcPr>
          <w:p w14:paraId="5C28A032" w14:textId="793B9F80" w:rsidR="00996F73" w:rsidRPr="006A5361" w:rsidRDefault="00025838" w:rsidP="00C8196A">
            <w:pPr>
              <w:spacing w:before="120" w:after="120"/>
              <w:jc w:val="left"/>
              <w:rPr>
                <w:snapToGrid w:val="0"/>
              </w:rPr>
            </w:pPr>
            <w:r w:rsidRPr="006A5361">
              <w:rPr>
                <w:rFonts w:eastAsia="Calibri"/>
                <w:snapToGrid w:val="0"/>
              </w:rPr>
              <w:t xml:space="preserve">In its </w:t>
            </w:r>
            <w:r w:rsidR="00996F73" w:rsidRPr="006A5361">
              <w:rPr>
                <w:rFonts w:eastAsia="Calibri"/>
                <w:snapToGrid w:val="0"/>
              </w:rPr>
              <w:t>report</w:t>
            </w:r>
            <w:r w:rsidRPr="006A5361">
              <w:rPr>
                <w:rFonts w:eastAsia="Calibri"/>
                <w:snapToGrid w:val="0"/>
              </w:rPr>
              <w:t>,</w:t>
            </w:r>
            <w:r w:rsidR="00996F73" w:rsidRPr="006A5361">
              <w:rPr>
                <w:rFonts w:eastAsia="Calibri"/>
                <w:snapToGrid w:val="0"/>
              </w:rPr>
              <w:t xml:space="preserve"> the </w:t>
            </w:r>
            <w:r w:rsidR="000511A0">
              <w:rPr>
                <w:rFonts w:eastAsia="Calibri"/>
                <w:snapToGrid w:val="0"/>
              </w:rPr>
              <w:t xml:space="preserve">Compliance </w:t>
            </w:r>
            <w:r w:rsidR="00996F73" w:rsidRPr="006A5361">
              <w:rPr>
                <w:rFonts w:eastAsia="Calibri"/>
                <w:snapToGrid w:val="0"/>
              </w:rPr>
              <w:t xml:space="preserve">Committee </w:t>
            </w:r>
            <w:r w:rsidR="00870FD8">
              <w:rPr>
                <w:rFonts w:eastAsia="Calibri"/>
                <w:snapToGrid w:val="0"/>
              </w:rPr>
              <w:t xml:space="preserve">had </w:t>
            </w:r>
            <w:r w:rsidR="00996F73" w:rsidRPr="006A5361">
              <w:rPr>
                <w:rFonts w:eastAsia="Calibri"/>
                <w:snapToGrid w:val="0"/>
              </w:rPr>
              <w:t>suggested allocating recommendation</w:t>
            </w:r>
            <w:r w:rsidRPr="006A5361">
              <w:rPr>
                <w:rFonts w:eastAsia="Calibri"/>
                <w:snapToGrid w:val="0"/>
              </w:rPr>
              <w:t> </w:t>
            </w:r>
            <w:r w:rsidR="00996F73" w:rsidRPr="006A5361">
              <w:rPr>
                <w:rFonts w:eastAsia="Calibri"/>
                <w:snapToGrid w:val="0"/>
              </w:rPr>
              <w:t>17 to agenda item</w:t>
            </w:r>
            <w:r w:rsidR="00577B2F">
              <w:rPr>
                <w:rFonts w:eastAsia="Calibri"/>
                <w:snapToGrid w:val="0"/>
              </w:rPr>
              <w:t> 9,</w:t>
            </w:r>
            <w:r w:rsidR="00996F73" w:rsidRPr="006A5361">
              <w:rPr>
                <w:rFonts w:eastAsia="Calibri"/>
                <w:snapToGrid w:val="0"/>
              </w:rPr>
              <w:t xml:space="preserve"> on assessment and review, as it </w:t>
            </w:r>
            <w:r w:rsidR="00E63582">
              <w:rPr>
                <w:rFonts w:eastAsia="Calibri"/>
                <w:snapToGrid w:val="0"/>
              </w:rPr>
              <w:t xml:space="preserve">had </w:t>
            </w:r>
            <w:r w:rsidR="00996F73" w:rsidRPr="006A5361">
              <w:rPr>
                <w:rFonts w:eastAsia="Calibri"/>
                <w:snapToGrid w:val="0"/>
              </w:rPr>
              <w:t xml:space="preserve">discussed </w:t>
            </w:r>
            <w:r w:rsidR="00E63582">
              <w:rPr>
                <w:rFonts w:eastAsia="Calibri"/>
                <w:snapToGrid w:val="0"/>
              </w:rPr>
              <w:t xml:space="preserve">it </w:t>
            </w:r>
            <w:r w:rsidR="00996F73" w:rsidRPr="006A5361">
              <w:rPr>
                <w:rFonts w:eastAsia="Calibri"/>
                <w:snapToGrid w:val="0"/>
              </w:rPr>
              <w:t>in that context. The work to be undertaken, however, relates to challenges with compliance and findings from the survey</w:t>
            </w:r>
            <w:r w:rsidR="00E21BCD" w:rsidRPr="006A5361">
              <w:rPr>
                <w:rFonts w:eastAsia="Calibri"/>
                <w:snapToGrid w:val="0"/>
              </w:rPr>
              <w:t>,</w:t>
            </w:r>
            <w:r w:rsidR="00996F73" w:rsidRPr="006A5361">
              <w:rPr>
                <w:rFonts w:eastAsia="Calibri"/>
                <w:snapToGrid w:val="0"/>
              </w:rPr>
              <w:t xml:space="preserve"> </w:t>
            </w:r>
            <w:r w:rsidR="00815105">
              <w:rPr>
                <w:rFonts w:eastAsia="Calibri"/>
                <w:snapToGrid w:val="0"/>
              </w:rPr>
              <w:t xml:space="preserve">and it </w:t>
            </w:r>
            <w:r w:rsidR="004D3822">
              <w:rPr>
                <w:rFonts w:eastAsia="Calibri"/>
                <w:snapToGrid w:val="0"/>
              </w:rPr>
              <w:t xml:space="preserve">is </w:t>
            </w:r>
            <w:r w:rsidR="0045123D" w:rsidRPr="006A5361">
              <w:rPr>
                <w:rFonts w:eastAsia="Calibri"/>
                <w:snapToGrid w:val="0"/>
              </w:rPr>
              <w:t xml:space="preserve">to </w:t>
            </w:r>
            <w:r w:rsidR="00996F73" w:rsidRPr="006A5361">
              <w:rPr>
                <w:rFonts w:eastAsia="Calibri"/>
                <w:snapToGrid w:val="0"/>
              </w:rPr>
              <w:t xml:space="preserve">be considered by the Committee at </w:t>
            </w:r>
            <w:r w:rsidR="004D3822">
              <w:rPr>
                <w:rFonts w:eastAsia="Calibri"/>
                <w:snapToGrid w:val="0"/>
              </w:rPr>
              <w:t xml:space="preserve">the present </w:t>
            </w:r>
            <w:r w:rsidR="00996F73" w:rsidRPr="006A5361">
              <w:rPr>
                <w:rFonts w:eastAsia="Calibri"/>
                <w:snapToGrid w:val="0"/>
              </w:rPr>
              <w:t xml:space="preserve">meeting. It was therefore </w:t>
            </w:r>
            <w:r w:rsidR="004E2D5B" w:rsidRPr="006A5361">
              <w:rPr>
                <w:rFonts w:eastAsia="Calibri"/>
                <w:snapToGrid w:val="0"/>
              </w:rPr>
              <w:t xml:space="preserve">included </w:t>
            </w:r>
            <w:r w:rsidR="00996F73" w:rsidRPr="006A5361">
              <w:rPr>
                <w:rFonts w:eastAsia="Calibri"/>
                <w:snapToGrid w:val="0"/>
              </w:rPr>
              <w:t xml:space="preserve">in the draft decision on </w:t>
            </w:r>
            <w:r w:rsidR="003570BA" w:rsidRPr="006A5361">
              <w:rPr>
                <w:rFonts w:eastAsia="Calibri"/>
                <w:snapToGrid w:val="0"/>
              </w:rPr>
              <w:t>c</w:t>
            </w:r>
            <w:r w:rsidR="00996F73" w:rsidRPr="006A5361">
              <w:rPr>
                <w:rFonts w:eastAsia="Calibri"/>
                <w:snapToGrid w:val="0"/>
              </w:rPr>
              <w:t xml:space="preserve">ompliance and considered under </w:t>
            </w:r>
            <w:r w:rsidR="00996F73" w:rsidRPr="00E63582">
              <w:rPr>
                <w:rFonts w:eastAsia="Calibri"/>
                <w:snapToGrid w:val="0"/>
              </w:rPr>
              <w:t xml:space="preserve">item </w:t>
            </w:r>
            <w:r w:rsidR="000A1E18" w:rsidRPr="00E63582">
              <w:rPr>
                <w:rFonts w:eastAsia="Calibri"/>
                <w:snapToGrid w:val="0"/>
              </w:rPr>
              <w:t>5</w:t>
            </w:r>
            <w:r w:rsidR="004264BE" w:rsidRPr="00E63582">
              <w:rPr>
                <w:rFonts w:eastAsia="Calibri"/>
                <w:snapToGrid w:val="0"/>
              </w:rPr>
              <w:t>,</w:t>
            </w:r>
            <w:r w:rsidR="000A1E18">
              <w:rPr>
                <w:rFonts w:eastAsia="Calibri"/>
                <w:snapToGrid w:val="0"/>
              </w:rPr>
              <w:t xml:space="preserve"> </w:t>
            </w:r>
            <w:r w:rsidR="00996F73" w:rsidRPr="006A5361">
              <w:rPr>
                <w:rFonts w:eastAsia="Calibri"/>
                <w:snapToGrid w:val="0"/>
              </w:rPr>
              <w:t xml:space="preserve">on </w:t>
            </w:r>
            <w:r w:rsidR="00811AE9">
              <w:rPr>
                <w:rFonts w:eastAsia="Calibri"/>
                <w:snapToGrid w:val="0"/>
              </w:rPr>
              <w:t>the report of the Committee</w:t>
            </w:r>
            <w:r w:rsidR="001828BE">
              <w:rPr>
                <w:rFonts w:eastAsia="Calibri"/>
                <w:snapToGrid w:val="0"/>
              </w:rPr>
              <w:t>.</w:t>
            </w:r>
          </w:p>
        </w:tc>
      </w:tr>
    </w:tbl>
    <w:p w14:paraId="0BCD8A90" w14:textId="7F62E470" w:rsidR="003215C6" w:rsidRPr="00C8196A" w:rsidRDefault="00AA2914" w:rsidP="00C8196A">
      <w:pPr>
        <w:pStyle w:val="Para1"/>
        <w:numPr>
          <w:ilvl w:val="0"/>
          <w:numId w:val="0"/>
        </w:numPr>
        <w:tabs>
          <w:tab w:val="left" w:pos="1080"/>
        </w:tabs>
        <w:spacing w:before="240" w:after="0"/>
        <w:ind w:left="567"/>
        <w:jc w:val="both"/>
        <w:rPr>
          <w:kern w:val="22"/>
          <w:sz w:val="22"/>
          <w:szCs w:val="22"/>
          <w:highlight w:val="yellow"/>
          <w:lang w:val="en-GB"/>
        </w:rPr>
      </w:pPr>
      <w:r w:rsidRPr="00C8196A">
        <w:rPr>
          <w:kern w:val="22"/>
          <w:sz w:val="22"/>
          <w:szCs w:val="22"/>
          <w:lang w:val="en-GB"/>
        </w:rPr>
        <w:t>Table 2</w:t>
      </w:r>
    </w:p>
    <w:p w14:paraId="4EE0B32F" w14:textId="0FE28F1B" w:rsidR="003870BA" w:rsidRPr="006A5361" w:rsidRDefault="005F2157" w:rsidP="00C8196A">
      <w:pPr>
        <w:pStyle w:val="Para1"/>
        <w:numPr>
          <w:ilvl w:val="0"/>
          <w:numId w:val="0"/>
        </w:numPr>
        <w:tabs>
          <w:tab w:val="left" w:pos="1080"/>
        </w:tabs>
        <w:spacing w:before="0"/>
        <w:ind w:left="567"/>
        <w:jc w:val="both"/>
        <w:rPr>
          <w:b/>
          <w:bCs/>
          <w:kern w:val="22"/>
          <w:sz w:val="22"/>
          <w:szCs w:val="22"/>
          <w:lang w:val="en-GB"/>
        </w:rPr>
      </w:pPr>
      <w:r w:rsidRPr="006A5361">
        <w:rPr>
          <w:b/>
          <w:bCs/>
          <w:kern w:val="22"/>
          <w:sz w:val="22"/>
          <w:szCs w:val="22"/>
          <w:lang w:val="en-GB"/>
        </w:rPr>
        <w:t>Monitoring and reporting</w:t>
      </w:r>
    </w:p>
    <w:tbl>
      <w:tblPr>
        <w:tblW w:w="98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544"/>
        <w:gridCol w:w="2902"/>
      </w:tblGrid>
      <w:tr w:rsidR="0097481C" w:rsidRPr="006A5361" w14:paraId="16550C88" w14:textId="77777777" w:rsidTr="00C8196A">
        <w:trPr>
          <w:trHeight w:val="671"/>
          <w:tblHeader/>
        </w:trPr>
        <w:tc>
          <w:tcPr>
            <w:tcW w:w="3402" w:type="dxa"/>
            <w:tcBorders>
              <w:top w:val="single" w:sz="4" w:space="0" w:color="auto"/>
              <w:bottom w:val="single" w:sz="4" w:space="0" w:color="auto"/>
            </w:tcBorders>
          </w:tcPr>
          <w:p w14:paraId="1F1FD7CE" w14:textId="0198C060" w:rsidR="0097481C" w:rsidRPr="006A5361" w:rsidRDefault="0097481C" w:rsidP="00C8196A">
            <w:pPr>
              <w:autoSpaceDE w:val="0"/>
              <w:autoSpaceDN w:val="0"/>
              <w:adjustRightInd w:val="0"/>
              <w:spacing w:after="120"/>
              <w:jc w:val="left"/>
              <w:rPr>
                <w:rFonts w:asciiTheme="majorBidi" w:hAnsiTheme="majorBidi" w:cstheme="majorBidi"/>
                <w:i/>
                <w:iCs/>
                <w:snapToGrid w:val="0"/>
                <w:kern w:val="22"/>
                <w:szCs w:val="22"/>
                <w:u w:val="single"/>
              </w:rPr>
            </w:pPr>
            <w:r w:rsidRPr="006A5361">
              <w:rPr>
                <w:rFonts w:asciiTheme="majorBidi" w:eastAsia="Calibri" w:hAnsiTheme="majorBidi" w:cstheme="majorBidi"/>
                <w:i/>
                <w:iCs/>
                <w:snapToGrid w:val="0"/>
                <w:kern w:val="22"/>
                <w:szCs w:val="22"/>
              </w:rPr>
              <w:t xml:space="preserve">Recommendation </w:t>
            </w:r>
            <w:r w:rsidR="00F41A06" w:rsidRPr="006A5361">
              <w:rPr>
                <w:rFonts w:asciiTheme="majorBidi" w:eastAsia="Calibri" w:hAnsiTheme="majorBidi" w:cstheme="majorBidi"/>
                <w:i/>
                <w:iCs/>
                <w:snapToGrid w:val="0"/>
                <w:kern w:val="22"/>
                <w:szCs w:val="22"/>
              </w:rPr>
              <w:t xml:space="preserve">by </w:t>
            </w:r>
            <w:r w:rsidRPr="006A5361">
              <w:rPr>
                <w:rFonts w:asciiTheme="majorBidi" w:eastAsia="Calibri" w:hAnsiTheme="majorBidi" w:cstheme="majorBidi"/>
                <w:i/>
                <w:iCs/>
                <w:snapToGrid w:val="0"/>
                <w:kern w:val="22"/>
                <w:szCs w:val="22"/>
              </w:rPr>
              <w:t>the Committee</w:t>
            </w:r>
            <w:r w:rsidRPr="006A5361">
              <w:rPr>
                <w:rFonts w:asciiTheme="majorBidi" w:eastAsia="Calibri" w:hAnsiTheme="majorBidi" w:cstheme="majorBidi"/>
                <w:i/>
                <w:iCs/>
                <w:snapToGrid w:val="0"/>
                <w:kern w:val="22"/>
                <w:szCs w:val="22"/>
              </w:rPr>
              <w:br/>
              <w:t>(CBD/CP/MOP/10/2, annex)</w:t>
            </w:r>
          </w:p>
        </w:tc>
        <w:tc>
          <w:tcPr>
            <w:tcW w:w="3544" w:type="dxa"/>
            <w:tcBorders>
              <w:top w:val="single" w:sz="4" w:space="0" w:color="auto"/>
              <w:bottom w:val="single" w:sz="4" w:space="0" w:color="auto"/>
            </w:tcBorders>
          </w:tcPr>
          <w:p w14:paraId="23A6C777" w14:textId="777AE3DD" w:rsidR="0097481C" w:rsidRPr="00C8196A" w:rsidRDefault="003779B1" w:rsidP="00C8196A">
            <w:pPr>
              <w:pStyle w:val="Para10"/>
              <w:numPr>
                <w:ilvl w:val="0"/>
                <w:numId w:val="0"/>
              </w:numPr>
              <w:spacing w:before="0"/>
              <w:jc w:val="left"/>
              <w:rPr>
                <w:rFonts w:asciiTheme="majorBidi" w:eastAsia="Calibri" w:hAnsiTheme="majorBidi" w:cstheme="majorBidi"/>
                <w:i/>
                <w:iCs/>
                <w:snapToGrid w:val="0"/>
                <w:kern w:val="22"/>
                <w:szCs w:val="22"/>
                <w:lang w:val="en-GB"/>
              </w:rPr>
            </w:pPr>
            <w:r w:rsidRPr="00C8196A">
              <w:rPr>
                <w:rFonts w:asciiTheme="majorBidi" w:eastAsia="Calibri" w:hAnsiTheme="majorBidi" w:cstheme="majorBidi"/>
                <w:i/>
                <w:iCs/>
                <w:snapToGrid w:val="0"/>
                <w:kern w:val="22"/>
                <w:szCs w:val="22"/>
                <w:lang w:val="en-GB"/>
              </w:rPr>
              <w:t xml:space="preserve">Decision </w:t>
            </w:r>
            <w:hyperlink r:id="rId16" w:history="1">
              <w:r w:rsidR="0097481C" w:rsidRPr="00C8196A">
                <w:rPr>
                  <w:rStyle w:val="Hyperlink"/>
                  <w:rFonts w:asciiTheme="majorBidi" w:eastAsia="Calibri" w:hAnsiTheme="majorBidi" w:cstheme="majorBidi"/>
                  <w:i/>
                  <w:iCs/>
                  <w:snapToGrid w:val="0"/>
                  <w:color w:val="auto"/>
                  <w:kern w:val="22"/>
                  <w:szCs w:val="22"/>
                  <w:u w:val="none"/>
                  <w:lang w:val="en-GB"/>
                </w:rPr>
                <w:t>CP-10/9</w:t>
              </w:r>
            </w:hyperlink>
          </w:p>
        </w:tc>
        <w:tc>
          <w:tcPr>
            <w:tcW w:w="2902" w:type="dxa"/>
            <w:tcBorders>
              <w:top w:val="single" w:sz="4" w:space="0" w:color="auto"/>
              <w:bottom w:val="single" w:sz="4" w:space="0" w:color="auto"/>
            </w:tcBorders>
          </w:tcPr>
          <w:p w14:paraId="503EDA99" w14:textId="3F8530A3" w:rsidR="0097481C" w:rsidRPr="00C8196A" w:rsidRDefault="0097481C" w:rsidP="00C8196A">
            <w:pPr>
              <w:spacing w:after="120"/>
              <w:jc w:val="left"/>
              <w:rPr>
                <w:rFonts w:eastAsia="Calibri"/>
                <w:i/>
                <w:iCs/>
                <w:snapToGrid w:val="0"/>
              </w:rPr>
            </w:pPr>
            <w:r w:rsidRPr="00C8196A">
              <w:rPr>
                <w:rFonts w:eastAsia="Calibri"/>
                <w:i/>
                <w:iCs/>
                <w:snapToGrid w:val="0"/>
              </w:rPr>
              <w:t>Remarks</w:t>
            </w:r>
            <w:r w:rsidR="0073701A" w:rsidRPr="006A5361">
              <w:rPr>
                <w:rFonts w:eastAsia="Calibri"/>
                <w:i/>
                <w:iCs/>
                <w:snapToGrid w:val="0"/>
              </w:rPr>
              <w:t xml:space="preserve"> and </w:t>
            </w:r>
            <w:r w:rsidRPr="00C8196A">
              <w:rPr>
                <w:rFonts w:eastAsia="Calibri"/>
                <w:i/>
                <w:iCs/>
                <w:snapToGrid w:val="0"/>
              </w:rPr>
              <w:t>clarifications</w:t>
            </w:r>
          </w:p>
        </w:tc>
      </w:tr>
      <w:tr w:rsidR="00263A28" w:rsidRPr="006A5361" w14:paraId="40B833E4" w14:textId="77777777" w:rsidTr="00C8196A">
        <w:trPr>
          <w:trHeight w:val="827"/>
        </w:trPr>
        <w:tc>
          <w:tcPr>
            <w:tcW w:w="3402" w:type="dxa"/>
            <w:tcBorders>
              <w:bottom w:val="nil"/>
            </w:tcBorders>
          </w:tcPr>
          <w:p w14:paraId="7AC314B2" w14:textId="77777777" w:rsidR="00F62426" w:rsidRPr="006A5361" w:rsidRDefault="00F62426" w:rsidP="00C8196A">
            <w:pPr>
              <w:tabs>
                <w:tab w:val="left" w:pos="246"/>
              </w:tabs>
              <w:spacing w:after="120"/>
              <w:jc w:val="left"/>
            </w:pPr>
            <w:r w:rsidRPr="006A5361">
              <w:t>6.</w:t>
            </w:r>
            <w:r w:rsidRPr="006A5361">
              <w:tab/>
              <w:t xml:space="preserve">Welcome the 114 complete fourth national reports </w:t>
            </w:r>
            <w:proofErr w:type="gramStart"/>
            <w:r w:rsidRPr="006A5361">
              <w:t>submitted;</w:t>
            </w:r>
            <w:proofErr w:type="gramEnd"/>
          </w:p>
          <w:p w14:paraId="28FDD7D8" w14:textId="77777777" w:rsidR="00F62426" w:rsidRPr="006A5361" w:rsidRDefault="00F62426" w:rsidP="00C8196A">
            <w:pPr>
              <w:tabs>
                <w:tab w:val="left" w:pos="246"/>
              </w:tabs>
              <w:spacing w:after="120"/>
              <w:jc w:val="left"/>
            </w:pPr>
          </w:p>
          <w:p w14:paraId="19596457" w14:textId="45FD6DCB" w:rsidR="00263A28" w:rsidRPr="006A5361" w:rsidRDefault="00F62426" w:rsidP="00C8196A">
            <w:pPr>
              <w:tabs>
                <w:tab w:val="left" w:pos="246"/>
              </w:tabs>
              <w:spacing w:after="120"/>
              <w:jc w:val="left"/>
            </w:pPr>
            <w:r w:rsidRPr="006A5361">
              <w:t>7.</w:t>
            </w:r>
            <w:r w:rsidRPr="006A5361">
              <w:tab/>
              <w:t>Express concern about the low number of fourth national reports submitted;</w:t>
            </w:r>
          </w:p>
        </w:tc>
        <w:tc>
          <w:tcPr>
            <w:tcW w:w="3544" w:type="dxa"/>
            <w:tcBorders>
              <w:bottom w:val="nil"/>
            </w:tcBorders>
          </w:tcPr>
          <w:p w14:paraId="2AB0D6B3" w14:textId="3C48441E" w:rsidR="00F62426" w:rsidRPr="006A5361" w:rsidRDefault="00F62426" w:rsidP="00C8196A">
            <w:pPr>
              <w:tabs>
                <w:tab w:val="left" w:pos="285"/>
              </w:tabs>
              <w:spacing w:after="120"/>
              <w:jc w:val="left"/>
            </w:pPr>
            <w:r w:rsidRPr="006A5361">
              <w:t>1.</w:t>
            </w:r>
            <w:r w:rsidRPr="006A5361">
              <w:tab/>
            </w:r>
            <w:r w:rsidRPr="006A5361">
              <w:rPr>
                <w:i/>
                <w:iCs/>
              </w:rPr>
              <w:t>Welcomes</w:t>
            </w:r>
            <w:r w:rsidRPr="006A5361">
              <w:t xml:space="preserve"> the </w:t>
            </w:r>
            <w:r w:rsidRPr="006A5361">
              <w:rPr>
                <w:b/>
                <w:bCs/>
              </w:rPr>
              <w:t>135</w:t>
            </w:r>
            <w:r w:rsidRPr="006A5361">
              <w:t xml:space="preserve"> complete fourth national reports submitted </w:t>
            </w:r>
            <w:r w:rsidRPr="006A5361">
              <w:rPr>
                <w:b/>
                <w:bCs/>
              </w:rPr>
              <w:t>through the Biosafety Clearing-</w:t>
            </w:r>
            <w:proofErr w:type="gramStart"/>
            <w:r w:rsidRPr="006A5361">
              <w:rPr>
                <w:b/>
                <w:bCs/>
              </w:rPr>
              <w:t>House</w:t>
            </w:r>
            <w:r w:rsidRPr="006A5361">
              <w:t>;</w:t>
            </w:r>
            <w:proofErr w:type="gramEnd"/>
            <w:r w:rsidRPr="006A5361">
              <w:t xml:space="preserve"> </w:t>
            </w:r>
          </w:p>
          <w:p w14:paraId="5D2967F1" w14:textId="77777777" w:rsidR="00F62426" w:rsidRPr="006A5361" w:rsidRDefault="00F62426" w:rsidP="00C8196A">
            <w:pPr>
              <w:tabs>
                <w:tab w:val="left" w:pos="285"/>
              </w:tabs>
              <w:spacing w:after="120"/>
              <w:jc w:val="left"/>
            </w:pPr>
            <w:r w:rsidRPr="006A5361">
              <w:t>2.</w:t>
            </w:r>
            <w:r w:rsidRPr="006A5361">
              <w:tab/>
            </w:r>
            <w:r w:rsidRPr="006A5361">
              <w:rPr>
                <w:i/>
                <w:iCs/>
              </w:rPr>
              <w:t xml:space="preserve">Expresses </w:t>
            </w:r>
            <w:r w:rsidRPr="006A5361">
              <w:t xml:space="preserve">concern about the low number of fourth national reports </w:t>
            </w:r>
            <w:proofErr w:type="gramStart"/>
            <w:r w:rsidRPr="006A5361">
              <w:t>submitted;</w:t>
            </w:r>
            <w:proofErr w:type="gramEnd"/>
          </w:p>
          <w:p w14:paraId="156B0B3D" w14:textId="18857D5E" w:rsidR="00263A28" w:rsidRPr="00C8196A" w:rsidRDefault="00263A28" w:rsidP="00C8196A">
            <w:pPr>
              <w:pStyle w:val="Para10"/>
              <w:numPr>
                <w:ilvl w:val="0"/>
                <w:numId w:val="0"/>
              </w:numPr>
              <w:spacing w:before="0"/>
              <w:ind w:hanging="360"/>
              <w:jc w:val="left"/>
              <w:rPr>
                <w:highlight w:val="yellow"/>
                <w:lang w:val="en-GB"/>
              </w:rPr>
            </w:pPr>
          </w:p>
        </w:tc>
        <w:tc>
          <w:tcPr>
            <w:tcW w:w="2902" w:type="dxa"/>
            <w:tcBorders>
              <w:bottom w:val="nil"/>
            </w:tcBorders>
          </w:tcPr>
          <w:p w14:paraId="469AEE63" w14:textId="489891E7" w:rsidR="00263A28" w:rsidRPr="006A5361" w:rsidRDefault="00F62426" w:rsidP="00C8196A">
            <w:pPr>
              <w:spacing w:after="120"/>
              <w:jc w:val="left"/>
              <w:rPr>
                <w:rFonts w:eastAsia="Calibri"/>
                <w:b/>
                <w:bCs/>
                <w:snapToGrid w:val="0"/>
                <w:kern w:val="22"/>
              </w:rPr>
            </w:pPr>
            <w:r w:rsidRPr="006A5361">
              <w:rPr>
                <w:snapToGrid w:val="0"/>
                <w:kern w:val="22"/>
              </w:rPr>
              <w:t xml:space="preserve">Recommendations were adopted with </w:t>
            </w:r>
            <w:r w:rsidRPr="006A5361">
              <w:t xml:space="preserve">an update to the number of fourth national reports submitted by the time of the tenth meeting, as well as </w:t>
            </w:r>
            <w:r w:rsidRPr="006A5361">
              <w:rPr>
                <w:snapToGrid w:val="0"/>
                <w:kern w:val="22"/>
              </w:rPr>
              <w:t>a clarification</w:t>
            </w:r>
            <w:r w:rsidRPr="006A5361">
              <w:t xml:space="preserve"> that the national reports were submitted </w:t>
            </w:r>
            <w:r w:rsidR="003C45C1">
              <w:t>through</w:t>
            </w:r>
            <w:r w:rsidR="003C45C1" w:rsidRPr="006A5361">
              <w:t xml:space="preserve"> </w:t>
            </w:r>
            <w:r w:rsidRPr="006A5361">
              <w:t xml:space="preserve">the Biosafety </w:t>
            </w:r>
            <w:proofErr w:type="gramStart"/>
            <w:r w:rsidRPr="006A5361">
              <w:t>Clearing-House</w:t>
            </w:r>
            <w:proofErr w:type="gramEnd"/>
            <w:r w:rsidR="005A27A2">
              <w:t>.</w:t>
            </w:r>
          </w:p>
        </w:tc>
      </w:tr>
      <w:tr w:rsidR="008A0E90" w:rsidRPr="006A5361" w14:paraId="202708AE" w14:textId="77777777" w:rsidTr="00C8196A">
        <w:tc>
          <w:tcPr>
            <w:tcW w:w="3402" w:type="dxa"/>
            <w:tcBorders>
              <w:top w:val="nil"/>
              <w:bottom w:val="single" w:sz="4" w:space="0" w:color="auto"/>
            </w:tcBorders>
          </w:tcPr>
          <w:p w14:paraId="3A92FE02" w14:textId="54CFAC7A" w:rsidR="008A0E90" w:rsidRPr="006A5361" w:rsidRDefault="008A0E90" w:rsidP="00C8196A">
            <w:pPr>
              <w:tabs>
                <w:tab w:val="left" w:pos="259"/>
              </w:tabs>
              <w:spacing w:after="120"/>
              <w:jc w:val="left"/>
              <w:rPr>
                <w:rFonts w:asciiTheme="majorBidi" w:hAnsiTheme="majorBidi" w:cstheme="majorBidi"/>
                <w:kern w:val="22"/>
                <w:szCs w:val="22"/>
              </w:rPr>
            </w:pPr>
            <w:r w:rsidRPr="006A5361">
              <w:rPr>
                <w:rFonts w:cstheme="majorBidi"/>
                <w:kern w:val="22"/>
                <w:szCs w:val="22"/>
              </w:rPr>
              <w:t>8.</w:t>
            </w:r>
            <w:r w:rsidRPr="006A5361">
              <w:rPr>
                <w:rFonts w:cstheme="majorBidi"/>
                <w:kern w:val="22"/>
                <w:szCs w:val="22"/>
              </w:rPr>
              <w:tab/>
            </w:r>
            <w:proofErr w:type="gramStart"/>
            <w:r w:rsidRPr="00C8196A">
              <w:t>Also</w:t>
            </w:r>
            <w:proofErr w:type="gramEnd"/>
            <w:r w:rsidRPr="00C8196A">
              <w:t xml:space="preserve"> express concern about delays in the project to be submitted to the Global Environment Facility to support eligible Parties in the preparation of their fourth national reports, noting that such funding was not available before the deadline for the submission of fourth national reports, which is one of the factors that may have affected the submission rate;</w:t>
            </w:r>
          </w:p>
        </w:tc>
        <w:tc>
          <w:tcPr>
            <w:tcW w:w="3544" w:type="dxa"/>
            <w:tcBorders>
              <w:top w:val="nil"/>
              <w:bottom w:val="single" w:sz="4" w:space="0" w:color="auto"/>
            </w:tcBorders>
          </w:tcPr>
          <w:p w14:paraId="3427533E" w14:textId="06679150" w:rsidR="008A0E90" w:rsidRPr="006A5361" w:rsidRDefault="008A0E90" w:rsidP="00C8196A">
            <w:pPr>
              <w:tabs>
                <w:tab w:val="left" w:pos="259"/>
              </w:tabs>
              <w:spacing w:after="120"/>
              <w:jc w:val="left"/>
            </w:pPr>
            <w:r w:rsidRPr="006A5361">
              <w:t>3.</w:t>
            </w:r>
            <w:r w:rsidR="00860AA2" w:rsidRPr="006A5361">
              <w:tab/>
            </w:r>
            <w:r w:rsidRPr="006A5361">
              <w:rPr>
                <w:i/>
                <w:iCs/>
              </w:rPr>
              <w:t>Also expresses</w:t>
            </w:r>
            <w:r w:rsidRPr="006A5361">
              <w:t xml:space="preserve"> concern about delays in submitting the projects to the Global Environment Facility to support eligible Parties in the preparation of their fourth national reports, noting that such funding was not available before the deadline for the submission of fourth national reports, which is one of the factors that may have affected the submission rate;</w:t>
            </w:r>
          </w:p>
        </w:tc>
        <w:tc>
          <w:tcPr>
            <w:tcW w:w="2902" w:type="dxa"/>
            <w:tcBorders>
              <w:top w:val="nil"/>
              <w:bottom w:val="single" w:sz="4" w:space="0" w:color="auto"/>
            </w:tcBorders>
          </w:tcPr>
          <w:p w14:paraId="63B1340F" w14:textId="77777777" w:rsidR="008A0E90" w:rsidRPr="00C8196A" w:rsidRDefault="008A0E90" w:rsidP="00C8196A">
            <w:pPr>
              <w:pStyle w:val="Para10"/>
              <w:numPr>
                <w:ilvl w:val="0"/>
                <w:numId w:val="0"/>
              </w:numPr>
              <w:tabs>
                <w:tab w:val="clear" w:pos="1134"/>
              </w:tabs>
              <w:spacing w:before="0"/>
              <w:jc w:val="left"/>
              <w:rPr>
                <w:rFonts w:asciiTheme="majorBidi" w:eastAsia="Calibri" w:hAnsiTheme="majorBidi" w:cstheme="majorBidi"/>
                <w:b/>
                <w:bCs/>
                <w:snapToGrid w:val="0"/>
                <w:kern w:val="22"/>
                <w:szCs w:val="22"/>
                <w:lang w:val="en-GB"/>
              </w:rPr>
            </w:pPr>
          </w:p>
        </w:tc>
      </w:tr>
      <w:tr w:rsidR="00300645" w:rsidRPr="006A5361" w14:paraId="3DF1C924" w14:textId="77777777" w:rsidTr="00C8196A">
        <w:trPr>
          <w:trHeight w:val="827"/>
        </w:trPr>
        <w:tc>
          <w:tcPr>
            <w:tcW w:w="3402" w:type="dxa"/>
            <w:tcBorders>
              <w:top w:val="single" w:sz="4" w:space="0" w:color="auto"/>
              <w:bottom w:val="nil"/>
            </w:tcBorders>
          </w:tcPr>
          <w:p w14:paraId="354F6BBA" w14:textId="6433728F" w:rsidR="00300645" w:rsidRPr="006A5361" w:rsidRDefault="00300645" w:rsidP="00C8196A">
            <w:pPr>
              <w:tabs>
                <w:tab w:val="left" w:pos="310"/>
              </w:tabs>
              <w:spacing w:after="120"/>
              <w:jc w:val="left"/>
            </w:pPr>
            <w:r w:rsidRPr="006A5361">
              <w:t>9.</w:t>
            </w:r>
            <w:r w:rsidRPr="006A5361">
              <w:tab/>
              <w:t>Urge Parties that have not yet submitted their fourth national report to do so as soon as possible.</w:t>
            </w:r>
          </w:p>
        </w:tc>
        <w:tc>
          <w:tcPr>
            <w:tcW w:w="3544" w:type="dxa"/>
            <w:tcBorders>
              <w:top w:val="single" w:sz="4" w:space="0" w:color="auto"/>
              <w:bottom w:val="nil"/>
            </w:tcBorders>
          </w:tcPr>
          <w:p w14:paraId="5836F44F" w14:textId="6302D87E" w:rsidR="00300645" w:rsidRPr="006A5361" w:rsidRDefault="00300645">
            <w:pPr>
              <w:spacing w:after="120"/>
              <w:jc w:val="left"/>
              <w:rPr>
                <w:vertAlign w:val="superscript"/>
              </w:rPr>
            </w:pPr>
            <w:r w:rsidRPr="006A5361">
              <w:t>4.</w:t>
            </w:r>
            <w:r w:rsidR="00826C7D" w:rsidRPr="006A5361">
              <w:tab/>
            </w:r>
            <w:r w:rsidRPr="006A5361">
              <w:rPr>
                <w:i/>
                <w:iCs/>
              </w:rPr>
              <w:t>Urges</w:t>
            </w:r>
            <w:r w:rsidRPr="006A5361">
              <w:t xml:space="preserve"> Parties that have not yet submitted their fourth national report to do so as soon as possible;</w:t>
            </w:r>
            <w:r w:rsidR="002304C6" w:rsidRPr="00C8196A">
              <w:rPr>
                <w:vertAlign w:val="superscript"/>
              </w:rPr>
              <w:t>1</w:t>
            </w:r>
          </w:p>
          <w:p w14:paraId="42E490FE" w14:textId="2BDF5E7C" w:rsidR="002304C6" w:rsidRPr="00C8196A" w:rsidRDefault="002304C6" w:rsidP="00C8196A">
            <w:pPr>
              <w:spacing w:after="120"/>
              <w:jc w:val="left"/>
              <w:rPr>
                <w:sz w:val="18"/>
                <w:szCs w:val="18"/>
              </w:rPr>
            </w:pPr>
            <w:r w:rsidRPr="00C8196A">
              <w:rPr>
                <w:sz w:val="18"/>
                <w:szCs w:val="18"/>
                <w:vertAlign w:val="superscript"/>
              </w:rPr>
              <w:t xml:space="preserve">1 </w:t>
            </w:r>
            <w:r w:rsidRPr="00C8196A">
              <w:rPr>
                <w:sz w:val="18"/>
                <w:szCs w:val="18"/>
              </w:rPr>
              <w:t>Afghanistan, Albania, Angola, Azerbaijan, Belize, Bolivia, Cabo Verde, Democratic People’s Republic of Korea, Djibouti, Dominica, Fiji, Honduras, Jordan, Kiribati, Kyrgyzstan, Libya, Marshall Islands, Mauritius, Mongolia, Nauru, Niue, Papua New Guinea, Qatar, Saint Vincent and the Grenadines, Samoa, Saudi Arabia, Seychelles, Syrian Arab Republic, Tajikistan, Trinidad and Tobago and Yemen.</w:t>
            </w:r>
          </w:p>
        </w:tc>
        <w:tc>
          <w:tcPr>
            <w:tcW w:w="2902" w:type="dxa"/>
            <w:tcBorders>
              <w:top w:val="single" w:sz="4" w:space="0" w:color="auto"/>
              <w:bottom w:val="nil"/>
            </w:tcBorders>
          </w:tcPr>
          <w:p w14:paraId="559B329E" w14:textId="10858D5C" w:rsidR="00300645" w:rsidRPr="006A5361" w:rsidRDefault="00300645" w:rsidP="00C8196A">
            <w:pPr>
              <w:spacing w:after="120"/>
              <w:jc w:val="left"/>
              <w:rPr>
                <w:rFonts w:eastAsia="Calibri"/>
                <w:b/>
                <w:bCs/>
                <w:snapToGrid w:val="0"/>
              </w:rPr>
            </w:pPr>
            <w:r w:rsidRPr="006A5361">
              <w:rPr>
                <w:snapToGrid w:val="0"/>
              </w:rPr>
              <w:t xml:space="preserve">The </w:t>
            </w:r>
            <w:r w:rsidR="005A13EF" w:rsidRPr="006A5361">
              <w:rPr>
                <w:snapToGrid w:val="0"/>
              </w:rPr>
              <w:t xml:space="preserve">list of Parties that had not submitted a fourth national report </w:t>
            </w:r>
            <w:r w:rsidR="005A13EF">
              <w:rPr>
                <w:snapToGrid w:val="0"/>
              </w:rPr>
              <w:t xml:space="preserve">contained in </w:t>
            </w:r>
            <w:r w:rsidRPr="006A5361">
              <w:rPr>
                <w:snapToGrid w:val="0"/>
              </w:rPr>
              <w:t>footnote</w:t>
            </w:r>
            <w:r w:rsidR="00977632">
              <w:rPr>
                <w:snapToGrid w:val="0"/>
              </w:rPr>
              <w:t> 1</w:t>
            </w:r>
            <w:r w:rsidRPr="006A5361">
              <w:rPr>
                <w:snapToGrid w:val="0"/>
              </w:rPr>
              <w:t xml:space="preserve"> to paragraph 4 of decision CP-10/9 was updated with information available </w:t>
            </w:r>
            <w:r w:rsidR="00E32684">
              <w:rPr>
                <w:snapToGrid w:val="0"/>
              </w:rPr>
              <w:t>at</w:t>
            </w:r>
            <w:r w:rsidR="00E32684" w:rsidRPr="006A5361">
              <w:rPr>
                <w:snapToGrid w:val="0"/>
              </w:rPr>
              <w:t xml:space="preserve"> </w:t>
            </w:r>
            <w:r w:rsidRPr="006A5361">
              <w:rPr>
                <w:snapToGrid w:val="0"/>
              </w:rPr>
              <w:t xml:space="preserve">the time of the </w:t>
            </w:r>
            <w:r w:rsidR="00E32684">
              <w:rPr>
                <w:snapToGrid w:val="0"/>
              </w:rPr>
              <w:t xml:space="preserve">tenth </w:t>
            </w:r>
            <w:r w:rsidRPr="006A5361">
              <w:rPr>
                <w:snapToGrid w:val="0"/>
              </w:rPr>
              <w:t>meeting.</w:t>
            </w:r>
          </w:p>
        </w:tc>
      </w:tr>
      <w:tr w:rsidR="0097481C" w:rsidRPr="006A5361" w14:paraId="4E110365" w14:textId="77777777" w:rsidTr="00C8196A">
        <w:tc>
          <w:tcPr>
            <w:tcW w:w="3402" w:type="dxa"/>
            <w:tcBorders>
              <w:top w:val="nil"/>
              <w:bottom w:val="nil"/>
            </w:tcBorders>
          </w:tcPr>
          <w:p w14:paraId="7B3B9BFA" w14:textId="6E8CBDFD" w:rsidR="0097481C" w:rsidRPr="006A5361" w:rsidRDefault="00D82C21" w:rsidP="00C8196A">
            <w:pPr>
              <w:tabs>
                <w:tab w:val="left" w:pos="259"/>
              </w:tabs>
              <w:spacing w:after="120"/>
              <w:jc w:val="left"/>
            </w:pPr>
            <w:r w:rsidRPr="006A5361">
              <w:t>10.</w:t>
            </w:r>
            <w:r w:rsidR="006B0EE2" w:rsidRPr="006A5361">
              <w:t xml:space="preserve"> </w:t>
            </w:r>
            <w:r w:rsidR="0097481C" w:rsidRPr="006A5361">
              <w:t xml:space="preserve">Note with concern that, of the Parties that have not yet submitted their fourth national report, some Parties have also not submitted their third national </w:t>
            </w:r>
            <w:proofErr w:type="gramStart"/>
            <w:r w:rsidR="0097481C" w:rsidRPr="006A5361">
              <w:t>report;</w:t>
            </w:r>
            <w:proofErr w:type="gramEnd"/>
          </w:p>
          <w:p w14:paraId="38DBB2C4" w14:textId="286187C3" w:rsidR="0097481C" w:rsidRPr="006A5361" w:rsidRDefault="00D82C21" w:rsidP="00C8196A">
            <w:pPr>
              <w:tabs>
                <w:tab w:val="left" w:pos="259"/>
              </w:tabs>
              <w:spacing w:after="120"/>
              <w:jc w:val="left"/>
              <w:rPr>
                <w:rFonts w:eastAsia="Calibri"/>
                <w:i/>
              </w:rPr>
            </w:pPr>
            <w:r w:rsidRPr="00C8196A">
              <w:t>11.</w:t>
            </w:r>
            <w:r w:rsidR="006B0EE2" w:rsidRPr="006A5361">
              <w:t xml:space="preserve"> </w:t>
            </w:r>
            <w:r w:rsidR="0097481C" w:rsidRPr="006A5361">
              <w:t>Urge Parties that have submitted an incomplete fourth national report to provide the missing information as soon as possible;</w:t>
            </w:r>
          </w:p>
        </w:tc>
        <w:tc>
          <w:tcPr>
            <w:tcW w:w="3544" w:type="dxa"/>
            <w:tcBorders>
              <w:top w:val="nil"/>
              <w:bottom w:val="nil"/>
            </w:tcBorders>
          </w:tcPr>
          <w:p w14:paraId="6A802CF8" w14:textId="59C4C812" w:rsidR="0097481C" w:rsidRPr="00C8196A" w:rsidRDefault="0097481C">
            <w:pPr>
              <w:spacing w:after="120"/>
              <w:jc w:val="left"/>
            </w:pPr>
            <w:r w:rsidRPr="006A5361">
              <w:t>5.</w:t>
            </w:r>
            <w:r w:rsidR="00826C7D" w:rsidRPr="006A5361">
              <w:tab/>
            </w:r>
            <w:r w:rsidRPr="006A5361">
              <w:rPr>
                <w:i/>
                <w:iCs/>
              </w:rPr>
              <w:t>Notes with concern</w:t>
            </w:r>
            <w:r w:rsidRPr="006A5361">
              <w:t xml:space="preserve"> that, of the Parties that have not yet submitted their fourth national report, some Parties have also not submitted their third national report;</w:t>
            </w:r>
            <w:r w:rsidR="007A58E8" w:rsidRPr="00C8196A">
              <w:rPr>
                <w:vertAlign w:val="superscript"/>
              </w:rPr>
              <w:t>2</w:t>
            </w:r>
          </w:p>
          <w:p w14:paraId="4ABF96AB" w14:textId="0B0F5D78" w:rsidR="008925FD" w:rsidRPr="006A5361" w:rsidRDefault="008925FD" w:rsidP="00C8196A">
            <w:pPr>
              <w:spacing w:after="120"/>
              <w:jc w:val="left"/>
            </w:pPr>
            <w:r w:rsidRPr="00C8196A">
              <w:rPr>
                <w:sz w:val="18"/>
                <w:szCs w:val="18"/>
                <w:vertAlign w:val="superscript"/>
              </w:rPr>
              <w:t>2</w:t>
            </w:r>
            <w:r w:rsidRPr="00C8196A">
              <w:rPr>
                <w:sz w:val="18"/>
                <w:szCs w:val="18"/>
              </w:rPr>
              <w:t xml:space="preserve"> Azerbaijan, Belize, Libya, Nauru, Papua New Guinea, Qatar, Saudi Arabia, </w:t>
            </w:r>
            <w:proofErr w:type="gramStart"/>
            <w:r w:rsidRPr="00C8196A">
              <w:rPr>
                <w:sz w:val="18"/>
                <w:szCs w:val="18"/>
              </w:rPr>
              <w:t>Seychelles</w:t>
            </w:r>
            <w:proofErr w:type="gramEnd"/>
            <w:r w:rsidRPr="00C8196A">
              <w:rPr>
                <w:sz w:val="18"/>
                <w:szCs w:val="18"/>
              </w:rPr>
              <w:t xml:space="preserve"> and Syrian Arab Republic.</w:t>
            </w:r>
          </w:p>
          <w:p w14:paraId="265DE078" w14:textId="6D3C465C" w:rsidR="0097481C" w:rsidRPr="00C8196A" w:rsidRDefault="0097481C" w:rsidP="00C8196A">
            <w:pPr>
              <w:spacing w:after="120"/>
              <w:jc w:val="left"/>
              <w:rPr>
                <w:rFonts w:eastAsia="Calibri"/>
                <w:b/>
                <w:snapToGrid w:val="0"/>
                <w:kern w:val="22"/>
                <w:u w:val="single"/>
              </w:rPr>
            </w:pPr>
            <w:r w:rsidRPr="006A5361">
              <w:t>8.</w:t>
            </w:r>
            <w:r w:rsidR="00826C7D" w:rsidRPr="006A5361">
              <w:tab/>
            </w:r>
            <w:r w:rsidRPr="006A5361">
              <w:rPr>
                <w:i/>
                <w:iCs/>
              </w:rPr>
              <w:t>Urges</w:t>
            </w:r>
            <w:r w:rsidRPr="006A5361">
              <w:t xml:space="preserve"> Parties that have submitted an incomplete fourth national report to provide the missing information as soon as possible;</w:t>
            </w:r>
          </w:p>
        </w:tc>
        <w:tc>
          <w:tcPr>
            <w:tcW w:w="2902" w:type="dxa"/>
            <w:tcBorders>
              <w:top w:val="nil"/>
              <w:bottom w:val="nil"/>
            </w:tcBorders>
          </w:tcPr>
          <w:p w14:paraId="4D47944C" w14:textId="69CD728C" w:rsidR="0097481C" w:rsidRPr="006A5361" w:rsidRDefault="0097481C" w:rsidP="00C8196A">
            <w:pPr>
              <w:spacing w:after="120"/>
              <w:jc w:val="left"/>
              <w:rPr>
                <w:rFonts w:eastAsia="Calibri"/>
              </w:rPr>
            </w:pPr>
          </w:p>
        </w:tc>
      </w:tr>
      <w:tr w:rsidR="00CA73BD" w:rsidRPr="006A5361" w14:paraId="006C2500" w14:textId="77777777" w:rsidTr="002A3A52">
        <w:tc>
          <w:tcPr>
            <w:tcW w:w="3402" w:type="dxa"/>
            <w:tcBorders>
              <w:top w:val="nil"/>
              <w:bottom w:val="single" w:sz="4" w:space="0" w:color="auto"/>
            </w:tcBorders>
          </w:tcPr>
          <w:p w14:paraId="335C6282" w14:textId="77777777" w:rsidR="0097481C" w:rsidRPr="006A5361" w:rsidRDefault="0097481C" w:rsidP="00C8196A">
            <w:pPr>
              <w:autoSpaceDE w:val="0"/>
              <w:autoSpaceDN w:val="0"/>
              <w:adjustRightInd w:val="0"/>
              <w:spacing w:after="120"/>
              <w:jc w:val="left"/>
              <w:rPr>
                <w:rFonts w:asciiTheme="majorBidi" w:hAnsiTheme="majorBidi" w:cstheme="majorBidi"/>
                <w:b/>
                <w:snapToGrid w:val="0"/>
                <w:kern w:val="22"/>
                <w:szCs w:val="22"/>
                <w:u w:val="single"/>
              </w:rPr>
            </w:pPr>
          </w:p>
        </w:tc>
        <w:tc>
          <w:tcPr>
            <w:tcW w:w="3544" w:type="dxa"/>
            <w:tcBorders>
              <w:top w:val="nil"/>
              <w:bottom w:val="single" w:sz="4" w:space="0" w:color="auto"/>
            </w:tcBorders>
          </w:tcPr>
          <w:p w14:paraId="7A3BE18A" w14:textId="3F1F777F" w:rsidR="0097481C" w:rsidRPr="006A5361" w:rsidRDefault="00202492" w:rsidP="00C8196A">
            <w:pPr>
              <w:shd w:val="clear" w:color="auto" w:fill="FFFFFF"/>
              <w:spacing w:after="120"/>
              <w:jc w:val="left"/>
              <w:rPr>
                <w:rFonts w:asciiTheme="majorBidi" w:hAnsiTheme="majorBidi" w:cstheme="majorBidi"/>
                <w:szCs w:val="22"/>
              </w:rPr>
            </w:pPr>
            <w:r w:rsidRPr="006A5361">
              <w:rPr>
                <w:rFonts w:asciiTheme="majorBidi" w:hAnsiTheme="majorBidi" w:cstheme="majorBidi"/>
                <w:szCs w:val="22"/>
              </w:rPr>
              <w:t>16.</w:t>
            </w:r>
            <w:r w:rsidRPr="006A5361">
              <w:rPr>
                <w:rFonts w:asciiTheme="majorBidi" w:hAnsiTheme="majorBidi" w:cstheme="majorBidi"/>
                <w:szCs w:val="22"/>
              </w:rPr>
              <w:tab/>
            </w:r>
            <w:r w:rsidRPr="006A5361">
              <w:rPr>
                <w:rFonts w:asciiTheme="majorBidi" w:hAnsiTheme="majorBidi" w:cstheme="majorBidi"/>
                <w:i/>
                <w:iCs/>
                <w:szCs w:val="22"/>
              </w:rPr>
              <w:t xml:space="preserve">Urges </w:t>
            </w:r>
            <w:r w:rsidRPr="006A5361">
              <w:rPr>
                <w:rFonts w:asciiTheme="majorBidi" w:hAnsiTheme="majorBidi" w:cstheme="majorBidi"/>
                <w:szCs w:val="22"/>
              </w:rPr>
              <w:t>eligible Parties to submit their letters of commitment to the implementing agency in a timely manner to ensure that projects to support the preparation of fifth national reports can be submitted to the Global Environment Facility for approval well before the deadline for the submission of the reports;</w:t>
            </w:r>
          </w:p>
        </w:tc>
        <w:tc>
          <w:tcPr>
            <w:tcW w:w="2902" w:type="dxa"/>
            <w:tcBorders>
              <w:top w:val="nil"/>
              <w:bottom w:val="single" w:sz="4" w:space="0" w:color="auto"/>
            </w:tcBorders>
          </w:tcPr>
          <w:p w14:paraId="66485830" w14:textId="650DE183" w:rsidR="003870BA" w:rsidRPr="006A5361" w:rsidRDefault="005D7A92" w:rsidP="00C8196A">
            <w:pPr>
              <w:spacing w:after="120"/>
              <w:jc w:val="left"/>
              <w:rPr>
                <w:rFonts w:eastAsia="Calibri"/>
                <w:snapToGrid w:val="0"/>
                <w:kern w:val="22"/>
              </w:rPr>
            </w:pPr>
            <w:r w:rsidRPr="006A5361">
              <w:rPr>
                <w:rFonts w:eastAsia="Calibri"/>
                <w:snapToGrid w:val="0"/>
                <w:kern w:val="22"/>
              </w:rPr>
              <w:t>P</w:t>
            </w:r>
            <w:r w:rsidR="00202492" w:rsidRPr="006A5361">
              <w:rPr>
                <w:rFonts w:eastAsia="Calibri"/>
                <w:snapToGrid w:val="0"/>
                <w:kern w:val="22"/>
              </w:rPr>
              <w:t xml:space="preserve">aragraph </w:t>
            </w:r>
            <w:r w:rsidRPr="006A5361">
              <w:rPr>
                <w:rFonts w:eastAsia="Calibri"/>
                <w:snapToGrid w:val="0"/>
                <w:kern w:val="22"/>
              </w:rPr>
              <w:t xml:space="preserve">16 </w:t>
            </w:r>
            <w:r w:rsidR="00202492" w:rsidRPr="006A5361">
              <w:rPr>
                <w:rFonts w:eastAsia="Calibri"/>
                <w:snapToGrid w:val="0"/>
                <w:kern w:val="22"/>
              </w:rPr>
              <w:t xml:space="preserve">supports recommendation </w:t>
            </w:r>
            <w:r w:rsidR="008D40A1">
              <w:rPr>
                <w:rFonts w:eastAsia="Calibri"/>
                <w:snapToGrid w:val="0"/>
                <w:kern w:val="22"/>
              </w:rPr>
              <w:t>No. </w:t>
            </w:r>
            <w:r w:rsidR="00202492" w:rsidRPr="006A5361">
              <w:rPr>
                <w:rFonts w:eastAsia="Calibri"/>
                <w:snapToGrid w:val="0"/>
                <w:kern w:val="22"/>
              </w:rPr>
              <w:t xml:space="preserve">8 of the Committee and </w:t>
            </w:r>
            <w:r w:rsidR="00006532" w:rsidRPr="006A5361">
              <w:rPr>
                <w:rFonts w:eastAsia="Calibri"/>
                <w:snapToGrid w:val="0"/>
                <w:kern w:val="22"/>
              </w:rPr>
              <w:t>is aimed a</w:t>
            </w:r>
            <w:r w:rsidR="00202492" w:rsidRPr="006A5361">
              <w:rPr>
                <w:rFonts w:eastAsia="Calibri"/>
                <w:snapToGrid w:val="0"/>
                <w:kern w:val="22"/>
              </w:rPr>
              <w:t>t encourag</w:t>
            </w:r>
            <w:r w:rsidR="00006532" w:rsidRPr="006A5361">
              <w:rPr>
                <w:rFonts w:eastAsia="Calibri"/>
                <w:snapToGrid w:val="0"/>
                <w:kern w:val="22"/>
              </w:rPr>
              <w:t>ing</w:t>
            </w:r>
            <w:r w:rsidR="00202492" w:rsidRPr="006A5361">
              <w:rPr>
                <w:rFonts w:eastAsia="Calibri"/>
                <w:snapToGrid w:val="0"/>
                <w:kern w:val="22"/>
              </w:rPr>
              <w:t xml:space="preserve"> </w:t>
            </w:r>
            <w:r w:rsidR="00006532" w:rsidRPr="006A5361">
              <w:rPr>
                <w:rFonts w:eastAsia="Calibri"/>
                <w:snapToGrid w:val="0"/>
                <w:kern w:val="22"/>
              </w:rPr>
              <w:t xml:space="preserve">the </w:t>
            </w:r>
            <w:r w:rsidR="00202492" w:rsidRPr="006A5361">
              <w:rPr>
                <w:rFonts w:eastAsia="Calibri"/>
                <w:snapToGrid w:val="0"/>
                <w:kern w:val="22"/>
              </w:rPr>
              <w:t xml:space="preserve">early submission of </w:t>
            </w:r>
            <w:r w:rsidR="00202492" w:rsidRPr="006A5361">
              <w:t>letters of commitment to the United Nations Environment Programme</w:t>
            </w:r>
            <w:r w:rsidR="00006532" w:rsidRPr="006A5361">
              <w:t>,</w:t>
            </w:r>
            <w:r w:rsidR="00202492" w:rsidRPr="006A5361">
              <w:t xml:space="preserve"> </w:t>
            </w:r>
            <w:proofErr w:type="gramStart"/>
            <w:r w:rsidR="00202492" w:rsidRPr="006A5361">
              <w:t>so as to</w:t>
            </w:r>
            <w:proofErr w:type="gramEnd"/>
            <w:r w:rsidR="00202492" w:rsidRPr="006A5361">
              <w:t xml:space="preserve"> avoid delays in the disbursement of funds for national report preparations.</w:t>
            </w:r>
          </w:p>
        </w:tc>
      </w:tr>
    </w:tbl>
    <w:p w14:paraId="119893C7" w14:textId="002BFB73" w:rsidR="00582C43" w:rsidRPr="00C8196A" w:rsidRDefault="000D02AF" w:rsidP="00C8196A">
      <w:pPr>
        <w:pStyle w:val="Para1"/>
        <w:keepNext/>
        <w:numPr>
          <w:ilvl w:val="0"/>
          <w:numId w:val="0"/>
        </w:numPr>
        <w:tabs>
          <w:tab w:val="left" w:pos="1080"/>
        </w:tabs>
        <w:spacing w:before="240" w:after="0"/>
        <w:jc w:val="both"/>
        <w:rPr>
          <w:kern w:val="22"/>
          <w:sz w:val="22"/>
          <w:szCs w:val="22"/>
          <w:highlight w:val="yellow"/>
          <w:lang w:val="en-GB"/>
        </w:rPr>
      </w:pPr>
      <w:r w:rsidRPr="00C8196A">
        <w:rPr>
          <w:kern w:val="22"/>
          <w:sz w:val="22"/>
          <w:szCs w:val="22"/>
          <w:lang w:val="en-GB"/>
        </w:rPr>
        <w:t>Table 3</w:t>
      </w:r>
    </w:p>
    <w:p w14:paraId="01B44A2A" w14:textId="0C9D40EC" w:rsidR="00062F8E" w:rsidRPr="006A5361" w:rsidRDefault="000D02AF" w:rsidP="00C8196A">
      <w:pPr>
        <w:pStyle w:val="Para1"/>
        <w:keepNext/>
        <w:numPr>
          <w:ilvl w:val="0"/>
          <w:numId w:val="0"/>
        </w:numPr>
        <w:tabs>
          <w:tab w:val="left" w:pos="1080"/>
        </w:tabs>
        <w:spacing w:before="0"/>
        <w:jc w:val="both"/>
        <w:rPr>
          <w:b/>
          <w:bCs/>
          <w:kern w:val="22"/>
          <w:sz w:val="22"/>
          <w:szCs w:val="22"/>
          <w:lang w:val="en-GB"/>
        </w:rPr>
      </w:pPr>
      <w:r w:rsidRPr="00C8196A">
        <w:rPr>
          <w:b/>
          <w:bCs/>
          <w:sz w:val="22"/>
          <w:szCs w:val="22"/>
          <w:lang w:val="en-GB"/>
        </w:rPr>
        <w:t>Assessment and review of the effectiveness of the Protocol and final evaluation of the Strategic Plan for the Cartagena Protocol on Biosafety for the period 2011</w:t>
      </w:r>
      <w:r w:rsidR="00582C43" w:rsidRPr="00C8196A">
        <w:rPr>
          <w:b/>
          <w:bCs/>
          <w:sz w:val="22"/>
          <w:szCs w:val="22"/>
          <w:lang w:val="en-GB"/>
        </w:rPr>
        <w:t>–</w:t>
      </w:r>
      <w:r w:rsidRPr="00C8196A">
        <w:rPr>
          <w:b/>
          <w:bCs/>
          <w:sz w:val="22"/>
          <w:szCs w:val="22"/>
          <w:lang w:val="en-GB"/>
        </w:rPr>
        <w:t>2020</w:t>
      </w:r>
    </w:p>
    <w:tbl>
      <w:tblPr>
        <w:tblW w:w="9848" w:type="dxa"/>
        <w:tblInd w:w="13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402"/>
        <w:gridCol w:w="3544"/>
        <w:gridCol w:w="2902"/>
      </w:tblGrid>
      <w:tr w:rsidR="000D02AF" w:rsidRPr="006A5361" w14:paraId="56A4E57B" w14:textId="77777777" w:rsidTr="00C8196A">
        <w:trPr>
          <w:tblHeader/>
        </w:trPr>
        <w:tc>
          <w:tcPr>
            <w:tcW w:w="3402" w:type="dxa"/>
            <w:tcBorders>
              <w:top w:val="single" w:sz="4" w:space="0" w:color="auto"/>
              <w:bottom w:val="single" w:sz="4" w:space="0" w:color="auto"/>
            </w:tcBorders>
          </w:tcPr>
          <w:p w14:paraId="4325A98C" w14:textId="07D05051" w:rsidR="000D02AF" w:rsidRPr="00C8196A" w:rsidRDefault="000D02AF" w:rsidP="000D02AF">
            <w:pPr>
              <w:pStyle w:val="Para1"/>
              <w:numPr>
                <w:ilvl w:val="0"/>
                <w:numId w:val="0"/>
              </w:numPr>
              <w:jc w:val="both"/>
              <w:rPr>
                <w:rFonts w:asciiTheme="majorBidi" w:hAnsiTheme="majorBidi" w:cstheme="majorBidi"/>
                <w:i/>
                <w:iCs/>
                <w:kern w:val="22"/>
                <w:sz w:val="22"/>
                <w:szCs w:val="22"/>
                <w:lang w:val="en-GB"/>
              </w:rPr>
            </w:pPr>
            <w:r w:rsidRPr="00C8196A">
              <w:rPr>
                <w:rFonts w:asciiTheme="majorBidi" w:eastAsia="Calibri" w:hAnsiTheme="majorBidi" w:cstheme="majorBidi"/>
                <w:i/>
                <w:iCs/>
                <w:kern w:val="22"/>
                <w:sz w:val="22"/>
                <w:szCs w:val="22"/>
                <w:lang w:val="en-GB"/>
              </w:rPr>
              <w:t xml:space="preserve">Recommendation </w:t>
            </w:r>
            <w:r w:rsidR="00F41A06" w:rsidRPr="00C8196A">
              <w:rPr>
                <w:rFonts w:asciiTheme="majorBidi" w:eastAsia="Calibri" w:hAnsiTheme="majorBidi" w:cstheme="majorBidi"/>
                <w:i/>
                <w:iCs/>
                <w:kern w:val="22"/>
                <w:sz w:val="22"/>
                <w:szCs w:val="22"/>
                <w:lang w:val="en-GB"/>
              </w:rPr>
              <w:t xml:space="preserve">by </w:t>
            </w:r>
            <w:r w:rsidRPr="00C8196A">
              <w:rPr>
                <w:rFonts w:asciiTheme="majorBidi" w:eastAsia="Calibri" w:hAnsiTheme="majorBidi" w:cstheme="majorBidi"/>
                <w:i/>
                <w:iCs/>
                <w:kern w:val="22"/>
                <w:sz w:val="22"/>
                <w:szCs w:val="22"/>
                <w:lang w:val="en-GB"/>
              </w:rPr>
              <w:t>the Committee</w:t>
            </w:r>
            <w:r w:rsidRPr="00C8196A">
              <w:rPr>
                <w:rFonts w:asciiTheme="majorBidi" w:eastAsia="Calibri" w:hAnsiTheme="majorBidi" w:cstheme="majorBidi"/>
                <w:i/>
                <w:iCs/>
                <w:kern w:val="22"/>
                <w:sz w:val="22"/>
                <w:szCs w:val="22"/>
                <w:lang w:val="en-GB"/>
              </w:rPr>
              <w:br/>
              <w:t>(CBD/CP/MOP/10/2, annex)</w:t>
            </w:r>
          </w:p>
        </w:tc>
        <w:tc>
          <w:tcPr>
            <w:tcW w:w="3544" w:type="dxa"/>
            <w:tcBorders>
              <w:top w:val="single" w:sz="4" w:space="0" w:color="auto"/>
              <w:bottom w:val="single" w:sz="4" w:space="0" w:color="auto"/>
            </w:tcBorders>
          </w:tcPr>
          <w:p w14:paraId="16E63C66" w14:textId="0FC7177E" w:rsidR="000D02AF" w:rsidRPr="00C8196A" w:rsidRDefault="00013CA4" w:rsidP="00DD7085">
            <w:pPr>
              <w:pStyle w:val="Para10"/>
              <w:numPr>
                <w:ilvl w:val="0"/>
                <w:numId w:val="0"/>
              </w:numPr>
              <w:jc w:val="left"/>
              <w:rPr>
                <w:rFonts w:asciiTheme="majorBidi" w:eastAsia="Calibri" w:hAnsiTheme="majorBidi" w:cstheme="majorBidi"/>
                <w:i/>
                <w:iCs/>
                <w:snapToGrid w:val="0"/>
                <w:kern w:val="22"/>
                <w:szCs w:val="22"/>
                <w:lang w:val="en-GB"/>
              </w:rPr>
            </w:pPr>
            <w:r w:rsidRPr="00C8196A">
              <w:rPr>
                <w:rFonts w:asciiTheme="majorBidi" w:eastAsia="Calibri" w:hAnsiTheme="majorBidi" w:cstheme="majorBidi"/>
                <w:i/>
                <w:iCs/>
                <w:snapToGrid w:val="0"/>
                <w:kern w:val="22"/>
                <w:szCs w:val="22"/>
                <w:lang w:val="en-GB"/>
              </w:rPr>
              <w:t xml:space="preserve">Decision </w:t>
            </w:r>
            <w:r w:rsidR="000D02AF" w:rsidRPr="00C8196A">
              <w:rPr>
                <w:rFonts w:asciiTheme="majorBidi" w:eastAsia="Calibri" w:hAnsiTheme="majorBidi" w:cstheme="majorBidi"/>
                <w:i/>
                <w:iCs/>
                <w:snapToGrid w:val="0"/>
                <w:kern w:val="22"/>
                <w:szCs w:val="22"/>
                <w:lang w:val="en-GB"/>
              </w:rPr>
              <w:t>CP-10/7</w:t>
            </w:r>
          </w:p>
        </w:tc>
        <w:tc>
          <w:tcPr>
            <w:tcW w:w="2902" w:type="dxa"/>
            <w:tcBorders>
              <w:top w:val="single" w:sz="4" w:space="0" w:color="auto"/>
              <w:bottom w:val="single" w:sz="4" w:space="0" w:color="auto"/>
            </w:tcBorders>
          </w:tcPr>
          <w:p w14:paraId="19A7D50C" w14:textId="5DA5D7D7" w:rsidR="000D02AF" w:rsidRPr="00C8196A" w:rsidRDefault="000D02AF" w:rsidP="000D02AF">
            <w:pPr>
              <w:pStyle w:val="Para10"/>
              <w:numPr>
                <w:ilvl w:val="0"/>
                <w:numId w:val="0"/>
              </w:numPr>
              <w:jc w:val="left"/>
              <w:rPr>
                <w:rFonts w:asciiTheme="majorBidi" w:eastAsia="Calibri" w:hAnsiTheme="majorBidi" w:cstheme="majorBidi"/>
                <w:i/>
                <w:iCs/>
                <w:snapToGrid w:val="0"/>
                <w:kern w:val="22"/>
                <w:szCs w:val="22"/>
                <w:lang w:val="en-GB"/>
              </w:rPr>
            </w:pPr>
            <w:r w:rsidRPr="00C8196A">
              <w:rPr>
                <w:rFonts w:asciiTheme="majorBidi" w:eastAsia="Calibri" w:hAnsiTheme="majorBidi" w:cstheme="majorBidi"/>
                <w:i/>
                <w:iCs/>
                <w:snapToGrid w:val="0"/>
                <w:kern w:val="22"/>
                <w:szCs w:val="22"/>
                <w:lang w:val="en-GB"/>
              </w:rPr>
              <w:t>Remarks</w:t>
            </w:r>
            <w:r w:rsidR="0073701A" w:rsidRPr="00C8196A">
              <w:rPr>
                <w:rFonts w:asciiTheme="majorBidi" w:eastAsia="Calibri" w:hAnsiTheme="majorBidi" w:cstheme="majorBidi"/>
                <w:i/>
                <w:iCs/>
                <w:snapToGrid w:val="0"/>
                <w:kern w:val="22"/>
                <w:szCs w:val="22"/>
                <w:lang w:val="en-GB"/>
              </w:rPr>
              <w:t xml:space="preserve"> and </w:t>
            </w:r>
            <w:r w:rsidRPr="00C8196A">
              <w:rPr>
                <w:rFonts w:asciiTheme="majorBidi" w:eastAsia="Calibri" w:hAnsiTheme="majorBidi" w:cstheme="majorBidi"/>
                <w:i/>
                <w:iCs/>
                <w:snapToGrid w:val="0"/>
                <w:kern w:val="22"/>
                <w:szCs w:val="22"/>
                <w:lang w:val="en-GB"/>
              </w:rPr>
              <w:t>clarifications</w:t>
            </w:r>
          </w:p>
        </w:tc>
      </w:tr>
      <w:tr w:rsidR="0074120B" w:rsidRPr="006A5361" w14:paraId="7FCE9F76" w14:textId="77777777" w:rsidTr="00C8196A">
        <w:tc>
          <w:tcPr>
            <w:tcW w:w="3402" w:type="dxa"/>
            <w:tcBorders>
              <w:top w:val="single" w:sz="4" w:space="0" w:color="auto"/>
            </w:tcBorders>
          </w:tcPr>
          <w:p w14:paraId="45A985DA" w14:textId="569C1A28" w:rsidR="0074120B" w:rsidRPr="006A5361" w:rsidRDefault="0074120B" w:rsidP="00C8196A">
            <w:pPr>
              <w:tabs>
                <w:tab w:val="left" w:pos="284"/>
              </w:tabs>
              <w:spacing w:after="120"/>
              <w:jc w:val="left"/>
            </w:pPr>
            <w:r w:rsidRPr="006A5361">
              <w:t>12.</w:t>
            </w:r>
            <w:r w:rsidRPr="006A5361">
              <w:tab/>
              <w:t>Welcome progress made by Parties in complying with their obligations under the Protocol, including the obligations concerning: (a) making certain information available to the Biosafety Clearing</w:t>
            </w:r>
            <w:r w:rsidRPr="006A5361">
              <w:noBreakHyphen/>
              <w:t xml:space="preserve">House, </w:t>
            </w:r>
            <w:proofErr w:type="gramStart"/>
            <w:r w:rsidRPr="006A5361">
              <w:t>and;</w:t>
            </w:r>
            <w:proofErr w:type="gramEnd"/>
            <w:r w:rsidRPr="006A5361">
              <w:t xml:space="preserve"> (b) the designation of national focal points and competent national authorities;</w:t>
            </w:r>
          </w:p>
        </w:tc>
        <w:tc>
          <w:tcPr>
            <w:tcW w:w="3544" w:type="dxa"/>
            <w:tcBorders>
              <w:top w:val="single" w:sz="4" w:space="0" w:color="auto"/>
            </w:tcBorders>
          </w:tcPr>
          <w:p w14:paraId="1380E77F" w14:textId="3E563796" w:rsidR="0074120B" w:rsidRPr="006A5361" w:rsidRDefault="0074120B" w:rsidP="00C8196A">
            <w:pPr>
              <w:tabs>
                <w:tab w:val="left" w:pos="284"/>
              </w:tabs>
              <w:spacing w:after="120"/>
              <w:jc w:val="left"/>
              <w:rPr>
                <w:rFonts w:asciiTheme="majorBidi" w:hAnsiTheme="majorBidi" w:cstheme="majorBidi"/>
                <w:snapToGrid w:val="0"/>
                <w:kern w:val="22"/>
                <w:szCs w:val="22"/>
              </w:rPr>
            </w:pPr>
            <w:r w:rsidRPr="006A5361">
              <w:rPr>
                <w:rFonts w:asciiTheme="majorBidi" w:hAnsiTheme="majorBidi" w:cstheme="majorBidi"/>
                <w:snapToGrid w:val="0"/>
                <w:kern w:val="22"/>
                <w:szCs w:val="22"/>
              </w:rPr>
              <w:t>39.</w:t>
            </w:r>
            <w:r w:rsidR="00826C7D" w:rsidRPr="006A5361">
              <w:rPr>
                <w:rFonts w:asciiTheme="majorBidi" w:hAnsiTheme="majorBidi" w:cstheme="majorBidi"/>
                <w:snapToGrid w:val="0"/>
                <w:kern w:val="22"/>
                <w:szCs w:val="22"/>
              </w:rPr>
              <w:tab/>
            </w:r>
            <w:r w:rsidRPr="006A5361">
              <w:rPr>
                <w:rFonts w:asciiTheme="majorBidi" w:hAnsiTheme="majorBidi" w:cstheme="majorBidi"/>
                <w:i/>
                <w:snapToGrid w:val="0"/>
                <w:kern w:val="22"/>
                <w:szCs w:val="22"/>
              </w:rPr>
              <w:t>Welcomes</w:t>
            </w:r>
            <w:r w:rsidRPr="006A5361">
              <w:rPr>
                <w:rFonts w:asciiTheme="majorBidi" w:hAnsiTheme="majorBidi" w:cstheme="majorBidi"/>
                <w:snapToGrid w:val="0"/>
                <w:kern w:val="22"/>
                <w:szCs w:val="22"/>
              </w:rPr>
              <w:t xml:space="preserve"> the progress made by Parties in complying with their </w:t>
            </w:r>
            <w:r w:rsidRPr="00C8196A">
              <w:t>obligations</w:t>
            </w:r>
            <w:r w:rsidRPr="006A5361">
              <w:rPr>
                <w:rFonts w:asciiTheme="majorBidi" w:hAnsiTheme="majorBidi" w:cstheme="majorBidi"/>
                <w:snapToGrid w:val="0"/>
                <w:kern w:val="22"/>
                <w:szCs w:val="22"/>
              </w:rPr>
              <w:t xml:space="preserve"> under the Protocol, including the obligations concerning (a) making certain information available to the Biosafety Clearing House, and (b) the designation of national focal points and competent national authorities;</w:t>
            </w:r>
          </w:p>
        </w:tc>
        <w:tc>
          <w:tcPr>
            <w:tcW w:w="2902" w:type="dxa"/>
            <w:tcBorders>
              <w:top w:val="single" w:sz="4" w:space="0" w:color="auto"/>
            </w:tcBorders>
          </w:tcPr>
          <w:p w14:paraId="533DAACF" w14:textId="32B3626D" w:rsidR="0074120B" w:rsidRPr="006A5361" w:rsidRDefault="0074120B" w:rsidP="00C8196A">
            <w:pPr>
              <w:spacing w:after="120"/>
              <w:jc w:val="left"/>
              <w:rPr>
                <w:rFonts w:asciiTheme="majorBidi" w:eastAsia="Calibri" w:hAnsiTheme="majorBidi" w:cstheme="majorBidi"/>
                <w:i/>
                <w:iCs/>
                <w:snapToGrid w:val="0"/>
                <w:kern w:val="22"/>
                <w:szCs w:val="22"/>
              </w:rPr>
            </w:pPr>
            <w:r w:rsidRPr="00C8196A">
              <w:t xml:space="preserve">The recommendations by the Committee relevant to </w:t>
            </w:r>
            <w:r w:rsidR="00B84C55">
              <w:t xml:space="preserve">agenda </w:t>
            </w:r>
            <w:r w:rsidRPr="00C8196A">
              <w:t>item</w:t>
            </w:r>
            <w:r w:rsidR="00B84C55">
              <w:t> 9</w:t>
            </w:r>
            <w:r w:rsidRPr="00C8196A">
              <w:t xml:space="preserve"> were adopted by </w:t>
            </w:r>
            <w:r w:rsidR="00862AC1" w:rsidRPr="00C8196A">
              <w:t xml:space="preserve">the Conference of the Parties serving as the meeting of the Parties to the Cartagena Protocol </w:t>
            </w:r>
            <w:r w:rsidRPr="00C8196A">
              <w:t>with minor changes, most of which editorial.</w:t>
            </w:r>
            <w:r w:rsidRPr="006A5361">
              <w:rPr>
                <w:rFonts w:asciiTheme="majorBidi" w:eastAsia="Calibri" w:hAnsiTheme="majorBidi" w:cstheme="majorBidi"/>
                <w:snapToGrid w:val="0"/>
                <w:kern w:val="22"/>
                <w:szCs w:val="22"/>
              </w:rPr>
              <w:t xml:space="preserve"> </w:t>
            </w:r>
          </w:p>
        </w:tc>
      </w:tr>
      <w:tr w:rsidR="0074120B" w:rsidRPr="006A5361" w14:paraId="5E100DA7" w14:textId="77777777" w:rsidTr="00C8196A">
        <w:trPr>
          <w:trHeight w:val="2727"/>
        </w:trPr>
        <w:tc>
          <w:tcPr>
            <w:tcW w:w="3402" w:type="dxa"/>
          </w:tcPr>
          <w:p w14:paraId="1BF8C25E" w14:textId="26D3AED7" w:rsidR="0074120B" w:rsidRPr="006A5361" w:rsidRDefault="0074120B" w:rsidP="00C8196A">
            <w:pPr>
              <w:spacing w:after="120"/>
              <w:jc w:val="left"/>
            </w:pPr>
            <w:r w:rsidRPr="006A5361">
              <w:t>13.</w:t>
            </w:r>
            <w:r w:rsidR="0008592F" w:rsidRPr="006A5361">
              <w:t xml:space="preserve"> </w:t>
            </w:r>
            <w:r w:rsidRPr="006A5361">
              <w:t xml:space="preserve">Note with concern that </w:t>
            </w:r>
            <w:proofErr w:type="gramStart"/>
            <w:r w:rsidRPr="006A5361">
              <w:t>a large number of</w:t>
            </w:r>
            <w:proofErr w:type="gramEnd"/>
            <w:r w:rsidRPr="006A5361">
              <w:t xml:space="preserve"> Parties are not in full compliance with key obligations under the Protocol, including: (a) the obligation to take the necessary legal, administrative and other measures to implement the Protocol, and (b) the obligation to submit a national report in a timely manner;</w:t>
            </w:r>
          </w:p>
        </w:tc>
        <w:tc>
          <w:tcPr>
            <w:tcW w:w="3544" w:type="dxa"/>
          </w:tcPr>
          <w:p w14:paraId="314540C7" w14:textId="5E15653F" w:rsidR="0074120B" w:rsidRPr="006A5361" w:rsidRDefault="0074120B" w:rsidP="00C8196A">
            <w:pPr>
              <w:spacing w:after="120"/>
              <w:jc w:val="left"/>
              <w:rPr>
                <w:snapToGrid w:val="0"/>
              </w:rPr>
            </w:pPr>
            <w:r w:rsidRPr="006A5361">
              <w:rPr>
                <w:snapToGrid w:val="0"/>
              </w:rPr>
              <w:t>40.</w:t>
            </w:r>
            <w:r w:rsidRPr="006A5361">
              <w:rPr>
                <w:snapToGrid w:val="0"/>
              </w:rPr>
              <w:tab/>
            </w:r>
            <w:r w:rsidRPr="006A5361">
              <w:rPr>
                <w:i/>
                <w:snapToGrid w:val="0"/>
              </w:rPr>
              <w:t>Notes</w:t>
            </w:r>
            <w:r w:rsidRPr="006A5361">
              <w:rPr>
                <w:snapToGrid w:val="0"/>
              </w:rPr>
              <w:t xml:space="preserve"> </w:t>
            </w:r>
            <w:r w:rsidRPr="006A5361">
              <w:rPr>
                <w:i/>
                <w:iCs/>
                <w:snapToGrid w:val="0"/>
              </w:rPr>
              <w:t>with concern</w:t>
            </w:r>
            <w:r w:rsidRPr="006A5361">
              <w:rPr>
                <w:snapToGrid w:val="0"/>
              </w:rPr>
              <w:t xml:space="preserve"> that </w:t>
            </w:r>
            <w:proofErr w:type="gramStart"/>
            <w:r w:rsidRPr="006A5361">
              <w:rPr>
                <w:snapToGrid w:val="0"/>
              </w:rPr>
              <w:t>a large number of</w:t>
            </w:r>
            <w:proofErr w:type="gramEnd"/>
            <w:r w:rsidRPr="006A5361">
              <w:rPr>
                <w:snapToGrid w:val="0"/>
              </w:rPr>
              <w:t xml:space="preserve"> Parties are not in full compliance with key obligations under the Protocol, including (a) the obligation to take the necessary legal, administrative and other measures to implement the Protocol, and (b) the obligation to submit a national report in a timely manner;</w:t>
            </w:r>
          </w:p>
        </w:tc>
        <w:tc>
          <w:tcPr>
            <w:tcW w:w="2902" w:type="dxa"/>
          </w:tcPr>
          <w:p w14:paraId="48D2E7B6" w14:textId="77777777" w:rsidR="0074120B" w:rsidRPr="006A5361" w:rsidRDefault="0074120B" w:rsidP="00C8196A">
            <w:pPr>
              <w:spacing w:after="120"/>
              <w:jc w:val="left"/>
              <w:rPr>
                <w:rFonts w:eastAsia="Calibri"/>
                <w:snapToGrid w:val="0"/>
              </w:rPr>
            </w:pPr>
          </w:p>
        </w:tc>
      </w:tr>
      <w:tr w:rsidR="0074120B" w:rsidRPr="006A5361" w14:paraId="17098929" w14:textId="77777777" w:rsidTr="00C8196A">
        <w:tc>
          <w:tcPr>
            <w:tcW w:w="3402" w:type="dxa"/>
          </w:tcPr>
          <w:p w14:paraId="353E55BE" w14:textId="21E72D46" w:rsidR="0074120B" w:rsidRPr="006A5361" w:rsidRDefault="0074120B" w:rsidP="00C8196A">
            <w:pPr>
              <w:spacing w:after="120"/>
              <w:jc w:val="left"/>
            </w:pPr>
            <w:r w:rsidRPr="006A5361">
              <w:t>13.</w:t>
            </w:r>
            <w:r w:rsidR="0008592F" w:rsidRPr="006A5361">
              <w:t xml:space="preserve"> </w:t>
            </w:r>
            <w:r w:rsidRPr="006A5361">
              <w:t>Recognize the need for Parties to have in place monitoring and enforcement systems for the implementation of the Protocol;</w:t>
            </w:r>
          </w:p>
        </w:tc>
        <w:tc>
          <w:tcPr>
            <w:tcW w:w="3544" w:type="dxa"/>
          </w:tcPr>
          <w:p w14:paraId="336C3357" w14:textId="037F4A27" w:rsidR="0074120B" w:rsidRPr="006A5361" w:rsidRDefault="0074120B" w:rsidP="00C8196A">
            <w:pPr>
              <w:spacing w:after="120"/>
              <w:jc w:val="left"/>
              <w:rPr>
                <w:snapToGrid w:val="0"/>
              </w:rPr>
            </w:pPr>
            <w:r w:rsidRPr="006A5361">
              <w:rPr>
                <w:snapToGrid w:val="0"/>
              </w:rPr>
              <w:t>41.</w:t>
            </w:r>
            <w:r w:rsidRPr="006A5361">
              <w:rPr>
                <w:snapToGrid w:val="0"/>
              </w:rPr>
              <w:tab/>
            </w:r>
            <w:r w:rsidRPr="006A5361">
              <w:rPr>
                <w:i/>
                <w:snapToGrid w:val="0"/>
              </w:rPr>
              <w:t>Recognizes</w:t>
            </w:r>
            <w:r w:rsidRPr="006A5361">
              <w:rPr>
                <w:snapToGrid w:val="0"/>
              </w:rPr>
              <w:t xml:space="preserve"> the need for Parties to have in place monitoring and enforcement systems for the implementation of the Protocol;</w:t>
            </w:r>
          </w:p>
        </w:tc>
        <w:tc>
          <w:tcPr>
            <w:tcW w:w="2902" w:type="dxa"/>
          </w:tcPr>
          <w:p w14:paraId="58FA57DC" w14:textId="77777777" w:rsidR="0074120B" w:rsidRPr="006A5361" w:rsidRDefault="0074120B" w:rsidP="00C8196A">
            <w:pPr>
              <w:spacing w:after="120"/>
              <w:jc w:val="left"/>
              <w:rPr>
                <w:rFonts w:eastAsia="Calibri"/>
                <w:snapToGrid w:val="0"/>
              </w:rPr>
            </w:pPr>
          </w:p>
        </w:tc>
      </w:tr>
      <w:tr w:rsidR="0074120B" w:rsidRPr="006A5361" w14:paraId="2FA00992" w14:textId="77777777" w:rsidTr="00C8196A">
        <w:tc>
          <w:tcPr>
            <w:tcW w:w="3402" w:type="dxa"/>
          </w:tcPr>
          <w:p w14:paraId="6674B627" w14:textId="3CC08EA0" w:rsidR="0074120B" w:rsidRPr="006A5361" w:rsidRDefault="0074120B" w:rsidP="00C8196A">
            <w:pPr>
              <w:spacing w:after="120"/>
              <w:jc w:val="left"/>
            </w:pPr>
            <w:r w:rsidRPr="006A5361">
              <w:t>15.</w:t>
            </w:r>
            <w:r w:rsidR="0008592F" w:rsidRPr="006A5361">
              <w:t xml:space="preserve"> </w:t>
            </w:r>
            <w:r w:rsidRPr="006A5361">
              <w:t xml:space="preserve">Urge Parties that have not yet completely done so to put in place legal, administrative and other measures to implement their obligations under the </w:t>
            </w:r>
            <w:proofErr w:type="gramStart"/>
            <w:r w:rsidRPr="006A5361">
              <w:t>Protocol;</w:t>
            </w:r>
            <w:proofErr w:type="gramEnd"/>
          </w:p>
          <w:p w14:paraId="13B6C172" w14:textId="77777777" w:rsidR="0074120B" w:rsidRPr="006A5361" w:rsidRDefault="0074120B" w:rsidP="00C8196A">
            <w:pPr>
              <w:spacing w:after="120"/>
              <w:jc w:val="left"/>
            </w:pPr>
          </w:p>
        </w:tc>
        <w:tc>
          <w:tcPr>
            <w:tcW w:w="3544" w:type="dxa"/>
          </w:tcPr>
          <w:p w14:paraId="6527F480" w14:textId="422C72CE" w:rsidR="0074120B" w:rsidRPr="006A5361" w:rsidRDefault="0074120B" w:rsidP="00C8196A">
            <w:pPr>
              <w:spacing w:after="120"/>
              <w:jc w:val="left"/>
              <w:rPr>
                <w:snapToGrid w:val="0"/>
              </w:rPr>
            </w:pPr>
            <w:r w:rsidRPr="006A5361">
              <w:rPr>
                <w:iCs/>
                <w:snapToGrid w:val="0"/>
              </w:rPr>
              <w:t>8</w:t>
            </w:r>
            <w:r w:rsidRPr="006A5361">
              <w:rPr>
                <w:i/>
                <w:snapToGrid w:val="0"/>
              </w:rPr>
              <w:t>.</w:t>
            </w:r>
            <w:r w:rsidR="00826C7D" w:rsidRPr="006A5361">
              <w:rPr>
                <w:i/>
                <w:snapToGrid w:val="0"/>
              </w:rPr>
              <w:tab/>
            </w:r>
            <w:r w:rsidRPr="006A5361">
              <w:rPr>
                <w:i/>
                <w:snapToGrid w:val="0"/>
              </w:rPr>
              <w:t>Urges</w:t>
            </w:r>
            <w:r w:rsidRPr="006A5361">
              <w:rPr>
                <w:snapToGrid w:val="0"/>
              </w:rPr>
              <w:t xml:space="preserve"> Parties that have not yet </w:t>
            </w:r>
            <w:r w:rsidRPr="006A5361">
              <w:rPr>
                <w:b/>
                <w:bCs/>
                <w:snapToGrid w:val="0"/>
              </w:rPr>
              <w:t>fully</w:t>
            </w:r>
            <w:r w:rsidRPr="006A5361">
              <w:rPr>
                <w:snapToGrid w:val="0"/>
              </w:rPr>
              <w:t xml:space="preserve"> done so to put in place legal, </w:t>
            </w:r>
            <w:proofErr w:type="gramStart"/>
            <w:r w:rsidRPr="006A5361">
              <w:rPr>
                <w:snapToGrid w:val="0"/>
              </w:rPr>
              <w:t>administrative</w:t>
            </w:r>
            <w:proofErr w:type="gramEnd"/>
            <w:r w:rsidRPr="006A5361">
              <w:rPr>
                <w:snapToGrid w:val="0"/>
              </w:rPr>
              <w:t xml:space="preserve"> and other measures to implement their obligations under the Protocol, </w:t>
            </w:r>
            <w:r w:rsidRPr="006A5361">
              <w:rPr>
                <w:b/>
                <w:bCs/>
                <w:snapToGrid w:val="0"/>
              </w:rPr>
              <w:t>in particular biosafety legislation, as a matter of priority, and recognizes that further support is</w:t>
            </w:r>
            <w:r w:rsidRPr="006A5361">
              <w:rPr>
                <w:snapToGrid w:val="0"/>
              </w:rPr>
              <w:t xml:space="preserve"> </w:t>
            </w:r>
            <w:r w:rsidRPr="006A5361">
              <w:rPr>
                <w:b/>
                <w:bCs/>
                <w:snapToGrid w:val="0"/>
              </w:rPr>
              <w:t>needed in this area;</w:t>
            </w:r>
          </w:p>
        </w:tc>
        <w:tc>
          <w:tcPr>
            <w:tcW w:w="2902" w:type="dxa"/>
          </w:tcPr>
          <w:p w14:paraId="48DBB448" w14:textId="77777777" w:rsidR="0074120B" w:rsidRPr="006A5361" w:rsidRDefault="0074120B" w:rsidP="00C8196A">
            <w:pPr>
              <w:spacing w:after="120"/>
              <w:jc w:val="left"/>
              <w:rPr>
                <w:rFonts w:eastAsia="Calibri"/>
                <w:snapToGrid w:val="0"/>
              </w:rPr>
            </w:pPr>
          </w:p>
        </w:tc>
      </w:tr>
      <w:tr w:rsidR="0074120B" w:rsidRPr="006A5361" w14:paraId="26224410" w14:textId="77777777" w:rsidTr="00C8196A">
        <w:tc>
          <w:tcPr>
            <w:tcW w:w="3402" w:type="dxa"/>
          </w:tcPr>
          <w:p w14:paraId="4363F0CC" w14:textId="3E3D2B24" w:rsidR="0074120B" w:rsidRPr="006A5361" w:rsidRDefault="0074120B" w:rsidP="00C8196A">
            <w:pPr>
              <w:spacing w:after="120"/>
              <w:jc w:val="left"/>
            </w:pPr>
            <w:r w:rsidRPr="006A5361">
              <w:t>16.</w:t>
            </w:r>
            <w:r w:rsidR="0008592F" w:rsidRPr="006A5361">
              <w:t xml:space="preserve"> </w:t>
            </w:r>
            <w:r w:rsidRPr="006A5361">
              <w:t>Also urge Parties that have not yet completely done so to make all required information available to the Biosafety Clearing-House and keep their records up-to-date, focusing in particular on information related to: (a) national legislation, regulation and guidelines; (b) summaries of risk assessments; (c) final decisions regarding the importation or release of living modified organisms; (d) national focal points, national points of contact and competent national authorities; (e) information on bilateral, regional or multilateral agreements or arrangements it has entered, and; (f) information concerning illegal transboundary movements of living modified organisms;</w:t>
            </w:r>
          </w:p>
        </w:tc>
        <w:tc>
          <w:tcPr>
            <w:tcW w:w="3544" w:type="dxa"/>
          </w:tcPr>
          <w:p w14:paraId="6C19888A" w14:textId="729F001C" w:rsidR="0074120B" w:rsidRPr="006A5361" w:rsidRDefault="0074120B" w:rsidP="00C8196A">
            <w:pPr>
              <w:spacing w:after="120"/>
              <w:jc w:val="left"/>
              <w:rPr>
                <w:snapToGrid w:val="0"/>
              </w:rPr>
            </w:pPr>
            <w:r w:rsidRPr="006A5361">
              <w:rPr>
                <w:snapToGrid w:val="0"/>
              </w:rPr>
              <w:t>36.</w:t>
            </w:r>
            <w:r w:rsidRPr="006A5361">
              <w:rPr>
                <w:snapToGrid w:val="0"/>
              </w:rPr>
              <w:tab/>
            </w:r>
            <w:r w:rsidRPr="006A5361">
              <w:rPr>
                <w:i/>
                <w:snapToGrid w:val="0"/>
              </w:rPr>
              <w:t xml:space="preserve">Urges </w:t>
            </w:r>
            <w:r w:rsidRPr="006A5361">
              <w:rPr>
                <w:snapToGrid w:val="0"/>
              </w:rPr>
              <w:t>Parties that have not yet completely done so to make all required information available to the Biosafety Clearing-House and keep their records up to date, focusing in particular on information related to (a) national legislation, regulations and guidelines; (b) summaries of risk assessments; (c) final decisions regarding the importation or release of living modified organisms; (d) national focal points, national points of contact and competent national authorities; (e) information on bilateral, regional or multilateral agreements or arrangements into which they have entered; and (f) information concerning illegal transboundary movements of living modified organisms;</w:t>
            </w:r>
          </w:p>
        </w:tc>
        <w:tc>
          <w:tcPr>
            <w:tcW w:w="2902" w:type="dxa"/>
          </w:tcPr>
          <w:p w14:paraId="2A980C72" w14:textId="77777777" w:rsidR="0074120B" w:rsidRPr="006A5361" w:rsidRDefault="0074120B" w:rsidP="00C8196A">
            <w:pPr>
              <w:jc w:val="left"/>
              <w:rPr>
                <w:rFonts w:eastAsia="Calibri"/>
                <w:snapToGrid w:val="0"/>
              </w:rPr>
            </w:pPr>
          </w:p>
        </w:tc>
      </w:tr>
      <w:tr w:rsidR="00307B00" w:rsidRPr="006A5361" w14:paraId="22E8ED2A" w14:textId="77777777" w:rsidTr="00C8196A">
        <w:tc>
          <w:tcPr>
            <w:tcW w:w="3402" w:type="dxa"/>
          </w:tcPr>
          <w:p w14:paraId="7C8342B6" w14:textId="30CF40E7" w:rsidR="00307B00" w:rsidRPr="006A5361" w:rsidRDefault="00307B00" w:rsidP="00C8196A">
            <w:pPr>
              <w:spacing w:after="120"/>
              <w:jc w:val="left"/>
            </w:pPr>
            <w:r w:rsidRPr="006A5361">
              <w:t>18. Recognize that the post-2020 global biodiversity framework can contribute to the implementation of and compliance with the Cartagena Protocol on Biosafety and acknowledge the relevance of the Protocol and its post-2020 implementation plan and capacity-building action plan to the achievement of the three objectives of the Convention on Biological Diversity;</w:t>
            </w:r>
          </w:p>
        </w:tc>
        <w:tc>
          <w:tcPr>
            <w:tcW w:w="3544" w:type="dxa"/>
          </w:tcPr>
          <w:p w14:paraId="52A32FC2" w14:textId="17A4E38F" w:rsidR="00307B00" w:rsidRPr="006A5361" w:rsidRDefault="00307B00" w:rsidP="00C8196A">
            <w:pPr>
              <w:spacing w:after="120"/>
              <w:jc w:val="left"/>
              <w:rPr>
                <w:snapToGrid w:val="0"/>
              </w:rPr>
            </w:pPr>
            <w:r w:rsidRPr="006A5361">
              <w:rPr>
                <w:snapToGrid w:val="0"/>
              </w:rPr>
              <w:t>2.</w:t>
            </w:r>
            <w:r w:rsidRPr="006A5361">
              <w:rPr>
                <w:snapToGrid w:val="0"/>
              </w:rPr>
              <w:tab/>
            </w:r>
            <w:r w:rsidRPr="006A5361">
              <w:rPr>
                <w:i/>
                <w:iCs/>
                <w:snapToGrid w:val="0"/>
              </w:rPr>
              <w:t>Also</w:t>
            </w:r>
            <w:r w:rsidRPr="006A5361">
              <w:rPr>
                <w:snapToGrid w:val="0"/>
              </w:rPr>
              <w:t xml:space="preserve"> </w:t>
            </w:r>
            <w:r w:rsidRPr="006A5361">
              <w:rPr>
                <w:i/>
                <w:snapToGrid w:val="0"/>
              </w:rPr>
              <w:t xml:space="preserve">recognizes </w:t>
            </w:r>
            <w:r w:rsidRPr="006A5361">
              <w:rPr>
                <w:snapToGrid w:val="0"/>
              </w:rPr>
              <w:t xml:space="preserve">that the </w:t>
            </w:r>
            <w:r w:rsidRPr="006A5361">
              <w:rPr>
                <w:b/>
                <w:bCs/>
                <w:snapToGrid w:val="0"/>
              </w:rPr>
              <w:t>Kunming-Montreal Global Biodiversity Framework must</w:t>
            </w:r>
            <w:r w:rsidRPr="006A5361">
              <w:rPr>
                <w:snapToGrid w:val="0"/>
              </w:rPr>
              <w:t xml:space="preserve"> contribute to the implementation of and compliance with the Cartagena Protocol on Biosafety, and acknowledges the relevance of the Protocol, </w:t>
            </w:r>
            <w:r w:rsidRPr="006A5361">
              <w:rPr>
                <w:b/>
                <w:bCs/>
                <w:snapToGrid w:val="0"/>
              </w:rPr>
              <w:t>the Implementation Plan for the Cartagena Protocol on Biosafety and the Capacity-building Action Plan for the Cartagena Protocol on Biosafety</w:t>
            </w:r>
            <w:r w:rsidRPr="006A5361">
              <w:rPr>
                <w:snapToGrid w:val="0"/>
              </w:rPr>
              <w:t xml:space="preserve"> to the achievement of the three objectives of the Convention on Biological </w:t>
            </w:r>
            <w:proofErr w:type="gramStart"/>
            <w:r w:rsidRPr="006A5361">
              <w:rPr>
                <w:snapToGrid w:val="0"/>
              </w:rPr>
              <w:t>Diversity;</w:t>
            </w:r>
            <w:proofErr w:type="gramEnd"/>
          </w:p>
        </w:tc>
        <w:tc>
          <w:tcPr>
            <w:tcW w:w="2902" w:type="dxa"/>
          </w:tcPr>
          <w:p w14:paraId="596C1831" w14:textId="77777777" w:rsidR="00307B00" w:rsidRPr="006A5361" w:rsidRDefault="00307B00" w:rsidP="00C8196A">
            <w:pPr>
              <w:jc w:val="left"/>
              <w:rPr>
                <w:rFonts w:eastAsia="Calibri"/>
                <w:snapToGrid w:val="0"/>
              </w:rPr>
            </w:pPr>
          </w:p>
        </w:tc>
      </w:tr>
      <w:tr w:rsidR="00307B00" w:rsidRPr="006A5361" w14:paraId="4C7DD930" w14:textId="77777777" w:rsidTr="00C8196A">
        <w:tc>
          <w:tcPr>
            <w:tcW w:w="3402" w:type="dxa"/>
          </w:tcPr>
          <w:p w14:paraId="2EAB1DFC" w14:textId="39BF0C80" w:rsidR="00307B00" w:rsidRPr="006A5361" w:rsidRDefault="00307B00" w:rsidP="00C8196A">
            <w:pPr>
              <w:spacing w:after="120"/>
              <w:jc w:val="left"/>
            </w:pPr>
            <w:r w:rsidRPr="006A5361">
              <w:t xml:space="preserve">19. Welcome the Committee’s supportive role, carried out pursuant to </w:t>
            </w:r>
            <w:r w:rsidRPr="006A5361">
              <w:rPr>
                <w:rFonts w:asciiTheme="majorBidi" w:hAnsiTheme="majorBidi" w:cstheme="majorBidi"/>
                <w:kern w:val="22"/>
                <w:szCs w:val="22"/>
              </w:rPr>
              <w:t xml:space="preserve">decision </w:t>
            </w:r>
            <w:hyperlink r:id="rId17" w:history="1">
              <w:r w:rsidRPr="006A5361">
                <w:rPr>
                  <w:rStyle w:val="Hyperlink"/>
                  <w:rFonts w:asciiTheme="majorBidi" w:hAnsiTheme="majorBidi" w:cstheme="majorBidi"/>
                  <w:kern w:val="22"/>
                  <w:szCs w:val="22"/>
                </w:rPr>
                <w:t>BS-V/1</w:t>
              </w:r>
            </w:hyperlink>
            <w:r w:rsidRPr="006A5361">
              <w:t>, as a contribution to the progress reported towards achieving operational objective 3.1 on compliance;</w:t>
            </w:r>
          </w:p>
        </w:tc>
        <w:tc>
          <w:tcPr>
            <w:tcW w:w="3544" w:type="dxa"/>
          </w:tcPr>
          <w:p w14:paraId="75AA1646" w14:textId="345646D9" w:rsidR="00307B00" w:rsidRPr="006A5361" w:rsidRDefault="00307B00" w:rsidP="00C8196A">
            <w:pPr>
              <w:spacing w:after="120"/>
              <w:jc w:val="left"/>
              <w:rPr>
                <w:snapToGrid w:val="0"/>
              </w:rPr>
            </w:pPr>
            <w:r w:rsidRPr="006A5361">
              <w:rPr>
                <w:snapToGrid w:val="0"/>
              </w:rPr>
              <w:t>42.</w:t>
            </w:r>
            <w:r w:rsidRPr="006A5361">
              <w:rPr>
                <w:snapToGrid w:val="0"/>
              </w:rPr>
              <w:tab/>
            </w:r>
            <w:r w:rsidRPr="006A5361">
              <w:rPr>
                <w:i/>
                <w:snapToGrid w:val="0"/>
              </w:rPr>
              <w:t xml:space="preserve">Welcomes </w:t>
            </w:r>
            <w:r w:rsidRPr="006A5361">
              <w:rPr>
                <w:snapToGrid w:val="0"/>
              </w:rPr>
              <w:t xml:space="preserve">the </w:t>
            </w:r>
            <w:r w:rsidRPr="006A5361">
              <w:rPr>
                <w:b/>
                <w:bCs/>
                <w:snapToGrid w:val="0"/>
              </w:rPr>
              <w:t>supportive role of the Compliance Committee,</w:t>
            </w:r>
            <w:r w:rsidRPr="006A5361">
              <w:rPr>
                <w:snapToGrid w:val="0"/>
              </w:rPr>
              <w:t xml:space="preserve"> carried out pursuant to decision BS-V/1, as a contribution to the progress reported </w:t>
            </w:r>
            <w:r w:rsidRPr="006A5361">
              <w:rPr>
                <w:b/>
                <w:bCs/>
                <w:snapToGrid w:val="0"/>
              </w:rPr>
              <w:t>by Parties in implementing their obligations under the Protocol</w:t>
            </w:r>
            <w:r w:rsidRPr="006A5361">
              <w:rPr>
                <w:snapToGrid w:val="0"/>
              </w:rPr>
              <w:t>;</w:t>
            </w:r>
          </w:p>
        </w:tc>
        <w:tc>
          <w:tcPr>
            <w:tcW w:w="2902" w:type="dxa"/>
          </w:tcPr>
          <w:p w14:paraId="19257172" w14:textId="77777777" w:rsidR="00307B00" w:rsidRPr="006A5361" w:rsidRDefault="00307B00" w:rsidP="00C8196A">
            <w:pPr>
              <w:spacing w:after="120"/>
              <w:jc w:val="left"/>
              <w:rPr>
                <w:rFonts w:eastAsia="Calibri"/>
                <w:snapToGrid w:val="0"/>
              </w:rPr>
            </w:pPr>
          </w:p>
        </w:tc>
      </w:tr>
      <w:tr w:rsidR="00307B00" w:rsidRPr="006A5361" w14:paraId="1F7DC633" w14:textId="77777777" w:rsidTr="00C8196A">
        <w:tc>
          <w:tcPr>
            <w:tcW w:w="3402" w:type="dxa"/>
          </w:tcPr>
          <w:p w14:paraId="4B1BB038" w14:textId="70B4B395" w:rsidR="00307B00" w:rsidRPr="006A5361" w:rsidRDefault="00307B00" w:rsidP="00C8196A">
            <w:pPr>
              <w:spacing w:after="120"/>
              <w:jc w:val="left"/>
            </w:pPr>
            <w:r w:rsidRPr="006A5361">
              <w:t>20. Request the Secretariat, as appropriate and following guidance provided by the Committee, to continue following up with Parties that have not yet fully complied with their obligations under the Protocol, and request Parties to collaborate fully in this regard;</w:t>
            </w:r>
          </w:p>
        </w:tc>
        <w:tc>
          <w:tcPr>
            <w:tcW w:w="3544" w:type="dxa"/>
          </w:tcPr>
          <w:p w14:paraId="00444484" w14:textId="657306F9" w:rsidR="00307B00" w:rsidRPr="006A5361" w:rsidRDefault="00307B00" w:rsidP="00C8196A">
            <w:pPr>
              <w:spacing w:after="120"/>
              <w:jc w:val="left"/>
              <w:rPr>
                <w:snapToGrid w:val="0"/>
              </w:rPr>
            </w:pPr>
            <w:r w:rsidRPr="006A5361">
              <w:rPr>
                <w:snapToGrid w:val="0"/>
              </w:rPr>
              <w:t>43.</w:t>
            </w:r>
            <w:r w:rsidRPr="006A5361">
              <w:rPr>
                <w:snapToGrid w:val="0"/>
              </w:rPr>
              <w:tab/>
            </w:r>
            <w:r w:rsidRPr="006A5361">
              <w:rPr>
                <w:i/>
                <w:snapToGrid w:val="0"/>
              </w:rPr>
              <w:t>Requests</w:t>
            </w:r>
            <w:r w:rsidRPr="006A5361">
              <w:rPr>
                <w:snapToGrid w:val="0"/>
              </w:rPr>
              <w:t xml:space="preserve"> the Executive Secretary, as appropriate and following guidance provided by the Compliance Committee, to continue following up with Parties that have not yet fully complied with their obligations under the Protocol, and requests Parties to collaborate fully in this regard;</w:t>
            </w:r>
          </w:p>
        </w:tc>
        <w:tc>
          <w:tcPr>
            <w:tcW w:w="2902" w:type="dxa"/>
          </w:tcPr>
          <w:p w14:paraId="56052C35" w14:textId="77777777" w:rsidR="00307B00" w:rsidRPr="006A5361" w:rsidRDefault="00307B00" w:rsidP="00C8196A">
            <w:pPr>
              <w:spacing w:after="120"/>
              <w:jc w:val="left"/>
              <w:rPr>
                <w:rFonts w:eastAsia="Calibri"/>
                <w:snapToGrid w:val="0"/>
              </w:rPr>
            </w:pPr>
          </w:p>
        </w:tc>
      </w:tr>
      <w:tr w:rsidR="003870BA" w:rsidRPr="006A5361" w14:paraId="55F775CE" w14:textId="77777777" w:rsidTr="00C8196A">
        <w:tc>
          <w:tcPr>
            <w:tcW w:w="3402" w:type="dxa"/>
          </w:tcPr>
          <w:p w14:paraId="5F0497B7" w14:textId="2E2953FD" w:rsidR="003870BA" w:rsidRPr="006A5361" w:rsidRDefault="001D3132" w:rsidP="00C8196A">
            <w:pPr>
              <w:spacing w:after="120"/>
              <w:jc w:val="left"/>
              <w:rPr>
                <w:rFonts w:eastAsia="Calibri"/>
                <w:i/>
              </w:rPr>
            </w:pPr>
            <w:r w:rsidRPr="006A5361">
              <w:t xml:space="preserve">21. </w:t>
            </w:r>
            <w:r w:rsidR="003870BA" w:rsidRPr="006A5361">
              <w:t xml:space="preserve">Welcome the Committee’s input to the fourth assessment and review of the Protocol and final evaluation of the Strategic Plan for the Cartagena Protocol, and request the Committee to continue providing input to the fifth assessment and review and evaluation process of the follow-up to the Strategic Plan for the Cartagena Protocol, as </w:t>
            </w:r>
            <w:proofErr w:type="gramStart"/>
            <w:r w:rsidR="003870BA" w:rsidRPr="006A5361">
              <w:t>appropriate;</w:t>
            </w:r>
            <w:proofErr w:type="gramEnd"/>
          </w:p>
          <w:p w14:paraId="4E3D2AD6" w14:textId="77777777" w:rsidR="003870BA" w:rsidRPr="006A5361" w:rsidRDefault="003870BA" w:rsidP="00C8196A">
            <w:pPr>
              <w:spacing w:after="120"/>
              <w:jc w:val="left"/>
              <w:rPr>
                <w:b/>
                <w:snapToGrid w:val="0"/>
                <w:highlight w:val="yellow"/>
                <w:u w:val="single"/>
              </w:rPr>
            </w:pPr>
          </w:p>
        </w:tc>
        <w:tc>
          <w:tcPr>
            <w:tcW w:w="3544" w:type="dxa"/>
          </w:tcPr>
          <w:p w14:paraId="13F0F9F3" w14:textId="732BA8E8" w:rsidR="003870BA" w:rsidRPr="006A5361" w:rsidRDefault="003870BA" w:rsidP="00C8196A">
            <w:pPr>
              <w:spacing w:after="120"/>
              <w:jc w:val="left"/>
              <w:rPr>
                <w:snapToGrid w:val="0"/>
              </w:rPr>
            </w:pPr>
            <w:r w:rsidRPr="006A5361">
              <w:rPr>
                <w:snapToGrid w:val="0"/>
              </w:rPr>
              <w:t>3.</w:t>
            </w:r>
            <w:r w:rsidRPr="006A5361">
              <w:rPr>
                <w:snapToGrid w:val="0"/>
              </w:rPr>
              <w:tab/>
            </w:r>
            <w:r w:rsidRPr="006A5361">
              <w:rPr>
                <w:i/>
                <w:snapToGrid w:val="0"/>
              </w:rPr>
              <w:t>Welcomes</w:t>
            </w:r>
            <w:r w:rsidRPr="006A5361">
              <w:rPr>
                <w:snapToGrid w:val="0"/>
              </w:rPr>
              <w:t xml:space="preserve"> </w:t>
            </w:r>
            <w:r w:rsidRPr="006A5361">
              <w:rPr>
                <w:b/>
                <w:bCs/>
                <w:snapToGrid w:val="0"/>
              </w:rPr>
              <w:t>the contribution of the Liaison Group on the Cartagena Protocol on Biosafety and the Compliance Committee</w:t>
            </w:r>
            <w:r w:rsidRPr="006A5361">
              <w:rPr>
                <w:snapToGrid w:val="0"/>
              </w:rPr>
              <w:t xml:space="preserve"> to the fourth assessment and review of the effectiveness of the Protocol and final evaluation of the Strategic Plan for the Cartagena Protocol </w:t>
            </w:r>
            <w:r w:rsidRPr="006A5361">
              <w:rPr>
                <w:b/>
                <w:bCs/>
                <w:snapToGrid w:val="0"/>
              </w:rPr>
              <w:t>on Biosafety for the period 2011–2020</w:t>
            </w:r>
            <w:r w:rsidRPr="006A5361">
              <w:rPr>
                <w:snapToGrid w:val="0"/>
              </w:rPr>
              <w:t xml:space="preserve">, and requests </w:t>
            </w:r>
            <w:r w:rsidRPr="006A5361">
              <w:rPr>
                <w:b/>
                <w:bCs/>
                <w:snapToGrid w:val="0"/>
              </w:rPr>
              <w:t>them</w:t>
            </w:r>
            <w:r w:rsidRPr="006A5361">
              <w:rPr>
                <w:snapToGrid w:val="0"/>
              </w:rPr>
              <w:t xml:space="preserve"> to provide input to the fifth assessment and review and evaluation process of the </w:t>
            </w:r>
            <w:r w:rsidRPr="006A5361">
              <w:rPr>
                <w:b/>
                <w:bCs/>
                <w:snapToGrid w:val="0"/>
              </w:rPr>
              <w:t>Implementation Plan for the Cartagena Protocol on Biosafety</w:t>
            </w:r>
            <w:r w:rsidRPr="006A5361">
              <w:rPr>
                <w:snapToGrid w:val="0"/>
              </w:rPr>
              <w:t>, as appropriate;</w:t>
            </w:r>
          </w:p>
        </w:tc>
        <w:tc>
          <w:tcPr>
            <w:tcW w:w="2902" w:type="dxa"/>
          </w:tcPr>
          <w:p w14:paraId="12D023BB" w14:textId="5A5049A2" w:rsidR="003870BA" w:rsidRPr="006A5361" w:rsidRDefault="00F85C7F" w:rsidP="00C8196A">
            <w:pPr>
              <w:spacing w:after="120"/>
              <w:jc w:val="left"/>
              <w:rPr>
                <w:rFonts w:eastAsia="Calibri"/>
                <w:snapToGrid w:val="0"/>
              </w:rPr>
            </w:pPr>
            <w:r w:rsidRPr="006A5361">
              <w:rPr>
                <w:rFonts w:eastAsia="Calibri"/>
                <w:snapToGrid w:val="0"/>
              </w:rPr>
              <w:t xml:space="preserve">The Liaison Group for the Cartagena Protocol on Biosafety also participated in the assessment and review process and provided its input to the Subsidiary Body on Implementation for consideration at its third meeting. </w:t>
            </w:r>
            <w:r w:rsidR="00B3790D" w:rsidRPr="006A5361">
              <w:rPr>
                <w:rFonts w:eastAsia="Calibri"/>
                <w:snapToGrid w:val="0"/>
              </w:rPr>
              <w:t>R</w:t>
            </w:r>
            <w:r w:rsidRPr="006A5361">
              <w:rPr>
                <w:rFonts w:eastAsia="Calibri"/>
                <w:snapToGrid w:val="0"/>
              </w:rPr>
              <w:t xml:space="preserve">ecommendation 3/2 </w:t>
            </w:r>
            <w:r w:rsidR="00643C8E" w:rsidRPr="006A5361">
              <w:rPr>
                <w:rFonts w:eastAsia="Calibri"/>
                <w:snapToGrid w:val="0"/>
              </w:rPr>
              <w:t>of t</w:t>
            </w:r>
            <w:r w:rsidR="00B3790D" w:rsidRPr="006A5361">
              <w:rPr>
                <w:rFonts w:eastAsia="Calibri"/>
                <w:snapToGrid w:val="0"/>
              </w:rPr>
              <w:t xml:space="preserve">he Subsidiary Body </w:t>
            </w:r>
            <w:r w:rsidRPr="006A5361">
              <w:rPr>
                <w:rFonts w:eastAsia="Calibri"/>
                <w:snapToGrid w:val="0"/>
              </w:rPr>
              <w:t xml:space="preserve">therefore contained </w:t>
            </w:r>
            <w:r w:rsidR="00F245DB" w:rsidRPr="006A5361">
              <w:rPr>
                <w:rFonts w:eastAsia="Calibri"/>
                <w:snapToGrid w:val="0"/>
              </w:rPr>
              <w:t xml:space="preserve">a reference to the </w:t>
            </w:r>
            <w:r w:rsidRPr="006A5361">
              <w:rPr>
                <w:rFonts w:eastAsia="Calibri"/>
                <w:snapToGrid w:val="0"/>
              </w:rPr>
              <w:t>contributions by the Compliance Committee and the Liaison Group</w:t>
            </w:r>
            <w:r w:rsidR="006D4416" w:rsidRPr="006A5361">
              <w:rPr>
                <w:rFonts w:eastAsia="Calibri"/>
                <w:snapToGrid w:val="0"/>
              </w:rPr>
              <w:t xml:space="preserve">. The recommendation </w:t>
            </w:r>
            <w:r w:rsidRPr="006A5361">
              <w:rPr>
                <w:rFonts w:eastAsia="Calibri"/>
                <w:snapToGrid w:val="0"/>
              </w:rPr>
              <w:t xml:space="preserve">was included in the compilation of draft decisions contained in </w:t>
            </w:r>
            <w:r w:rsidR="00F27BF7" w:rsidRPr="006A5361">
              <w:rPr>
                <w:rFonts w:eastAsia="Calibri"/>
                <w:snapToGrid w:val="0"/>
              </w:rPr>
              <w:t xml:space="preserve">document </w:t>
            </w:r>
            <w:hyperlink r:id="rId18" w:history="1">
              <w:r w:rsidRPr="006A5361">
                <w:rPr>
                  <w:rStyle w:val="Hyperlink"/>
                  <w:rFonts w:asciiTheme="majorBidi" w:hAnsiTheme="majorBidi" w:cstheme="majorBidi"/>
                  <w:szCs w:val="22"/>
                </w:rPr>
                <w:t>CBD/CP/MOP/10/1/Add.5</w:t>
              </w:r>
            </w:hyperlink>
            <w:r w:rsidRPr="006A5361">
              <w:rPr>
                <w:rFonts w:eastAsia="Calibri"/>
                <w:snapToGrid w:val="0"/>
              </w:rPr>
              <w:t xml:space="preserve"> </w:t>
            </w:r>
            <w:r w:rsidR="006D4416" w:rsidRPr="006A5361">
              <w:rPr>
                <w:rFonts w:eastAsia="Calibri"/>
                <w:snapToGrid w:val="0"/>
              </w:rPr>
              <w:t>and served</w:t>
            </w:r>
            <w:r w:rsidRPr="006A5361">
              <w:rPr>
                <w:rFonts w:eastAsia="Calibri"/>
                <w:snapToGrid w:val="0"/>
              </w:rPr>
              <w:t xml:space="preserve"> as the basis for </w:t>
            </w:r>
            <w:r w:rsidR="007B517D" w:rsidRPr="006A5361">
              <w:rPr>
                <w:rFonts w:eastAsia="Calibri"/>
                <w:snapToGrid w:val="0"/>
              </w:rPr>
              <w:t>the assessment and review</w:t>
            </w:r>
            <w:r w:rsidRPr="006A5361">
              <w:rPr>
                <w:rFonts w:eastAsia="Calibri"/>
                <w:snapToGrid w:val="0"/>
              </w:rPr>
              <w:t xml:space="preserve"> by </w:t>
            </w:r>
            <w:r w:rsidR="00643C8E" w:rsidRPr="006A5361">
              <w:rPr>
                <w:rFonts w:eastAsia="Calibri"/>
                <w:snapToGrid w:val="0"/>
              </w:rPr>
              <w:t>the Conference of the Parties serving as the meeting of the Parties to the Cartagena Protocol</w:t>
            </w:r>
            <w:r w:rsidRPr="006A5361">
              <w:rPr>
                <w:rFonts w:eastAsia="Calibri"/>
                <w:snapToGrid w:val="0"/>
              </w:rPr>
              <w:t xml:space="preserve">. </w:t>
            </w:r>
          </w:p>
        </w:tc>
      </w:tr>
      <w:tr w:rsidR="003870BA" w:rsidRPr="006A5361" w14:paraId="3F26ACC3" w14:textId="77777777" w:rsidTr="00C8196A">
        <w:tc>
          <w:tcPr>
            <w:tcW w:w="3402" w:type="dxa"/>
          </w:tcPr>
          <w:p w14:paraId="0AD538BD" w14:textId="77777777" w:rsidR="003870BA" w:rsidRPr="006A5361" w:rsidRDefault="003870BA" w:rsidP="00C8196A">
            <w:pPr>
              <w:jc w:val="left"/>
            </w:pPr>
          </w:p>
        </w:tc>
        <w:tc>
          <w:tcPr>
            <w:tcW w:w="3544" w:type="dxa"/>
          </w:tcPr>
          <w:p w14:paraId="699D121F" w14:textId="77777777" w:rsidR="003870BA" w:rsidRPr="00C8196A" w:rsidRDefault="003870BA" w:rsidP="00C8196A">
            <w:pPr>
              <w:spacing w:before="120" w:after="120"/>
              <w:jc w:val="left"/>
              <w:rPr>
                <w:i/>
                <w:iCs/>
                <w:snapToGrid w:val="0"/>
              </w:rPr>
            </w:pPr>
            <w:r w:rsidRPr="00C8196A">
              <w:rPr>
                <w:i/>
                <w:iCs/>
                <w:snapToGrid w:val="0"/>
              </w:rPr>
              <w:t>Additional paragraphs adopted:</w:t>
            </w:r>
          </w:p>
          <w:p w14:paraId="49CD13D1" w14:textId="7A34593D" w:rsidR="003870BA" w:rsidRPr="006A5361" w:rsidRDefault="003870BA" w:rsidP="00C8196A">
            <w:pPr>
              <w:spacing w:before="120"/>
              <w:jc w:val="left"/>
              <w:rPr>
                <w:b/>
                <w:snapToGrid w:val="0"/>
              </w:rPr>
            </w:pPr>
            <w:r w:rsidRPr="006A5361">
              <w:rPr>
                <w:b/>
                <w:snapToGrid w:val="0"/>
              </w:rPr>
              <w:t>A.</w:t>
            </w:r>
            <w:r w:rsidRPr="006A5361">
              <w:rPr>
                <w:b/>
                <w:snapToGrid w:val="0"/>
              </w:rPr>
              <w:tab/>
              <w:t>National biosafety frameworks</w:t>
            </w:r>
          </w:p>
          <w:p w14:paraId="5B7E099F" w14:textId="610579C6" w:rsidR="003870BA" w:rsidRPr="006A5361" w:rsidRDefault="006D4416" w:rsidP="00C8196A">
            <w:pPr>
              <w:jc w:val="left"/>
              <w:rPr>
                <w:snapToGrid w:val="0"/>
              </w:rPr>
            </w:pPr>
            <w:r w:rsidRPr="006A5361">
              <w:rPr>
                <w:iCs/>
                <w:snapToGrid w:val="0"/>
              </w:rPr>
              <w:t>7.</w:t>
            </w:r>
            <w:r w:rsidRPr="006A5361">
              <w:rPr>
                <w:i/>
                <w:snapToGrid w:val="0"/>
              </w:rPr>
              <w:t xml:space="preserve"> N</w:t>
            </w:r>
            <w:r w:rsidR="003870BA" w:rsidRPr="006A5361">
              <w:rPr>
                <w:i/>
                <w:snapToGrid w:val="0"/>
              </w:rPr>
              <w:t xml:space="preserve">otes </w:t>
            </w:r>
            <w:r w:rsidR="003870BA" w:rsidRPr="006A5361">
              <w:rPr>
                <w:i/>
                <w:iCs/>
                <w:snapToGrid w:val="0"/>
              </w:rPr>
              <w:t xml:space="preserve">with </w:t>
            </w:r>
            <w:r w:rsidR="003870BA" w:rsidRPr="006A5361">
              <w:rPr>
                <w:i/>
                <w:iCs/>
                <w:snapToGrid w:val="0"/>
                <w:shd w:val="clear" w:color="auto" w:fill="FFFFFF"/>
              </w:rPr>
              <w:t>grave concern</w:t>
            </w:r>
            <w:r w:rsidR="003870BA" w:rsidRPr="006A5361">
              <w:rPr>
                <w:snapToGrid w:val="0"/>
                <w:shd w:val="clear" w:color="auto" w:fill="FFFFFF"/>
              </w:rPr>
              <w:t xml:space="preserve"> that only about half of the</w:t>
            </w:r>
            <w:r w:rsidR="003870BA" w:rsidRPr="006A5361">
              <w:rPr>
                <w:snapToGrid w:val="0"/>
              </w:rPr>
              <w:t xml:space="preserve"> Parties have fully introduced the necessary legal, administrative and other measures to implement their obligations under the Protocol and that limited progress has been made in this regard since the midterm evaluation of the Strategic Plan for the Cartagena Protocol</w:t>
            </w:r>
            <w:r w:rsidR="003870BA" w:rsidRPr="006A5361">
              <w:t xml:space="preserve"> </w:t>
            </w:r>
            <w:r w:rsidR="003870BA" w:rsidRPr="006A5361">
              <w:rPr>
                <w:snapToGrid w:val="0"/>
              </w:rPr>
              <w:t>on Biosafety for the period 2011–</w:t>
            </w:r>
            <w:proofErr w:type="gramStart"/>
            <w:r w:rsidR="003870BA" w:rsidRPr="006A5361">
              <w:rPr>
                <w:snapToGrid w:val="0"/>
              </w:rPr>
              <w:t>2020;</w:t>
            </w:r>
            <w:proofErr w:type="gramEnd"/>
          </w:p>
          <w:p w14:paraId="0D440AA8" w14:textId="5525A397" w:rsidR="003870BA" w:rsidRPr="006A5361" w:rsidRDefault="003870BA" w:rsidP="00C8196A">
            <w:pPr>
              <w:spacing w:before="120"/>
              <w:jc w:val="left"/>
              <w:rPr>
                <w:b/>
                <w:snapToGrid w:val="0"/>
              </w:rPr>
            </w:pPr>
            <w:r w:rsidRPr="006A5361">
              <w:rPr>
                <w:b/>
                <w:snapToGrid w:val="0"/>
              </w:rPr>
              <w:t>B.</w:t>
            </w:r>
            <w:r w:rsidR="00826C7D" w:rsidRPr="006A5361">
              <w:rPr>
                <w:b/>
                <w:snapToGrid w:val="0"/>
              </w:rPr>
              <w:tab/>
            </w:r>
            <w:r w:rsidRPr="006A5361">
              <w:rPr>
                <w:b/>
                <w:snapToGrid w:val="0"/>
              </w:rPr>
              <w:t>Coordination and support</w:t>
            </w:r>
          </w:p>
          <w:p w14:paraId="0659861B" w14:textId="05A101A7" w:rsidR="003870BA" w:rsidRPr="006A5361" w:rsidRDefault="003870BA" w:rsidP="00C8196A">
            <w:pPr>
              <w:spacing w:after="120"/>
              <w:jc w:val="left"/>
              <w:rPr>
                <w:snapToGrid w:val="0"/>
              </w:rPr>
            </w:pPr>
            <w:r w:rsidRPr="006A5361">
              <w:rPr>
                <w:snapToGrid w:val="0"/>
              </w:rPr>
              <w:t>14.</w:t>
            </w:r>
            <w:r w:rsidRPr="006A5361">
              <w:rPr>
                <w:snapToGrid w:val="0"/>
              </w:rPr>
              <w:tab/>
            </w:r>
            <w:r w:rsidRPr="006A5361">
              <w:rPr>
                <w:i/>
                <w:snapToGrid w:val="0"/>
              </w:rPr>
              <w:t xml:space="preserve">Notes </w:t>
            </w:r>
            <w:r w:rsidRPr="006A5361">
              <w:rPr>
                <w:snapToGrid w:val="0"/>
              </w:rPr>
              <w:t>with concern that fewer Parties had access to additional financial resources beyond their national budgets, compared to the third assessment and review of the effectiveness of the Cartagena Protocol and midterm evaluation of the Strategic Plan for the Cartagena Protocol on Biosafety for the period 2011–</w:t>
            </w:r>
            <w:proofErr w:type="gramStart"/>
            <w:r w:rsidRPr="006A5361">
              <w:rPr>
                <w:snapToGrid w:val="0"/>
              </w:rPr>
              <w:t>2020;</w:t>
            </w:r>
            <w:proofErr w:type="gramEnd"/>
          </w:p>
          <w:p w14:paraId="337A80B1" w14:textId="7DF2848F" w:rsidR="003870BA" w:rsidRPr="006A5361" w:rsidRDefault="003870BA" w:rsidP="00C8196A">
            <w:pPr>
              <w:jc w:val="left"/>
              <w:rPr>
                <w:snapToGrid w:val="0"/>
              </w:rPr>
            </w:pPr>
            <w:r w:rsidRPr="006A5361">
              <w:rPr>
                <w:snapToGrid w:val="0"/>
              </w:rPr>
              <w:t>15.</w:t>
            </w:r>
            <w:r w:rsidRPr="006A5361">
              <w:rPr>
                <w:snapToGrid w:val="0"/>
              </w:rPr>
              <w:tab/>
            </w:r>
            <w:r w:rsidRPr="006A5361">
              <w:rPr>
                <w:i/>
                <w:snapToGrid w:val="0"/>
              </w:rPr>
              <w:t xml:space="preserve">Urges </w:t>
            </w:r>
            <w:r w:rsidRPr="006A5361">
              <w:rPr>
                <w:snapToGrid w:val="0"/>
              </w:rPr>
              <w:t xml:space="preserve">Parties and </w:t>
            </w:r>
            <w:r w:rsidRPr="006A5361">
              <w:rPr>
                <w:iCs/>
                <w:snapToGrid w:val="0"/>
              </w:rPr>
              <w:t>invites o</w:t>
            </w:r>
            <w:r w:rsidRPr="006A5361">
              <w:rPr>
                <w:snapToGrid w:val="0"/>
              </w:rPr>
              <w:t>ther Governments, donors and biosafety capacity</w:t>
            </w:r>
            <w:r w:rsidRPr="006A5361">
              <w:rPr>
                <w:snapToGrid w:val="0"/>
              </w:rPr>
              <w:noBreakHyphen/>
              <w:t>building initiatives to make resources available to support Parties in their efforts to strengthen capacities and enhance the implementation of the Cartagena Protocol in the following priority areas: development and implementation of legal, administrative and other measures to implement the Protocol; risk assessment and risk management; detection and identification of living modified organisms; public awareness, education and participation; socioeconomic considerations; liability and redress; national reporting; and technology transfer;</w:t>
            </w:r>
          </w:p>
          <w:p w14:paraId="7DA7D9B1" w14:textId="20C7331B" w:rsidR="003870BA" w:rsidRPr="006A5361" w:rsidRDefault="003870BA" w:rsidP="00C8196A">
            <w:pPr>
              <w:spacing w:before="120"/>
              <w:jc w:val="left"/>
              <w:rPr>
                <w:b/>
                <w:snapToGrid w:val="0"/>
              </w:rPr>
            </w:pPr>
            <w:r w:rsidRPr="006A5361">
              <w:rPr>
                <w:b/>
                <w:snapToGrid w:val="0"/>
              </w:rPr>
              <w:t>C.</w:t>
            </w:r>
            <w:r w:rsidRPr="006A5361">
              <w:rPr>
                <w:b/>
                <w:snapToGrid w:val="0"/>
              </w:rPr>
              <w:tab/>
              <w:t>Risk assessment and risk management</w:t>
            </w:r>
          </w:p>
          <w:p w14:paraId="2B5761E0" w14:textId="77777777" w:rsidR="003870BA" w:rsidRPr="006A5361" w:rsidRDefault="003870BA" w:rsidP="00C8196A">
            <w:pPr>
              <w:tabs>
                <w:tab w:val="left" w:pos="300"/>
              </w:tabs>
              <w:jc w:val="left"/>
              <w:rPr>
                <w:snapToGrid w:val="0"/>
              </w:rPr>
            </w:pPr>
            <w:r w:rsidRPr="006A5361">
              <w:rPr>
                <w:snapToGrid w:val="0"/>
              </w:rPr>
              <w:t>16.</w:t>
            </w:r>
            <w:r w:rsidRPr="006A5361">
              <w:rPr>
                <w:snapToGrid w:val="0"/>
              </w:rPr>
              <w:tab/>
            </w:r>
            <w:r w:rsidRPr="006A5361">
              <w:rPr>
                <w:i/>
                <w:snapToGrid w:val="0"/>
              </w:rPr>
              <w:t>Welcomes</w:t>
            </w:r>
            <w:r w:rsidRPr="006A5361">
              <w:rPr>
                <w:snapToGrid w:val="0"/>
              </w:rPr>
              <w:t xml:space="preserve"> the progress made by Parties in carrying out risk assessments pursuant to the Protocol and in publishing risk assessment summary reports along with decisions in the Biosafety Clearing-</w:t>
            </w:r>
            <w:proofErr w:type="gramStart"/>
            <w:r w:rsidRPr="006A5361">
              <w:rPr>
                <w:snapToGrid w:val="0"/>
              </w:rPr>
              <w:t>House;</w:t>
            </w:r>
            <w:proofErr w:type="gramEnd"/>
          </w:p>
          <w:p w14:paraId="52528A8B" w14:textId="6D66378D" w:rsidR="003870BA" w:rsidRPr="006A5361" w:rsidRDefault="003870BA" w:rsidP="00C8196A">
            <w:pPr>
              <w:spacing w:before="120"/>
              <w:jc w:val="left"/>
              <w:rPr>
                <w:b/>
                <w:snapToGrid w:val="0"/>
              </w:rPr>
            </w:pPr>
            <w:r w:rsidRPr="006A5361">
              <w:rPr>
                <w:b/>
                <w:snapToGrid w:val="0"/>
              </w:rPr>
              <w:t>I.</w:t>
            </w:r>
            <w:r w:rsidRPr="006A5361">
              <w:rPr>
                <w:b/>
                <w:snapToGrid w:val="0"/>
              </w:rPr>
              <w:tab/>
              <w:t>Information-sharing</w:t>
            </w:r>
          </w:p>
          <w:p w14:paraId="4399CADE" w14:textId="77777777" w:rsidR="003870BA" w:rsidRPr="006A5361" w:rsidRDefault="003870BA" w:rsidP="00C8196A">
            <w:pPr>
              <w:tabs>
                <w:tab w:val="left" w:pos="288"/>
              </w:tabs>
              <w:spacing w:after="120"/>
              <w:jc w:val="left"/>
              <w:rPr>
                <w:snapToGrid w:val="0"/>
              </w:rPr>
            </w:pPr>
            <w:r w:rsidRPr="006A5361">
              <w:rPr>
                <w:snapToGrid w:val="0"/>
              </w:rPr>
              <w:t>34.</w:t>
            </w:r>
            <w:r w:rsidRPr="006A5361">
              <w:rPr>
                <w:snapToGrid w:val="0"/>
              </w:rPr>
              <w:tab/>
            </w:r>
            <w:r w:rsidRPr="006A5361">
              <w:rPr>
                <w:i/>
                <w:snapToGrid w:val="0"/>
              </w:rPr>
              <w:t>Welcomes</w:t>
            </w:r>
            <w:r w:rsidRPr="006A5361">
              <w:rPr>
                <w:snapToGrid w:val="0"/>
              </w:rPr>
              <w:t xml:space="preserve"> the fact that almost all Parties have designated their national focal point for the Cartagena Protocol and their focal point for the Biosafety Clearing-</w:t>
            </w:r>
            <w:proofErr w:type="gramStart"/>
            <w:r w:rsidRPr="006A5361">
              <w:rPr>
                <w:snapToGrid w:val="0"/>
              </w:rPr>
              <w:t>House;</w:t>
            </w:r>
            <w:proofErr w:type="gramEnd"/>
          </w:p>
          <w:p w14:paraId="7E086E5A" w14:textId="77777777" w:rsidR="003870BA" w:rsidRPr="006A5361" w:rsidRDefault="003870BA" w:rsidP="00C8196A">
            <w:pPr>
              <w:tabs>
                <w:tab w:val="left" w:pos="325"/>
              </w:tabs>
              <w:spacing w:after="120"/>
              <w:jc w:val="left"/>
              <w:rPr>
                <w:snapToGrid w:val="0"/>
              </w:rPr>
            </w:pPr>
            <w:r w:rsidRPr="006A5361">
              <w:rPr>
                <w:snapToGrid w:val="0"/>
              </w:rPr>
              <w:t>35.</w:t>
            </w:r>
            <w:r w:rsidRPr="006A5361">
              <w:rPr>
                <w:snapToGrid w:val="0"/>
              </w:rPr>
              <w:tab/>
            </w:r>
            <w:r w:rsidRPr="006A5361">
              <w:rPr>
                <w:i/>
                <w:snapToGrid w:val="0"/>
              </w:rPr>
              <w:t>Notes</w:t>
            </w:r>
            <w:r w:rsidRPr="006A5361">
              <w:rPr>
                <w:snapToGrid w:val="0"/>
              </w:rPr>
              <w:t xml:space="preserve"> the progress by Parties in designating their point of contact for the purposes of receiving notifications under Article 17 (Unintentional transboundary movements and emergency measures</w:t>
            </w:r>
            <w:proofErr w:type="gramStart"/>
            <w:r w:rsidRPr="006A5361">
              <w:rPr>
                <w:snapToGrid w:val="0"/>
              </w:rPr>
              <w:t>);</w:t>
            </w:r>
            <w:proofErr w:type="gramEnd"/>
          </w:p>
          <w:p w14:paraId="247E6C62" w14:textId="789952CE" w:rsidR="003870BA" w:rsidRPr="006A5361" w:rsidRDefault="003870BA" w:rsidP="00C8196A">
            <w:pPr>
              <w:keepNext/>
              <w:spacing w:before="120"/>
              <w:jc w:val="left"/>
              <w:rPr>
                <w:b/>
                <w:snapToGrid w:val="0"/>
              </w:rPr>
            </w:pPr>
            <w:r w:rsidRPr="006A5361">
              <w:rPr>
                <w:b/>
                <w:snapToGrid w:val="0"/>
              </w:rPr>
              <w:t>J.</w:t>
            </w:r>
            <w:r w:rsidRPr="006A5361">
              <w:rPr>
                <w:b/>
                <w:snapToGrid w:val="0"/>
              </w:rPr>
              <w:tab/>
              <w:t>Compliance and review</w:t>
            </w:r>
          </w:p>
          <w:p w14:paraId="30EE6149" w14:textId="6E136C2A" w:rsidR="003870BA" w:rsidRPr="006A5361" w:rsidRDefault="003870BA" w:rsidP="00C8196A">
            <w:pPr>
              <w:jc w:val="left"/>
              <w:rPr>
                <w:rFonts w:eastAsia="Calibri"/>
                <w:b/>
                <w:snapToGrid w:val="0"/>
                <w:u w:val="single"/>
              </w:rPr>
            </w:pPr>
            <w:r w:rsidRPr="006A5361">
              <w:rPr>
                <w:snapToGrid w:val="0"/>
              </w:rPr>
              <w:t>38.</w:t>
            </w:r>
            <w:r w:rsidRPr="006A5361">
              <w:rPr>
                <w:snapToGrid w:val="0"/>
              </w:rPr>
              <w:tab/>
            </w:r>
            <w:r w:rsidRPr="006A5361">
              <w:rPr>
                <w:i/>
                <w:snapToGrid w:val="0"/>
              </w:rPr>
              <w:t>Notes</w:t>
            </w:r>
            <w:r w:rsidR="00B45A5F" w:rsidRPr="006A5361">
              <w:rPr>
                <w:snapToGrid w:val="0"/>
              </w:rPr>
              <w:t xml:space="preserve"> </w:t>
            </w:r>
            <w:r w:rsidRPr="006A5361">
              <w:rPr>
                <w:snapToGrid w:val="0"/>
              </w:rPr>
              <w:t>considerable variations in progress by Parties to comply with key obligations under the Protocol;</w:t>
            </w:r>
          </w:p>
        </w:tc>
        <w:tc>
          <w:tcPr>
            <w:tcW w:w="2902" w:type="dxa"/>
          </w:tcPr>
          <w:p w14:paraId="3F208E6F" w14:textId="77777777" w:rsidR="00C81C45" w:rsidRPr="006A5361" w:rsidRDefault="00C81C45" w:rsidP="00C8196A">
            <w:pPr>
              <w:jc w:val="left"/>
              <w:rPr>
                <w:rFonts w:eastAsia="Calibri"/>
                <w:snapToGrid w:val="0"/>
              </w:rPr>
            </w:pPr>
          </w:p>
          <w:p w14:paraId="7F489A9B" w14:textId="77777777" w:rsidR="00C81C45" w:rsidRPr="006A5361" w:rsidRDefault="00C81C45" w:rsidP="00C8196A">
            <w:pPr>
              <w:jc w:val="left"/>
              <w:rPr>
                <w:rFonts w:eastAsia="Calibri"/>
                <w:snapToGrid w:val="0"/>
              </w:rPr>
            </w:pPr>
          </w:p>
          <w:p w14:paraId="6D4340D2" w14:textId="36C33CDF" w:rsidR="003870BA" w:rsidRPr="006A5361" w:rsidRDefault="003870BA" w:rsidP="00C8196A">
            <w:pPr>
              <w:jc w:val="left"/>
              <w:rPr>
                <w:rFonts w:eastAsia="Calibri"/>
                <w:snapToGrid w:val="0"/>
              </w:rPr>
            </w:pPr>
            <w:r w:rsidRPr="006A5361">
              <w:rPr>
                <w:rFonts w:eastAsia="Calibri"/>
                <w:snapToGrid w:val="0"/>
              </w:rPr>
              <w:t xml:space="preserve">The concerns and necessary actions </w:t>
            </w:r>
            <w:r w:rsidR="007B517D" w:rsidRPr="006A5361">
              <w:rPr>
                <w:rFonts w:eastAsia="Calibri"/>
                <w:snapToGrid w:val="0"/>
              </w:rPr>
              <w:t>adopted</w:t>
            </w:r>
            <w:r w:rsidRPr="006A5361">
              <w:rPr>
                <w:rFonts w:eastAsia="Calibri"/>
                <w:snapToGrid w:val="0"/>
              </w:rPr>
              <w:t xml:space="preserve"> in the additional paragraphs </w:t>
            </w:r>
            <w:r w:rsidR="0043659D" w:rsidRPr="006A5361">
              <w:rPr>
                <w:rFonts w:eastAsia="Calibri"/>
                <w:snapToGrid w:val="0"/>
              </w:rPr>
              <w:t>were included in recommendation 3/2</w:t>
            </w:r>
            <w:r w:rsidR="00887F78" w:rsidRPr="006A5361">
              <w:rPr>
                <w:rFonts w:eastAsia="Calibri"/>
                <w:snapToGrid w:val="0"/>
              </w:rPr>
              <w:t xml:space="preserve"> of the Subsidiary Body on Implementation</w:t>
            </w:r>
            <w:r w:rsidR="0043659D" w:rsidRPr="006A5361">
              <w:rPr>
                <w:rFonts w:eastAsia="Calibri"/>
                <w:snapToGrid w:val="0"/>
              </w:rPr>
              <w:t xml:space="preserve">. They </w:t>
            </w:r>
            <w:r w:rsidR="00DD7085" w:rsidRPr="006A5361">
              <w:rPr>
                <w:rFonts w:eastAsia="Calibri"/>
                <w:snapToGrid w:val="0"/>
              </w:rPr>
              <w:t xml:space="preserve">are </w:t>
            </w:r>
            <w:r w:rsidR="00D43372" w:rsidRPr="006A5361">
              <w:rPr>
                <w:rFonts w:eastAsia="Calibri"/>
                <w:snapToGrid w:val="0"/>
              </w:rPr>
              <w:t xml:space="preserve">included </w:t>
            </w:r>
            <w:r w:rsidR="00DD7085" w:rsidRPr="006A5361">
              <w:rPr>
                <w:rFonts w:eastAsia="Calibri"/>
                <w:snapToGrid w:val="0"/>
              </w:rPr>
              <w:t>here</w:t>
            </w:r>
            <w:r w:rsidR="0043659D" w:rsidRPr="006A5361">
              <w:rPr>
                <w:rFonts w:eastAsia="Calibri"/>
                <w:snapToGrid w:val="0"/>
              </w:rPr>
              <w:t xml:space="preserve"> </w:t>
            </w:r>
            <w:r w:rsidR="00ED768F" w:rsidRPr="006A5361">
              <w:rPr>
                <w:rFonts w:eastAsia="Calibri"/>
                <w:snapToGrid w:val="0"/>
              </w:rPr>
              <w:t xml:space="preserve">as </w:t>
            </w:r>
            <w:r w:rsidR="00DD7085" w:rsidRPr="006A5361">
              <w:rPr>
                <w:rFonts w:eastAsia="Calibri"/>
                <w:snapToGrid w:val="0"/>
              </w:rPr>
              <w:t xml:space="preserve">they </w:t>
            </w:r>
            <w:r w:rsidRPr="006A5361">
              <w:rPr>
                <w:rFonts w:eastAsia="Calibri"/>
                <w:snapToGrid w:val="0"/>
              </w:rPr>
              <w:t>reflect issues previously considered by the Committee.</w:t>
            </w:r>
          </w:p>
          <w:p w14:paraId="41250DFA" w14:textId="77777777" w:rsidR="009E2156" w:rsidRPr="006A5361" w:rsidRDefault="009E2156" w:rsidP="00C8196A">
            <w:pPr>
              <w:jc w:val="left"/>
              <w:rPr>
                <w:rFonts w:eastAsia="Calibri"/>
                <w:snapToGrid w:val="0"/>
              </w:rPr>
            </w:pPr>
          </w:p>
          <w:p w14:paraId="26179FED" w14:textId="77777777" w:rsidR="009E2156" w:rsidRPr="006A5361" w:rsidRDefault="009E2156" w:rsidP="00C8196A">
            <w:pPr>
              <w:jc w:val="left"/>
              <w:rPr>
                <w:rFonts w:eastAsia="Calibri"/>
                <w:snapToGrid w:val="0"/>
              </w:rPr>
            </w:pPr>
          </w:p>
          <w:p w14:paraId="1E9181A3" w14:textId="77777777" w:rsidR="009E2156" w:rsidRPr="006A5361" w:rsidRDefault="009E2156" w:rsidP="00C8196A">
            <w:pPr>
              <w:jc w:val="left"/>
              <w:rPr>
                <w:rFonts w:eastAsia="Calibri"/>
                <w:snapToGrid w:val="0"/>
              </w:rPr>
            </w:pPr>
          </w:p>
          <w:p w14:paraId="26B9B725" w14:textId="77777777" w:rsidR="009E2156" w:rsidRPr="006A5361" w:rsidRDefault="009E2156" w:rsidP="00C8196A">
            <w:pPr>
              <w:jc w:val="left"/>
              <w:rPr>
                <w:rFonts w:eastAsia="Calibri"/>
                <w:snapToGrid w:val="0"/>
              </w:rPr>
            </w:pPr>
          </w:p>
          <w:p w14:paraId="37AD4778" w14:textId="77777777" w:rsidR="009E2156" w:rsidRPr="006A5361" w:rsidRDefault="009E2156" w:rsidP="00C8196A">
            <w:pPr>
              <w:jc w:val="left"/>
              <w:rPr>
                <w:rFonts w:eastAsia="Calibri"/>
                <w:snapToGrid w:val="0"/>
              </w:rPr>
            </w:pPr>
          </w:p>
          <w:p w14:paraId="246CAAC2" w14:textId="77777777" w:rsidR="009E2156" w:rsidRPr="006A5361" w:rsidRDefault="009E2156" w:rsidP="00C8196A">
            <w:pPr>
              <w:jc w:val="left"/>
              <w:rPr>
                <w:rFonts w:eastAsia="Calibri"/>
                <w:snapToGrid w:val="0"/>
              </w:rPr>
            </w:pPr>
          </w:p>
          <w:p w14:paraId="5A93F214" w14:textId="77777777" w:rsidR="009E2156" w:rsidRPr="006A5361" w:rsidRDefault="009E2156" w:rsidP="00C8196A">
            <w:pPr>
              <w:jc w:val="left"/>
              <w:rPr>
                <w:rFonts w:eastAsia="Calibri"/>
                <w:snapToGrid w:val="0"/>
              </w:rPr>
            </w:pPr>
          </w:p>
          <w:p w14:paraId="3465003C" w14:textId="77777777" w:rsidR="009E2156" w:rsidRPr="006A5361" w:rsidRDefault="009E2156" w:rsidP="00C8196A">
            <w:pPr>
              <w:jc w:val="left"/>
              <w:rPr>
                <w:rFonts w:eastAsia="Calibri"/>
                <w:snapToGrid w:val="0"/>
              </w:rPr>
            </w:pPr>
          </w:p>
          <w:p w14:paraId="61F574C9" w14:textId="77777777" w:rsidR="009E2156" w:rsidRPr="006A5361" w:rsidRDefault="009E2156" w:rsidP="00C8196A">
            <w:pPr>
              <w:jc w:val="left"/>
              <w:rPr>
                <w:rFonts w:eastAsia="Calibri"/>
                <w:snapToGrid w:val="0"/>
              </w:rPr>
            </w:pPr>
          </w:p>
          <w:p w14:paraId="08DE9F9D" w14:textId="77777777" w:rsidR="009E2156" w:rsidRPr="006A5361" w:rsidRDefault="009E2156" w:rsidP="00C8196A">
            <w:pPr>
              <w:jc w:val="left"/>
              <w:rPr>
                <w:rFonts w:eastAsia="Calibri"/>
                <w:snapToGrid w:val="0"/>
              </w:rPr>
            </w:pPr>
          </w:p>
          <w:p w14:paraId="4980EE5E" w14:textId="77777777" w:rsidR="009E2156" w:rsidRPr="006A5361" w:rsidRDefault="009E2156" w:rsidP="00C8196A">
            <w:pPr>
              <w:jc w:val="left"/>
              <w:rPr>
                <w:rFonts w:eastAsia="Calibri"/>
                <w:snapToGrid w:val="0"/>
              </w:rPr>
            </w:pPr>
          </w:p>
          <w:p w14:paraId="6B8EAAC5" w14:textId="77777777" w:rsidR="009E2156" w:rsidRPr="006A5361" w:rsidRDefault="009E2156" w:rsidP="00C8196A">
            <w:pPr>
              <w:jc w:val="left"/>
              <w:rPr>
                <w:rFonts w:eastAsia="Calibri"/>
                <w:snapToGrid w:val="0"/>
              </w:rPr>
            </w:pPr>
          </w:p>
          <w:p w14:paraId="62E94474" w14:textId="77777777" w:rsidR="009E2156" w:rsidRPr="006A5361" w:rsidRDefault="009E2156" w:rsidP="00C8196A">
            <w:pPr>
              <w:jc w:val="left"/>
              <w:rPr>
                <w:rFonts w:eastAsia="Calibri"/>
                <w:snapToGrid w:val="0"/>
              </w:rPr>
            </w:pPr>
          </w:p>
          <w:p w14:paraId="11553ED0" w14:textId="77777777" w:rsidR="009E2156" w:rsidRPr="006A5361" w:rsidRDefault="009E2156" w:rsidP="00C8196A">
            <w:pPr>
              <w:jc w:val="left"/>
              <w:rPr>
                <w:rFonts w:eastAsia="Calibri"/>
                <w:snapToGrid w:val="0"/>
              </w:rPr>
            </w:pPr>
          </w:p>
          <w:p w14:paraId="54484805" w14:textId="77777777" w:rsidR="009E2156" w:rsidRPr="006A5361" w:rsidRDefault="009E2156" w:rsidP="00C8196A">
            <w:pPr>
              <w:jc w:val="left"/>
              <w:rPr>
                <w:rFonts w:eastAsia="Calibri"/>
                <w:snapToGrid w:val="0"/>
              </w:rPr>
            </w:pPr>
          </w:p>
          <w:p w14:paraId="38196028" w14:textId="77777777" w:rsidR="009E2156" w:rsidRPr="006A5361" w:rsidRDefault="009E2156" w:rsidP="00C8196A">
            <w:pPr>
              <w:jc w:val="left"/>
              <w:rPr>
                <w:rFonts w:eastAsia="Calibri"/>
                <w:snapToGrid w:val="0"/>
              </w:rPr>
            </w:pPr>
          </w:p>
          <w:p w14:paraId="2570DEF1" w14:textId="77777777" w:rsidR="009E2156" w:rsidRPr="006A5361" w:rsidRDefault="009E2156" w:rsidP="00C8196A">
            <w:pPr>
              <w:jc w:val="left"/>
              <w:rPr>
                <w:rFonts w:eastAsia="Calibri"/>
                <w:snapToGrid w:val="0"/>
              </w:rPr>
            </w:pPr>
          </w:p>
          <w:p w14:paraId="1BEB98D0" w14:textId="77777777" w:rsidR="009E2156" w:rsidRPr="006A5361" w:rsidRDefault="009E2156" w:rsidP="00C8196A">
            <w:pPr>
              <w:jc w:val="left"/>
              <w:rPr>
                <w:rFonts w:eastAsia="Calibri"/>
                <w:snapToGrid w:val="0"/>
              </w:rPr>
            </w:pPr>
          </w:p>
          <w:p w14:paraId="431F0BB7" w14:textId="77777777" w:rsidR="009E2156" w:rsidRPr="006A5361" w:rsidRDefault="009E2156" w:rsidP="00C8196A">
            <w:pPr>
              <w:jc w:val="left"/>
              <w:rPr>
                <w:rFonts w:eastAsia="Calibri"/>
                <w:snapToGrid w:val="0"/>
              </w:rPr>
            </w:pPr>
          </w:p>
          <w:p w14:paraId="462471E4" w14:textId="77777777" w:rsidR="009E2156" w:rsidRPr="006A5361" w:rsidRDefault="009E2156" w:rsidP="00C8196A">
            <w:pPr>
              <w:jc w:val="left"/>
              <w:rPr>
                <w:rFonts w:eastAsia="Calibri"/>
                <w:snapToGrid w:val="0"/>
              </w:rPr>
            </w:pPr>
          </w:p>
          <w:p w14:paraId="41BC7DB0" w14:textId="77777777" w:rsidR="009E2156" w:rsidRPr="006A5361" w:rsidRDefault="009E2156" w:rsidP="00C8196A">
            <w:pPr>
              <w:jc w:val="left"/>
              <w:rPr>
                <w:rFonts w:eastAsia="Calibri"/>
                <w:snapToGrid w:val="0"/>
              </w:rPr>
            </w:pPr>
          </w:p>
          <w:p w14:paraId="503C1F97" w14:textId="77777777" w:rsidR="009E2156" w:rsidRPr="006A5361" w:rsidRDefault="009E2156" w:rsidP="00C8196A">
            <w:pPr>
              <w:jc w:val="left"/>
              <w:rPr>
                <w:rFonts w:eastAsia="Calibri"/>
                <w:snapToGrid w:val="0"/>
              </w:rPr>
            </w:pPr>
          </w:p>
          <w:p w14:paraId="4416F0F4" w14:textId="772E8F4B" w:rsidR="009E2156" w:rsidRPr="006A5361" w:rsidRDefault="009E2156" w:rsidP="00C8196A">
            <w:pPr>
              <w:jc w:val="left"/>
              <w:rPr>
                <w:rFonts w:eastAsia="Calibri"/>
                <w:snapToGrid w:val="0"/>
              </w:rPr>
            </w:pPr>
          </w:p>
        </w:tc>
      </w:tr>
    </w:tbl>
    <w:p w14:paraId="61483FBD" w14:textId="77777777" w:rsidR="006E6776" w:rsidRPr="00C8196A" w:rsidRDefault="00A329B2" w:rsidP="00C8196A">
      <w:pPr>
        <w:pStyle w:val="Para1"/>
        <w:keepNext/>
        <w:numPr>
          <w:ilvl w:val="0"/>
          <w:numId w:val="0"/>
        </w:numPr>
        <w:tabs>
          <w:tab w:val="left" w:pos="1080"/>
        </w:tabs>
        <w:spacing w:before="240" w:after="0"/>
        <w:jc w:val="both"/>
        <w:rPr>
          <w:kern w:val="22"/>
          <w:sz w:val="22"/>
          <w:szCs w:val="22"/>
          <w:lang w:val="en-GB"/>
        </w:rPr>
      </w:pPr>
      <w:r w:rsidRPr="00C8196A">
        <w:rPr>
          <w:kern w:val="22"/>
          <w:sz w:val="22"/>
          <w:szCs w:val="22"/>
          <w:lang w:val="en-GB"/>
        </w:rPr>
        <w:t>Table 4</w:t>
      </w:r>
    </w:p>
    <w:p w14:paraId="5589DACC" w14:textId="7B03121F" w:rsidR="00B70153" w:rsidRPr="006A5361" w:rsidRDefault="00B70153" w:rsidP="00C8196A">
      <w:pPr>
        <w:pStyle w:val="Para1"/>
        <w:keepNext/>
        <w:numPr>
          <w:ilvl w:val="0"/>
          <w:numId w:val="0"/>
        </w:numPr>
        <w:tabs>
          <w:tab w:val="left" w:pos="1080"/>
        </w:tabs>
        <w:spacing w:before="0"/>
        <w:jc w:val="both"/>
        <w:rPr>
          <w:b/>
          <w:bCs/>
          <w:kern w:val="22"/>
          <w:sz w:val="22"/>
          <w:szCs w:val="22"/>
          <w:lang w:val="en-GB"/>
        </w:rPr>
      </w:pPr>
      <w:r w:rsidRPr="006A5361">
        <w:rPr>
          <w:b/>
          <w:bCs/>
          <w:kern w:val="22"/>
          <w:sz w:val="22"/>
          <w:szCs w:val="22"/>
          <w:lang w:val="en-GB"/>
        </w:rPr>
        <w:t>Matters related to the financial mechanism</w:t>
      </w:r>
      <w:r w:rsidR="00597C13" w:rsidRPr="006A5361">
        <w:rPr>
          <w:b/>
          <w:bCs/>
          <w:kern w:val="22"/>
          <w:sz w:val="22"/>
          <w:szCs w:val="22"/>
          <w:lang w:val="en-GB"/>
        </w:rPr>
        <w:t xml:space="preserve"> and </w:t>
      </w:r>
      <w:proofErr w:type="gramStart"/>
      <w:r w:rsidR="00597C13" w:rsidRPr="006A5361">
        <w:rPr>
          <w:b/>
          <w:bCs/>
          <w:kern w:val="22"/>
          <w:sz w:val="22"/>
          <w:szCs w:val="22"/>
          <w:lang w:val="en-GB"/>
        </w:rPr>
        <w:t>resources</w:t>
      </w:r>
      <w:proofErr w:type="gramEnd"/>
    </w:p>
    <w:tbl>
      <w:tblPr>
        <w:tblW w:w="98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296"/>
        <w:gridCol w:w="3150"/>
      </w:tblGrid>
      <w:tr w:rsidR="00B70153" w:rsidRPr="006A5361" w14:paraId="3B9263D4" w14:textId="77777777" w:rsidTr="00C8196A">
        <w:trPr>
          <w:trHeight w:val="665"/>
        </w:trPr>
        <w:tc>
          <w:tcPr>
            <w:tcW w:w="3402" w:type="dxa"/>
            <w:shd w:val="clear" w:color="auto" w:fill="auto"/>
          </w:tcPr>
          <w:p w14:paraId="3EC6C9E0" w14:textId="3FDB2AAB" w:rsidR="00062F8E" w:rsidRPr="006A5361" w:rsidRDefault="00B70153" w:rsidP="00C8196A">
            <w:pPr>
              <w:autoSpaceDE w:val="0"/>
              <w:autoSpaceDN w:val="0"/>
              <w:adjustRightInd w:val="0"/>
              <w:spacing w:before="60" w:after="60"/>
              <w:jc w:val="left"/>
              <w:rPr>
                <w:i/>
                <w:iCs/>
                <w:snapToGrid w:val="0"/>
                <w:kern w:val="22"/>
                <w:szCs w:val="22"/>
              </w:rPr>
            </w:pPr>
            <w:r w:rsidRPr="006A5361">
              <w:rPr>
                <w:rFonts w:asciiTheme="majorBidi" w:eastAsia="Calibri" w:hAnsiTheme="majorBidi" w:cstheme="majorBidi"/>
                <w:i/>
                <w:iCs/>
                <w:snapToGrid w:val="0"/>
                <w:kern w:val="22"/>
                <w:szCs w:val="22"/>
              </w:rPr>
              <w:t xml:space="preserve">Recommendation </w:t>
            </w:r>
            <w:r w:rsidR="00D44016" w:rsidRPr="006A5361">
              <w:rPr>
                <w:rFonts w:asciiTheme="majorBidi" w:eastAsia="Calibri" w:hAnsiTheme="majorBidi" w:cstheme="majorBidi"/>
                <w:i/>
                <w:iCs/>
                <w:snapToGrid w:val="0"/>
                <w:kern w:val="22"/>
                <w:szCs w:val="22"/>
              </w:rPr>
              <w:t xml:space="preserve">by </w:t>
            </w:r>
            <w:r w:rsidRPr="006A5361">
              <w:rPr>
                <w:rFonts w:asciiTheme="majorBidi" w:eastAsia="Calibri" w:hAnsiTheme="majorBidi" w:cstheme="majorBidi"/>
                <w:i/>
                <w:iCs/>
                <w:snapToGrid w:val="0"/>
                <w:kern w:val="22"/>
                <w:szCs w:val="22"/>
              </w:rPr>
              <w:t>the Committee</w:t>
            </w:r>
            <w:r w:rsidRPr="006A5361">
              <w:rPr>
                <w:rFonts w:asciiTheme="majorBidi" w:eastAsia="Calibri" w:hAnsiTheme="majorBidi" w:cstheme="majorBidi"/>
                <w:i/>
                <w:iCs/>
                <w:snapToGrid w:val="0"/>
                <w:kern w:val="22"/>
                <w:szCs w:val="22"/>
              </w:rPr>
              <w:br/>
              <w:t>(CBD/CP/MOP/10/2, annex)</w:t>
            </w:r>
          </w:p>
        </w:tc>
        <w:tc>
          <w:tcPr>
            <w:tcW w:w="3296" w:type="dxa"/>
            <w:tcBorders>
              <w:top w:val="single" w:sz="4" w:space="0" w:color="auto"/>
              <w:bottom w:val="single" w:sz="4" w:space="0" w:color="auto"/>
            </w:tcBorders>
            <w:shd w:val="clear" w:color="auto" w:fill="FFFFFF"/>
          </w:tcPr>
          <w:p w14:paraId="6B3B64D3" w14:textId="6A731450" w:rsidR="00B70153" w:rsidRPr="00C8196A" w:rsidRDefault="0044481E" w:rsidP="00C8196A">
            <w:pPr>
              <w:pStyle w:val="Para10"/>
              <w:numPr>
                <w:ilvl w:val="0"/>
                <w:numId w:val="0"/>
              </w:numPr>
              <w:spacing w:before="60" w:after="60"/>
              <w:jc w:val="left"/>
              <w:rPr>
                <w:rFonts w:eastAsia="Calibri"/>
                <w:i/>
                <w:iCs/>
                <w:snapToGrid w:val="0"/>
                <w:kern w:val="22"/>
                <w:szCs w:val="22"/>
                <w:lang w:val="en-GB"/>
              </w:rPr>
            </w:pPr>
            <w:r w:rsidRPr="00C8196A">
              <w:rPr>
                <w:i/>
                <w:iCs/>
                <w:lang w:val="en-GB"/>
              </w:rPr>
              <w:t xml:space="preserve">Decision </w:t>
            </w:r>
            <w:r w:rsidR="00B70153" w:rsidRPr="00C8196A">
              <w:rPr>
                <w:rFonts w:eastAsia="Calibri"/>
                <w:i/>
                <w:iCs/>
                <w:snapToGrid w:val="0"/>
                <w:kern w:val="22"/>
                <w:szCs w:val="22"/>
                <w:lang w:val="en-GB"/>
              </w:rPr>
              <w:t>CP-10/6</w:t>
            </w:r>
          </w:p>
        </w:tc>
        <w:tc>
          <w:tcPr>
            <w:tcW w:w="3150" w:type="dxa"/>
          </w:tcPr>
          <w:p w14:paraId="6097D34F" w14:textId="5600C241" w:rsidR="00B70153" w:rsidRPr="00C8196A" w:rsidRDefault="00B70153" w:rsidP="00C8196A">
            <w:pPr>
              <w:pStyle w:val="Para10"/>
              <w:numPr>
                <w:ilvl w:val="0"/>
                <w:numId w:val="0"/>
              </w:numPr>
              <w:spacing w:before="60" w:after="60"/>
              <w:jc w:val="left"/>
              <w:rPr>
                <w:rFonts w:eastAsia="Calibri"/>
                <w:i/>
                <w:iCs/>
                <w:snapToGrid w:val="0"/>
                <w:kern w:val="22"/>
                <w:szCs w:val="22"/>
                <w:lang w:val="en-GB"/>
              </w:rPr>
            </w:pPr>
            <w:r w:rsidRPr="00C8196A">
              <w:rPr>
                <w:rFonts w:eastAsia="Calibri"/>
                <w:i/>
                <w:iCs/>
                <w:snapToGrid w:val="0"/>
                <w:kern w:val="22"/>
                <w:szCs w:val="22"/>
                <w:lang w:val="en-GB"/>
              </w:rPr>
              <w:t>Remarks</w:t>
            </w:r>
            <w:r w:rsidR="0073701A" w:rsidRPr="00C8196A">
              <w:rPr>
                <w:rFonts w:eastAsia="Calibri"/>
                <w:i/>
                <w:iCs/>
                <w:snapToGrid w:val="0"/>
                <w:kern w:val="22"/>
                <w:szCs w:val="22"/>
                <w:lang w:val="en-GB"/>
              </w:rPr>
              <w:t xml:space="preserve"> and </w:t>
            </w:r>
            <w:r w:rsidRPr="00C8196A">
              <w:rPr>
                <w:rFonts w:eastAsia="Calibri"/>
                <w:i/>
                <w:iCs/>
                <w:snapToGrid w:val="0"/>
                <w:kern w:val="22"/>
                <w:szCs w:val="22"/>
                <w:lang w:val="en-GB"/>
              </w:rPr>
              <w:t>clarifications</w:t>
            </w:r>
          </w:p>
        </w:tc>
      </w:tr>
      <w:tr w:rsidR="00B70153" w:rsidRPr="006A5361" w14:paraId="0D40A8D0" w14:textId="77777777" w:rsidTr="00C8196A">
        <w:trPr>
          <w:trHeight w:val="756"/>
        </w:trPr>
        <w:tc>
          <w:tcPr>
            <w:tcW w:w="3402" w:type="dxa"/>
            <w:tcBorders>
              <w:bottom w:val="single" w:sz="4" w:space="0" w:color="auto"/>
            </w:tcBorders>
            <w:shd w:val="clear" w:color="auto" w:fill="auto"/>
          </w:tcPr>
          <w:p w14:paraId="482D3008" w14:textId="303A8E24" w:rsidR="00132DC7" w:rsidRPr="006A5361" w:rsidRDefault="0044481E" w:rsidP="00C8196A">
            <w:pPr>
              <w:spacing w:after="120"/>
              <w:jc w:val="left"/>
            </w:pPr>
            <w:bookmarkStart w:id="5" w:name="_Hlk34743170"/>
            <w:r w:rsidRPr="006A5361">
              <w:t xml:space="preserve">22. </w:t>
            </w:r>
            <w:r w:rsidR="00B70153" w:rsidRPr="006A5361">
              <w:t xml:space="preserve">Recommend that the Conference of the Parties, in adopting its guidance to the financial mechanism with respect to support for the implementation of the Protocol, invite the Global Environment Facility to make funds available in a timely manner to support eligible Parties in preparing and submitting their fifth national </w:t>
            </w:r>
            <w:proofErr w:type="gramStart"/>
            <w:r w:rsidR="00B70153" w:rsidRPr="006A5361">
              <w:t>reports;</w:t>
            </w:r>
            <w:bookmarkEnd w:id="5"/>
            <w:proofErr w:type="gramEnd"/>
          </w:p>
          <w:p w14:paraId="47AA0CCB" w14:textId="2D95D492" w:rsidR="00B70153" w:rsidRPr="006A5361" w:rsidRDefault="0044481E" w:rsidP="00C8196A">
            <w:pPr>
              <w:spacing w:after="120"/>
              <w:jc w:val="left"/>
            </w:pPr>
            <w:r w:rsidRPr="006A5361">
              <w:t xml:space="preserve">23. </w:t>
            </w:r>
            <w:r w:rsidR="00B70153" w:rsidRPr="006A5361">
              <w:t xml:space="preserve">Recommend that the Conference of the Parties, in adopting its guidance to the financial mechanism with respect to support for the implementation of the Cartagena Protocol, invite the Global Environment Facility to make funding available to support Parties in implementing compliance action plans regarding the achievement of compliance with the </w:t>
            </w:r>
            <w:proofErr w:type="gramStart"/>
            <w:r w:rsidR="00B70153" w:rsidRPr="006A5361">
              <w:t>Protocol;</w:t>
            </w:r>
            <w:proofErr w:type="gramEnd"/>
            <w:r w:rsidR="00B70153" w:rsidRPr="006A5361">
              <w:t xml:space="preserve"> </w:t>
            </w:r>
          </w:p>
          <w:p w14:paraId="61B9A062" w14:textId="66E98CA7" w:rsidR="00B70153" w:rsidRPr="006A5361" w:rsidRDefault="0044481E" w:rsidP="00C8196A">
            <w:pPr>
              <w:spacing w:after="120"/>
              <w:jc w:val="left"/>
              <w:rPr>
                <w:rFonts w:eastAsia="Calibri"/>
                <w:i/>
              </w:rPr>
            </w:pPr>
            <w:r w:rsidRPr="006A5361">
              <w:t xml:space="preserve">24. </w:t>
            </w:r>
            <w:r w:rsidR="00B70153" w:rsidRPr="006A5361">
              <w:t>Recommend that the Conference of the Parties, in adopting its guidance to the financial mechanism, with respect to support for the implementation of the Cartagena Protocol on Biosafety, invite the Global Environment Facility to make specific funding available to eligible Parties to: (</w:t>
            </w:r>
            <w:proofErr w:type="spellStart"/>
            <w:r w:rsidR="00B70153" w:rsidRPr="006A5361">
              <w:t>i</w:t>
            </w:r>
            <w:proofErr w:type="spellEnd"/>
            <w:r w:rsidR="00B70153" w:rsidRPr="006A5361">
              <w:t>) put in place legal, administrative and other measures for the implementation of the Protocol; and (ii) support eligible Parties in implementing compliance action plans regarding the achievement of compliance with the Protocol.</w:t>
            </w:r>
          </w:p>
        </w:tc>
        <w:tc>
          <w:tcPr>
            <w:tcW w:w="3296" w:type="dxa"/>
            <w:tcBorders>
              <w:top w:val="single" w:sz="4" w:space="0" w:color="auto"/>
              <w:bottom w:val="single" w:sz="4" w:space="0" w:color="auto"/>
            </w:tcBorders>
            <w:shd w:val="clear" w:color="auto" w:fill="FFFFFF"/>
          </w:tcPr>
          <w:p w14:paraId="38CE938A" w14:textId="77777777" w:rsidR="00062F8E" w:rsidRPr="006A5361" w:rsidRDefault="00062F8E" w:rsidP="00C8196A">
            <w:pPr>
              <w:tabs>
                <w:tab w:val="left" w:pos="246"/>
              </w:tabs>
              <w:spacing w:after="120"/>
              <w:jc w:val="left"/>
            </w:pPr>
            <w:r w:rsidRPr="006A5361">
              <w:t>3.</w:t>
            </w:r>
            <w:r w:rsidRPr="006A5361">
              <w:rPr>
                <w:i/>
                <w:iCs/>
              </w:rPr>
              <w:tab/>
              <w:t>Recommends</w:t>
            </w:r>
            <w:r w:rsidRPr="006A5361">
              <w:t xml:space="preserve"> that the Conference of the Parties, in adopting its guidance to the Global Environment Facility with respect to support for the implementation of the Cartagena Protocol, invite the Global Environment Facility: (…)</w:t>
            </w:r>
          </w:p>
          <w:p w14:paraId="4FDD1C4F" w14:textId="0165A4CE" w:rsidR="00350E1F" w:rsidRPr="006A5361" w:rsidRDefault="00062F8E" w:rsidP="00C8196A">
            <w:pPr>
              <w:tabs>
                <w:tab w:val="left" w:pos="263"/>
              </w:tabs>
              <w:spacing w:after="120"/>
              <w:jc w:val="left"/>
            </w:pPr>
            <w:r w:rsidRPr="006A5361">
              <w:t>(c)</w:t>
            </w:r>
            <w:r w:rsidRPr="006A5361">
              <w:tab/>
            </w:r>
            <w:r w:rsidRPr="006A5361">
              <w:rPr>
                <w:b/>
                <w:bCs/>
              </w:rPr>
              <w:t>To continue</w:t>
            </w:r>
            <w:r w:rsidRPr="006A5361">
              <w:t xml:space="preserve"> to make funds available in a timely manner to support eligible Parties in preparing and submitting their fifth national reports under the Cartagena </w:t>
            </w:r>
            <w:proofErr w:type="gramStart"/>
            <w:r w:rsidRPr="006A5361">
              <w:t>Protocol;</w:t>
            </w:r>
            <w:proofErr w:type="gramEnd"/>
          </w:p>
          <w:p w14:paraId="20E2EBD4" w14:textId="73B7255B" w:rsidR="00B70153" w:rsidRPr="006A5361" w:rsidRDefault="00062F8E" w:rsidP="00C8196A">
            <w:pPr>
              <w:tabs>
                <w:tab w:val="left" w:pos="288"/>
              </w:tabs>
              <w:spacing w:after="120"/>
              <w:jc w:val="left"/>
            </w:pPr>
            <w:r w:rsidRPr="006A5361">
              <w:t>(d)</w:t>
            </w:r>
            <w:r w:rsidRPr="006A5361">
              <w:tab/>
            </w:r>
            <w:r w:rsidRPr="006A5361">
              <w:rPr>
                <w:b/>
                <w:bCs/>
              </w:rPr>
              <w:t xml:space="preserve">To continue to assist </w:t>
            </w:r>
            <w:r w:rsidRPr="006A5361">
              <w:rPr>
                <w:b/>
                <w:bCs/>
                <w:snapToGrid w:val="0"/>
              </w:rPr>
              <w:t xml:space="preserve">eligible Parties in undertaking activities in the following areas: </w:t>
            </w:r>
            <w:r w:rsidRPr="00C8196A">
              <w:rPr>
                <w:u w:val="single"/>
              </w:rPr>
              <w:t>development and implementation of legal, administrative and other measures to implement the Protocol</w:t>
            </w:r>
            <w:r w:rsidRPr="006A5361">
              <w:t xml:space="preserve">; risk assessment and risk management; detection and identification of living modified organisms; public awareness, education and participation; socioeconomic considerations; liability and redress; national reporting; information-sharing and the Biosafety Clearing-House; knowledge and technology transfer; and </w:t>
            </w:r>
            <w:r w:rsidRPr="00C8196A">
              <w:rPr>
                <w:u w:val="single"/>
              </w:rPr>
              <w:t>the implementation of compliance action plans regarding the achievement of compliance with the Protocol</w:t>
            </w:r>
            <w:r w:rsidRPr="006A5361">
              <w:t>;</w:t>
            </w:r>
          </w:p>
        </w:tc>
        <w:tc>
          <w:tcPr>
            <w:tcW w:w="3150" w:type="dxa"/>
            <w:tcBorders>
              <w:bottom w:val="single" w:sz="4" w:space="0" w:color="auto"/>
            </w:tcBorders>
          </w:tcPr>
          <w:p w14:paraId="7C91431A" w14:textId="2AE0CD9C" w:rsidR="00B70153" w:rsidRPr="006A5361" w:rsidRDefault="00132DC7" w:rsidP="00C8196A">
            <w:pPr>
              <w:spacing w:after="120"/>
              <w:jc w:val="left"/>
              <w:rPr>
                <w:rFonts w:eastAsia="Calibri"/>
                <w:snapToGrid w:val="0"/>
              </w:rPr>
            </w:pPr>
            <w:r w:rsidRPr="006A5361">
              <w:rPr>
                <w:rFonts w:eastAsia="Calibri"/>
                <w:snapToGrid w:val="0"/>
              </w:rPr>
              <w:t>R</w:t>
            </w:r>
            <w:r w:rsidR="00B70153" w:rsidRPr="006A5361">
              <w:rPr>
                <w:rFonts w:eastAsia="Calibri"/>
                <w:snapToGrid w:val="0"/>
              </w:rPr>
              <w:t>ecommendation</w:t>
            </w:r>
            <w:r w:rsidRPr="006A5361">
              <w:rPr>
                <w:rFonts w:eastAsia="Calibri"/>
                <w:snapToGrid w:val="0"/>
              </w:rPr>
              <w:t xml:space="preserve"> 2</w:t>
            </w:r>
            <w:r w:rsidR="00310D72" w:rsidRPr="006A5361">
              <w:rPr>
                <w:rFonts w:eastAsia="Calibri"/>
                <w:snapToGrid w:val="0"/>
              </w:rPr>
              <w:t>2</w:t>
            </w:r>
            <w:r w:rsidR="00B70153" w:rsidRPr="006A5361">
              <w:rPr>
                <w:rFonts w:eastAsia="Calibri"/>
                <w:snapToGrid w:val="0"/>
              </w:rPr>
              <w:t xml:space="preserve"> </w:t>
            </w:r>
            <w:r w:rsidRPr="006A5361">
              <w:rPr>
                <w:rFonts w:eastAsia="Calibri"/>
                <w:snapToGrid w:val="0"/>
              </w:rPr>
              <w:t>was</w:t>
            </w:r>
            <w:r w:rsidR="00B70153" w:rsidRPr="006A5361">
              <w:rPr>
                <w:rFonts w:eastAsia="Calibri"/>
                <w:snapToGrid w:val="0"/>
              </w:rPr>
              <w:t xml:space="preserve"> adopted with </w:t>
            </w:r>
            <w:r w:rsidR="008475C3" w:rsidRPr="006A5361">
              <w:rPr>
                <w:rFonts w:eastAsia="Calibri"/>
                <w:snapToGrid w:val="0"/>
              </w:rPr>
              <w:t xml:space="preserve">a </w:t>
            </w:r>
            <w:r w:rsidRPr="006A5361">
              <w:rPr>
                <w:rFonts w:eastAsia="Calibri"/>
                <w:snapToGrid w:val="0"/>
              </w:rPr>
              <w:t xml:space="preserve">minor </w:t>
            </w:r>
            <w:r w:rsidR="00B70153" w:rsidRPr="006A5361">
              <w:rPr>
                <w:rFonts w:eastAsia="Calibri"/>
                <w:snapToGrid w:val="0"/>
              </w:rPr>
              <w:t>editorial change.</w:t>
            </w:r>
          </w:p>
          <w:p w14:paraId="6BC833F4" w14:textId="2A573CCE" w:rsidR="00B70153" w:rsidRPr="006A5361" w:rsidRDefault="00B70153" w:rsidP="00C8196A">
            <w:pPr>
              <w:spacing w:after="120"/>
              <w:jc w:val="left"/>
              <w:rPr>
                <w:rFonts w:eastAsia="Calibri"/>
                <w:snapToGrid w:val="0"/>
              </w:rPr>
            </w:pPr>
          </w:p>
          <w:p w14:paraId="6FC47490" w14:textId="5EB8AE53" w:rsidR="00132DC7" w:rsidRPr="006A5361" w:rsidRDefault="00132DC7" w:rsidP="00C8196A">
            <w:pPr>
              <w:spacing w:after="120"/>
              <w:jc w:val="left"/>
              <w:rPr>
                <w:rFonts w:eastAsia="Calibri"/>
                <w:snapToGrid w:val="0"/>
              </w:rPr>
            </w:pPr>
          </w:p>
          <w:p w14:paraId="6E048349" w14:textId="3E2D7F41" w:rsidR="00132DC7" w:rsidRPr="006A5361" w:rsidRDefault="00132DC7" w:rsidP="00C8196A">
            <w:pPr>
              <w:spacing w:after="120"/>
              <w:jc w:val="left"/>
              <w:rPr>
                <w:rFonts w:eastAsia="Calibri"/>
                <w:snapToGrid w:val="0"/>
              </w:rPr>
            </w:pPr>
          </w:p>
          <w:p w14:paraId="3AF74300" w14:textId="77777777" w:rsidR="00B70153" w:rsidRPr="006A5361" w:rsidRDefault="00B70153" w:rsidP="00C8196A">
            <w:pPr>
              <w:spacing w:after="120"/>
              <w:jc w:val="left"/>
              <w:rPr>
                <w:rFonts w:eastAsia="Calibri"/>
                <w:snapToGrid w:val="0"/>
              </w:rPr>
            </w:pPr>
          </w:p>
          <w:p w14:paraId="4EB86E6D" w14:textId="77777777" w:rsidR="00B70153" w:rsidRPr="006A5361" w:rsidRDefault="00B70153" w:rsidP="00C8196A">
            <w:pPr>
              <w:spacing w:after="120"/>
              <w:jc w:val="left"/>
              <w:rPr>
                <w:rFonts w:eastAsia="Calibri"/>
                <w:snapToGrid w:val="0"/>
              </w:rPr>
            </w:pPr>
          </w:p>
          <w:p w14:paraId="1C9D3437" w14:textId="77777777" w:rsidR="00785133" w:rsidRPr="006A5361" w:rsidRDefault="00785133" w:rsidP="00C8196A">
            <w:pPr>
              <w:spacing w:after="120"/>
              <w:jc w:val="left"/>
              <w:rPr>
                <w:rFonts w:eastAsia="Calibri"/>
                <w:snapToGrid w:val="0"/>
              </w:rPr>
            </w:pPr>
          </w:p>
          <w:p w14:paraId="348C558E" w14:textId="77777777" w:rsidR="00C75DAA" w:rsidRPr="006A5361" w:rsidRDefault="00C75DAA" w:rsidP="00C8196A">
            <w:pPr>
              <w:spacing w:after="120"/>
              <w:jc w:val="left"/>
              <w:rPr>
                <w:rFonts w:eastAsia="Calibri"/>
                <w:snapToGrid w:val="0"/>
              </w:rPr>
            </w:pPr>
          </w:p>
          <w:p w14:paraId="32509EF7" w14:textId="7629132C" w:rsidR="00350E1F" w:rsidRPr="006A5361" w:rsidRDefault="00B70153" w:rsidP="00C8196A">
            <w:pPr>
              <w:spacing w:after="120"/>
              <w:jc w:val="left"/>
            </w:pPr>
            <w:r w:rsidRPr="006A5361">
              <w:rPr>
                <w:rFonts w:eastAsia="Calibri"/>
                <w:snapToGrid w:val="0"/>
              </w:rPr>
              <w:t>Recommendations 23 and 24 were reflected, to a degree, in paragraph 3 (d)</w:t>
            </w:r>
            <w:r w:rsidR="004B6785" w:rsidRPr="006A5361">
              <w:rPr>
                <w:rFonts w:eastAsia="Calibri"/>
                <w:snapToGrid w:val="0"/>
              </w:rPr>
              <w:t>,</w:t>
            </w:r>
            <w:r w:rsidRPr="006A5361">
              <w:rPr>
                <w:rFonts w:eastAsia="Calibri"/>
                <w:snapToGrid w:val="0"/>
              </w:rPr>
              <w:t xml:space="preserve"> with some changes and additions. The </w:t>
            </w:r>
            <w:r w:rsidRPr="006A5361">
              <w:t xml:space="preserve">Global Environment Facility </w:t>
            </w:r>
            <w:r w:rsidR="003E7D2B" w:rsidRPr="006A5361">
              <w:t xml:space="preserve">(GEF) </w:t>
            </w:r>
            <w:r w:rsidRPr="006A5361">
              <w:t>was invited to “continue to assist”, rather than to “make specific funding available” to eligible Parties</w:t>
            </w:r>
            <w:r w:rsidR="00954EB0" w:rsidRPr="006A5361">
              <w:t>,</w:t>
            </w:r>
            <w:r w:rsidRPr="006A5361">
              <w:t xml:space="preserve"> in undertaking activities for putting in place measures and for implementing compliance action plans.</w:t>
            </w:r>
          </w:p>
          <w:p w14:paraId="2C8BE0ED" w14:textId="2AC617A6" w:rsidR="00B70153" w:rsidRPr="006A5361" w:rsidRDefault="00350E1F" w:rsidP="00C8196A">
            <w:pPr>
              <w:spacing w:after="120"/>
              <w:jc w:val="left"/>
              <w:rPr>
                <w:snapToGrid w:val="0"/>
              </w:rPr>
            </w:pPr>
            <w:r w:rsidRPr="006A5361">
              <w:t xml:space="preserve">The areas </w:t>
            </w:r>
            <w:r w:rsidR="00954EB0" w:rsidRPr="006A5361">
              <w:t>included in</w:t>
            </w:r>
            <w:r w:rsidRPr="006A5361">
              <w:t xml:space="preserve"> the Committee’s recommendation</w:t>
            </w:r>
            <w:r w:rsidR="00954EB0" w:rsidRPr="006A5361">
              <w:t>s</w:t>
            </w:r>
            <w:r w:rsidRPr="006A5361">
              <w:t xml:space="preserve"> have been underlined</w:t>
            </w:r>
            <w:r w:rsidR="006877F9" w:rsidRPr="006A5361">
              <w:t>,</w:t>
            </w:r>
            <w:r w:rsidRPr="006A5361">
              <w:t xml:space="preserve"> for ease of reference. The a</w:t>
            </w:r>
            <w:r w:rsidR="00B70153" w:rsidRPr="006A5361">
              <w:t>dditional areas specified</w:t>
            </w:r>
            <w:r w:rsidRPr="006A5361">
              <w:t xml:space="preserve"> in paragraph 3 (d) correspond to the priority areas identified in paragraph 15 of decision CP</w:t>
            </w:r>
            <w:r w:rsidR="0044481E" w:rsidRPr="006A5361">
              <w:noBreakHyphen/>
            </w:r>
            <w:r w:rsidRPr="006A5361">
              <w:t>10/7 (see table 3).</w:t>
            </w:r>
          </w:p>
        </w:tc>
      </w:tr>
      <w:tr w:rsidR="00062F8E" w:rsidRPr="006A5361" w14:paraId="61A0907B" w14:textId="77777777" w:rsidTr="00454659">
        <w:trPr>
          <w:trHeight w:val="638"/>
        </w:trPr>
        <w:tc>
          <w:tcPr>
            <w:tcW w:w="3402" w:type="dxa"/>
            <w:shd w:val="clear" w:color="auto" w:fill="auto"/>
          </w:tcPr>
          <w:p w14:paraId="095324C0" w14:textId="77777777" w:rsidR="00062F8E" w:rsidRPr="006A5361" w:rsidRDefault="00062F8E" w:rsidP="00062F8E">
            <w:pPr>
              <w:autoSpaceDE w:val="0"/>
              <w:autoSpaceDN w:val="0"/>
              <w:adjustRightInd w:val="0"/>
              <w:jc w:val="left"/>
              <w:rPr>
                <w:snapToGrid w:val="0"/>
                <w:kern w:val="22"/>
                <w:szCs w:val="22"/>
              </w:rPr>
            </w:pPr>
          </w:p>
        </w:tc>
        <w:tc>
          <w:tcPr>
            <w:tcW w:w="3296" w:type="dxa"/>
            <w:tcBorders>
              <w:top w:val="single" w:sz="4" w:space="0" w:color="auto"/>
              <w:bottom w:val="single" w:sz="4" w:space="0" w:color="auto"/>
            </w:tcBorders>
            <w:shd w:val="clear" w:color="auto" w:fill="FFFFFF"/>
          </w:tcPr>
          <w:p w14:paraId="45A7ED44" w14:textId="1E6729B7" w:rsidR="00062F8E" w:rsidRPr="00C8196A" w:rsidRDefault="00062F8E" w:rsidP="00C91B46">
            <w:pPr>
              <w:suppressLineNumbers/>
              <w:tabs>
                <w:tab w:val="left" w:pos="345"/>
              </w:tabs>
              <w:suppressAutoHyphens/>
              <w:kinsoku w:val="0"/>
              <w:overflowPunct w:val="0"/>
              <w:autoSpaceDE w:val="0"/>
              <w:autoSpaceDN w:val="0"/>
              <w:adjustRightInd w:val="0"/>
              <w:snapToGrid w:val="0"/>
              <w:spacing w:before="120" w:after="120"/>
              <w:jc w:val="left"/>
              <w:rPr>
                <w:i/>
                <w:iCs/>
                <w:snapToGrid w:val="0"/>
                <w:kern w:val="22"/>
                <w:szCs w:val="22"/>
              </w:rPr>
            </w:pPr>
            <w:r w:rsidRPr="00C8196A">
              <w:rPr>
                <w:i/>
                <w:iCs/>
                <w:snapToGrid w:val="0"/>
                <w:kern w:val="22"/>
                <w:szCs w:val="22"/>
              </w:rPr>
              <w:t>Additional paragraphs adopted:</w:t>
            </w:r>
          </w:p>
          <w:p w14:paraId="56462078" w14:textId="4D63153F" w:rsidR="00062F8E" w:rsidRPr="006A5361" w:rsidRDefault="00631477" w:rsidP="00C91B46">
            <w:pPr>
              <w:shd w:val="clear" w:color="auto" w:fill="FFFFFF"/>
              <w:tabs>
                <w:tab w:val="left" w:pos="161"/>
                <w:tab w:val="left" w:pos="338"/>
              </w:tabs>
              <w:spacing w:before="120" w:after="120"/>
              <w:jc w:val="left"/>
              <w:rPr>
                <w:szCs w:val="22"/>
              </w:rPr>
            </w:pPr>
            <w:r w:rsidRPr="006A5361">
              <w:rPr>
                <w:szCs w:val="22"/>
              </w:rPr>
              <w:t>[</w:t>
            </w:r>
            <w:r w:rsidR="00062F8E" w:rsidRPr="006A5361">
              <w:rPr>
                <w:szCs w:val="22"/>
              </w:rPr>
              <w:t>3.</w:t>
            </w:r>
            <w:r w:rsidR="00062F8E" w:rsidRPr="006A5361">
              <w:rPr>
                <w:i/>
                <w:iCs/>
                <w:szCs w:val="22"/>
              </w:rPr>
              <w:tab/>
              <w:t>Recommends</w:t>
            </w:r>
            <w:r w:rsidR="00062F8E" w:rsidRPr="006A5361">
              <w:rPr>
                <w:szCs w:val="22"/>
              </w:rPr>
              <w:t xml:space="preserve"> that the Conference of the Parties, in adopting its guidance to the Global Environment Facility with respect to support for the implementation of the Cartagena Protocol, invite the Global Environment Facility:</w:t>
            </w:r>
            <w:r w:rsidRPr="006A5361">
              <w:rPr>
                <w:szCs w:val="22"/>
              </w:rPr>
              <w:t>]</w:t>
            </w:r>
          </w:p>
          <w:p w14:paraId="5B588278" w14:textId="0C85F3CE" w:rsidR="00062F8E" w:rsidRPr="006A5361" w:rsidRDefault="00062F8E" w:rsidP="00C91B46">
            <w:pPr>
              <w:shd w:val="clear" w:color="auto" w:fill="FFFFFF"/>
              <w:spacing w:before="120" w:after="120"/>
              <w:ind w:firstLine="68"/>
              <w:jc w:val="left"/>
              <w:rPr>
                <w:snapToGrid w:val="0"/>
                <w:kern w:val="22"/>
              </w:rPr>
            </w:pPr>
            <w:r w:rsidRPr="006A5361">
              <w:rPr>
                <w:szCs w:val="22"/>
              </w:rPr>
              <w:t>(a)</w:t>
            </w:r>
            <w:r w:rsidR="009875D4" w:rsidRPr="006A5361">
              <w:rPr>
                <w:szCs w:val="22"/>
              </w:rPr>
              <w:t xml:space="preserve"> </w:t>
            </w:r>
            <w:r w:rsidRPr="006A5361">
              <w:rPr>
                <w:snapToGrid w:val="0"/>
                <w:kern w:val="22"/>
              </w:rPr>
              <w:t xml:space="preserve">To strengthen its funding programme dedicated to the Cartagena Protocol on Biosafety to support eligible Parties in implementing the Protocol, the Implementation Plan for the Cartagena Protocol on Biosafety, and the Capacity-building Action Plan for the Cartagena Protocol on </w:t>
            </w:r>
            <w:proofErr w:type="gramStart"/>
            <w:r w:rsidRPr="006A5361">
              <w:rPr>
                <w:snapToGrid w:val="0"/>
                <w:kern w:val="22"/>
              </w:rPr>
              <w:t>Biosafety;</w:t>
            </w:r>
            <w:proofErr w:type="gramEnd"/>
            <w:r w:rsidRPr="006A5361">
              <w:rPr>
                <w:snapToGrid w:val="0"/>
                <w:kern w:val="22"/>
              </w:rPr>
              <w:t xml:space="preserve"> </w:t>
            </w:r>
          </w:p>
          <w:p w14:paraId="6D921E7E" w14:textId="09E6D7AB" w:rsidR="00062F8E" w:rsidRPr="006A5361" w:rsidRDefault="00062F8E" w:rsidP="00C8196A">
            <w:pPr>
              <w:shd w:val="clear" w:color="auto" w:fill="FFFFFF"/>
              <w:spacing w:after="120"/>
              <w:ind w:firstLine="68"/>
              <w:jc w:val="left"/>
              <w:rPr>
                <w:snapToGrid w:val="0"/>
                <w:kern w:val="22"/>
              </w:rPr>
            </w:pPr>
            <w:r w:rsidRPr="006A5361">
              <w:rPr>
                <w:snapToGrid w:val="0"/>
                <w:kern w:val="22"/>
              </w:rPr>
              <w:t>(b)</w:t>
            </w:r>
            <w:r w:rsidR="009875D4" w:rsidRPr="006A5361">
              <w:rPr>
                <w:snapToGrid w:val="0"/>
                <w:kern w:val="22"/>
              </w:rPr>
              <w:t xml:space="preserve"> </w:t>
            </w:r>
            <w:r w:rsidRPr="006A5361">
              <w:rPr>
                <w:snapToGrid w:val="0"/>
                <w:kern w:val="22"/>
              </w:rPr>
              <w:t xml:space="preserve">To improve and simplify the modalities for access to its funding for the Cartagena Protocol on Biosafety, to support eligible Parties in the implementation of the Protocol, the Implementation Plan and the Capacity-building Action </w:t>
            </w:r>
            <w:proofErr w:type="gramStart"/>
            <w:r w:rsidRPr="006A5361">
              <w:rPr>
                <w:snapToGrid w:val="0"/>
                <w:kern w:val="22"/>
              </w:rPr>
              <w:t>Plan;</w:t>
            </w:r>
            <w:proofErr w:type="gramEnd"/>
          </w:p>
          <w:p w14:paraId="7701C21F" w14:textId="77EC6694" w:rsidR="00062F8E" w:rsidRPr="006A5361" w:rsidRDefault="00062F8E" w:rsidP="001C37BF">
            <w:pPr>
              <w:shd w:val="clear" w:color="auto" w:fill="FFFFFF"/>
              <w:tabs>
                <w:tab w:val="left" w:pos="543"/>
              </w:tabs>
              <w:spacing w:after="120"/>
              <w:jc w:val="left"/>
              <w:rPr>
                <w:snapToGrid w:val="0"/>
                <w:kern w:val="22"/>
              </w:rPr>
            </w:pPr>
            <w:r w:rsidRPr="006A5361">
              <w:rPr>
                <w:snapToGrid w:val="0"/>
                <w:kern w:val="22"/>
              </w:rPr>
              <w:t>4.</w:t>
            </w:r>
            <w:r w:rsidR="00903ED1" w:rsidRPr="006A5361">
              <w:rPr>
                <w:snapToGrid w:val="0"/>
                <w:kern w:val="22"/>
              </w:rPr>
              <w:tab/>
            </w:r>
            <w:r w:rsidRPr="006A5361">
              <w:rPr>
                <w:i/>
                <w:iCs/>
                <w:snapToGrid w:val="0"/>
                <w:kern w:val="22"/>
              </w:rPr>
              <w:t>Invites</w:t>
            </w:r>
            <w:r w:rsidRPr="006A5361">
              <w:rPr>
                <w:snapToGrid w:val="0"/>
                <w:kern w:val="22"/>
              </w:rPr>
              <w:t xml:space="preserve"> the Council of the Global Environment Facility to examine the possibility of creating a finance window specifically for the Cartagena Protocol on </w:t>
            </w:r>
            <w:proofErr w:type="gramStart"/>
            <w:r w:rsidRPr="006A5361">
              <w:rPr>
                <w:snapToGrid w:val="0"/>
                <w:kern w:val="22"/>
              </w:rPr>
              <w:t>Biosafety;</w:t>
            </w:r>
            <w:proofErr w:type="gramEnd"/>
          </w:p>
          <w:p w14:paraId="19811966" w14:textId="43282318" w:rsidR="00062F8E" w:rsidRPr="006A5361" w:rsidRDefault="00062F8E" w:rsidP="001C37BF">
            <w:pPr>
              <w:shd w:val="clear" w:color="auto" w:fill="FFFFFF"/>
              <w:tabs>
                <w:tab w:val="left" w:pos="543"/>
              </w:tabs>
              <w:spacing w:after="120"/>
              <w:jc w:val="left"/>
            </w:pPr>
            <w:r w:rsidRPr="006A5361">
              <w:t>5.</w:t>
            </w:r>
            <w:r w:rsidR="00903ED1" w:rsidRPr="006A5361">
              <w:tab/>
            </w:r>
            <w:r w:rsidRPr="006A5361">
              <w:rPr>
                <w:i/>
                <w:iCs/>
              </w:rPr>
              <w:t>Urges</w:t>
            </w:r>
            <w:r w:rsidRPr="006A5361">
              <w:t xml:space="preserve"> Parties to the Convention that are also Parties to the Cartagena Protocol to include biosafety projects in their utilization of the funding allocated to them under the System for Transparent Allocation of Resources for the eighth replenishment period of the Global Environment Facility Trust Fund, taking into account the Implementation Plan for the Cartagena Protocol on Biosafety and the Capacity-building Action Plan for the Cartagena Protocol on Biosafety, their obligations under the Cartagena Protocol on Biosafety, and the guidance of the Conference of the Parties to the Global Environment Facility; </w:t>
            </w:r>
          </w:p>
          <w:p w14:paraId="3B16DCC9" w14:textId="75D715C6" w:rsidR="008C3701" w:rsidRPr="006A5361" w:rsidRDefault="00062F8E" w:rsidP="001C37BF">
            <w:pPr>
              <w:shd w:val="clear" w:color="auto" w:fill="FFFFFF"/>
              <w:tabs>
                <w:tab w:val="left" w:pos="570"/>
              </w:tabs>
              <w:spacing w:before="120" w:after="120"/>
              <w:jc w:val="left"/>
            </w:pPr>
            <w:r w:rsidRPr="006A5361">
              <w:t>6.</w:t>
            </w:r>
            <w:r w:rsidR="00903ED1" w:rsidRPr="006A5361">
              <w:tab/>
            </w:r>
            <w:r w:rsidRPr="006A5361">
              <w:rPr>
                <w:i/>
                <w:iCs/>
              </w:rPr>
              <w:t xml:space="preserve">Encourages </w:t>
            </w:r>
            <w:r w:rsidRPr="006A5361">
              <w:t xml:space="preserve">Parties to include needs and provisions for the implementation of the Cartagena Protocol in their national biodiversity finance plans and in their national implementation of the strategy for resource mobilization for the post-2020 </w:t>
            </w:r>
            <w:proofErr w:type="gramStart"/>
            <w:r w:rsidRPr="006A5361">
              <w:t>period;</w:t>
            </w:r>
            <w:proofErr w:type="gramEnd"/>
          </w:p>
          <w:p w14:paraId="55B59E4F" w14:textId="576B46C3" w:rsidR="00062F8E" w:rsidRPr="006A5361" w:rsidRDefault="00062F8E" w:rsidP="001C37BF">
            <w:pPr>
              <w:tabs>
                <w:tab w:val="left" w:pos="570"/>
              </w:tabs>
              <w:spacing w:after="120"/>
              <w:jc w:val="left"/>
              <w:rPr>
                <w:rFonts w:eastAsia="Calibri"/>
                <w:b/>
                <w:iCs/>
                <w:snapToGrid w:val="0"/>
                <w:kern w:val="22"/>
                <w:szCs w:val="22"/>
              </w:rPr>
            </w:pPr>
            <w:r w:rsidRPr="006A5361">
              <w:t>7.</w:t>
            </w:r>
            <w:r w:rsidR="00903ED1" w:rsidRPr="006A5361">
              <w:tab/>
            </w:r>
            <w:r w:rsidRPr="006A5361">
              <w:rPr>
                <w:i/>
                <w:iCs/>
              </w:rPr>
              <w:t>Requests</w:t>
            </w:r>
            <w:r w:rsidRPr="006A5361">
              <w:t xml:space="preserve"> the Executive Secretary: </w:t>
            </w:r>
            <w:r w:rsidR="00F84B5C" w:rsidRPr="006A5361">
              <w:br/>
            </w:r>
            <w:r w:rsidRPr="006A5361">
              <w:t xml:space="preserve">(a) To identify and communicate sources of funding for biosafety to support Parties; </w:t>
            </w:r>
            <w:r w:rsidR="00F84B5C" w:rsidRPr="006A5361">
              <w:br/>
            </w:r>
            <w:r w:rsidRPr="006A5361">
              <w:t>(b) To analyse the effectiveness of the financial mechanism for the implementation of the Cartagena Protocol in the sixth review of the effectiveness of the financial mechanism, while considering the relevance and process of creating a standalone window for biosafety, for consideration by the Conference of the Parties serving as the meeting of the Parties to the Cartagena Protocol at its eleventh meeting.</w:t>
            </w:r>
          </w:p>
        </w:tc>
        <w:tc>
          <w:tcPr>
            <w:tcW w:w="3150" w:type="dxa"/>
          </w:tcPr>
          <w:p w14:paraId="4FABBC15" w14:textId="4EC47FCF" w:rsidR="00132A6E" w:rsidRPr="006A5361" w:rsidRDefault="00062F8E" w:rsidP="00C8196A">
            <w:pPr>
              <w:spacing w:before="120"/>
              <w:jc w:val="left"/>
              <w:rPr>
                <w:rFonts w:eastAsia="Calibri"/>
                <w:snapToGrid w:val="0"/>
              </w:rPr>
            </w:pPr>
            <w:r w:rsidRPr="006A5361">
              <w:rPr>
                <w:rFonts w:eastAsia="Calibri"/>
                <w:snapToGrid w:val="0"/>
              </w:rPr>
              <w:t xml:space="preserve">The </w:t>
            </w:r>
            <w:r w:rsidR="009F2E2F" w:rsidRPr="006A5361">
              <w:rPr>
                <w:rFonts w:eastAsia="Calibri"/>
                <w:snapToGrid w:val="0"/>
              </w:rPr>
              <w:t>Conference of the Parties serving as the meeting of the Parties to the Cartagena Protocol</w:t>
            </w:r>
            <w:r w:rsidRPr="006A5361">
              <w:rPr>
                <w:rFonts w:eastAsia="Calibri"/>
                <w:snapToGrid w:val="0"/>
              </w:rPr>
              <w:t xml:space="preserve"> recommended in </w:t>
            </w:r>
            <w:r w:rsidR="008369F6" w:rsidRPr="006A5361">
              <w:rPr>
                <w:rFonts w:eastAsia="Calibri"/>
                <w:snapToGrid w:val="0"/>
              </w:rPr>
              <w:t>sub</w:t>
            </w:r>
            <w:r w:rsidRPr="006A5361">
              <w:rPr>
                <w:rFonts w:eastAsia="Calibri"/>
                <w:snapToGrid w:val="0"/>
              </w:rPr>
              <w:t>paragraph</w:t>
            </w:r>
            <w:r w:rsidR="006877F9" w:rsidRPr="006A5361">
              <w:rPr>
                <w:rFonts w:eastAsia="Calibri"/>
                <w:snapToGrid w:val="0"/>
              </w:rPr>
              <w:t>s</w:t>
            </w:r>
            <w:r w:rsidRPr="006A5361">
              <w:rPr>
                <w:rFonts w:eastAsia="Calibri"/>
                <w:snapToGrid w:val="0"/>
              </w:rPr>
              <w:t xml:space="preserve"> 3 (a) and (b) that funding for </w:t>
            </w:r>
            <w:r w:rsidR="009F2E2F" w:rsidRPr="006A5361">
              <w:rPr>
                <w:rFonts w:eastAsia="Calibri"/>
                <w:snapToGrid w:val="0"/>
              </w:rPr>
              <w:t xml:space="preserve">the </w:t>
            </w:r>
            <w:r w:rsidRPr="006A5361">
              <w:rPr>
                <w:rFonts w:eastAsia="Calibri"/>
                <w:snapToGrid w:val="0"/>
              </w:rPr>
              <w:t xml:space="preserve">implementation of the Protocol be strengthened and </w:t>
            </w:r>
            <w:r w:rsidR="004330A0" w:rsidRPr="006A5361">
              <w:rPr>
                <w:rFonts w:eastAsia="Calibri"/>
                <w:snapToGrid w:val="0"/>
              </w:rPr>
              <w:t xml:space="preserve">that </w:t>
            </w:r>
            <w:r w:rsidRPr="006A5361">
              <w:rPr>
                <w:rFonts w:eastAsia="Calibri"/>
                <w:snapToGrid w:val="0"/>
              </w:rPr>
              <w:t>access to it be improved and simplified</w:t>
            </w:r>
            <w:r w:rsidR="00350E1F" w:rsidRPr="006A5361">
              <w:rPr>
                <w:rFonts w:eastAsia="Calibri"/>
                <w:snapToGrid w:val="0"/>
              </w:rPr>
              <w:t>.</w:t>
            </w:r>
          </w:p>
          <w:p w14:paraId="44B37E83" w14:textId="418BE940" w:rsidR="00442617" w:rsidRPr="006A5361" w:rsidRDefault="00062F8E" w:rsidP="00C8196A">
            <w:pPr>
              <w:spacing w:before="120"/>
              <w:jc w:val="left"/>
              <w:rPr>
                <w:snapToGrid w:val="0"/>
              </w:rPr>
            </w:pPr>
            <w:r w:rsidRPr="006A5361">
              <w:rPr>
                <w:snapToGrid w:val="0"/>
              </w:rPr>
              <w:t xml:space="preserve">The provision of sufficient and timely funds </w:t>
            </w:r>
            <w:r w:rsidR="006011A8">
              <w:rPr>
                <w:snapToGrid w:val="0"/>
              </w:rPr>
              <w:t>to</w:t>
            </w:r>
            <w:r w:rsidR="006011A8" w:rsidRPr="006A5361">
              <w:rPr>
                <w:snapToGrid w:val="0"/>
              </w:rPr>
              <w:t xml:space="preserve"> </w:t>
            </w:r>
            <w:r w:rsidRPr="006A5361">
              <w:rPr>
                <w:snapToGrid w:val="0"/>
              </w:rPr>
              <w:t xml:space="preserve">assist developing country Parties </w:t>
            </w:r>
            <w:r w:rsidR="008369F6" w:rsidRPr="00C8196A">
              <w:rPr>
                <w:snapToGrid w:val="0"/>
              </w:rPr>
              <w:t>with</w:t>
            </w:r>
            <w:r w:rsidRPr="006A5361">
              <w:rPr>
                <w:snapToGrid w:val="0"/>
              </w:rPr>
              <w:t xml:space="preserve"> meet</w:t>
            </w:r>
            <w:r w:rsidR="008369F6" w:rsidRPr="006A5361">
              <w:rPr>
                <w:snapToGrid w:val="0"/>
              </w:rPr>
              <w:t>ing</w:t>
            </w:r>
            <w:r w:rsidRPr="006A5361">
              <w:rPr>
                <w:snapToGrid w:val="0"/>
              </w:rPr>
              <w:t xml:space="preserve"> their obligations under the Protocol has been a concern addressed by the Compliance Committee on several occasions. </w:t>
            </w:r>
          </w:p>
          <w:p w14:paraId="46A8D3CC" w14:textId="4C33A3AF" w:rsidR="00062F8E" w:rsidRDefault="00062F8E">
            <w:pPr>
              <w:spacing w:before="120"/>
              <w:jc w:val="left"/>
              <w:rPr>
                <w:snapToGrid w:val="0"/>
              </w:rPr>
            </w:pPr>
            <w:r w:rsidRPr="006A5361">
              <w:rPr>
                <w:snapToGrid w:val="0"/>
              </w:rPr>
              <w:t xml:space="preserve">The matter was considered </w:t>
            </w:r>
            <w:r w:rsidR="0044754F" w:rsidRPr="006A5361">
              <w:rPr>
                <w:snapToGrid w:val="0"/>
              </w:rPr>
              <w:t xml:space="preserve">again </w:t>
            </w:r>
            <w:r w:rsidRPr="006A5361">
              <w:rPr>
                <w:snapToGrid w:val="0"/>
              </w:rPr>
              <w:t xml:space="preserve">at </w:t>
            </w:r>
            <w:r w:rsidR="00382263" w:rsidRPr="006A5361">
              <w:rPr>
                <w:snapToGrid w:val="0"/>
              </w:rPr>
              <w:t>the tenth meeting</w:t>
            </w:r>
            <w:r w:rsidRPr="006A5361">
              <w:rPr>
                <w:snapToGrid w:val="0"/>
              </w:rPr>
              <w:t>,</w:t>
            </w:r>
            <w:r w:rsidR="00350E1F" w:rsidRPr="006A5361">
              <w:rPr>
                <w:snapToGrid w:val="0"/>
              </w:rPr>
              <w:t xml:space="preserve"> </w:t>
            </w:r>
            <w:proofErr w:type="gramStart"/>
            <w:r w:rsidR="00183C73" w:rsidRPr="006A5361">
              <w:rPr>
                <w:snapToGrid w:val="0"/>
              </w:rPr>
              <w:t xml:space="preserve">in </w:t>
            </w:r>
            <w:r w:rsidR="00350E1F" w:rsidRPr="006A5361">
              <w:rPr>
                <w:rFonts w:eastAsia="Calibri"/>
                <w:snapToGrid w:val="0"/>
              </w:rPr>
              <w:t>particular in</w:t>
            </w:r>
            <w:proofErr w:type="gramEnd"/>
            <w:r w:rsidR="00350E1F" w:rsidRPr="006A5361">
              <w:rPr>
                <w:rFonts w:eastAsia="Calibri"/>
                <w:snapToGrid w:val="0"/>
              </w:rPr>
              <w:t xml:space="preserve"> </w:t>
            </w:r>
            <w:r w:rsidR="00382263" w:rsidRPr="006A5361">
              <w:rPr>
                <w:rFonts w:eastAsia="Calibri"/>
                <w:snapToGrid w:val="0"/>
              </w:rPr>
              <w:t xml:space="preserve">the </w:t>
            </w:r>
            <w:r w:rsidR="00350E1F" w:rsidRPr="006A5361">
              <w:rPr>
                <w:rFonts w:eastAsia="Calibri"/>
                <w:snapToGrid w:val="0"/>
              </w:rPr>
              <w:t xml:space="preserve">light of the </w:t>
            </w:r>
            <w:r w:rsidR="00442617" w:rsidRPr="006A5361">
              <w:rPr>
                <w:rFonts w:eastAsia="Calibri"/>
                <w:snapToGrid w:val="0"/>
              </w:rPr>
              <w:t xml:space="preserve">need to support </w:t>
            </w:r>
            <w:r w:rsidR="0044754F" w:rsidRPr="006A5361">
              <w:rPr>
                <w:rFonts w:eastAsia="Calibri"/>
                <w:snapToGrid w:val="0"/>
              </w:rPr>
              <w:t xml:space="preserve">the </w:t>
            </w:r>
            <w:r w:rsidR="00442617" w:rsidRPr="006A5361">
              <w:rPr>
                <w:rFonts w:eastAsia="Calibri"/>
                <w:snapToGrid w:val="0"/>
              </w:rPr>
              <w:t xml:space="preserve">implementation of the </w:t>
            </w:r>
            <w:r w:rsidR="00350E1F" w:rsidRPr="006A5361">
              <w:rPr>
                <w:rFonts w:eastAsia="Calibri"/>
                <w:snapToGrid w:val="0"/>
              </w:rPr>
              <w:t>new Implementation Plan and Capacity-building Action Plan</w:t>
            </w:r>
            <w:r w:rsidR="00087049" w:rsidRPr="006A5361">
              <w:rPr>
                <w:rFonts w:eastAsia="Calibri"/>
                <w:snapToGrid w:val="0"/>
              </w:rPr>
              <w:t xml:space="preserve"> for the Cartagena Protocol</w:t>
            </w:r>
            <w:r w:rsidR="00350E1F" w:rsidRPr="006A5361">
              <w:rPr>
                <w:rFonts w:eastAsia="Calibri"/>
                <w:snapToGrid w:val="0"/>
              </w:rPr>
              <w:t>.</w:t>
            </w:r>
          </w:p>
          <w:p w14:paraId="4EA6B019" w14:textId="77777777" w:rsidR="00A64E9E" w:rsidRPr="006A5361" w:rsidRDefault="00A64E9E" w:rsidP="00C8196A">
            <w:pPr>
              <w:spacing w:before="120"/>
              <w:jc w:val="left"/>
              <w:rPr>
                <w:snapToGrid w:val="0"/>
              </w:rPr>
            </w:pPr>
          </w:p>
          <w:p w14:paraId="78BD53F8" w14:textId="542E0B42" w:rsidR="00062F8E" w:rsidRPr="006A5361" w:rsidRDefault="00442617" w:rsidP="00C8196A">
            <w:pPr>
              <w:spacing w:after="120"/>
              <w:jc w:val="left"/>
              <w:rPr>
                <w:snapToGrid w:val="0"/>
              </w:rPr>
            </w:pPr>
            <w:r w:rsidRPr="006A5361">
              <w:rPr>
                <w:snapToGrid w:val="0"/>
              </w:rPr>
              <w:t>F</w:t>
            </w:r>
            <w:r w:rsidR="00062F8E" w:rsidRPr="006A5361">
              <w:rPr>
                <w:snapToGrid w:val="0"/>
              </w:rPr>
              <w:t>ollowing extensive negotiations, Parties agreed to invite GEF to examine the possibility of creating a finance window specifically for the Protocol (para</w:t>
            </w:r>
            <w:r w:rsidR="00466AB1" w:rsidRPr="006A5361">
              <w:rPr>
                <w:snapToGrid w:val="0"/>
              </w:rPr>
              <w:t>.</w:t>
            </w:r>
            <w:r w:rsidR="00062F8E" w:rsidRPr="006A5361">
              <w:rPr>
                <w:snapToGrid w:val="0"/>
              </w:rPr>
              <w:t xml:space="preserve"> 4). </w:t>
            </w:r>
          </w:p>
          <w:p w14:paraId="2A6E80A7" w14:textId="786FEAC9" w:rsidR="00132A6E" w:rsidRPr="006A5361" w:rsidRDefault="00F75E41" w:rsidP="00C8196A">
            <w:pPr>
              <w:spacing w:after="120"/>
              <w:jc w:val="left"/>
              <w:rPr>
                <w:rFonts w:eastAsia="Calibri"/>
                <w:snapToGrid w:val="0"/>
              </w:rPr>
            </w:pPr>
            <w:r w:rsidRPr="006A5361">
              <w:rPr>
                <w:rFonts w:eastAsia="Calibri"/>
                <w:snapToGrid w:val="0"/>
              </w:rPr>
              <w:t>Subp</w:t>
            </w:r>
            <w:r w:rsidR="00132A6E" w:rsidRPr="006A5361">
              <w:rPr>
                <w:rFonts w:eastAsia="Calibri"/>
                <w:snapToGrid w:val="0"/>
              </w:rPr>
              <w:t>aragraph</w:t>
            </w:r>
            <w:r w:rsidRPr="006A5361">
              <w:rPr>
                <w:rFonts w:eastAsia="Calibri"/>
                <w:snapToGrid w:val="0"/>
              </w:rPr>
              <w:t>s</w:t>
            </w:r>
            <w:r w:rsidR="00132A6E" w:rsidRPr="006A5361">
              <w:rPr>
                <w:rFonts w:eastAsia="Calibri"/>
                <w:snapToGrid w:val="0"/>
              </w:rPr>
              <w:t xml:space="preserve"> 3 (a</w:t>
            </w:r>
            <w:r w:rsidR="002B0490" w:rsidRPr="006A5361">
              <w:rPr>
                <w:rFonts w:eastAsia="Calibri"/>
                <w:snapToGrid w:val="0"/>
              </w:rPr>
              <w:t>)</w:t>
            </w:r>
            <w:r w:rsidR="00132A6E" w:rsidRPr="006A5361">
              <w:rPr>
                <w:rFonts w:eastAsia="Calibri"/>
                <w:snapToGrid w:val="0"/>
              </w:rPr>
              <w:t xml:space="preserve"> to</w:t>
            </w:r>
            <w:r w:rsidR="00132A6E" w:rsidRPr="00C8196A">
              <w:rPr>
                <w:rFonts w:eastAsia="Calibri"/>
                <w:snapToGrid w:val="0"/>
              </w:rPr>
              <w:t xml:space="preserve"> </w:t>
            </w:r>
            <w:r w:rsidR="002B0490" w:rsidRPr="006A5361">
              <w:rPr>
                <w:rFonts w:eastAsia="Calibri"/>
                <w:snapToGrid w:val="0"/>
              </w:rPr>
              <w:t>(</w:t>
            </w:r>
            <w:r w:rsidR="00132A6E" w:rsidRPr="006A5361">
              <w:rPr>
                <w:rFonts w:eastAsia="Calibri"/>
                <w:snapToGrid w:val="0"/>
              </w:rPr>
              <w:t xml:space="preserve">d) and paragraph 4 were included in the additional guidance to GEF regarding </w:t>
            </w:r>
            <w:r w:rsidR="009557C6" w:rsidRPr="006A5361">
              <w:rPr>
                <w:rFonts w:eastAsia="Calibri"/>
                <w:snapToGrid w:val="0"/>
              </w:rPr>
              <w:t xml:space="preserve">the </w:t>
            </w:r>
            <w:r w:rsidR="00132A6E" w:rsidRPr="006A5361">
              <w:rPr>
                <w:rFonts w:eastAsia="Calibri"/>
                <w:snapToGrid w:val="0"/>
              </w:rPr>
              <w:t xml:space="preserve">implementation of the Cartagena Protocol contained in </w:t>
            </w:r>
            <w:r w:rsidR="00CD3C24" w:rsidRPr="006A5361">
              <w:rPr>
                <w:rFonts w:eastAsia="Calibri"/>
                <w:snapToGrid w:val="0"/>
              </w:rPr>
              <w:t>a</w:t>
            </w:r>
            <w:r w:rsidR="00132A6E" w:rsidRPr="006A5361">
              <w:rPr>
                <w:rFonts w:eastAsia="Calibri"/>
                <w:snapToGrid w:val="0"/>
              </w:rPr>
              <w:t xml:space="preserve">nnex II B </w:t>
            </w:r>
            <w:r w:rsidR="009557C6" w:rsidRPr="006A5361">
              <w:rPr>
                <w:rFonts w:eastAsia="Calibri"/>
                <w:snapToGrid w:val="0"/>
              </w:rPr>
              <w:t>to</w:t>
            </w:r>
            <w:r w:rsidR="00132A6E" w:rsidRPr="006A5361">
              <w:rPr>
                <w:rFonts w:eastAsia="Calibri"/>
                <w:snapToGrid w:val="0"/>
              </w:rPr>
              <w:t xml:space="preserve"> </w:t>
            </w:r>
            <w:r w:rsidR="00132A6E" w:rsidRPr="006A5361">
              <w:rPr>
                <w:rFonts w:eastAsia="Calibri"/>
                <w:snapToGrid w:val="0"/>
                <w:kern w:val="22"/>
                <w:szCs w:val="22"/>
              </w:rPr>
              <w:t xml:space="preserve">decision </w:t>
            </w:r>
            <w:hyperlink r:id="rId19" w:history="1">
              <w:r w:rsidR="00132A6E" w:rsidRPr="006A5361">
                <w:rPr>
                  <w:rStyle w:val="Hyperlink"/>
                  <w:rFonts w:eastAsia="Calibri"/>
                  <w:snapToGrid w:val="0"/>
                  <w:kern w:val="22"/>
                  <w:szCs w:val="22"/>
                </w:rPr>
                <w:t>15/15</w:t>
              </w:r>
            </w:hyperlink>
            <w:r w:rsidR="00132A6E" w:rsidRPr="006A5361">
              <w:rPr>
                <w:rFonts w:eastAsia="Calibri"/>
                <w:snapToGrid w:val="0"/>
              </w:rPr>
              <w:t xml:space="preserve"> (paras</w:t>
            </w:r>
            <w:r w:rsidR="00ED3041" w:rsidRPr="006A5361">
              <w:rPr>
                <w:rFonts w:eastAsia="Calibri"/>
                <w:snapToGrid w:val="0"/>
              </w:rPr>
              <w:t>.</w:t>
            </w:r>
            <w:r w:rsidR="00132A6E" w:rsidRPr="006A5361">
              <w:rPr>
                <w:rFonts w:eastAsia="Calibri"/>
                <w:snapToGrid w:val="0"/>
              </w:rPr>
              <w:t xml:space="preserve"> 9 and 10)</w:t>
            </w:r>
            <w:r w:rsidR="00DF7606" w:rsidRPr="006A5361">
              <w:rPr>
                <w:rFonts w:eastAsia="Calibri"/>
                <w:snapToGrid w:val="0"/>
              </w:rPr>
              <w:t>.</w:t>
            </w:r>
          </w:p>
          <w:p w14:paraId="7C64FDAD" w14:textId="25D0D5AF" w:rsidR="00442617" w:rsidRPr="006A5361" w:rsidRDefault="00442617" w:rsidP="00C8196A">
            <w:pPr>
              <w:jc w:val="left"/>
            </w:pPr>
            <w:r w:rsidRPr="006A5361">
              <w:t xml:space="preserve">Parties were urged to include biosafety in their </w:t>
            </w:r>
            <w:r w:rsidR="009A10E2" w:rsidRPr="006A5361">
              <w:t xml:space="preserve">System for Transparent Allocation of Resources </w:t>
            </w:r>
            <w:r w:rsidRPr="006A5361">
              <w:t xml:space="preserve">allocations and to include Protocol implementation needs in their </w:t>
            </w:r>
            <w:r w:rsidR="00DF7606" w:rsidRPr="006A5361">
              <w:t xml:space="preserve">national biodiversity strategies and action plans </w:t>
            </w:r>
            <w:r w:rsidRPr="006A5361">
              <w:t>(paras</w:t>
            </w:r>
            <w:r w:rsidR="009A10E2" w:rsidRPr="006A5361">
              <w:t>.</w:t>
            </w:r>
            <w:r w:rsidRPr="006A5361">
              <w:t xml:space="preserve"> 5 and 6).</w:t>
            </w:r>
          </w:p>
          <w:p w14:paraId="5EAE7059" w14:textId="77777777" w:rsidR="00442617" w:rsidRPr="006A5361" w:rsidRDefault="00442617" w:rsidP="00C8196A"/>
          <w:p w14:paraId="5A30C9FB" w14:textId="77777777" w:rsidR="00442617" w:rsidRPr="006A5361" w:rsidRDefault="00442617" w:rsidP="00C8196A"/>
          <w:p w14:paraId="40F8C9BE" w14:textId="77777777" w:rsidR="00785133" w:rsidRPr="006A5361" w:rsidRDefault="00785133" w:rsidP="00C8196A">
            <w:pPr>
              <w:rPr>
                <w:rFonts w:eastAsia="Calibri"/>
                <w:snapToGrid w:val="0"/>
                <w:kern w:val="22"/>
                <w:szCs w:val="22"/>
              </w:rPr>
            </w:pPr>
          </w:p>
          <w:p w14:paraId="6936F559" w14:textId="77777777" w:rsidR="00785133" w:rsidRPr="006A5361" w:rsidRDefault="00785133" w:rsidP="00C8196A">
            <w:pPr>
              <w:rPr>
                <w:rFonts w:eastAsia="Calibri"/>
                <w:snapToGrid w:val="0"/>
                <w:kern w:val="22"/>
                <w:szCs w:val="22"/>
              </w:rPr>
            </w:pPr>
          </w:p>
          <w:p w14:paraId="3FB60200" w14:textId="77777777" w:rsidR="00785133" w:rsidRPr="006A5361" w:rsidRDefault="00785133" w:rsidP="00C8196A">
            <w:pPr>
              <w:rPr>
                <w:rFonts w:eastAsia="Calibri"/>
                <w:snapToGrid w:val="0"/>
                <w:kern w:val="22"/>
                <w:szCs w:val="22"/>
              </w:rPr>
            </w:pPr>
          </w:p>
          <w:p w14:paraId="6D51F24D" w14:textId="77777777" w:rsidR="00785133" w:rsidRPr="006A5361" w:rsidRDefault="00785133" w:rsidP="00C8196A">
            <w:pPr>
              <w:rPr>
                <w:rFonts w:eastAsia="Calibri"/>
                <w:snapToGrid w:val="0"/>
                <w:kern w:val="22"/>
                <w:szCs w:val="22"/>
              </w:rPr>
            </w:pPr>
          </w:p>
          <w:p w14:paraId="084F821F" w14:textId="62036488" w:rsidR="00785133" w:rsidRPr="006A5361" w:rsidRDefault="00785133" w:rsidP="00C8196A">
            <w:pPr>
              <w:rPr>
                <w:rFonts w:eastAsia="Calibri"/>
                <w:snapToGrid w:val="0"/>
                <w:kern w:val="22"/>
                <w:szCs w:val="22"/>
              </w:rPr>
            </w:pPr>
          </w:p>
          <w:p w14:paraId="37349072" w14:textId="7696337D" w:rsidR="006973BA" w:rsidRPr="006A5361" w:rsidRDefault="006973BA" w:rsidP="00C8196A">
            <w:pPr>
              <w:rPr>
                <w:rFonts w:eastAsia="Calibri"/>
                <w:snapToGrid w:val="0"/>
                <w:kern w:val="22"/>
                <w:szCs w:val="22"/>
              </w:rPr>
            </w:pPr>
          </w:p>
          <w:p w14:paraId="04D3219D" w14:textId="77777777" w:rsidR="00785133" w:rsidRPr="006A5361" w:rsidRDefault="00785133" w:rsidP="00C8196A">
            <w:pPr>
              <w:rPr>
                <w:rFonts w:eastAsia="Calibri"/>
                <w:snapToGrid w:val="0"/>
                <w:kern w:val="22"/>
                <w:szCs w:val="22"/>
              </w:rPr>
            </w:pPr>
          </w:p>
          <w:p w14:paraId="506AFED7" w14:textId="77777777" w:rsidR="008C3701" w:rsidRPr="006A5361" w:rsidRDefault="008C3701" w:rsidP="00C8196A">
            <w:pPr>
              <w:rPr>
                <w:rFonts w:eastAsia="Calibri"/>
                <w:snapToGrid w:val="0"/>
                <w:kern w:val="22"/>
                <w:szCs w:val="22"/>
              </w:rPr>
            </w:pPr>
          </w:p>
          <w:p w14:paraId="33871E42" w14:textId="57A25BC3" w:rsidR="00062F8E" w:rsidRPr="006A5361" w:rsidRDefault="00132A6E" w:rsidP="00C8196A">
            <w:pPr>
              <w:jc w:val="left"/>
              <w:rPr>
                <w:rFonts w:eastAsia="Calibri"/>
                <w:snapToGrid w:val="0"/>
                <w:kern w:val="22"/>
                <w:szCs w:val="22"/>
              </w:rPr>
            </w:pPr>
            <w:r w:rsidRPr="006A5361">
              <w:rPr>
                <w:rFonts w:eastAsia="Calibri"/>
              </w:rPr>
              <w:t>T</w:t>
            </w:r>
            <w:r w:rsidR="00442617" w:rsidRPr="006A5361">
              <w:rPr>
                <w:rFonts w:eastAsia="Calibri"/>
              </w:rPr>
              <w:t xml:space="preserve">he </w:t>
            </w:r>
            <w:r w:rsidR="00917C81" w:rsidRPr="006A5361">
              <w:rPr>
                <w:rFonts w:eastAsia="Calibri"/>
              </w:rPr>
              <w:t xml:space="preserve">requests to the </w:t>
            </w:r>
            <w:r w:rsidR="00442617" w:rsidRPr="006A5361">
              <w:rPr>
                <w:rFonts w:eastAsia="Calibri"/>
              </w:rPr>
              <w:t>Executive Secretary</w:t>
            </w:r>
            <w:r w:rsidR="00917C81" w:rsidRPr="006A5361">
              <w:rPr>
                <w:rFonts w:eastAsia="Calibri"/>
              </w:rPr>
              <w:t xml:space="preserve"> contained in </w:t>
            </w:r>
            <w:r w:rsidR="00B34288" w:rsidRPr="006A5361">
              <w:rPr>
                <w:rFonts w:eastAsia="Calibri"/>
              </w:rPr>
              <w:t>sub</w:t>
            </w:r>
            <w:r w:rsidR="00442617" w:rsidRPr="006A5361">
              <w:t>paragraph</w:t>
            </w:r>
            <w:r w:rsidR="00B34288" w:rsidRPr="006A5361">
              <w:t>s</w:t>
            </w:r>
            <w:r w:rsidR="00442617" w:rsidRPr="006A5361">
              <w:t xml:space="preserve"> 7 (a)</w:t>
            </w:r>
            <w:r w:rsidR="00917C81" w:rsidRPr="006A5361">
              <w:t xml:space="preserve"> and (b</w:t>
            </w:r>
            <w:r w:rsidR="00442617" w:rsidRPr="006A5361">
              <w:t>)</w:t>
            </w:r>
            <w:r w:rsidR="00917C81" w:rsidRPr="006A5361">
              <w:t xml:space="preserve"> </w:t>
            </w:r>
            <w:r w:rsidR="00062F8E" w:rsidRPr="006A5361">
              <w:t xml:space="preserve">will be considered at the </w:t>
            </w:r>
            <w:r w:rsidR="004F3406" w:rsidRPr="006A5361">
              <w:t xml:space="preserve">eleventh </w:t>
            </w:r>
            <w:r w:rsidR="00917C81" w:rsidRPr="006A5361">
              <w:t>meeting of the Conference of the Parties serving as the meeting of the Parties to the Protocol</w:t>
            </w:r>
            <w:r w:rsidR="00062F8E" w:rsidRPr="006A5361">
              <w:t xml:space="preserve">. </w:t>
            </w:r>
          </w:p>
        </w:tc>
      </w:tr>
    </w:tbl>
    <w:p w14:paraId="1A1AFF91" w14:textId="4ADF96EB" w:rsidR="00800AFE" w:rsidRPr="00C8196A" w:rsidRDefault="6F4EC7DB" w:rsidP="0218D188">
      <w:pPr>
        <w:pStyle w:val="Para10"/>
        <w:numPr>
          <w:ilvl w:val="0"/>
          <w:numId w:val="6"/>
        </w:numPr>
        <w:tabs>
          <w:tab w:val="clear" w:pos="1134"/>
          <w:tab w:val="left" w:pos="1080"/>
        </w:tabs>
        <w:ind w:left="540"/>
        <w:rPr>
          <w:snapToGrid w:val="0"/>
          <w:color w:val="000000"/>
          <w:kern w:val="22"/>
          <w:lang w:val="en-GB"/>
        </w:rPr>
      </w:pPr>
      <w:r w:rsidRPr="00C8196A">
        <w:rPr>
          <w:snapToGrid w:val="0"/>
          <w:kern w:val="22"/>
          <w:lang w:val="en-GB"/>
        </w:rPr>
        <w:t xml:space="preserve">The Conference of the Parties serving as the meeting of the Parties </w:t>
      </w:r>
      <w:r w:rsidR="0C8DB671" w:rsidRPr="00C8196A">
        <w:rPr>
          <w:snapToGrid w:val="0"/>
          <w:kern w:val="22"/>
          <w:lang w:val="en-GB"/>
        </w:rPr>
        <w:t xml:space="preserve">to the Protocol </w:t>
      </w:r>
      <w:r w:rsidR="2C6C27B7" w:rsidRPr="00C8196A">
        <w:rPr>
          <w:lang w:val="en-GB"/>
        </w:rPr>
        <w:t xml:space="preserve">and the Conference of the Parties to the Convention </w:t>
      </w:r>
      <w:r w:rsidRPr="00C8196A">
        <w:rPr>
          <w:snapToGrid w:val="0"/>
          <w:kern w:val="22"/>
          <w:lang w:val="en-GB"/>
        </w:rPr>
        <w:t>also adopted other decisions</w:t>
      </w:r>
      <w:r w:rsidR="48EB63D0" w:rsidRPr="00C8196A">
        <w:rPr>
          <w:snapToGrid w:val="0"/>
          <w:kern w:val="22"/>
          <w:lang w:val="en-GB"/>
        </w:rPr>
        <w:t xml:space="preserve"> not directly linked to the recommendations made by the </w:t>
      </w:r>
      <w:r w:rsidR="7CC785D1" w:rsidRPr="00C8196A">
        <w:rPr>
          <w:lang w:val="en-GB"/>
        </w:rPr>
        <w:t xml:space="preserve">Compliance </w:t>
      </w:r>
      <w:r w:rsidR="4E30DC51" w:rsidRPr="00C8196A">
        <w:rPr>
          <w:snapToGrid w:val="0"/>
          <w:kern w:val="22"/>
          <w:lang w:val="en-GB"/>
        </w:rPr>
        <w:t>Committee but</w:t>
      </w:r>
      <w:r w:rsidRPr="00C8196A">
        <w:rPr>
          <w:snapToGrid w:val="0"/>
          <w:kern w:val="22"/>
          <w:lang w:val="en-GB"/>
        </w:rPr>
        <w:t xml:space="preserve"> </w:t>
      </w:r>
      <w:r w:rsidR="522B53B1" w:rsidRPr="0218D188">
        <w:rPr>
          <w:lang w:val="en-GB"/>
        </w:rPr>
        <w:t xml:space="preserve">that </w:t>
      </w:r>
      <w:r w:rsidRPr="00C8196A">
        <w:rPr>
          <w:snapToGrid w:val="0"/>
          <w:kern w:val="22"/>
          <w:lang w:val="en-GB"/>
        </w:rPr>
        <w:t xml:space="preserve">may be relevant to the </w:t>
      </w:r>
      <w:r w:rsidR="1EF15363" w:rsidRPr="00C8196A">
        <w:rPr>
          <w:lang w:val="en-GB"/>
        </w:rPr>
        <w:t xml:space="preserve">latter’s </w:t>
      </w:r>
      <w:r w:rsidRPr="00C8196A">
        <w:rPr>
          <w:snapToGrid w:val="0"/>
          <w:kern w:val="22"/>
          <w:lang w:val="en-GB"/>
        </w:rPr>
        <w:t>work</w:t>
      </w:r>
      <w:r w:rsidR="0EF9915F" w:rsidRPr="00C8196A">
        <w:rPr>
          <w:lang w:val="en-GB"/>
        </w:rPr>
        <w:t>,</w:t>
      </w:r>
      <w:r w:rsidRPr="00C8196A">
        <w:rPr>
          <w:snapToGrid w:val="0"/>
          <w:kern w:val="22"/>
          <w:lang w:val="en-GB"/>
        </w:rPr>
        <w:t xml:space="preserve"> </w:t>
      </w:r>
      <w:r w:rsidR="41312AD6" w:rsidRPr="0218D188">
        <w:rPr>
          <w:lang w:val="en-GB"/>
        </w:rPr>
        <w:t xml:space="preserve">as </w:t>
      </w:r>
      <w:r w:rsidR="0EF9915F" w:rsidRPr="00C8196A">
        <w:rPr>
          <w:lang w:val="en-GB"/>
        </w:rPr>
        <w:t xml:space="preserve">described </w:t>
      </w:r>
      <w:r w:rsidR="6E63A123" w:rsidRPr="00C8196A">
        <w:rPr>
          <w:snapToGrid w:val="0"/>
          <w:kern w:val="22"/>
          <w:lang w:val="en-GB"/>
        </w:rPr>
        <w:t xml:space="preserve">below. </w:t>
      </w:r>
    </w:p>
    <w:p w14:paraId="307EE1D5" w14:textId="7EAD93C7" w:rsidR="00800AFE" w:rsidRPr="006A5361" w:rsidRDefault="00D54741" w:rsidP="00F40FED">
      <w:pPr>
        <w:pStyle w:val="Heading2"/>
        <w:ind w:left="0" w:firstLine="0"/>
        <w:rPr>
          <w:snapToGrid w:val="0"/>
        </w:rPr>
      </w:pPr>
      <w:r w:rsidRPr="006A5361">
        <w:rPr>
          <w:snapToGrid w:val="0"/>
        </w:rPr>
        <w:t>Decision CP-10/3</w:t>
      </w:r>
      <w:r w:rsidR="00276D98" w:rsidRPr="006A5361">
        <w:rPr>
          <w:snapToGrid w:val="0"/>
        </w:rPr>
        <w:t xml:space="preserve"> of the </w:t>
      </w:r>
      <w:r w:rsidR="00276D98" w:rsidRPr="006A5361">
        <w:rPr>
          <w:snapToGrid w:val="0"/>
          <w:kern w:val="22"/>
          <w:szCs w:val="22"/>
        </w:rPr>
        <w:t xml:space="preserve">Conference of the Parties serving as the meeting of the Parties to the Protocol, </w:t>
      </w:r>
      <w:r w:rsidR="00276D98" w:rsidRPr="006A5361">
        <w:rPr>
          <w:snapToGrid w:val="0"/>
        </w:rPr>
        <w:t>on the</w:t>
      </w:r>
      <w:r w:rsidRPr="006A5361">
        <w:rPr>
          <w:snapToGrid w:val="0"/>
        </w:rPr>
        <w:t xml:space="preserve"> </w:t>
      </w:r>
      <w:r w:rsidR="00800AFE" w:rsidRPr="006A5361">
        <w:rPr>
          <w:snapToGrid w:val="0"/>
        </w:rPr>
        <w:t>Implementation Plan for the Cartagena Protocol on Biosafety</w:t>
      </w:r>
    </w:p>
    <w:p w14:paraId="4B355EB3" w14:textId="0226B7F8" w:rsidR="00800AFE" w:rsidRPr="00C8196A" w:rsidRDefault="00083C1F" w:rsidP="00E25B15">
      <w:pPr>
        <w:pStyle w:val="Para10"/>
        <w:numPr>
          <w:ilvl w:val="0"/>
          <w:numId w:val="25"/>
        </w:numPr>
        <w:tabs>
          <w:tab w:val="clear" w:pos="1134"/>
          <w:tab w:val="left" w:pos="1170"/>
        </w:tabs>
        <w:ind w:left="540"/>
        <w:rPr>
          <w:snapToGrid w:val="0"/>
          <w:kern w:val="22"/>
          <w:szCs w:val="22"/>
          <w:lang w:val="en-GB"/>
        </w:rPr>
      </w:pPr>
      <w:r w:rsidRPr="00C8196A">
        <w:rPr>
          <w:snapToGrid w:val="0"/>
          <w:kern w:val="22"/>
          <w:szCs w:val="22"/>
          <w:lang w:val="en-GB"/>
        </w:rPr>
        <w:t xml:space="preserve">By its </w:t>
      </w:r>
      <w:r w:rsidR="00800AFE" w:rsidRPr="00C8196A">
        <w:rPr>
          <w:snapToGrid w:val="0"/>
          <w:kern w:val="22"/>
          <w:szCs w:val="22"/>
          <w:lang w:val="en-GB"/>
        </w:rPr>
        <w:t xml:space="preserve">decision </w:t>
      </w:r>
      <w:hyperlink r:id="rId20" w:history="1">
        <w:r w:rsidR="00800AFE" w:rsidRPr="00C8196A">
          <w:rPr>
            <w:rStyle w:val="Hyperlink"/>
            <w:snapToGrid w:val="0"/>
            <w:kern w:val="22"/>
            <w:szCs w:val="22"/>
            <w:lang w:val="en-GB"/>
          </w:rPr>
          <w:t>CP-10/3</w:t>
        </w:r>
      </w:hyperlink>
      <w:r w:rsidR="00800AFE" w:rsidRPr="00C8196A">
        <w:rPr>
          <w:snapToGrid w:val="0"/>
          <w:kern w:val="22"/>
          <w:szCs w:val="22"/>
          <w:lang w:val="en-GB"/>
        </w:rPr>
        <w:t>, the</w:t>
      </w:r>
      <w:r w:rsidR="00624185" w:rsidRPr="00C8196A">
        <w:rPr>
          <w:snapToGrid w:val="0"/>
          <w:kern w:val="22"/>
          <w:szCs w:val="22"/>
          <w:lang w:val="en-GB"/>
        </w:rPr>
        <w:t xml:space="preserve"> Conference of the Parties serving as the meeting of the Parties to the Protocol </w:t>
      </w:r>
      <w:r w:rsidR="00800AFE" w:rsidRPr="00C8196A">
        <w:rPr>
          <w:snapToGrid w:val="0"/>
          <w:kern w:val="22"/>
          <w:szCs w:val="22"/>
          <w:lang w:val="en-GB"/>
        </w:rPr>
        <w:t>adopted the Implementation Plan for the Cartagena Protocol on Biosafety</w:t>
      </w:r>
      <w:r w:rsidR="00624185" w:rsidRPr="00C8196A">
        <w:rPr>
          <w:snapToGrid w:val="0"/>
          <w:kern w:val="22"/>
          <w:szCs w:val="22"/>
          <w:lang w:val="en-GB"/>
        </w:rPr>
        <w:t>,</w:t>
      </w:r>
      <w:r w:rsidR="00800AFE" w:rsidRPr="00C8196A">
        <w:rPr>
          <w:snapToGrid w:val="0"/>
          <w:kern w:val="22"/>
          <w:szCs w:val="22"/>
          <w:lang w:val="en-GB"/>
        </w:rPr>
        <w:t xml:space="preserve"> as contained in the annex to the decision. </w:t>
      </w:r>
      <w:r w:rsidR="00624185" w:rsidRPr="00C8196A">
        <w:rPr>
          <w:snapToGrid w:val="0"/>
          <w:kern w:val="22"/>
          <w:szCs w:val="22"/>
          <w:lang w:val="en-GB"/>
        </w:rPr>
        <w:t xml:space="preserve">The Plan </w:t>
      </w:r>
      <w:r w:rsidR="00F553BC" w:rsidRPr="00C8196A">
        <w:rPr>
          <w:snapToGrid w:val="0"/>
          <w:kern w:val="22"/>
          <w:szCs w:val="22"/>
          <w:lang w:val="en-GB"/>
        </w:rPr>
        <w:t xml:space="preserve">is intended </w:t>
      </w:r>
      <w:r w:rsidR="00624185" w:rsidRPr="00C8196A">
        <w:rPr>
          <w:lang w:val="en-GB"/>
        </w:rPr>
        <w:t xml:space="preserve">to guide Parties in their implementation of the Protocol and </w:t>
      </w:r>
      <w:r w:rsidR="002D4EE5">
        <w:rPr>
          <w:lang w:val="en-GB"/>
        </w:rPr>
        <w:t xml:space="preserve">to </w:t>
      </w:r>
      <w:r w:rsidR="00624185" w:rsidRPr="00C8196A">
        <w:rPr>
          <w:lang w:val="en-GB"/>
        </w:rPr>
        <w:t>measure progress in th</w:t>
      </w:r>
      <w:r w:rsidR="00FD6B42" w:rsidRPr="00C8196A">
        <w:rPr>
          <w:lang w:val="en-GB"/>
        </w:rPr>
        <w:t>at</w:t>
      </w:r>
      <w:r w:rsidR="00624185" w:rsidRPr="00C8196A">
        <w:rPr>
          <w:lang w:val="en-GB"/>
        </w:rPr>
        <w:t xml:space="preserve"> regard for the period up to 2030.</w:t>
      </w:r>
      <w:r w:rsidR="00F553BC" w:rsidRPr="00C8196A">
        <w:rPr>
          <w:lang w:val="en-GB"/>
        </w:rPr>
        <w:t xml:space="preserve"> </w:t>
      </w:r>
      <w:r w:rsidR="00217D7A" w:rsidRPr="00C8196A">
        <w:rPr>
          <w:lang w:val="en-GB"/>
        </w:rPr>
        <w:t>It</w:t>
      </w:r>
      <w:r w:rsidR="00F553BC" w:rsidRPr="00C8196A">
        <w:rPr>
          <w:lang w:val="en-GB"/>
        </w:rPr>
        <w:t xml:space="preserve"> provides a framework outlining goals representing broad desirable achievements by Parties. The goals are organized according to “areas for implementation” and “enabling environment”, the latter comprising cross-cutting goals related to support for implementation, </w:t>
      </w:r>
      <w:r w:rsidR="00D61033" w:rsidRPr="00C8196A">
        <w:rPr>
          <w:lang w:val="en-GB"/>
        </w:rPr>
        <w:t>such as</w:t>
      </w:r>
      <w:r w:rsidR="00F553BC" w:rsidRPr="00C8196A">
        <w:rPr>
          <w:lang w:val="en-GB"/>
        </w:rPr>
        <w:t xml:space="preserve"> capacity-building, resource mobilization, cooperation, and public awareness, </w:t>
      </w:r>
      <w:proofErr w:type="gramStart"/>
      <w:r w:rsidR="00F553BC" w:rsidRPr="00C8196A">
        <w:rPr>
          <w:lang w:val="en-GB"/>
        </w:rPr>
        <w:t>education</w:t>
      </w:r>
      <w:proofErr w:type="gramEnd"/>
      <w:r w:rsidR="00F553BC" w:rsidRPr="00C8196A">
        <w:rPr>
          <w:lang w:val="en-GB"/>
        </w:rPr>
        <w:t xml:space="preserve"> and participation. Each goal includes corresponding objectives, </w:t>
      </w:r>
      <w:proofErr w:type="gramStart"/>
      <w:r w:rsidR="00F553BC" w:rsidRPr="00C8196A">
        <w:rPr>
          <w:lang w:val="en-GB"/>
        </w:rPr>
        <w:t>outcomes</w:t>
      </w:r>
      <w:proofErr w:type="gramEnd"/>
      <w:r w:rsidR="00F553BC" w:rsidRPr="00C8196A">
        <w:rPr>
          <w:lang w:val="en-GB"/>
        </w:rPr>
        <w:t xml:space="preserve"> and indicators.</w:t>
      </w:r>
    </w:p>
    <w:p w14:paraId="7521CDDC" w14:textId="1492C22B" w:rsidR="00900B1F" w:rsidRPr="00C8196A" w:rsidRDefault="00900B1F" w:rsidP="00B6543C">
      <w:pPr>
        <w:pStyle w:val="Para10"/>
        <w:numPr>
          <w:ilvl w:val="0"/>
          <w:numId w:val="25"/>
        </w:numPr>
        <w:tabs>
          <w:tab w:val="clear" w:pos="1134"/>
          <w:tab w:val="left" w:pos="1170"/>
        </w:tabs>
        <w:ind w:left="540"/>
        <w:rPr>
          <w:snapToGrid w:val="0"/>
          <w:kern w:val="22"/>
          <w:szCs w:val="22"/>
          <w:lang w:val="en-GB"/>
        </w:rPr>
      </w:pPr>
      <w:r w:rsidRPr="00C8196A">
        <w:rPr>
          <w:snapToGrid w:val="0"/>
          <w:kern w:val="22"/>
          <w:szCs w:val="22"/>
          <w:lang w:val="en-GB"/>
        </w:rPr>
        <w:t>Goal A.4 of the Implementation Plan relates to compliance with requirements under the Protocol. The relevant row from the Plan is reproduced below</w:t>
      </w:r>
      <w:r w:rsidR="00DB0586" w:rsidRPr="00C8196A">
        <w:rPr>
          <w:snapToGrid w:val="0"/>
          <w:kern w:val="22"/>
          <w:szCs w:val="22"/>
          <w:lang w:val="en-GB"/>
        </w:rPr>
        <w:t>.</w:t>
      </w:r>
    </w:p>
    <w:tbl>
      <w:tblPr>
        <w:tblW w:w="909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268"/>
        <w:gridCol w:w="2409"/>
        <w:gridCol w:w="2268"/>
      </w:tblGrid>
      <w:tr w:rsidR="00900B1F" w:rsidRPr="006A5361" w14:paraId="45E19649" w14:textId="77777777" w:rsidTr="00C8196A">
        <w:tc>
          <w:tcPr>
            <w:tcW w:w="2154" w:type="dxa"/>
            <w:shd w:val="clear" w:color="auto" w:fill="auto"/>
          </w:tcPr>
          <w:p w14:paraId="2CE3764C" w14:textId="113E7C9A" w:rsidR="00900B1F" w:rsidRPr="00C8196A" w:rsidRDefault="00900B1F" w:rsidP="00C8196A">
            <w:pPr>
              <w:pStyle w:val="Para10"/>
              <w:keepNext/>
              <w:keepLines/>
              <w:numPr>
                <w:ilvl w:val="0"/>
                <w:numId w:val="0"/>
              </w:numPr>
              <w:spacing w:after="0"/>
              <w:rPr>
                <w:rFonts w:eastAsia="Calibri"/>
                <w:i/>
                <w:iCs/>
                <w:lang w:val="en-GB"/>
              </w:rPr>
            </w:pPr>
            <w:r w:rsidRPr="00C8196A">
              <w:rPr>
                <w:rFonts w:eastAsia="Calibri"/>
                <w:i/>
                <w:iCs/>
                <w:lang w:val="en-GB"/>
              </w:rPr>
              <w:t>Goal</w:t>
            </w:r>
          </w:p>
        </w:tc>
        <w:tc>
          <w:tcPr>
            <w:tcW w:w="2268" w:type="dxa"/>
            <w:shd w:val="clear" w:color="auto" w:fill="auto"/>
          </w:tcPr>
          <w:p w14:paraId="2D3E0160" w14:textId="77777777" w:rsidR="00900B1F" w:rsidRPr="00C8196A" w:rsidRDefault="00900B1F" w:rsidP="00C8196A">
            <w:pPr>
              <w:pStyle w:val="Para10"/>
              <w:keepNext/>
              <w:keepLines/>
              <w:numPr>
                <w:ilvl w:val="0"/>
                <w:numId w:val="0"/>
              </w:numPr>
              <w:tabs>
                <w:tab w:val="left" w:pos="0"/>
              </w:tabs>
              <w:spacing w:after="0"/>
              <w:rPr>
                <w:rFonts w:eastAsia="Calibri"/>
                <w:i/>
                <w:iCs/>
                <w:lang w:val="en-GB"/>
              </w:rPr>
            </w:pPr>
            <w:r w:rsidRPr="00C8196A">
              <w:rPr>
                <w:rFonts w:eastAsia="Calibri"/>
                <w:i/>
                <w:iCs/>
                <w:lang w:val="en-GB"/>
              </w:rPr>
              <w:t>Objectives</w:t>
            </w:r>
          </w:p>
        </w:tc>
        <w:tc>
          <w:tcPr>
            <w:tcW w:w="2409" w:type="dxa"/>
            <w:shd w:val="clear" w:color="auto" w:fill="auto"/>
          </w:tcPr>
          <w:p w14:paraId="3EC78974" w14:textId="77777777" w:rsidR="00900B1F" w:rsidRPr="00C8196A" w:rsidRDefault="00900B1F" w:rsidP="00C8196A">
            <w:pPr>
              <w:pStyle w:val="Para10"/>
              <w:keepNext/>
              <w:keepLines/>
              <w:numPr>
                <w:ilvl w:val="0"/>
                <w:numId w:val="0"/>
              </w:numPr>
              <w:tabs>
                <w:tab w:val="left" w:pos="0"/>
              </w:tabs>
              <w:spacing w:after="0"/>
              <w:rPr>
                <w:rFonts w:eastAsia="Calibri"/>
                <w:i/>
                <w:iCs/>
                <w:lang w:val="en-GB"/>
              </w:rPr>
            </w:pPr>
            <w:r w:rsidRPr="00C8196A">
              <w:rPr>
                <w:rFonts w:eastAsia="Calibri"/>
                <w:i/>
                <w:iCs/>
                <w:lang w:val="en-GB"/>
              </w:rPr>
              <w:t>Indicators</w:t>
            </w:r>
          </w:p>
        </w:tc>
        <w:tc>
          <w:tcPr>
            <w:tcW w:w="2268" w:type="dxa"/>
            <w:shd w:val="clear" w:color="auto" w:fill="auto"/>
          </w:tcPr>
          <w:p w14:paraId="07F10F38" w14:textId="14D5A40C" w:rsidR="00900B1F" w:rsidRPr="00C8196A" w:rsidRDefault="00900B1F" w:rsidP="00C8196A">
            <w:pPr>
              <w:pStyle w:val="Para10"/>
              <w:keepNext/>
              <w:keepLines/>
              <w:numPr>
                <w:ilvl w:val="0"/>
                <w:numId w:val="0"/>
              </w:numPr>
              <w:tabs>
                <w:tab w:val="left" w:pos="0"/>
              </w:tabs>
              <w:spacing w:after="0"/>
              <w:rPr>
                <w:rFonts w:eastAsia="Calibri"/>
                <w:i/>
                <w:iCs/>
                <w:lang w:val="en-GB"/>
              </w:rPr>
            </w:pPr>
            <w:r w:rsidRPr="00C8196A">
              <w:rPr>
                <w:rFonts w:eastAsia="Calibri"/>
                <w:i/>
                <w:iCs/>
                <w:lang w:val="en-GB"/>
              </w:rPr>
              <w:t>Outcome</w:t>
            </w:r>
          </w:p>
        </w:tc>
      </w:tr>
      <w:tr w:rsidR="00900B1F" w:rsidRPr="006A5361" w14:paraId="23E7669B" w14:textId="77777777" w:rsidTr="00C8196A">
        <w:tc>
          <w:tcPr>
            <w:tcW w:w="2154" w:type="dxa"/>
            <w:shd w:val="clear" w:color="auto" w:fill="auto"/>
          </w:tcPr>
          <w:p w14:paraId="7A4F382C" w14:textId="77777777" w:rsidR="00900B1F" w:rsidRPr="00C8196A" w:rsidRDefault="00900B1F" w:rsidP="00C8196A">
            <w:pPr>
              <w:pStyle w:val="Para10"/>
              <w:keepNext/>
              <w:keepLines/>
              <w:numPr>
                <w:ilvl w:val="0"/>
                <w:numId w:val="0"/>
              </w:numPr>
              <w:tabs>
                <w:tab w:val="left" w:pos="0"/>
              </w:tabs>
              <w:spacing w:after="0"/>
              <w:jc w:val="left"/>
              <w:rPr>
                <w:rFonts w:eastAsia="Calibri"/>
                <w:lang w:val="en-GB"/>
              </w:rPr>
            </w:pPr>
            <w:r w:rsidRPr="00C8196A">
              <w:rPr>
                <w:rFonts w:eastAsia="Calibri"/>
                <w:lang w:val="en-GB"/>
              </w:rPr>
              <w:t xml:space="preserve">A.4. Parties </w:t>
            </w:r>
            <w:proofErr w:type="gramStart"/>
            <w:r w:rsidRPr="00C8196A">
              <w:rPr>
                <w:rFonts w:eastAsia="Calibri"/>
                <w:lang w:val="en-GB"/>
              </w:rPr>
              <w:t>are in compliance with</w:t>
            </w:r>
            <w:proofErr w:type="gramEnd"/>
            <w:r w:rsidRPr="00C8196A">
              <w:rPr>
                <w:rFonts w:eastAsia="Calibri"/>
                <w:lang w:val="en-GB"/>
              </w:rPr>
              <w:t xml:space="preserve"> the requirements of the Protocol</w:t>
            </w:r>
          </w:p>
        </w:tc>
        <w:tc>
          <w:tcPr>
            <w:tcW w:w="2268" w:type="dxa"/>
            <w:shd w:val="clear" w:color="auto" w:fill="auto"/>
          </w:tcPr>
          <w:p w14:paraId="4C2ADF07" w14:textId="77777777" w:rsidR="00900B1F" w:rsidRPr="00C8196A" w:rsidRDefault="00900B1F" w:rsidP="00C8196A">
            <w:pPr>
              <w:pStyle w:val="Para10"/>
              <w:keepNext/>
              <w:keepLines/>
              <w:numPr>
                <w:ilvl w:val="0"/>
                <w:numId w:val="0"/>
              </w:numPr>
              <w:tabs>
                <w:tab w:val="left" w:pos="0"/>
              </w:tabs>
              <w:spacing w:after="0"/>
              <w:jc w:val="left"/>
              <w:rPr>
                <w:rFonts w:eastAsia="Calibri"/>
                <w:lang w:val="en-GB"/>
              </w:rPr>
            </w:pPr>
            <w:r w:rsidRPr="00C8196A">
              <w:rPr>
                <w:rFonts w:eastAsia="Calibri"/>
                <w:lang w:val="en-GB"/>
              </w:rPr>
              <w:t xml:space="preserve">A.4.1. Parties comply with their obligations under the </w:t>
            </w:r>
            <w:proofErr w:type="gramStart"/>
            <w:r w:rsidRPr="00C8196A">
              <w:rPr>
                <w:rFonts w:eastAsia="Calibri"/>
                <w:lang w:val="en-GB"/>
              </w:rPr>
              <w:t>Protocol;</w:t>
            </w:r>
            <w:proofErr w:type="gramEnd"/>
            <w:r w:rsidRPr="00C8196A">
              <w:rPr>
                <w:rFonts w:eastAsia="Calibri"/>
                <w:lang w:val="en-GB"/>
              </w:rPr>
              <w:t xml:space="preserve"> </w:t>
            </w:r>
          </w:p>
          <w:p w14:paraId="23BAF0E0" w14:textId="77777777" w:rsidR="00900B1F" w:rsidRPr="00C8196A" w:rsidRDefault="00900B1F" w:rsidP="00C8196A">
            <w:pPr>
              <w:pStyle w:val="Para10"/>
              <w:keepNext/>
              <w:keepLines/>
              <w:numPr>
                <w:ilvl w:val="0"/>
                <w:numId w:val="0"/>
              </w:numPr>
              <w:tabs>
                <w:tab w:val="left" w:pos="0"/>
              </w:tabs>
              <w:spacing w:after="0"/>
              <w:jc w:val="left"/>
              <w:rPr>
                <w:rFonts w:eastAsia="Calibri"/>
                <w:lang w:val="en-GB"/>
              </w:rPr>
            </w:pPr>
            <w:r w:rsidRPr="00C8196A">
              <w:rPr>
                <w:rFonts w:eastAsia="Calibri"/>
                <w:lang w:val="en-GB"/>
              </w:rPr>
              <w:t>A.4.2. Parties resolve issues of non-compliance identified by the Compliance Committee.</w:t>
            </w:r>
          </w:p>
        </w:tc>
        <w:tc>
          <w:tcPr>
            <w:tcW w:w="2409" w:type="dxa"/>
            <w:shd w:val="clear" w:color="auto" w:fill="auto"/>
          </w:tcPr>
          <w:p w14:paraId="55B79957" w14:textId="77777777" w:rsidR="00900B1F" w:rsidRPr="00C8196A" w:rsidRDefault="00900B1F" w:rsidP="00C8196A">
            <w:pPr>
              <w:pStyle w:val="Para10"/>
              <w:keepNext/>
              <w:keepLines/>
              <w:numPr>
                <w:ilvl w:val="0"/>
                <w:numId w:val="0"/>
              </w:numPr>
              <w:tabs>
                <w:tab w:val="left" w:pos="0"/>
              </w:tabs>
              <w:spacing w:after="0"/>
              <w:jc w:val="left"/>
              <w:rPr>
                <w:rFonts w:eastAsia="Calibri"/>
                <w:lang w:val="en-GB"/>
              </w:rPr>
            </w:pPr>
            <w:r w:rsidRPr="00C8196A">
              <w:rPr>
                <w:rFonts w:eastAsia="Calibri"/>
                <w:lang w:val="en-GB"/>
              </w:rPr>
              <w:t xml:space="preserve">(a) Percentage of Parties that comply with their obligations under the </w:t>
            </w:r>
            <w:proofErr w:type="gramStart"/>
            <w:r w:rsidRPr="00C8196A">
              <w:rPr>
                <w:rFonts w:eastAsia="Calibri"/>
                <w:lang w:val="en-GB"/>
              </w:rPr>
              <w:t>Protocol;</w:t>
            </w:r>
            <w:proofErr w:type="gramEnd"/>
            <w:r w:rsidRPr="00C8196A">
              <w:rPr>
                <w:rFonts w:eastAsia="Calibri"/>
                <w:lang w:val="en-GB"/>
              </w:rPr>
              <w:t xml:space="preserve"> </w:t>
            </w:r>
          </w:p>
          <w:p w14:paraId="7F8281E2" w14:textId="77777777" w:rsidR="00900B1F" w:rsidRPr="00C8196A" w:rsidRDefault="00900B1F" w:rsidP="00C8196A">
            <w:pPr>
              <w:pStyle w:val="Para10"/>
              <w:keepNext/>
              <w:keepLines/>
              <w:numPr>
                <w:ilvl w:val="0"/>
                <w:numId w:val="0"/>
              </w:numPr>
              <w:tabs>
                <w:tab w:val="left" w:pos="0"/>
              </w:tabs>
              <w:spacing w:after="0"/>
              <w:jc w:val="left"/>
              <w:rPr>
                <w:rFonts w:eastAsia="Calibri"/>
                <w:lang w:val="en-GB"/>
              </w:rPr>
            </w:pPr>
            <w:r w:rsidRPr="00C8196A">
              <w:rPr>
                <w:rFonts w:eastAsia="Calibri"/>
                <w:lang w:val="en-GB"/>
              </w:rPr>
              <w:t>(b) Percentage of Parties that have resolved non-compliance issues identified by the Compliance Committee.</w:t>
            </w:r>
          </w:p>
        </w:tc>
        <w:tc>
          <w:tcPr>
            <w:tcW w:w="2268" w:type="dxa"/>
            <w:shd w:val="clear" w:color="auto" w:fill="auto"/>
          </w:tcPr>
          <w:p w14:paraId="4CBDAECA" w14:textId="77777777" w:rsidR="00900B1F" w:rsidRPr="00C8196A" w:rsidRDefault="00900B1F" w:rsidP="00C8196A">
            <w:pPr>
              <w:pStyle w:val="Para10"/>
              <w:keepNext/>
              <w:keepLines/>
              <w:numPr>
                <w:ilvl w:val="0"/>
                <w:numId w:val="0"/>
              </w:numPr>
              <w:tabs>
                <w:tab w:val="left" w:pos="0"/>
              </w:tabs>
              <w:spacing w:after="0"/>
              <w:jc w:val="left"/>
              <w:rPr>
                <w:rFonts w:eastAsia="Calibri"/>
                <w:lang w:val="en-GB"/>
              </w:rPr>
            </w:pPr>
            <w:r w:rsidRPr="00C8196A">
              <w:rPr>
                <w:rFonts w:eastAsia="Calibri"/>
                <w:lang w:val="en-GB"/>
              </w:rPr>
              <w:t>Effective compliance mechanism facilitates implementation of the Protocol</w:t>
            </w:r>
          </w:p>
        </w:tc>
      </w:tr>
    </w:tbl>
    <w:p w14:paraId="3531F8D4" w14:textId="7B8AD24C" w:rsidR="00900B1F" w:rsidRPr="00C8196A" w:rsidRDefault="00D20B33" w:rsidP="00B6543C">
      <w:pPr>
        <w:pStyle w:val="Para10"/>
        <w:numPr>
          <w:ilvl w:val="0"/>
          <w:numId w:val="25"/>
        </w:numPr>
        <w:tabs>
          <w:tab w:val="clear" w:pos="1134"/>
          <w:tab w:val="left" w:pos="1170"/>
          <w:tab w:val="left" w:pos="1260"/>
        </w:tabs>
        <w:ind w:left="540"/>
        <w:rPr>
          <w:snapToGrid w:val="0"/>
          <w:kern w:val="22"/>
          <w:szCs w:val="22"/>
          <w:lang w:val="en-GB"/>
        </w:rPr>
      </w:pPr>
      <w:r w:rsidRPr="00C8196A">
        <w:rPr>
          <w:snapToGrid w:val="0"/>
          <w:kern w:val="22"/>
          <w:szCs w:val="22"/>
          <w:lang w:val="en-GB"/>
        </w:rPr>
        <w:t xml:space="preserve">In </w:t>
      </w:r>
      <w:r w:rsidR="00B60E75" w:rsidRPr="00C8196A">
        <w:rPr>
          <w:snapToGrid w:val="0"/>
          <w:kern w:val="22"/>
          <w:szCs w:val="22"/>
          <w:lang w:val="en-GB"/>
        </w:rPr>
        <w:t xml:space="preserve">the same </w:t>
      </w:r>
      <w:r w:rsidRPr="00C8196A">
        <w:rPr>
          <w:snapToGrid w:val="0"/>
          <w:kern w:val="22"/>
          <w:szCs w:val="22"/>
          <w:lang w:val="en-GB"/>
        </w:rPr>
        <w:t>d</w:t>
      </w:r>
      <w:r w:rsidR="00900B1F" w:rsidRPr="00C8196A">
        <w:rPr>
          <w:snapToGrid w:val="0"/>
          <w:kern w:val="22"/>
          <w:szCs w:val="22"/>
          <w:lang w:val="en-GB"/>
        </w:rPr>
        <w:t>ecision</w:t>
      </w:r>
      <w:r w:rsidR="00B60E75" w:rsidRPr="00C8196A">
        <w:rPr>
          <w:snapToGrid w:val="0"/>
          <w:kern w:val="22"/>
          <w:szCs w:val="22"/>
          <w:lang w:val="en-GB"/>
        </w:rPr>
        <w:t>,</w:t>
      </w:r>
      <w:r w:rsidRPr="00C8196A">
        <w:rPr>
          <w:snapToGrid w:val="0"/>
          <w:kern w:val="22"/>
          <w:szCs w:val="22"/>
          <w:lang w:val="en-GB"/>
        </w:rPr>
        <w:t xml:space="preserve"> </w:t>
      </w:r>
      <w:r w:rsidR="003F287C" w:rsidRPr="00C8196A">
        <w:rPr>
          <w:snapToGrid w:val="0"/>
          <w:kern w:val="22"/>
          <w:szCs w:val="22"/>
          <w:lang w:val="en-GB"/>
        </w:rPr>
        <w:t>the Conference of the Parties serving as the meeting of the Parties to the Cartagena Protocol</w:t>
      </w:r>
      <w:r w:rsidR="00900B1F" w:rsidRPr="00C8196A">
        <w:rPr>
          <w:snapToGrid w:val="0"/>
          <w:kern w:val="22"/>
          <w:szCs w:val="22"/>
          <w:lang w:val="en-GB"/>
        </w:rPr>
        <w:t xml:space="preserve"> welcomed the </w:t>
      </w:r>
      <w:r w:rsidR="00C41857">
        <w:rPr>
          <w:snapToGrid w:val="0"/>
          <w:kern w:val="22"/>
          <w:szCs w:val="22"/>
          <w:lang w:val="en-GB"/>
        </w:rPr>
        <w:t xml:space="preserve">adoption </w:t>
      </w:r>
      <w:r w:rsidR="00C41857" w:rsidRPr="00AD58AE">
        <w:rPr>
          <w:snapToGrid w:val="0"/>
          <w:kern w:val="22"/>
          <w:szCs w:val="22"/>
          <w:lang w:val="en-GB"/>
        </w:rPr>
        <w:t xml:space="preserve">by the Conference of the Parties to the Convention in </w:t>
      </w:r>
      <w:r w:rsidR="00C41857">
        <w:rPr>
          <w:snapToGrid w:val="0"/>
          <w:kern w:val="22"/>
          <w:szCs w:val="22"/>
          <w:lang w:val="en-GB"/>
        </w:rPr>
        <w:t xml:space="preserve">its </w:t>
      </w:r>
      <w:r w:rsidR="00C41857" w:rsidRPr="00AD58AE">
        <w:rPr>
          <w:lang w:val="en-GB"/>
        </w:rPr>
        <w:t xml:space="preserve">decision </w:t>
      </w:r>
      <w:hyperlink r:id="rId21" w:history="1">
        <w:r w:rsidR="00C41857" w:rsidRPr="00AD58AE">
          <w:rPr>
            <w:rStyle w:val="Hyperlink"/>
            <w:snapToGrid w:val="0"/>
            <w:kern w:val="22"/>
            <w:szCs w:val="22"/>
            <w:lang w:val="en-GB"/>
          </w:rPr>
          <w:t>15/4</w:t>
        </w:r>
      </w:hyperlink>
      <w:r w:rsidR="00C41857" w:rsidRPr="00AD58AE">
        <w:rPr>
          <w:snapToGrid w:val="0"/>
          <w:kern w:val="22"/>
          <w:szCs w:val="22"/>
          <w:lang w:val="en-GB"/>
        </w:rPr>
        <w:t xml:space="preserve"> </w:t>
      </w:r>
      <w:r w:rsidR="00C41857">
        <w:rPr>
          <w:snapToGrid w:val="0"/>
          <w:kern w:val="22"/>
          <w:szCs w:val="22"/>
          <w:lang w:val="en-GB"/>
        </w:rPr>
        <w:t xml:space="preserve">of the </w:t>
      </w:r>
      <w:r w:rsidR="00900B1F" w:rsidRPr="00C8196A">
        <w:rPr>
          <w:snapToGrid w:val="0"/>
          <w:kern w:val="22"/>
          <w:szCs w:val="22"/>
          <w:lang w:val="en-GB"/>
        </w:rPr>
        <w:t xml:space="preserve">Kunming-Montreal Global Biodiversity Framework </w:t>
      </w:r>
      <w:r w:rsidR="00F553BC" w:rsidRPr="00C8196A">
        <w:rPr>
          <w:snapToGrid w:val="0"/>
          <w:kern w:val="22"/>
          <w:szCs w:val="22"/>
          <w:lang w:val="en-GB"/>
        </w:rPr>
        <w:t xml:space="preserve">and recognized the complementarity </w:t>
      </w:r>
      <w:r w:rsidR="00F553BC" w:rsidRPr="00C8196A">
        <w:rPr>
          <w:lang w:val="en-GB"/>
        </w:rPr>
        <w:t>of the Implementation Plan to the Framework</w:t>
      </w:r>
      <w:r w:rsidR="00320250" w:rsidRPr="00C8196A">
        <w:rPr>
          <w:lang w:val="en-GB"/>
        </w:rPr>
        <w:t>. It also recognized</w:t>
      </w:r>
      <w:r w:rsidR="00F553BC" w:rsidRPr="00C8196A">
        <w:rPr>
          <w:lang w:val="en-GB"/>
        </w:rPr>
        <w:t xml:space="preserve"> that the Implementation Plan </w:t>
      </w:r>
      <w:r w:rsidR="004A5931" w:rsidRPr="00C8196A">
        <w:rPr>
          <w:lang w:val="en-GB"/>
        </w:rPr>
        <w:t xml:space="preserve">could </w:t>
      </w:r>
      <w:r w:rsidR="00F553BC" w:rsidRPr="00C8196A">
        <w:rPr>
          <w:lang w:val="en-GB"/>
        </w:rPr>
        <w:t xml:space="preserve">contribute to the achievement of the </w:t>
      </w:r>
      <w:r w:rsidR="00E66E75">
        <w:rPr>
          <w:lang w:val="en-GB"/>
        </w:rPr>
        <w:t xml:space="preserve">Framework </w:t>
      </w:r>
      <w:r w:rsidR="00F553BC" w:rsidRPr="00C8196A">
        <w:rPr>
          <w:lang w:val="en-GB"/>
        </w:rPr>
        <w:t>goals and targets relevant to biosafety</w:t>
      </w:r>
      <w:r w:rsidR="00E66E75">
        <w:rPr>
          <w:lang w:val="en-GB"/>
        </w:rPr>
        <w:t>,</w:t>
      </w:r>
      <w:r w:rsidR="00F553BC" w:rsidRPr="00C8196A">
        <w:rPr>
          <w:lang w:val="en-GB"/>
        </w:rPr>
        <w:t xml:space="preserve"> especially for Parties to the Convention that </w:t>
      </w:r>
      <w:r w:rsidR="004A5931" w:rsidRPr="00C8196A">
        <w:rPr>
          <w:lang w:val="en-GB"/>
        </w:rPr>
        <w:t xml:space="preserve">were </w:t>
      </w:r>
      <w:r w:rsidR="00F553BC" w:rsidRPr="00C8196A">
        <w:rPr>
          <w:lang w:val="en-GB"/>
        </w:rPr>
        <w:t>also Parties to the Cartagena Protocol.</w:t>
      </w:r>
      <w:r w:rsidR="00900B1F" w:rsidRPr="00C8196A">
        <w:rPr>
          <w:snapToGrid w:val="0"/>
          <w:kern w:val="22"/>
          <w:szCs w:val="22"/>
          <w:lang w:val="en-GB"/>
        </w:rPr>
        <w:t xml:space="preserve"> </w:t>
      </w:r>
      <w:r w:rsidR="00F553BC" w:rsidRPr="00C8196A">
        <w:rPr>
          <w:snapToGrid w:val="0"/>
          <w:kern w:val="22"/>
          <w:szCs w:val="22"/>
          <w:lang w:val="en-GB"/>
        </w:rPr>
        <w:t xml:space="preserve">Target 17 </w:t>
      </w:r>
      <w:r w:rsidR="005773F7" w:rsidRPr="00C8196A">
        <w:rPr>
          <w:snapToGrid w:val="0"/>
          <w:kern w:val="22"/>
          <w:szCs w:val="22"/>
          <w:lang w:val="en-GB"/>
        </w:rPr>
        <w:t>of the Framework</w:t>
      </w:r>
      <w:r w:rsidR="0027058B">
        <w:rPr>
          <w:snapToGrid w:val="0"/>
          <w:kern w:val="22"/>
          <w:szCs w:val="22"/>
          <w:lang w:val="en-GB"/>
        </w:rPr>
        <w:t>, in particular,</w:t>
      </w:r>
      <w:r w:rsidR="005773F7" w:rsidRPr="00C8196A">
        <w:rPr>
          <w:snapToGrid w:val="0"/>
          <w:kern w:val="22"/>
          <w:szCs w:val="22"/>
          <w:lang w:val="en-GB"/>
        </w:rPr>
        <w:t xml:space="preserve"> </w:t>
      </w:r>
      <w:r w:rsidR="004A5931" w:rsidRPr="00C8196A">
        <w:rPr>
          <w:snapToGrid w:val="0"/>
          <w:kern w:val="22"/>
          <w:szCs w:val="22"/>
          <w:lang w:val="en-GB"/>
        </w:rPr>
        <w:t xml:space="preserve">is </w:t>
      </w:r>
      <w:r w:rsidR="00917C81" w:rsidRPr="00C8196A">
        <w:rPr>
          <w:lang w:val="en-GB"/>
        </w:rPr>
        <w:t>aim</w:t>
      </w:r>
      <w:r w:rsidR="004A5931" w:rsidRPr="00C8196A">
        <w:rPr>
          <w:lang w:val="en-GB"/>
        </w:rPr>
        <w:t>ed</w:t>
      </w:r>
      <w:r w:rsidR="00917C81" w:rsidRPr="00C8196A">
        <w:rPr>
          <w:lang w:val="en-GB"/>
        </w:rPr>
        <w:t xml:space="preserve"> </w:t>
      </w:r>
      <w:r w:rsidR="004A5931" w:rsidRPr="00C8196A">
        <w:rPr>
          <w:lang w:val="en-GB"/>
        </w:rPr>
        <w:t>a</w:t>
      </w:r>
      <w:r w:rsidR="00917C81" w:rsidRPr="00C8196A">
        <w:rPr>
          <w:lang w:val="en-GB"/>
        </w:rPr>
        <w:t>t</w:t>
      </w:r>
      <w:r w:rsidR="005773F7" w:rsidRPr="00C8196A">
        <w:rPr>
          <w:lang w:val="en-GB"/>
        </w:rPr>
        <w:t xml:space="preserve"> establish</w:t>
      </w:r>
      <w:r w:rsidR="004A5931" w:rsidRPr="00C8196A">
        <w:rPr>
          <w:lang w:val="en-GB"/>
        </w:rPr>
        <w:t>ing</w:t>
      </w:r>
      <w:r w:rsidR="005773F7" w:rsidRPr="00C8196A">
        <w:rPr>
          <w:lang w:val="en-GB"/>
        </w:rPr>
        <w:t>, strengthen</w:t>
      </w:r>
      <w:r w:rsidR="004A5931" w:rsidRPr="00C8196A">
        <w:rPr>
          <w:lang w:val="en-GB"/>
        </w:rPr>
        <w:t>ing</w:t>
      </w:r>
      <w:r w:rsidR="005773F7" w:rsidRPr="00C8196A">
        <w:rPr>
          <w:lang w:val="en-GB"/>
        </w:rPr>
        <w:t xml:space="preserve"> capacity for and implement</w:t>
      </w:r>
      <w:r w:rsidR="004A5931" w:rsidRPr="00C8196A">
        <w:rPr>
          <w:lang w:val="en-GB"/>
        </w:rPr>
        <w:t>ing</w:t>
      </w:r>
      <w:r w:rsidR="005773F7" w:rsidRPr="00C8196A">
        <w:rPr>
          <w:lang w:val="en-GB"/>
        </w:rPr>
        <w:t xml:space="preserve"> in all countries biosafety measures as set out in Article 8(g) of the Convention and measures for the handling of biotechnology and distribution of its benefits as set out in </w:t>
      </w:r>
      <w:r w:rsidR="0032243B" w:rsidRPr="00C8196A">
        <w:rPr>
          <w:lang w:val="en-GB"/>
        </w:rPr>
        <w:t xml:space="preserve">its </w:t>
      </w:r>
      <w:proofErr w:type="gramStart"/>
      <w:r w:rsidR="005773F7" w:rsidRPr="00C8196A">
        <w:rPr>
          <w:lang w:val="en-GB"/>
        </w:rPr>
        <w:t>Article</w:t>
      </w:r>
      <w:proofErr w:type="gramEnd"/>
      <w:r w:rsidR="005773F7" w:rsidRPr="00C8196A">
        <w:rPr>
          <w:lang w:val="en-GB"/>
        </w:rPr>
        <w:t xml:space="preserve"> 19</w:t>
      </w:r>
      <w:r w:rsidR="0032243B" w:rsidRPr="00C8196A">
        <w:rPr>
          <w:lang w:val="en-GB"/>
        </w:rPr>
        <w:t>.</w:t>
      </w:r>
      <w:r w:rsidR="005773F7" w:rsidRPr="00C8196A">
        <w:rPr>
          <w:snapToGrid w:val="0"/>
          <w:kern w:val="22"/>
          <w:szCs w:val="22"/>
          <w:lang w:val="en-GB"/>
        </w:rPr>
        <w:t xml:space="preserve"> </w:t>
      </w:r>
    </w:p>
    <w:p w14:paraId="3B899017" w14:textId="3CEB1480" w:rsidR="00800AFE" w:rsidRPr="00C8196A" w:rsidRDefault="00800AFE" w:rsidP="00B6543C">
      <w:pPr>
        <w:pStyle w:val="Para10"/>
        <w:numPr>
          <w:ilvl w:val="0"/>
          <w:numId w:val="25"/>
        </w:numPr>
        <w:tabs>
          <w:tab w:val="clear" w:pos="1134"/>
          <w:tab w:val="left" w:pos="1170"/>
        </w:tabs>
        <w:ind w:left="540"/>
        <w:rPr>
          <w:snapToGrid w:val="0"/>
          <w:kern w:val="22"/>
          <w:szCs w:val="22"/>
          <w:lang w:val="en-GB"/>
        </w:rPr>
      </w:pPr>
      <w:r w:rsidRPr="00C8196A">
        <w:rPr>
          <w:snapToGrid w:val="0"/>
          <w:kern w:val="22"/>
          <w:szCs w:val="22"/>
          <w:lang w:val="en-GB"/>
        </w:rPr>
        <w:t xml:space="preserve">Parties </w:t>
      </w:r>
      <w:r w:rsidR="009E0570">
        <w:rPr>
          <w:snapToGrid w:val="0"/>
          <w:kern w:val="22"/>
          <w:szCs w:val="22"/>
          <w:lang w:val="en-GB"/>
        </w:rPr>
        <w:t xml:space="preserve">to the Protocol </w:t>
      </w:r>
      <w:r w:rsidRPr="00C8196A">
        <w:rPr>
          <w:snapToGrid w:val="0"/>
          <w:kern w:val="22"/>
          <w:szCs w:val="22"/>
          <w:lang w:val="en-GB"/>
        </w:rPr>
        <w:t xml:space="preserve">continue to see a role for the Compliance Committee in the evaluation of the implementation of the Protocol. </w:t>
      </w:r>
      <w:r w:rsidR="00CE4EC2" w:rsidRPr="00C8196A">
        <w:rPr>
          <w:snapToGrid w:val="0"/>
          <w:kern w:val="22"/>
          <w:szCs w:val="22"/>
          <w:lang w:val="en-GB"/>
        </w:rPr>
        <w:t>In p</w:t>
      </w:r>
      <w:r w:rsidRPr="00C8196A">
        <w:rPr>
          <w:snapToGrid w:val="0"/>
          <w:kern w:val="22"/>
          <w:szCs w:val="22"/>
          <w:lang w:val="en-GB"/>
        </w:rPr>
        <w:t>aragraph 8 of decision CP</w:t>
      </w:r>
      <w:r w:rsidRPr="00C8196A">
        <w:rPr>
          <w:lang w:val="en-GB"/>
        </w:rPr>
        <w:t>-10/3</w:t>
      </w:r>
      <w:r w:rsidRPr="00C8196A">
        <w:rPr>
          <w:snapToGrid w:val="0"/>
          <w:kern w:val="22"/>
          <w:szCs w:val="22"/>
          <w:lang w:val="en-GB"/>
        </w:rPr>
        <w:t xml:space="preserve">, </w:t>
      </w:r>
      <w:r w:rsidR="00373C40" w:rsidRPr="00C8196A">
        <w:rPr>
          <w:snapToGrid w:val="0"/>
          <w:kern w:val="22"/>
          <w:szCs w:val="22"/>
          <w:lang w:val="en-GB"/>
        </w:rPr>
        <w:t>t</w:t>
      </w:r>
      <w:r w:rsidR="00373C40" w:rsidRPr="00C8196A">
        <w:rPr>
          <w:lang w:val="en-GB"/>
        </w:rPr>
        <w:t xml:space="preserve">he Conference of the </w:t>
      </w:r>
      <w:r w:rsidRPr="00C8196A">
        <w:rPr>
          <w:snapToGrid w:val="0"/>
          <w:kern w:val="22"/>
          <w:szCs w:val="22"/>
          <w:lang w:val="en-GB"/>
        </w:rPr>
        <w:t xml:space="preserve">Parties </w:t>
      </w:r>
      <w:r w:rsidR="00373C40" w:rsidRPr="00C8196A">
        <w:rPr>
          <w:lang w:val="en-GB"/>
        </w:rPr>
        <w:t xml:space="preserve">serving as the meeting of the Parties to the Cartagena Protocol </w:t>
      </w:r>
      <w:r w:rsidR="009E0570">
        <w:rPr>
          <w:lang w:val="en-GB"/>
        </w:rPr>
        <w:t xml:space="preserve">thus </w:t>
      </w:r>
      <w:r w:rsidRPr="00C8196A">
        <w:rPr>
          <w:snapToGrid w:val="0"/>
          <w:kern w:val="22"/>
          <w:szCs w:val="22"/>
          <w:lang w:val="en-GB"/>
        </w:rPr>
        <w:t>requested the Liaison Group and the Committee, as appropriate, working in a complementary and non-duplicative manner, to contribute to the midterm evaluation of the Implementation Plan for the Cartagena Protocol.</w:t>
      </w:r>
    </w:p>
    <w:p w14:paraId="49EA2425" w14:textId="0357ED65" w:rsidR="00800AFE" w:rsidRPr="00C8196A" w:rsidRDefault="00800AFE" w:rsidP="0009186C">
      <w:pPr>
        <w:pStyle w:val="Para10"/>
        <w:numPr>
          <w:ilvl w:val="0"/>
          <w:numId w:val="25"/>
        </w:numPr>
        <w:tabs>
          <w:tab w:val="clear" w:pos="1134"/>
          <w:tab w:val="left" w:pos="1170"/>
        </w:tabs>
        <w:ind w:left="540"/>
        <w:rPr>
          <w:snapToGrid w:val="0"/>
          <w:lang w:val="en-GB"/>
        </w:rPr>
      </w:pPr>
      <w:r w:rsidRPr="00C8196A">
        <w:rPr>
          <w:snapToGrid w:val="0"/>
          <w:kern w:val="22"/>
          <w:szCs w:val="22"/>
          <w:lang w:val="en-GB"/>
        </w:rPr>
        <w:t>In accordance with paragraph 9 of the same decision, the conclusions of the Compliance Committee are to be submitted to the Subsidiary Body on Implementation for consideration</w:t>
      </w:r>
      <w:r w:rsidR="00CF148A" w:rsidRPr="00C8196A">
        <w:rPr>
          <w:lang w:val="en-GB"/>
        </w:rPr>
        <w:t xml:space="preserve"> at </w:t>
      </w:r>
      <w:r w:rsidR="00590854" w:rsidRPr="00C8196A">
        <w:rPr>
          <w:lang w:val="en-GB"/>
        </w:rPr>
        <w:t xml:space="preserve">a </w:t>
      </w:r>
      <w:r w:rsidR="00CF148A" w:rsidRPr="00C8196A">
        <w:rPr>
          <w:lang w:val="en-GB"/>
        </w:rPr>
        <w:t>meeting to be held before the twelfth meeting of the Conference of the Parties serving as the meeting of the Parties to the Cartagena Protocol</w:t>
      </w:r>
      <w:r w:rsidR="00127853" w:rsidRPr="00C8196A">
        <w:rPr>
          <w:snapToGrid w:val="0"/>
          <w:kern w:val="22"/>
          <w:szCs w:val="22"/>
          <w:lang w:val="en-GB"/>
        </w:rPr>
        <w:t>.</w:t>
      </w:r>
      <w:r w:rsidR="00883BB8" w:rsidRPr="00C8196A">
        <w:rPr>
          <w:snapToGrid w:val="0"/>
          <w:kern w:val="22"/>
          <w:szCs w:val="22"/>
          <w:lang w:val="en-GB"/>
        </w:rPr>
        <w:t xml:space="preserve"> </w:t>
      </w:r>
      <w:r w:rsidR="00CC1D18" w:rsidRPr="00C8196A">
        <w:rPr>
          <w:snapToGrid w:val="0"/>
          <w:kern w:val="22"/>
          <w:szCs w:val="22"/>
          <w:lang w:val="en-GB"/>
        </w:rPr>
        <w:t>The</w:t>
      </w:r>
      <w:r w:rsidRPr="00C8196A">
        <w:rPr>
          <w:snapToGrid w:val="0"/>
          <w:kern w:val="22"/>
          <w:szCs w:val="22"/>
          <w:lang w:val="en-GB"/>
        </w:rPr>
        <w:t xml:space="preserve"> findings and recommendations of the Subsidiary Body will be submitted to the Conference of the Parties serving as the meeting of the Parties to the Cartagena Protocol at its twelfth meeting</w:t>
      </w:r>
      <w:r w:rsidR="009A1B9D">
        <w:rPr>
          <w:snapToGrid w:val="0"/>
          <w:kern w:val="22"/>
          <w:szCs w:val="22"/>
          <w:lang w:val="en-GB"/>
        </w:rPr>
        <w:t>,</w:t>
      </w:r>
      <w:r w:rsidRPr="00C8196A">
        <w:rPr>
          <w:snapToGrid w:val="0"/>
          <w:kern w:val="22"/>
          <w:szCs w:val="22"/>
          <w:lang w:val="en-GB"/>
        </w:rPr>
        <w:t xml:space="preserve"> with a view to facilitating the midterm evaluation of the Implementation Plan.</w:t>
      </w:r>
    </w:p>
    <w:p w14:paraId="36797ADB" w14:textId="75041EA0" w:rsidR="00800AFE" w:rsidRPr="006A5361" w:rsidRDefault="00D54741" w:rsidP="00F40FED">
      <w:pPr>
        <w:pStyle w:val="Heading2"/>
        <w:ind w:left="0" w:firstLine="5"/>
        <w:rPr>
          <w:snapToGrid w:val="0"/>
        </w:rPr>
      </w:pPr>
      <w:r w:rsidRPr="006A5361">
        <w:rPr>
          <w:snapToGrid w:val="0"/>
        </w:rPr>
        <w:t>Decision CP-10/4</w:t>
      </w:r>
      <w:r w:rsidR="00276D98" w:rsidRPr="006A5361">
        <w:rPr>
          <w:snapToGrid w:val="0"/>
        </w:rPr>
        <w:t xml:space="preserve"> of the </w:t>
      </w:r>
      <w:r w:rsidR="00276D98" w:rsidRPr="006A5361">
        <w:rPr>
          <w:snapToGrid w:val="0"/>
          <w:kern w:val="22"/>
          <w:szCs w:val="22"/>
        </w:rPr>
        <w:t xml:space="preserve">Conference of the Parties serving as the meeting of the Parties to the Protocol, </w:t>
      </w:r>
      <w:r w:rsidR="00276D98" w:rsidRPr="006A5361">
        <w:rPr>
          <w:snapToGrid w:val="0"/>
        </w:rPr>
        <w:t>on the</w:t>
      </w:r>
      <w:r w:rsidR="002B38E9" w:rsidRPr="006A5361">
        <w:rPr>
          <w:snapToGrid w:val="0"/>
        </w:rPr>
        <w:t xml:space="preserve"> </w:t>
      </w:r>
      <w:r w:rsidR="00800AFE" w:rsidRPr="006A5361">
        <w:rPr>
          <w:snapToGrid w:val="0"/>
        </w:rPr>
        <w:t>Capacity-building Action Plan for the Cartagena Protocol on Biosafety</w:t>
      </w:r>
    </w:p>
    <w:p w14:paraId="11B3187D" w14:textId="7A48ADDC" w:rsidR="00631D4E" w:rsidRPr="006A5361" w:rsidRDefault="006E1B26" w:rsidP="00B6543C">
      <w:pPr>
        <w:numPr>
          <w:ilvl w:val="0"/>
          <w:numId w:val="25"/>
        </w:numPr>
        <w:tabs>
          <w:tab w:val="left" w:pos="1170"/>
        </w:tabs>
        <w:spacing w:after="120"/>
        <w:ind w:left="540"/>
      </w:pPr>
      <w:r w:rsidRPr="006A5361">
        <w:t>At its tenth meeting, t</w:t>
      </w:r>
      <w:r w:rsidR="00F836F4" w:rsidRPr="006A5361">
        <w:t xml:space="preserve">he </w:t>
      </w:r>
      <w:r w:rsidR="001164EF" w:rsidRPr="006A5361">
        <w:t xml:space="preserve">Conference of the Parties serving as the meeting of the Parties to the Protocol </w:t>
      </w:r>
      <w:r w:rsidR="00CE4EC2" w:rsidRPr="006A5361">
        <w:t xml:space="preserve">adopted the </w:t>
      </w:r>
      <w:r w:rsidR="00800AFE" w:rsidRPr="006A5361">
        <w:t>Capacity-building Action Plan for the Cartagena Protocol on Biosafety</w:t>
      </w:r>
      <w:r w:rsidR="00631D4E" w:rsidRPr="006A5361">
        <w:t xml:space="preserve">, </w:t>
      </w:r>
      <w:r w:rsidR="00631D4E" w:rsidRPr="006A5361">
        <w:rPr>
          <w:snapToGrid w:val="0"/>
          <w:kern w:val="22"/>
          <w:szCs w:val="22"/>
        </w:rPr>
        <w:t>as contained in the annex to decision</w:t>
      </w:r>
      <w:r w:rsidR="003B525E" w:rsidRPr="006A5361">
        <w:t xml:space="preserve"> </w:t>
      </w:r>
      <w:r w:rsidR="003B525E" w:rsidRPr="006A5361">
        <w:rPr>
          <w:snapToGrid w:val="0"/>
          <w:kern w:val="22"/>
          <w:szCs w:val="22"/>
        </w:rPr>
        <w:t>CP-10/4</w:t>
      </w:r>
      <w:r w:rsidR="00631D4E" w:rsidRPr="006A5361">
        <w:rPr>
          <w:snapToGrid w:val="0"/>
          <w:kern w:val="22"/>
          <w:szCs w:val="22"/>
        </w:rPr>
        <w:t>. The purpose of the Action Plan is to facilitate the development and strengthening of the capacities of Parties to implement the Protocol by</w:t>
      </w:r>
      <w:r w:rsidR="00900525" w:rsidRPr="006A5361">
        <w:rPr>
          <w:snapToGrid w:val="0"/>
          <w:kern w:val="22"/>
          <w:szCs w:val="22"/>
        </w:rPr>
        <w:t>:</w:t>
      </w:r>
      <w:r w:rsidR="00631D4E" w:rsidRPr="006A5361">
        <w:rPr>
          <w:snapToGrid w:val="0"/>
          <w:kern w:val="22"/>
          <w:szCs w:val="22"/>
        </w:rPr>
        <w:t xml:space="preserve"> (a) identifying key areas for capacity-building related to the different goals of the Implementation Plan for </w:t>
      </w:r>
      <w:r w:rsidR="006375F8" w:rsidRPr="006A5361">
        <w:rPr>
          <w:snapToGrid w:val="0"/>
          <w:kern w:val="22"/>
          <w:szCs w:val="22"/>
        </w:rPr>
        <w:t xml:space="preserve">the </w:t>
      </w:r>
      <w:r w:rsidR="00631D4E" w:rsidRPr="006A5361">
        <w:rPr>
          <w:snapToGrid w:val="0"/>
          <w:kern w:val="22"/>
          <w:szCs w:val="22"/>
        </w:rPr>
        <w:t>Protocol; (b)</w:t>
      </w:r>
      <w:r w:rsidR="00A61FA5">
        <w:rPr>
          <w:snapToGrid w:val="0"/>
          <w:kern w:val="22"/>
          <w:szCs w:val="22"/>
        </w:rPr>
        <w:t> </w:t>
      </w:r>
      <w:r w:rsidR="00631D4E" w:rsidRPr="006A5361">
        <w:rPr>
          <w:snapToGrid w:val="0"/>
          <w:kern w:val="22"/>
          <w:szCs w:val="22"/>
        </w:rPr>
        <w:t xml:space="preserve">facilitating the engagement of partners, including donors; (c) fostering a coherent and coordinated approach to capacity-building for the implementation of the Protocol; and (d) promoting regional and international cooperation and coordination. The Action Plan covers the same period as the Implementation Plan, </w:t>
      </w:r>
      <w:r w:rsidR="007C7F52">
        <w:rPr>
          <w:snapToGrid w:val="0"/>
          <w:kern w:val="22"/>
          <w:szCs w:val="22"/>
        </w:rPr>
        <w:t xml:space="preserve">that is, </w:t>
      </w:r>
      <w:r w:rsidR="00631D4E" w:rsidRPr="006A5361">
        <w:rPr>
          <w:snapToGrid w:val="0"/>
          <w:kern w:val="22"/>
          <w:szCs w:val="22"/>
        </w:rPr>
        <w:t>up to 2030.</w:t>
      </w:r>
    </w:p>
    <w:p w14:paraId="3A3D9E1C" w14:textId="21179457" w:rsidR="00800AFE" w:rsidRPr="006A5361" w:rsidRDefault="00800AFE" w:rsidP="00B6543C">
      <w:pPr>
        <w:numPr>
          <w:ilvl w:val="0"/>
          <w:numId w:val="25"/>
        </w:numPr>
        <w:tabs>
          <w:tab w:val="left" w:pos="1170"/>
        </w:tabs>
        <w:ind w:left="540"/>
      </w:pPr>
      <w:r w:rsidRPr="006A5361">
        <w:t xml:space="preserve">A key area for capacity-building is addressing non-compliance issues identified by the Compliance Committee. The relevant full row of the </w:t>
      </w:r>
      <w:r w:rsidR="00545644" w:rsidRPr="006A5361">
        <w:t xml:space="preserve">Action </w:t>
      </w:r>
      <w:r w:rsidRPr="006A5361">
        <w:t>Plan is reproduced below</w:t>
      </w:r>
      <w:r w:rsidR="00E83AA4" w:rsidRPr="006A5361">
        <w:t>.</w:t>
      </w:r>
    </w:p>
    <w:p w14:paraId="68E76E6A" w14:textId="77777777" w:rsidR="00800AFE" w:rsidRPr="006A5361" w:rsidRDefault="00800AFE" w:rsidP="00800AFE"/>
    <w:tbl>
      <w:tblPr>
        <w:tblW w:w="909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43"/>
        <w:gridCol w:w="1843"/>
        <w:gridCol w:w="1843"/>
        <w:gridCol w:w="1842"/>
      </w:tblGrid>
      <w:tr w:rsidR="00800AFE" w:rsidRPr="006A5361" w14:paraId="02BA9321" w14:textId="77777777" w:rsidTr="00C8196A">
        <w:trPr>
          <w:cantSplit/>
        </w:trPr>
        <w:tc>
          <w:tcPr>
            <w:tcW w:w="1728" w:type="dxa"/>
            <w:shd w:val="clear" w:color="auto" w:fill="auto"/>
          </w:tcPr>
          <w:p w14:paraId="1183B4F9" w14:textId="12A9E488" w:rsidR="00800AFE" w:rsidRPr="00C8196A" w:rsidRDefault="00800AFE" w:rsidP="00C8196A">
            <w:pPr>
              <w:pStyle w:val="Para10"/>
              <w:keepNext/>
              <w:keepLines/>
              <w:numPr>
                <w:ilvl w:val="0"/>
                <w:numId w:val="0"/>
              </w:numPr>
              <w:tabs>
                <w:tab w:val="left" w:pos="0"/>
              </w:tabs>
              <w:spacing w:before="60" w:after="60"/>
              <w:jc w:val="left"/>
              <w:rPr>
                <w:rFonts w:eastAsia="Calibri"/>
                <w:i/>
                <w:iCs/>
                <w:lang w:val="en-GB"/>
              </w:rPr>
            </w:pPr>
            <w:r w:rsidRPr="00C8196A">
              <w:rPr>
                <w:rFonts w:eastAsia="Calibri"/>
                <w:i/>
                <w:iCs/>
                <w:lang w:val="en-GB"/>
              </w:rPr>
              <w:t>Goal</w:t>
            </w:r>
          </w:p>
        </w:tc>
        <w:tc>
          <w:tcPr>
            <w:tcW w:w="1843" w:type="dxa"/>
            <w:shd w:val="clear" w:color="auto" w:fill="auto"/>
          </w:tcPr>
          <w:p w14:paraId="04C26D7B" w14:textId="1AB1032F" w:rsidR="00800AFE" w:rsidRPr="00C8196A" w:rsidRDefault="00800AFE" w:rsidP="00C8196A">
            <w:pPr>
              <w:pStyle w:val="Para10"/>
              <w:keepNext/>
              <w:keepLines/>
              <w:numPr>
                <w:ilvl w:val="0"/>
                <w:numId w:val="0"/>
              </w:numPr>
              <w:tabs>
                <w:tab w:val="left" w:pos="0"/>
              </w:tabs>
              <w:spacing w:before="60" w:after="60"/>
              <w:jc w:val="left"/>
              <w:rPr>
                <w:rFonts w:eastAsia="Calibri"/>
                <w:i/>
                <w:iCs/>
                <w:lang w:val="en-GB"/>
              </w:rPr>
            </w:pPr>
            <w:r w:rsidRPr="00C8196A">
              <w:rPr>
                <w:rFonts w:eastAsia="Calibri"/>
                <w:i/>
                <w:iCs/>
                <w:lang w:val="en-GB"/>
              </w:rPr>
              <w:t>Key area for capacity-building</w:t>
            </w:r>
          </w:p>
        </w:tc>
        <w:tc>
          <w:tcPr>
            <w:tcW w:w="1843" w:type="dxa"/>
          </w:tcPr>
          <w:p w14:paraId="31EEC3ED" w14:textId="13D3EA62" w:rsidR="00800AFE" w:rsidRPr="00C8196A" w:rsidRDefault="00800AFE" w:rsidP="00C8196A">
            <w:pPr>
              <w:pStyle w:val="Para10"/>
              <w:keepNext/>
              <w:keepLines/>
              <w:numPr>
                <w:ilvl w:val="0"/>
                <w:numId w:val="0"/>
              </w:numPr>
              <w:tabs>
                <w:tab w:val="left" w:pos="0"/>
              </w:tabs>
              <w:spacing w:before="60" w:after="60"/>
              <w:jc w:val="left"/>
              <w:rPr>
                <w:rFonts w:eastAsia="Calibri"/>
                <w:i/>
                <w:iCs/>
                <w:lang w:val="en-GB"/>
              </w:rPr>
            </w:pPr>
            <w:r w:rsidRPr="00C8196A">
              <w:rPr>
                <w:rFonts w:eastAsia="Calibri"/>
                <w:i/>
                <w:iCs/>
                <w:lang w:val="en-GB"/>
              </w:rPr>
              <w:t>Capacity-building activit</w:t>
            </w:r>
            <w:r w:rsidR="0092401F" w:rsidRPr="00C8196A">
              <w:rPr>
                <w:rFonts w:eastAsia="Calibri"/>
                <w:i/>
                <w:iCs/>
                <w:lang w:val="en-GB"/>
              </w:rPr>
              <w:t>y</w:t>
            </w:r>
          </w:p>
        </w:tc>
        <w:tc>
          <w:tcPr>
            <w:tcW w:w="1843" w:type="dxa"/>
            <w:shd w:val="clear" w:color="auto" w:fill="auto"/>
          </w:tcPr>
          <w:p w14:paraId="2FDF3670" w14:textId="43D36FF1" w:rsidR="00800AFE" w:rsidRPr="00C8196A" w:rsidRDefault="00800AFE" w:rsidP="00C8196A">
            <w:pPr>
              <w:pStyle w:val="Para10"/>
              <w:keepNext/>
              <w:keepLines/>
              <w:numPr>
                <w:ilvl w:val="0"/>
                <w:numId w:val="0"/>
              </w:numPr>
              <w:tabs>
                <w:tab w:val="left" w:pos="0"/>
              </w:tabs>
              <w:spacing w:before="60" w:after="60"/>
              <w:jc w:val="left"/>
              <w:rPr>
                <w:rFonts w:eastAsia="Calibri"/>
                <w:i/>
                <w:iCs/>
                <w:lang w:val="en-GB"/>
              </w:rPr>
            </w:pPr>
            <w:r w:rsidRPr="00C8196A">
              <w:rPr>
                <w:rFonts w:eastAsia="Calibri"/>
                <w:i/>
                <w:iCs/>
                <w:lang w:val="en-GB"/>
              </w:rPr>
              <w:t>Indicator</w:t>
            </w:r>
          </w:p>
        </w:tc>
        <w:tc>
          <w:tcPr>
            <w:tcW w:w="1842" w:type="dxa"/>
            <w:shd w:val="clear" w:color="auto" w:fill="auto"/>
          </w:tcPr>
          <w:p w14:paraId="21382A46" w14:textId="217A4F30" w:rsidR="00800AFE" w:rsidRPr="00C8196A" w:rsidRDefault="00800AFE" w:rsidP="00C8196A">
            <w:pPr>
              <w:pStyle w:val="Para10"/>
              <w:keepNext/>
              <w:keepLines/>
              <w:numPr>
                <w:ilvl w:val="0"/>
                <w:numId w:val="0"/>
              </w:numPr>
              <w:tabs>
                <w:tab w:val="left" w:pos="0"/>
              </w:tabs>
              <w:spacing w:before="60" w:after="60"/>
              <w:jc w:val="left"/>
              <w:rPr>
                <w:rFonts w:eastAsia="Calibri"/>
                <w:i/>
                <w:iCs/>
                <w:lang w:val="en-GB"/>
              </w:rPr>
            </w:pPr>
            <w:r w:rsidRPr="00C8196A">
              <w:rPr>
                <w:rFonts w:eastAsia="Calibri"/>
                <w:i/>
                <w:iCs/>
                <w:lang w:val="en-GB"/>
              </w:rPr>
              <w:t>Outcome</w:t>
            </w:r>
          </w:p>
        </w:tc>
      </w:tr>
      <w:tr w:rsidR="00800AFE" w:rsidRPr="006A5361" w14:paraId="526E13CD" w14:textId="77777777" w:rsidTr="00C8196A">
        <w:trPr>
          <w:cantSplit/>
        </w:trPr>
        <w:tc>
          <w:tcPr>
            <w:tcW w:w="1728" w:type="dxa"/>
            <w:shd w:val="clear" w:color="auto" w:fill="auto"/>
          </w:tcPr>
          <w:p w14:paraId="4AAB0858" w14:textId="77777777" w:rsidR="00800AFE" w:rsidRPr="00C8196A" w:rsidRDefault="00800AFE" w:rsidP="00C8196A">
            <w:pPr>
              <w:pStyle w:val="Para10"/>
              <w:keepNext/>
              <w:keepLines/>
              <w:numPr>
                <w:ilvl w:val="0"/>
                <w:numId w:val="0"/>
              </w:numPr>
              <w:tabs>
                <w:tab w:val="left" w:pos="0"/>
              </w:tabs>
              <w:jc w:val="left"/>
              <w:rPr>
                <w:rFonts w:eastAsia="Calibri"/>
                <w:lang w:val="en-GB"/>
              </w:rPr>
            </w:pPr>
            <w:r w:rsidRPr="00C8196A">
              <w:rPr>
                <w:rFonts w:eastAsia="Calibri"/>
                <w:lang w:val="en-GB"/>
              </w:rPr>
              <w:t xml:space="preserve">A.4. Parties </w:t>
            </w:r>
            <w:proofErr w:type="gramStart"/>
            <w:r w:rsidRPr="00C8196A">
              <w:rPr>
                <w:rFonts w:eastAsia="Calibri"/>
                <w:lang w:val="en-GB"/>
              </w:rPr>
              <w:t>are in compliance with</w:t>
            </w:r>
            <w:proofErr w:type="gramEnd"/>
            <w:r w:rsidRPr="00C8196A">
              <w:rPr>
                <w:rFonts w:eastAsia="Calibri"/>
                <w:lang w:val="en-GB"/>
              </w:rPr>
              <w:t xml:space="preserve"> the requirements of the Protocol</w:t>
            </w:r>
          </w:p>
        </w:tc>
        <w:tc>
          <w:tcPr>
            <w:tcW w:w="1843" w:type="dxa"/>
            <w:shd w:val="clear" w:color="auto" w:fill="auto"/>
          </w:tcPr>
          <w:p w14:paraId="1E6BEA05" w14:textId="13C73FA9" w:rsidR="00800AFE" w:rsidRPr="00C8196A" w:rsidRDefault="00800AFE" w:rsidP="00C8196A">
            <w:pPr>
              <w:pStyle w:val="Para10"/>
              <w:keepNext/>
              <w:keepLines/>
              <w:numPr>
                <w:ilvl w:val="0"/>
                <w:numId w:val="0"/>
              </w:numPr>
              <w:tabs>
                <w:tab w:val="left" w:pos="0"/>
              </w:tabs>
              <w:jc w:val="left"/>
              <w:rPr>
                <w:rFonts w:eastAsia="Calibri"/>
                <w:lang w:val="en-GB"/>
              </w:rPr>
            </w:pPr>
            <w:r w:rsidRPr="00C8196A">
              <w:rPr>
                <w:lang w:val="en-GB"/>
              </w:rPr>
              <w:t>(1) Address non</w:t>
            </w:r>
            <w:r w:rsidR="006263BF" w:rsidRPr="00C8196A">
              <w:rPr>
                <w:lang w:val="en-GB"/>
              </w:rPr>
              <w:t>-</w:t>
            </w:r>
            <w:r w:rsidRPr="00C8196A">
              <w:rPr>
                <w:lang w:val="en-GB"/>
              </w:rPr>
              <w:t>compliance issues identified by the Compliance Committee.</w:t>
            </w:r>
          </w:p>
        </w:tc>
        <w:tc>
          <w:tcPr>
            <w:tcW w:w="1843" w:type="dxa"/>
          </w:tcPr>
          <w:p w14:paraId="2CFD8853" w14:textId="77777777" w:rsidR="00800AFE" w:rsidRPr="00C8196A" w:rsidRDefault="00800AFE" w:rsidP="00C8196A">
            <w:pPr>
              <w:pStyle w:val="Para10"/>
              <w:keepNext/>
              <w:keepLines/>
              <w:numPr>
                <w:ilvl w:val="0"/>
                <w:numId w:val="0"/>
              </w:numPr>
              <w:tabs>
                <w:tab w:val="left" w:pos="0"/>
              </w:tabs>
              <w:jc w:val="left"/>
              <w:rPr>
                <w:rFonts w:eastAsia="Calibri"/>
                <w:lang w:val="en-GB"/>
              </w:rPr>
            </w:pPr>
            <w:r w:rsidRPr="00C8196A">
              <w:rPr>
                <w:lang w:val="en-GB"/>
              </w:rPr>
              <w:t>(</w:t>
            </w:r>
            <w:proofErr w:type="spellStart"/>
            <w:r w:rsidRPr="00C8196A">
              <w:rPr>
                <w:lang w:val="en-GB"/>
              </w:rPr>
              <w:t>i</w:t>
            </w:r>
            <w:proofErr w:type="spellEnd"/>
            <w:r w:rsidRPr="00C8196A">
              <w:rPr>
                <w:lang w:val="en-GB"/>
              </w:rPr>
              <w:t>) Provide technical and adequate financial support for Parties concerned to carry out activities set out in compliance action plans, to address identified issues of non-compliance.</w:t>
            </w:r>
          </w:p>
        </w:tc>
        <w:tc>
          <w:tcPr>
            <w:tcW w:w="1843" w:type="dxa"/>
            <w:shd w:val="clear" w:color="auto" w:fill="auto"/>
          </w:tcPr>
          <w:p w14:paraId="2C4013FE" w14:textId="0BBFA5D8" w:rsidR="00800AFE" w:rsidRPr="00C8196A" w:rsidRDefault="00800AFE" w:rsidP="00C8196A">
            <w:pPr>
              <w:pStyle w:val="Para10"/>
              <w:keepNext/>
              <w:keepLines/>
              <w:numPr>
                <w:ilvl w:val="0"/>
                <w:numId w:val="0"/>
              </w:numPr>
              <w:tabs>
                <w:tab w:val="left" w:pos="0"/>
              </w:tabs>
              <w:jc w:val="left"/>
              <w:rPr>
                <w:rFonts w:eastAsia="Calibri"/>
                <w:lang w:val="en-GB"/>
              </w:rPr>
            </w:pPr>
            <w:r w:rsidRPr="00C8196A">
              <w:rPr>
                <w:lang w:val="en-GB"/>
              </w:rPr>
              <w:t xml:space="preserve">(a) Percentage of non-compliant Parties </w:t>
            </w:r>
            <w:proofErr w:type="gramStart"/>
            <w:r w:rsidRPr="00C8196A">
              <w:rPr>
                <w:lang w:val="en-GB"/>
              </w:rPr>
              <w:t>whose</w:t>
            </w:r>
            <w:proofErr w:type="gramEnd"/>
            <w:r w:rsidRPr="00C8196A">
              <w:rPr>
                <w:lang w:val="en-GB"/>
              </w:rPr>
              <w:t xml:space="preserve"> successfully executed compliance action plan resulted in full compliance.</w:t>
            </w:r>
          </w:p>
        </w:tc>
        <w:tc>
          <w:tcPr>
            <w:tcW w:w="1842" w:type="dxa"/>
            <w:shd w:val="clear" w:color="auto" w:fill="auto"/>
          </w:tcPr>
          <w:p w14:paraId="3F9501AD" w14:textId="44F5A290" w:rsidR="00800AFE" w:rsidRPr="006A5361" w:rsidRDefault="00800AFE" w:rsidP="00C8196A">
            <w:pPr>
              <w:pStyle w:val="Para10"/>
              <w:keepNext/>
              <w:keepLines/>
              <w:numPr>
                <w:ilvl w:val="0"/>
                <w:numId w:val="0"/>
              </w:numPr>
              <w:tabs>
                <w:tab w:val="left" w:pos="0"/>
              </w:tabs>
              <w:jc w:val="left"/>
            </w:pPr>
            <w:r w:rsidRPr="006A5361">
              <w:rPr>
                <w:lang w:val="en-GB"/>
              </w:rPr>
              <w:t>Effective compliance mechanism facilitates implementation of the Protocol</w:t>
            </w:r>
            <w:r w:rsidR="004C7BA1" w:rsidRPr="006A5361">
              <w:rPr>
                <w:lang w:val="en-GB"/>
              </w:rPr>
              <w:t>.</w:t>
            </w:r>
          </w:p>
        </w:tc>
      </w:tr>
    </w:tbl>
    <w:p w14:paraId="63FA8406" w14:textId="77777777" w:rsidR="00800AFE" w:rsidRPr="006A5361" w:rsidRDefault="00800AFE" w:rsidP="00800AFE">
      <w:pPr>
        <w:rPr>
          <w:highlight w:val="yellow"/>
        </w:rPr>
      </w:pPr>
    </w:p>
    <w:p w14:paraId="4E47941F" w14:textId="342E76B5" w:rsidR="00631D4E" w:rsidRPr="006A5361" w:rsidRDefault="00782AE8" w:rsidP="00B6543C">
      <w:pPr>
        <w:numPr>
          <w:ilvl w:val="0"/>
          <w:numId w:val="25"/>
        </w:numPr>
        <w:tabs>
          <w:tab w:val="left" w:pos="1080"/>
          <w:tab w:val="left" w:pos="1170"/>
          <w:tab w:val="left" w:pos="1260"/>
        </w:tabs>
        <w:spacing w:after="120"/>
        <w:ind w:left="540"/>
      </w:pPr>
      <w:r w:rsidRPr="006A5361">
        <w:t xml:space="preserve">In </w:t>
      </w:r>
      <w:r w:rsidR="00085D94" w:rsidRPr="006A5361">
        <w:t>the same</w:t>
      </w:r>
      <w:r w:rsidR="00631D4E" w:rsidRPr="006A5361">
        <w:t xml:space="preserve"> </w:t>
      </w:r>
      <w:r w:rsidRPr="006A5361">
        <w:rPr>
          <w:snapToGrid w:val="0"/>
          <w:kern w:val="22"/>
          <w:szCs w:val="22"/>
        </w:rPr>
        <w:t>d</w:t>
      </w:r>
      <w:r w:rsidR="00631D4E" w:rsidRPr="006A5361">
        <w:rPr>
          <w:snapToGrid w:val="0"/>
          <w:kern w:val="22"/>
          <w:szCs w:val="22"/>
        </w:rPr>
        <w:t>ecision</w:t>
      </w:r>
      <w:r w:rsidR="00085D94" w:rsidRPr="006A5361">
        <w:rPr>
          <w:snapToGrid w:val="0"/>
          <w:kern w:val="22"/>
          <w:szCs w:val="22"/>
        </w:rPr>
        <w:t>,</w:t>
      </w:r>
      <w:r w:rsidRPr="006A5361">
        <w:rPr>
          <w:snapToGrid w:val="0"/>
          <w:kern w:val="22"/>
          <w:szCs w:val="22"/>
        </w:rPr>
        <w:t xml:space="preserve"> the Conference</w:t>
      </w:r>
      <w:r w:rsidR="00234B4D" w:rsidRPr="006A5361">
        <w:rPr>
          <w:snapToGrid w:val="0"/>
          <w:kern w:val="22"/>
          <w:szCs w:val="22"/>
        </w:rPr>
        <w:t xml:space="preserve"> of the Parties serving as the meeting of the Parties to the Protocol</w:t>
      </w:r>
      <w:r w:rsidR="00631D4E" w:rsidRPr="006A5361">
        <w:rPr>
          <w:snapToGrid w:val="0"/>
          <w:kern w:val="22"/>
          <w:szCs w:val="22"/>
        </w:rPr>
        <w:t xml:space="preserve"> welcomed the </w:t>
      </w:r>
      <w:r w:rsidR="00894666">
        <w:rPr>
          <w:snapToGrid w:val="0"/>
          <w:kern w:val="22"/>
          <w:szCs w:val="22"/>
        </w:rPr>
        <w:t xml:space="preserve">adoption by the </w:t>
      </w:r>
      <w:r w:rsidR="00894666" w:rsidRPr="006A5361">
        <w:rPr>
          <w:snapToGrid w:val="0"/>
          <w:kern w:val="22"/>
          <w:szCs w:val="22"/>
        </w:rPr>
        <w:t xml:space="preserve">Conference of the Parties to the Convention in </w:t>
      </w:r>
      <w:r w:rsidR="00894666">
        <w:rPr>
          <w:snapToGrid w:val="0"/>
          <w:kern w:val="22"/>
          <w:szCs w:val="22"/>
        </w:rPr>
        <w:t xml:space="preserve">its </w:t>
      </w:r>
      <w:r w:rsidR="00894666" w:rsidRPr="001D297D">
        <w:t xml:space="preserve">decision </w:t>
      </w:r>
      <w:hyperlink r:id="rId22" w:history="1">
        <w:r w:rsidR="00894666" w:rsidRPr="006A5361">
          <w:rPr>
            <w:rStyle w:val="Hyperlink"/>
            <w:snapToGrid w:val="0"/>
            <w:kern w:val="22"/>
            <w:szCs w:val="22"/>
          </w:rPr>
          <w:t>15/8</w:t>
        </w:r>
      </w:hyperlink>
      <w:r w:rsidR="00894666">
        <w:rPr>
          <w:snapToGrid w:val="0"/>
          <w:kern w:val="22"/>
          <w:szCs w:val="22"/>
        </w:rPr>
        <w:t xml:space="preserve"> of the </w:t>
      </w:r>
      <w:r w:rsidR="00631D4E" w:rsidRPr="006A5361">
        <w:t>long-term strategic framework for capacity-building and development</w:t>
      </w:r>
      <w:r w:rsidR="00631D4E" w:rsidRPr="006A5361">
        <w:rPr>
          <w:snapToGrid w:val="0"/>
          <w:kern w:val="22"/>
          <w:szCs w:val="22"/>
        </w:rPr>
        <w:t xml:space="preserve"> and recognized the complementarity </w:t>
      </w:r>
      <w:r w:rsidR="00631D4E" w:rsidRPr="006A5361">
        <w:t xml:space="preserve">of the </w:t>
      </w:r>
      <w:r w:rsidR="00631D4E" w:rsidRPr="006A5361">
        <w:rPr>
          <w:snapToGrid w:val="0"/>
          <w:kern w:val="22"/>
          <w:szCs w:val="22"/>
        </w:rPr>
        <w:t>Capacity</w:t>
      </w:r>
      <w:r w:rsidR="00E433CF" w:rsidRPr="006A5361">
        <w:rPr>
          <w:snapToGrid w:val="0"/>
          <w:kern w:val="22"/>
          <w:szCs w:val="22"/>
        </w:rPr>
        <w:noBreakHyphen/>
      </w:r>
      <w:r w:rsidR="00631D4E" w:rsidRPr="006A5361">
        <w:rPr>
          <w:snapToGrid w:val="0"/>
          <w:kern w:val="22"/>
          <w:szCs w:val="22"/>
        </w:rPr>
        <w:t xml:space="preserve">building Action Plan </w:t>
      </w:r>
      <w:r w:rsidR="000A3589" w:rsidRPr="006A5361">
        <w:rPr>
          <w:snapToGrid w:val="0"/>
          <w:kern w:val="22"/>
          <w:szCs w:val="22"/>
        </w:rPr>
        <w:t>to</w:t>
      </w:r>
      <w:r w:rsidR="000A3589" w:rsidRPr="006A5361">
        <w:t xml:space="preserve"> </w:t>
      </w:r>
      <w:r w:rsidR="00631D4E" w:rsidRPr="006A5361">
        <w:t>the long-term strategic framework</w:t>
      </w:r>
      <w:r w:rsidR="00640B56" w:rsidRPr="006A5361">
        <w:t>.</w:t>
      </w:r>
    </w:p>
    <w:p w14:paraId="0427B971" w14:textId="38516738" w:rsidR="00545644" w:rsidRPr="006A5361" w:rsidRDefault="00221BC3" w:rsidP="00545644">
      <w:pPr>
        <w:pStyle w:val="Heading2"/>
      </w:pPr>
      <w:r w:rsidRPr="006A5361">
        <w:t xml:space="preserve">Decision </w:t>
      </w:r>
      <w:r w:rsidR="00086066" w:rsidRPr="006A5361">
        <w:t xml:space="preserve">15/15 </w:t>
      </w:r>
      <w:r w:rsidRPr="006A5361">
        <w:t xml:space="preserve">of the Conference of the Parties </w:t>
      </w:r>
      <w:r w:rsidR="00101503" w:rsidRPr="006A5361">
        <w:t>to the Convention</w:t>
      </w:r>
      <w:r w:rsidR="00276D98" w:rsidRPr="006A5361">
        <w:t>,</w:t>
      </w:r>
      <w:r w:rsidR="007122F0" w:rsidRPr="006A5361">
        <w:t xml:space="preserve"> </w:t>
      </w:r>
      <w:r w:rsidRPr="006A5361">
        <w:t>on the f</w:t>
      </w:r>
      <w:r w:rsidR="00545644" w:rsidRPr="006A5361">
        <w:t>inancial mechanism</w:t>
      </w:r>
    </w:p>
    <w:p w14:paraId="24CC69FD" w14:textId="0BE23E4C" w:rsidR="00C264A2" w:rsidRPr="006A5361" w:rsidRDefault="0092401F" w:rsidP="00B6543C">
      <w:pPr>
        <w:numPr>
          <w:ilvl w:val="0"/>
          <w:numId w:val="25"/>
        </w:numPr>
        <w:tabs>
          <w:tab w:val="left" w:pos="1260"/>
        </w:tabs>
        <w:spacing w:before="120"/>
        <w:ind w:left="540"/>
      </w:pPr>
      <w:r w:rsidRPr="006A5361">
        <w:t>Through decision 15/15, t</w:t>
      </w:r>
      <w:r w:rsidR="00800AFE" w:rsidRPr="006A5361">
        <w:t xml:space="preserve">he Conference of the Parties </w:t>
      </w:r>
      <w:r w:rsidR="00313E59" w:rsidRPr="006A5361">
        <w:t xml:space="preserve">to the Convention </w:t>
      </w:r>
      <w:r w:rsidR="00800AFE" w:rsidRPr="006A5361">
        <w:t xml:space="preserve">adopted guidance </w:t>
      </w:r>
      <w:r w:rsidR="00970D2B">
        <w:t xml:space="preserve">for </w:t>
      </w:r>
      <w:r w:rsidR="00855468" w:rsidRPr="006A5361">
        <w:t>GEF</w:t>
      </w:r>
      <w:r w:rsidR="003E7D2B" w:rsidRPr="006A5361">
        <w:t>.</w:t>
      </w:r>
      <w:r w:rsidR="00800AFE" w:rsidRPr="006A5361">
        <w:rPr>
          <w:rStyle w:val="FootnoteReference"/>
        </w:rPr>
        <w:footnoteReference w:id="7"/>
      </w:r>
      <w:r w:rsidR="00C264A2" w:rsidRPr="006A5361">
        <w:t xml:space="preserve"> It</w:t>
      </w:r>
      <w:r w:rsidR="00800AFE" w:rsidRPr="006A5361">
        <w:t xml:space="preserve"> indicat</w:t>
      </w:r>
      <w:r w:rsidR="00C264A2" w:rsidRPr="006A5361">
        <w:t>ed</w:t>
      </w:r>
      <w:r w:rsidR="00800AFE" w:rsidRPr="006A5361">
        <w:t xml:space="preserve"> key areas where financial resources should be provided to developing country Parties, </w:t>
      </w:r>
      <w:proofErr w:type="gramStart"/>
      <w:r w:rsidR="00800AFE" w:rsidRPr="006A5361">
        <w:t>taking into account</w:t>
      </w:r>
      <w:proofErr w:type="gramEnd"/>
      <w:r w:rsidR="00800AFE" w:rsidRPr="006A5361">
        <w:t xml:space="preserve"> the special needs of least developed countries and small island developing States, as well as Parties with economies in transition, for country-driven activities and programmes. Key areas for implementation of the Cartagena Protocol were identified in relation to Article 19 </w:t>
      </w:r>
      <w:r w:rsidRPr="006A5361">
        <w:t>of the Convention</w:t>
      </w:r>
      <w:r w:rsidR="00C46A67" w:rsidRPr="006A5361">
        <w:t>,</w:t>
      </w:r>
      <w:r w:rsidRPr="006A5361">
        <w:t xml:space="preserve"> </w:t>
      </w:r>
      <w:r w:rsidR="00C46A67" w:rsidRPr="006A5361">
        <w:t xml:space="preserve">on the </w:t>
      </w:r>
      <w:r w:rsidR="00800AFE" w:rsidRPr="006A5361">
        <w:t xml:space="preserve">handling of biotechnology and distribution of its benefits. </w:t>
      </w:r>
    </w:p>
    <w:p w14:paraId="0D68E729" w14:textId="556B7B4E" w:rsidR="00800AFE" w:rsidRPr="006A5361" w:rsidRDefault="00C264A2" w:rsidP="0009186C">
      <w:pPr>
        <w:numPr>
          <w:ilvl w:val="0"/>
          <w:numId w:val="25"/>
        </w:numPr>
        <w:tabs>
          <w:tab w:val="left" w:pos="1260"/>
        </w:tabs>
        <w:spacing w:before="120"/>
        <w:ind w:left="540"/>
      </w:pPr>
      <w:r w:rsidRPr="006A5361">
        <w:t xml:space="preserve">The Implementation Plan and the Capacity-building Action Plan for the Cartagena Protocol were specifically </w:t>
      </w:r>
      <w:r w:rsidR="00CC6695" w:rsidRPr="006A5361">
        <w:t>noted</w:t>
      </w:r>
      <w:r w:rsidRPr="006A5361">
        <w:t xml:space="preserve"> as elements to which effective implementation support </w:t>
      </w:r>
      <w:r w:rsidR="000B0A4F" w:rsidRPr="006A5361">
        <w:t>w</w:t>
      </w:r>
      <w:r w:rsidR="00801038">
        <w:t>as</w:t>
      </w:r>
      <w:r w:rsidR="005365A4" w:rsidRPr="006A5361">
        <w:t xml:space="preserve"> to </w:t>
      </w:r>
      <w:r w:rsidRPr="006A5361">
        <w:t xml:space="preserve">be provided in the four-year outcome-oriented framework of programme priorities of the Convention for the eighth replenishment period (2022–2026) of the </w:t>
      </w:r>
      <w:r w:rsidR="000B0A4F" w:rsidRPr="006A5361">
        <w:t>GEF</w:t>
      </w:r>
      <w:r w:rsidRPr="006A5361">
        <w:t xml:space="preserve"> Trust Fund.</w:t>
      </w:r>
      <w:r w:rsidRPr="006A5361">
        <w:rPr>
          <w:rStyle w:val="FootnoteReference"/>
        </w:rPr>
        <w:footnoteReference w:id="8"/>
      </w:r>
      <w:r w:rsidRPr="006A5361">
        <w:t xml:space="preserve"> </w:t>
      </w:r>
      <w:r w:rsidR="00855468" w:rsidRPr="006A5361">
        <w:t>Support for the i</w:t>
      </w:r>
      <w:r w:rsidRPr="006A5361">
        <w:t>mplement</w:t>
      </w:r>
      <w:r w:rsidR="006E46AB" w:rsidRPr="006A5361">
        <w:t xml:space="preserve">ation of the </w:t>
      </w:r>
      <w:r w:rsidRPr="006A5361">
        <w:t xml:space="preserve">Cartagena </w:t>
      </w:r>
      <w:r w:rsidR="00855468" w:rsidRPr="006A5361">
        <w:t>P</w:t>
      </w:r>
      <w:r w:rsidRPr="006A5361">
        <w:t>rotocol</w:t>
      </w:r>
      <w:r w:rsidR="006E46AB" w:rsidRPr="006A5361">
        <w:t xml:space="preserve"> </w:t>
      </w:r>
      <w:r w:rsidR="00855468" w:rsidRPr="006A5361">
        <w:t>is</w:t>
      </w:r>
      <w:r w:rsidR="006E46AB" w:rsidRPr="006A5361">
        <w:t xml:space="preserve"> included</w:t>
      </w:r>
      <w:r w:rsidR="00CC6695" w:rsidRPr="006A5361">
        <w:t xml:space="preserve"> </w:t>
      </w:r>
      <w:r w:rsidR="00855468" w:rsidRPr="006A5361">
        <w:t>in</w:t>
      </w:r>
      <w:r w:rsidR="00CC6695" w:rsidRPr="006A5361">
        <w:t xml:space="preserve"> the second objective of the </w:t>
      </w:r>
      <w:r w:rsidR="00942519" w:rsidRPr="006A5361">
        <w:t>GEF b</w:t>
      </w:r>
      <w:r w:rsidR="00CC6695" w:rsidRPr="006A5361">
        <w:t xml:space="preserve">iodiversity </w:t>
      </w:r>
      <w:r w:rsidR="00942519" w:rsidRPr="006A5361">
        <w:t>f</w:t>
      </w:r>
      <w:r w:rsidR="00CC6695" w:rsidRPr="006A5361">
        <w:t xml:space="preserve">ocal </w:t>
      </w:r>
      <w:r w:rsidR="00942519" w:rsidRPr="006A5361">
        <w:t>a</w:t>
      </w:r>
      <w:r w:rsidR="00CC6695" w:rsidRPr="006A5361">
        <w:t>rea strategy</w:t>
      </w:r>
      <w:r w:rsidR="00942519" w:rsidRPr="006A5361">
        <w:t>.</w:t>
      </w:r>
      <w:r w:rsidRPr="006A5361">
        <w:rPr>
          <w:rStyle w:val="FootnoteReference"/>
        </w:rPr>
        <w:footnoteReference w:id="9"/>
      </w:r>
    </w:p>
    <w:p w14:paraId="69579E3E" w14:textId="176642D8" w:rsidR="00285A4A" w:rsidRPr="00C8196A" w:rsidRDefault="00545644" w:rsidP="00C8196A">
      <w:pPr>
        <w:pStyle w:val="Heading1"/>
        <w:ind w:left="567" w:hanging="567"/>
        <w:rPr>
          <w:lang w:val="en-GB"/>
        </w:rPr>
      </w:pPr>
      <w:r w:rsidRPr="00C8196A">
        <w:rPr>
          <w:lang w:val="en-GB"/>
        </w:rPr>
        <w:t xml:space="preserve">Proposed workplan for the Compliance Committee for the period prior to the eleventh meeting of the Conference of the Parties serving as the meeting of the Parties to the </w:t>
      </w:r>
      <w:r w:rsidR="007D076D" w:rsidRPr="00C8196A">
        <w:rPr>
          <w:lang w:val="en-GB"/>
        </w:rPr>
        <w:t xml:space="preserve">Cartagena </w:t>
      </w:r>
      <w:r w:rsidRPr="00C8196A">
        <w:rPr>
          <w:lang w:val="en-GB"/>
        </w:rPr>
        <w:t>Protocol</w:t>
      </w:r>
    </w:p>
    <w:p w14:paraId="337D0866" w14:textId="0D62EBA4" w:rsidR="00545644" w:rsidRPr="00C8196A" w:rsidRDefault="00200C26" w:rsidP="00482F84">
      <w:pPr>
        <w:pStyle w:val="Para1"/>
        <w:numPr>
          <w:ilvl w:val="0"/>
          <w:numId w:val="24"/>
        </w:numPr>
        <w:tabs>
          <w:tab w:val="clear" w:pos="360"/>
          <w:tab w:val="left" w:pos="1260"/>
        </w:tabs>
        <w:ind w:left="540"/>
        <w:jc w:val="both"/>
        <w:rPr>
          <w:kern w:val="22"/>
          <w:sz w:val="22"/>
          <w:szCs w:val="22"/>
          <w:lang w:val="en-GB"/>
        </w:rPr>
      </w:pPr>
      <w:r w:rsidRPr="00C8196A">
        <w:rPr>
          <w:kern w:val="22"/>
          <w:sz w:val="22"/>
          <w:szCs w:val="22"/>
          <w:lang w:val="en-GB"/>
        </w:rPr>
        <w:t>A</w:t>
      </w:r>
      <w:r w:rsidR="00545644" w:rsidRPr="00C8196A">
        <w:rPr>
          <w:kern w:val="22"/>
          <w:sz w:val="22"/>
          <w:szCs w:val="22"/>
          <w:lang w:val="en-GB"/>
        </w:rPr>
        <w:t>t its eighth meeting</w:t>
      </w:r>
      <w:r w:rsidRPr="00C8196A">
        <w:rPr>
          <w:kern w:val="22"/>
          <w:sz w:val="22"/>
          <w:szCs w:val="22"/>
          <w:lang w:val="en-GB"/>
        </w:rPr>
        <w:t>,</w:t>
      </w:r>
      <w:r w:rsidR="00545644" w:rsidRPr="00C8196A">
        <w:rPr>
          <w:kern w:val="22"/>
          <w:sz w:val="22"/>
          <w:szCs w:val="22"/>
          <w:lang w:val="en-GB"/>
        </w:rPr>
        <w:t xml:space="preserve"> </w:t>
      </w:r>
      <w:r w:rsidRPr="00C8196A">
        <w:rPr>
          <w:kern w:val="22"/>
          <w:sz w:val="22"/>
          <w:szCs w:val="22"/>
          <w:lang w:val="en-GB"/>
        </w:rPr>
        <w:t xml:space="preserve">the Compliance Committee </w:t>
      </w:r>
      <w:r w:rsidR="00545644" w:rsidRPr="00C8196A">
        <w:rPr>
          <w:kern w:val="22"/>
          <w:sz w:val="22"/>
          <w:szCs w:val="22"/>
          <w:lang w:val="en-GB"/>
        </w:rPr>
        <w:t>agreed on the organization of work as set out in the figure below, noting that th</w:t>
      </w:r>
      <w:r w:rsidR="00D97727">
        <w:rPr>
          <w:kern w:val="22"/>
          <w:sz w:val="22"/>
          <w:szCs w:val="22"/>
          <w:lang w:val="en-GB"/>
        </w:rPr>
        <w:t>e</w:t>
      </w:r>
      <w:r w:rsidR="00545644" w:rsidRPr="00C8196A">
        <w:rPr>
          <w:kern w:val="22"/>
          <w:sz w:val="22"/>
          <w:szCs w:val="22"/>
          <w:lang w:val="en-GB"/>
        </w:rPr>
        <w:t xml:space="preserve"> organization of work was intended to complement any workplan or existing arrangement for the consideration of specific items by the Committee.</w:t>
      </w:r>
      <w:r w:rsidR="00222DDF" w:rsidRPr="00C8196A">
        <w:rPr>
          <w:rStyle w:val="FootnoteReference"/>
          <w:kern w:val="22"/>
          <w:sz w:val="22"/>
          <w:szCs w:val="22"/>
          <w:lang w:val="en-GB"/>
        </w:rPr>
        <w:footnoteReference w:id="10"/>
      </w:r>
    </w:p>
    <w:p w14:paraId="5EB80460" w14:textId="0EDCE56C" w:rsidR="00545644" w:rsidRPr="00C8196A" w:rsidRDefault="00CC79F3" w:rsidP="00482F84">
      <w:pPr>
        <w:pStyle w:val="Para1"/>
        <w:numPr>
          <w:ilvl w:val="0"/>
          <w:numId w:val="24"/>
        </w:numPr>
        <w:tabs>
          <w:tab w:val="clear" w:pos="360"/>
          <w:tab w:val="num" w:pos="630"/>
          <w:tab w:val="left" w:pos="810"/>
          <w:tab w:val="left" w:pos="1260"/>
        </w:tabs>
        <w:ind w:left="540"/>
        <w:jc w:val="both"/>
        <w:rPr>
          <w:kern w:val="22"/>
          <w:sz w:val="22"/>
          <w:szCs w:val="22"/>
          <w:lang w:val="en-GB"/>
        </w:rPr>
      </w:pPr>
      <w:r>
        <w:rPr>
          <w:kern w:val="22"/>
          <w:sz w:val="22"/>
          <w:szCs w:val="22"/>
          <w:lang w:val="en-GB"/>
        </w:rPr>
        <w:t>T</w:t>
      </w:r>
      <w:r w:rsidR="00545644" w:rsidRPr="00C8196A">
        <w:rPr>
          <w:kern w:val="22"/>
          <w:sz w:val="22"/>
          <w:szCs w:val="22"/>
          <w:lang w:val="en-GB"/>
        </w:rPr>
        <w:t xml:space="preserve">he </w:t>
      </w:r>
      <w:r w:rsidR="00604CBA" w:rsidRPr="00C8196A">
        <w:rPr>
          <w:kern w:val="22"/>
          <w:sz w:val="22"/>
          <w:szCs w:val="22"/>
          <w:lang w:val="en-GB"/>
        </w:rPr>
        <w:t xml:space="preserve">Compliance </w:t>
      </w:r>
      <w:r w:rsidR="00545644" w:rsidRPr="00C8196A">
        <w:rPr>
          <w:kern w:val="22"/>
          <w:sz w:val="22"/>
          <w:szCs w:val="22"/>
          <w:lang w:val="en-GB"/>
        </w:rPr>
        <w:t xml:space="preserve">Committee </w:t>
      </w:r>
      <w:r w:rsidR="003641B9" w:rsidRPr="00C8196A">
        <w:rPr>
          <w:kern w:val="22"/>
          <w:sz w:val="22"/>
          <w:szCs w:val="22"/>
          <w:lang w:val="en-GB"/>
        </w:rPr>
        <w:t>is</w:t>
      </w:r>
      <w:r w:rsidR="00545644" w:rsidRPr="00C8196A">
        <w:rPr>
          <w:kern w:val="22"/>
          <w:sz w:val="22"/>
          <w:szCs w:val="22"/>
          <w:lang w:val="en-GB"/>
        </w:rPr>
        <w:t xml:space="preserve"> </w:t>
      </w:r>
      <w:r w:rsidR="00092BE2">
        <w:rPr>
          <w:kern w:val="22"/>
          <w:sz w:val="22"/>
          <w:szCs w:val="22"/>
          <w:lang w:val="en-GB"/>
        </w:rPr>
        <w:t xml:space="preserve">currently </w:t>
      </w:r>
      <w:r w:rsidR="00545644" w:rsidRPr="00C8196A">
        <w:rPr>
          <w:kern w:val="22"/>
          <w:sz w:val="22"/>
          <w:szCs w:val="22"/>
          <w:lang w:val="en-GB"/>
        </w:rPr>
        <w:t xml:space="preserve">at step 6 of </w:t>
      </w:r>
      <w:r w:rsidR="009B0B85">
        <w:rPr>
          <w:kern w:val="22"/>
          <w:sz w:val="22"/>
          <w:szCs w:val="22"/>
          <w:lang w:val="en-GB"/>
        </w:rPr>
        <w:t>its</w:t>
      </w:r>
      <w:r w:rsidR="009B0B85" w:rsidRPr="00C8196A">
        <w:rPr>
          <w:kern w:val="22"/>
          <w:sz w:val="22"/>
          <w:szCs w:val="22"/>
          <w:lang w:val="en-GB"/>
        </w:rPr>
        <w:t xml:space="preserve"> </w:t>
      </w:r>
      <w:r w:rsidR="00545644" w:rsidRPr="00C8196A">
        <w:rPr>
          <w:kern w:val="22"/>
          <w:sz w:val="22"/>
          <w:szCs w:val="22"/>
          <w:lang w:val="en-GB"/>
        </w:rPr>
        <w:t xml:space="preserve">cyclical organization of work </w:t>
      </w:r>
      <w:r w:rsidR="00A15D71" w:rsidRPr="00D37105">
        <w:rPr>
          <w:kern w:val="22"/>
          <w:sz w:val="22"/>
          <w:szCs w:val="22"/>
          <w:lang w:val="en-GB"/>
        </w:rPr>
        <w:t xml:space="preserve">and will </w:t>
      </w:r>
      <w:r w:rsidR="00A15D71">
        <w:rPr>
          <w:kern w:val="22"/>
          <w:sz w:val="22"/>
          <w:szCs w:val="22"/>
          <w:lang w:val="en-GB"/>
        </w:rPr>
        <w:t xml:space="preserve">be at </w:t>
      </w:r>
      <w:r w:rsidR="00A15D71" w:rsidRPr="00D37105">
        <w:rPr>
          <w:kern w:val="22"/>
          <w:sz w:val="22"/>
          <w:szCs w:val="22"/>
          <w:lang w:val="en-GB"/>
        </w:rPr>
        <w:t xml:space="preserve">step 7 </w:t>
      </w:r>
      <w:r w:rsidR="00A15D71">
        <w:rPr>
          <w:kern w:val="22"/>
          <w:sz w:val="22"/>
          <w:szCs w:val="22"/>
          <w:lang w:val="en-GB"/>
        </w:rPr>
        <w:t xml:space="preserve">by the time of </w:t>
      </w:r>
      <w:r w:rsidR="00545644" w:rsidRPr="00C8196A">
        <w:rPr>
          <w:kern w:val="22"/>
          <w:sz w:val="22"/>
          <w:szCs w:val="22"/>
          <w:lang w:val="en-GB"/>
        </w:rPr>
        <w:t>its nineteenth meeting</w:t>
      </w:r>
      <w:r w:rsidR="00B55904" w:rsidRPr="00C8196A">
        <w:rPr>
          <w:kern w:val="22"/>
          <w:sz w:val="22"/>
          <w:szCs w:val="22"/>
          <w:lang w:val="en-GB"/>
        </w:rPr>
        <w:t>.</w:t>
      </w:r>
    </w:p>
    <w:p w14:paraId="05F1AB1F" w14:textId="31080411" w:rsidR="00482F84" w:rsidRPr="00C8196A" w:rsidRDefault="00482F84" w:rsidP="00482F84">
      <w:pPr>
        <w:pStyle w:val="Para1"/>
        <w:numPr>
          <w:ilvl w:val="0"/>
          <w:numId w:val="0"/>
        </w:numPr>
        <w:tabs>
          <w:tab w:val="left" w:pos="810"/>
          <w:tab w:val="left" w:pos="1260"/>
        </w:tabs>
        <w:ind w:left="270"/>
        <w:jc w:val="both"/>
        <w:rPr>
          <w:kern w:val="22"/>
          <w:szCs w:val="22"/>
          <w:lang w:val="en-GB"/>
        </w:rPr>
      </w:pPr>
      <w:r w:rsidRPr="00C8196A">
        <w:rPr>
          <w:noProof/>
          <w:snapToGrid/>
          <w:kern w:val="22"/>
          <w:szCs w:val="22"/>
          <w:lang w:val="en-GB"/>
        </w:rPr>
        <w:drawing>
          <wp:inline distT="0" distB="0" distL="0" distR="0" wp14:anchorId="233E7D6F" wp14:editId="6105A7EC">
            <wp:extent cx="5873750" cy="459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73750" cy="4597400"/>
                    </a:xfrm>
                    <a:prstGeom prst="rect">
                      <a:avLst/>
                    </a:prstGeom>
                    <a:noFill/>
                    <a:ln>
                      <a:noFill/>
                    </a:ln>
                  </pic:spPr>
                </pic:pic>
              </a:graphicData>
            </a:graphic>
          </wp:inline>
        </w:drawing>
      </w:r>
    </w:p>
    <w:p w14:paraId="64F72823" w14:textId="748C5D95" w:rsidR="00482F84" w:rsidRPr="00C8196A" w:rsidRDefault="00482F84" w:rsidP="00C8196A">
      <w:pPr>
        <w:pStyle w:val="Para1"/>
        <w:keepNext/>
        <w:keepLines/>
        <w:numPr>
          <w:ilvl w:val="0"/>
          <w:numId w:val="24"/>
        </w:numPr>
        <w:tabs>
          <w:tab w:val="clear" w:pos="360"/>
          <w:tab w:val="num" w:pos="630"/>
          <w:tab w:val="left" w:pos="1134"/>
        </w:tabs>
        <w:ind w:left="540"/>
        <w:jc w:val="both"/>
        <w:rPr>
          <w:kern w:val="22"/>
          <w:sz w:val="22"/>
          <w:szCs w:val="22"/>
          <w:lang w:val="en-GB"/>
        </w:rPr>
      </w:pPr>
      <w:bookmarkStart w:id="6" w:name="_Hlk138245592"/>
      <w:r w:rsidRPr="00C8196A">
        <w:rPr>
          <w:kern w:val="22"/>
          <w:sz w:val="22"/>
          <w:szCs w:val="22"/>
          <w:lang w:val="en-GB"/>
        </w:rPr>
        <w:t xml:space="preserve">Accordingly, and </w:t>
      </w:r>
      <w:r w:rsidR="00154248">
        <w:rPr>
          <w:kern w:val="22"/>
          <w:sz w:val="22"/>
          <w:szCs w:val="22"/>
          <w:lang w:val="en-GB"/>
        </w:rPr>
        <w:t>in view of</w:t>
      </w:r>
      <w:r w:rsidRPr="00C8196A">
        <w:rPr>
          <w:kern w:val="22"/>
          <w:sz w:val="22"/>
          <w:szCs w:val="22"/>
          <w:lang w:val="en-GB"/>
        </w:rPr>
        <w:t xml:space="preserve"> the outcomes of the tenth meeting</w:t>
      </w:r>
      <w:r w:rsidR="00294586" w:rsidRPr="00C8196A">
        <w:rPr>
          <w:kern w:val="22"/>
          <w:sz w:val="22"/>
          <w:szCs w:val="22"/>
          <w:lang w:val="en-GB"/>
        </w:rPr>
        <w:t>,</w:t>
      </w:r>
      <w:r w:rsidRPr="00C8196A">
        <w:rPr>
          <w:kern w:val="22"/>
          <w:sz w:val="22"/>
          <w:szCs w:val="22"/>
          <w:lang w:val="en-GB"/>
        </w:rPr>
        <w:t xml:space="preserve"> as reviewed above, the following </w:t>
      </w:r>
      <w:r w:rsidRPr="00C8196A">
        <w:rPr>
          <w:kern w:val="18"/>
          <w:sz w:val="22"/>
          <w:szCs w:val="22"/>
          <w:lang w:val="en-GB"/>
        </w:rPr>
        <w:t xml:space="preserve">items have been </w:t>
      </w:r>
      <w:r w:rsidR="004D732C" w:rsidRPr="00C8196A">
        <w:rPr>
          <w:kern w:val="18"/>
          <w:sz w:val="22"/>
          <w:szCs w:val="22"/>
          <w:lang w:val="en-GB"/>
        </w:rPr>
        <w:t>included in</w:t>
      </w:r>
      <w:r w:rsidRPr="00C8196A">
        <w:rPr>
          <w:kern w:val="18"/>
          <w:sz w:val="22"/>
          <w:szCs w:val="22"/>
          <w:lang w:val="en-GB"/>
        </w:rPr>
        <w:t xml:space="preserve"> the provisional agenda </w:t>
      </w:r>
      <w:r w:rsidR="00294586" w:rsidRPr="00C8196A">
        <w:rPr>
          <w:kern w:val="18"/>
          <w:sz w:val="22"/>
          <w:szCs w:val="22"/>
          <w:lang w:val="en-GB"/>
        </w:rPr>
        <w:t xml:space="preserve">of </w:t>
      </w:r>
      <w:r w:rsidRPr="00C8196A">
        <w:rPr>
          <w:kern w:val="18"/>
          <w:sz w:val="22"/>
          <w:szCs w:val="22"/>
          <w:lang w:val="en-GB"/>
        </w:rPr>
        <w:t xml:space="preserve">the </w:t>
      </w:r>
      <w:r w:rsidR="00294586" w:rsidRPr="00C8196A">
        <w:rPr>
          <w:kern w:val="18"/>
          <w:sz w:val="22"/>
          <w:szCs w:val="22"/>
          <w:lang w:val="en-GB"/>
        </w:rPr>
        <w:t xml:space="preserve">present </w:t>
      </w:r>
      <w:r w:rsidRPr="00C8196A">
        <w:rPr>
          <w:kern w:val="18"/>
          <w:sz w:val="22"/>
          <w:szCs w:val="22"/>
          <w:lang w:val="en-GB"/>
        </w:rPr>
        <w:t>meeting:</w:t>
      </w:r>
      <w:r w:rsidRPr="00C8196A">
        <w:rPr>
          <w:kern w:val="22"/>
          <w:sz w:val="22"/>
          <w:szCs w:val="22"/>
          <w:lang w:val="en-GB"/>
        </w:rPr>
        <w:t xml:space="preserve"> </w:t>
      </w:r>
      <w:bookmarkEnd w:id="6"/>
    </w:p>
    <w:p w14:paraId="78CBB2E8" w14:textId="6D90ACD5" w:rsidR="00482F84" w:rsidRPr="00C8196A" w:rsidRDefault="0080690F" w:rsidP="00F22FCB">
      <w:pPr>
        <w:pStyle w:val="Para2"/>
        <w:ind w:left="567" w:firstLine="567"/>
        <w:rPr>
          <w:snapToGrid w:val="0"/>
          <w:lang w:val="en-GB"/>
        </w:rPr>
      </w:pPr>
      <w:r w:rsidRPr="00C8196A">
        <w:rPr>
          <w:snapToGrid w:val="0"/>
          <w:lang w:val="en-GB"/>
        </w:rPr>
        <w:t>Outcomes</w:t>
      </w:r>
      <w:r w:rsidR="00482F84" w:rsidRPr="00C8196A">
        <w:rPr>
          <w:snapToGrid w:val="0"/>
          <w:lang w:val="en-GB"/>
        </w:rPr>
        <w:t xml:space="preserve"> of the </w:t>
      </w:r>
      <w:r w:rsidRPr="00C8196A">
        <w:rPr>
          <w:snapToGrid w:val="0"/>
          <w:lang w:val="en-GB"/>
        </w:rPr>
        <w:t xml:space="preserve">tenth meeting of the </w:t>
      </w:r>
      <w:r w:rsidR="00482F84" w:rsidRPr="00C8196A">
        <w:rPr>
          <w:snapToGrid w:val="0"/>
          <w:lang w:val="en-GB"/>
        </w:rPr>
        <w:t xml:space="preserve">Conference of the Parties serving as the meeting of the Parties </w:t>
      </w:r>
      <w:r w:rsidR="00426F47" w:rsidRPr="00C8196A">
        <w:rPr>
          <w:snapToGrid w:val="0"/>
          <w:lang w:val="en-GB"/>
        </w:rPr>
        <w:t xml:space="preserve">to the </w:t>
      </w:r>
      <w:r w:rsidR="00B20E48" w:rsidRPr="00C8196A">
        <w:rPr>
          <w:snapToGrid w:val="0"/>
          <w:lang w:val="en-GB"/>
        </w:rPr>
        <w:t xml:space="preserve">Cartagena </w:t>
      </w:r>
      <w:r w:rsidR="00426F47" w:rsidRPr="00C8196A">
        <w:rPr>
          <w:snapToGrid w:val="0"/>
          <w:lang w:val="en-GB"/>
        </w:rPr>
        <w:t xml:space="preserve">Protocol </w:t>
      </w:r>
      <w:r w:rsidRPr="00C8196A">
        <w:rPr>
          <w:snapToGrid w:val="0"/>
          <w:lang w:val="en-GB"/>
        </w:rPr>
        <w:t xml:space="preserve">regarding items relevant </w:t>
      </w:r>
      <w:r w:rsidR="00482F84" w:rsidRPr="00C8196A">
        <w:rPr>
          <w:snapToGrid w:val="0"/>
          <w:lang w:val="en-GB"/>
        </w:rPr>
        <w:t>to compliance</w:t>
      </w:r>
      <w:r w:rsidR="00E83E32" w:rsidRPr="00C8196A">
        <w:rPr>
          <w:snapToGrid w:val="0"/>
          <w:lang w:val="en-GB"/>
        </w:rPr>
        <w:t xml:space="preserve"> (item 3</w:t>
      </w:r>
      <w:proofErr w:type="gramStart"/>
      <w:r w:rsidR="00E83E32" w:rsidRPr="00C8196A">
        <w:rPr>
          <w:snapToGrid w:val="0"/>
          <w:lang w:val="en-GB"/>
        </w:rPr>
        <w:t>)</w:t>
      </w:r>
      <w:r w:rsidR="00482F84" w:rsidRPr="00C8196A">
        <w:rPr>
          <w:snapToGrid w:val="0"/>
          <w:lang w:val="en-GB"/>
        </w:rPr>
        <w:t>;</w:t>
      </w:r>
      <w:proofErr w:type="gramEnd"/>
    </w:p>
    <w:p w14:paraId="399B7993" w14:textId="7DB14762" w:rsidR="00482F84" w:rsidRPr="00C8196A" w:rsidRDefault="00FB3E2F" w:rsidP="00F22FCB">
      <w:pPr>
        <w:pStyle w:val="Para2"/>
        <w:ind w:left="567" w:firstLine="567"/>
        <w:rPr>
          <w:snapToGrid w:val="0"/>
          <w:lang w:val="en-GB"/>
        </w:rPr>
      </w:pPr>
      <w:r w:rsidRPr="00C8196A">
        <w:rPr>
          <w:snapToGrid w:val="0"/>
          <w:lang w:val="en-GB"/>
        </w:rPr>
        <w:t xml:space="preserve">Review of compliance in priority areas </w:t>
      </w:r>
      <w:proofErr w:type="gramStart"/>
      <w:r w:rsidRPr="00C8196A">
        <w:rPr>
          <w:snapToGrid w:val="0"/>
          <w:lang w:val="en-GB"/>
        </w:rPr>
        <w:t>on the basis of</w:t>
      </w:r>
      <w:proofErr w:type="gramEnd"/>
      <w:r w:rsidRPr="00C8196A">
        <w:rPr>
          <w:snapToGrid w:val="0"/>
          <w:lang w:val="en-GB"/>
        </w:rPr>
        <w:t xml:space="preserve"> information in the national reports</w:t>
      </w:r>
      <w:r w:rsidR="00E83E32" w:rsidRPr="00C8196A">
        <w:rPr>
          <w:rStyle w:val="FootnoteReference"/>
          <w:snapToGrid w:val="0"/>
          <w:lang w:val="en-GB"/>
        </w:rPr>
        <w:footnoteReference w:id="11"/>
      </w:r>
      <w:r w:rsidRPr="00C8196A">
        <w:rPr>
          <w:snapToGrid w:val="0"/>
          <w:lang w:val="en-GB"/>
        </w:rPr>
        <w:t xml:space="preserve"> </w:t>
      </w:r>
      <w:r w:rsidR="00D607F9" w:rsidRPr="00C8196A">
        <w:rPr>
          <w:snapToGrid w:val="0"/>
          <w:lang w:val="en-GB"/>
        </w:rPr>
        <w:t>and general issues of compliance</w:t>
      </w:r>
      <w:r w:rsidR="00E83E32" w:rsidRPr="00C8196A">
        <w:rPr>
          <w:snapToGrid w:val="0"/>
          <w:lang w:val="en-GB"/>
        </w:rPr>
        <w:t xml:space="preserve"> (item 4)</w:t>
      </w:r>
      <w:r w:rsidR="00DD7987" w:rsidRPr="00C8196A">
        <w:rPr>
          <w:snapToGrid w:val="0"/>
          <w:lang w:val="en-GB"/>
        </w:rPr>
        <w:t>;</w:t>
      </w:r>
      <w:r w:rsidR="00665C2D" w:rsidRPr="00C8196A">
        <w:rPr>
          <w:rStyle w:val="FootnoteReference"/>
          <w:snapToGrid w:val="0"/>
          <w:lang w:val="en-GB"/>
        </w:rPr>
        <w:footnoteReference w:id="12"/>
      </w:r>
    </w:p>
    <w:p w14:paraId="1C93C9A8" w14:textId="150C81B3" w:rsidR="00482F84" w:rsidRPr="00C8196A" w:rsidRDefault="00482F84" w:rsidP="00F22FCB">
      <w:pPr>
        <w:pStyle w:val="Para2"/>
        <w:ind w:left="567" w:firstLine="567"/>
        <w:rPr>
          <w:snapToGrid w:val="0"/>
          <w:lang w:val="en-GB"/>
        </w:rPr>
      </w:pPr>
      <w:r w:rsidRPr="00C8196A">
        <w:rPr>
          <w:snapToGrid w:val="0"/>
          <w:lang w:val="en-GB"/>
        </w:rPr>
        <w:t xml:space="preserve">Individual cases of </w:t>
      </w:r>
      <w:r w:rsidR="001C4120" w:rsidRPr="00C8196A">
        <w:rPr>
          <w:snapToGrid w:val="0"/>
          <w:lang w:val="en-GB"/>
        </w:rPr>
        <w:t>non-</w:t>
      </w:r>
      <w:r w:rsidRPr="00C8196A">
        <w:rPr>
          <w:snapToGrid w:val="0"/>
          <w:lang w:val="en-GB"/>
        </w:rPr>
        <w:t>compliance</w:t>
      </w:r>
      <w:r w:rsidR="00FB5259" w:rsidRPr="00C8196A">
        <w:rPr>
          <w:snapToGrid w:val="0"/>
          <w:lang w:val="en-GB"/>
        </w:rPr>
        <w:t xml:space="preserve"> (item 5)</w:t>
      </w:r>
      <w:r w:rsidR="00E42CCC" w:rsidRPr="00C8196A">
        <w:rPr>
          <w:snapToGrid w:val="0"/>
          <w:lang w:val="en-GB"/>
        </w:rPr>
        <w:t>.</w:t>
      </w:r>
    </w:p>
    <w:p w14:paraId="6CABEFEB" w14:textId="7CD9CE2A" w:rsidR="00482F84" w:rsidRPr="00C8196A" w:rsidRDefault="00482F84" w:rsidP="00C8196A">
      <w:pPr>
        <w:pStyle w:val="Para1"/>
        <w:keepNext/>
        <w:keepLines/>
        <w:numPr>
          <w:ilvl w:val="0"/>
          <w:numId w:val="24"/>
        </w:numPr>
        <w:tabs>
          <w:tab w:val="clear" w:pos="360"/>
          <w:tab w:val="left" w:pos="1134"/>
        </w:tabs>
        <w:ind w:left="540"/>
        <w:jc w:val="both"/>
        <w:rPr>
          <w:kern w:val="22"/>
          <w:sz w:val="22"/>
          <w:szCs w:val="22"/>
          <w:lang w:val="en-GB"/>
        </w:rPr>
      </w:pPr>
      <w:r w:rsidRPr="00C8196A">
        <w:rPr>
          <w:kern w:val="22"/>
          <w:sz w:val="22"/>
          <w:szCs w:val="22"/>
          <w:lang w:val="en-GB"/>
        </w:rPr>
        <w:t xml:space="preserve">The </w:t>
      </w:r>
      <w:r w:rsidR="00493B5B">
        <w:rPr>
          <w:kern w:val="22"/>
          <w:sz w:val="22"/>
          <w:szCs w:val="22"/>
          <w:lang w:val="en-GB"/>
        </w:rPr>
        <w:t xml:space="preserve">Compliance </w:t>
      </w:r>
      <w:r w:rsidRPr="00C8196A">
        <w:rPr>
          <w:kern w:val="22"/>
          <w:sz w:val="22"/>
          <w:szCs w:val="22"/>
          <w:lang w:val="en-GB"/>
        </w:rPr>
        <w:t xml:space="preserve">Committee may wish to include </w:t>
      </w:r>
      <w:r w:rsidR="00D8214F" w:rsidRPr="00C8196A">
        <w:rPr>
          <w:kern w:val="22"/>
          <w:sz w:val="22"/>
          <w:szCs w:val="22"/>
          <w:lang w:val="en-GB"/>
        </w:rPr>
        <w:t xml:space="preserve">the </w:t>
      </w:r>
      <w:r w:rsidRPr="00C8196A">
        <w:rPr>
          <w:kern w:val="22"/>
          <w:sz w:val="22"/>
          <w:szCs w:val="22"/>
          <w:lang w:val="en-GB"/>
        </w:rPr>
        <w:t xml:space="preserve">items </w:t>
      </w:r>
      <w:r w:rsidR="00D8214F" w:rsidRPr="00C8196A">
        <w:rPr>
          <w:kern w:val="22"/>
          <w:sz w:val="22"/>
          <w:szCs w:val="22"/>
          <w:lang w:val="en-GB"/>
        </w:rPr>
        <w:t xml:space="preserve">listed </w:t>
      </w:r>
      <w:r w:rsidRPr="00C8196A">
        <w:rPr>
          <w:kern w:val="22"/>
          <w:sz w:val="22"/>
          <w:szCs w:val="22"/>
          <w:lang w:val="en-GB"/>
        </w:rPr>
        <w:t>below in the agenda of its nineteenth meeting, tentatively</w:t>
      </w:r>
      <w:r w:rsidR="0011370E" w:rsidRPr="00C8196A">
        <w:rPr>
          <w:kern w:val="22"/>
          <w:sz w:val="22"/>
          <w:szCs w:val="22"/>
          <w:lang w:val="en-GB"/>
        </w:rPr>
        <w:t xml:space="preserve"> scheduled </w:t>
      </w:r>
      <w:r w:rsidR="00A41EE4">
        <w:rPr>
          <w:kern w:val="22"/>
          <w:sz w:val="22"/>
          <w:szCs w:val="22"/>
          <w:lang w:val="en-GB"/>
        </w:rPr>
        <w:t>for</w:t>
      </w:r>
      <w:r w:rsidRPr="00C8196A">
        <w:rPr>
          <w:kern w:val="22"/>
          <w:sz w:val="22"/>
          <w:szCs w:val="22"/>
          <w:lang w:val="en-GB"/>
        </w:rPr>
        <w:t xml:space="preserve"> the second quarter of 2024:</w:t>
      </w:r>
    </w:p>
    <w:p w14:paraId="1B200BED" w14:textId="557DD07A" w:rsidR="00482F84" w:rsidRPr="00C8196A" w:rsidRDefault="00482F84" w:rsidP="00C8196A">
      <w:pPr>
        <w:pStyle w:val="Para2"/>
        <w:numPr>
          <w:ilvl w:val="0"/>
          <w:numId w:val="41"/>
        </w:numPr>
        <w:ind w:left="567" w:firstLine="567"/>
        <w:rPr>
          <w:snapToGrid w:val="0"/>
          <w:lang w:val="en-GB"/>
        </w:rPr>
      </w:pPr>
      <w:r w:rsidRPr="00C8196A">
        <w:rPr>
          <w:snapToGrid w:val="0"/>
          <w:lang w:val="en-GB"/>
        </w:rPr>
        <w:t xml:space="preserve">Review of consistency </w:t>
      </w:r>
      <w:r w:rsidR="005A1C4F" w:rsidRPr="00C8196A">
        <w:rPr>
          <w:snapToGrid w:val="0"/>
          <w:lang w:val="en-GB"/>
        </w:rPr>
        <w:t xml:space="preserve">of information </w:t>
      </w:r>
      <w:r w:rsidRPr="00C8196A">
        <w:rPr>
          <w:snapToGrid w:val="0"/>
          <w:lang w:val="en-GB"/>
        </w:rPr>
        <w:t xml:space="preserve">between </w:t>
      </w:r>
      <w:r w:rsidR="002A1EEF" w:rsidRPr="00C8196A">
        <w:rPr>
          <w:snapToGrid w:val="0"/>
          <w:lang w:val="en-GB"/>
        </w:rPr>
        <w:t xml:space="preserve">the </w:t>
      </w:r>
      <w:r w:rsidRPr="00C8196A">
        <w:rPr>
          <w:snapToGrid w:val="0"/>
          <w:lang w:val="en-GB"/>
        </w:rPr>
        <w:t>fourth national reports and the Biosafety Clearing</w:t>
      </w:r>
      <w:r w:rsidRPr="00C8196A">
        <w:rPr>
          <w:snapToGrid w:val="0"/>
          <w:lang w:val="en-GB"/>
        </w:rPr>
        <w:noBreakHyphen/>
        <w:t>House</w:t>
      </w:r>
      <w:r w:rsidR="00A41EE4">
        <w:rPr>
          <w:snapToGrid w:val="0"/>
          <w:lang w:val="en-GB"/>
        </w:rPr>
        <w:t>;</w:t>
      </w:r>
      <w:r w:rsidR="00A41EE4">
        <w:rPr>
          <w:rStyle w:val="FootnoteReference"/>
          <w:snapToGrid w:val="0"/>
          <w:lang w:val="en-GB"/>
        </w:rPr>
        <w:footnoteReference w:id="13"/>
      </w:r>
    </w:p>
    <w:p w14:paraId="377638D2" w14:textId="77777777" w:rsidR="00482F84" w:rsidRPr="00C8196A" w:rsidRDefault="00482F84" w:rsidP="00C8196A">
      <w:pPr>
        <w:pStyle w:val="Para2"/>
        <w:numPr>
          <w:ilvl w:val="0"/>
          <w:numId w:val="41"/>
        </w:numPr>
        <w:ind w:left="567" w:firstLine="567"/>
        <w:rPr>
          <w:snapToGrid w:val="0"/>
          <w:lang w:val="en-GB"/>
        </w:rPr>
      </w:pPr>
      <w:r w:rsidRPr="00C8196A">
        <w:rPr>
          <w:snapToGrid w:val="0"/>
          <w:lang w:val="en-GB"/>
        </w:rPr>
        <w:t xml:space="preserve">General issues of </w:t>
      </w:r>
      <w:proofErr w:type="gramStart"/>
      <w:r w:rsidRPr="00C8196A">
        <w:rPr>
          <w:snapToGrid w:val="0"/>
          <w:lang w:val="en-GB"/>
        </w:rPr>
        <w:t>compliance;</w:t>
      </w:r>
      <w:proofErr w:type="gramEnd"/>
    </w:p>
    <w:p w14:paraId="4D6EB332" w14:textId="03109799" w:rsidR="00482F84" w:rsidRPr="00C8196A" w:rsidRDefault="00482F84" w:rsidP="00C8196A">
      <w:pPr>
        <w:pStyle w:val="Para2"/>
        <w:numPr>
          <w:ilvl w:val="0"/>
          <w:numId w:val="41"/>
        </w:numPr>
        <w:ind w:left="567" w:firstLine="567"/>
        <w:rPr>
          <w:snapToGrid w:val="0"/>
          <w:lang w:val="en-GB"/>
        </w:rPr>
      </w:pPr>
      <w:r w:rsidRPr="00C8196A">
        <w:rPr>
          <w:snapToGrid w:val="0"/>
          <w:lang w:val="en-GB"/>
        </w:rPr>
        <w:t xml:space="preserve">Individual cases of </w:t>
      </w:r>
      <w:proofErr w:type="gramStart"/>
      <w:r w:rsidR="006E1827" w:rsidRPr="00C8196A">
        <w:rPr>
          <w:snapToGrid w:val="0"/>
          <w:lang w:val="en-GB"/>
        </w:rPr>
        <w:t>non-</w:t>
      </w:r>
      <w:r w:rsidRPr="00C8196A">
        <w:rPr>
          <w:snapToGrid w:val="0"/>
          <w:lang w:val="en-GB"/>
        </w:rPr>
        <w:t>compliance;</w:t>
      </w:r>
      <w:proofErr w:type="gramEnd"/>
    </w:p>
    <w:p w14:paraId="412D577C" w14:textId="1E9AD9BA" w:rsidR="00B6543C" w:rsidRPr="00C8196A" w:rsidRDefault="00482F84" w:rsidP="00C8196A">
      <w:pPr>
        <w:pStyle w:val="Para2"/>
        <w:numPr>
          <w:ilvl w:val="0"/>
          <w:numId w:val="41"/>
        </w:numPr>
        <w:ind w:left="567" w:firstLine="567"/>
        <w:rPr>
          <w:snapToGrid w:val="0"/>
          <w:lang w:val="en-GB"/>
        </w:rPr>
      </w:pPr>
      <w:r w:rsidRPr="00C8196A">
        <w:rPr>
          <w:snapToGrid w:val="0"/>
          <w:lang w:val="en-GB"/>
        </w:rPr>
        <w:t xml:space="preserve">Preparation and adoption of the report and the recommendations of the </w:t>
      </w:r>
      <w:r w:rsidR="00810DFA" w:rsidRPr="00C8196A">
        <w:rPr>
          <w:snapToGrid w:val="0"/>
          <w:lang w:val="en-GB"/>
        </w:rPr>
        <w:t xml:space="preserve">Compliance </w:t>
      </w:r>
      <w:r w:rsidRPr="00C8196A">
        <w:rPr>
          <w:snapToGrid w:val="0"/>
          <w:lang w:val="en-GB"/>
        </w:rPr>
        <w:t xml:space="preserve">Committee for submission to the Conference of the Parties serving as the meeting of the Parties </w:t>
      </w:r>
      <w:r w:rsidR="00D1072B" w:rsidRPr="00D1072B">
        <w:rPr>
          <w:snapToGrid w:val="0"/>
          <w:lang w:val="en-GB"/>
        </w:rPr>
        <w:t xml:space="preserve">to the Cartagena Protocol </w:t>
      </w:r>
      <w:r w:rsidRPr="00C8196A">
        <w:rPr>
          <w:snapToGrid w:val="0"/>
          <w:lang w:val="en-GB"/>
        </w:rPr>
        <w:t>at its eleventh meeting.</w:t>
      </w:r>
    </w:p>
    <w:p w14:paraId="2DAF9622" w14:textId="46B5177D" w:rsidR="00B26F34" w:rsidRPr="00C8196A" w:rsidRDefault="00B6543C" w:rsidP="00B6543C">
      <w:pPr>
        <w:pStyle w:val="Heading1"/>
        <w:ind w:left="540" w:hanging="540"/>
        <w:rPr>
          <w:lang w:val="en-GB"/>
        </w:rPr>
      </w:pPr>
      <w:r w:rsidRPr="00C8196A">
        <w:rPr>
          <w:lang w:val="en-GB"/>
        </w:rPr>
        <w:t>Membership</w:t>
      </w:r>
    </w:p>
    <w:p w14:paraId="113BABDE" w14:textId="1132E262" w:rsidR="00482F84" w:rsidRPr="00C8196A" w:rsidRDefault="00482F84" w:rsidP="00C8196A">
      <w:pPr>
        <w:pStyle w:val="Para1"/>
        <w:numPr>
          <w:ilvl w:val="0"/>
          <w:numId w:val="24"/>
        </w:numPr>
        <w:tabs>
          <w:tab w:val="clear" w:pos="360"/>
          <w:tab w:val="left" w:pos="1134"/>
        </w:tabs>
        <w:ind w:left="540"/>
        <w:jc w:val="both"/>
        <w:rPr>
          <w:kern w:val="22"/>
          <w:sz w:val="22"/>
          <w:szCs w:val="22"/>
          <w:lang w:val="en-GB"/>
        </w:rPr>
      </w:pPr>
      <w:r w:rsidRPr="00C8196A">
        <w:rPr>
          <w:kern w:val="22"/>
          <w:sz w:val="22"/>
          <w:szCs w:val="22"/>
          <w:lang w:val="en-GB"/>
        </w:rPr>
        <w:t xml:space="preserve">The terms of </w:t>
      </w:r>
      <w:r w:rsidR="00FE6074" w:rsidRPr="00C8196A">
        <w:rPr>
          <w:kern w:val="22"/>
          <w:sz w:val="22"/>
          <w:szCs w:val="22"/>
          <w:lang w:val="en-GB"/>
        </w:rPr>
        <w:t xml:space="preserve">10 </w:t>
      </w:r>
      <w:r w:rsidR="00191A19">
        <w:rPr>
          <w:kern w:val="22"/>
          <w:sz w:val="22"/>
          <w:szCs w:val="22"/>
          <w:lang w:val="en-GB"/>
        </w:rPr>
        <w:t xml:space="preserve">of the </w:t>
      </w:r>
      <w:r w:rsidRPr="00C8196A">
        <w:rPr>
          <w:kern w:val="22"/>
          <w:sz w:val="22"/>
          <w:szCs w:val="22"/>
          <w:lang w:val="en-GB"/>
        </w:rPr>
        <w:t>members of the</w:t>
      </w:r>
      <w:r w:rsidR="00CD2AB7" w:rsidRPr="00C8196A">
        <w:rPr>
          <w:kern w:val="22"/>
          <w:sz w:val="22"/>
          <w:szCs w:val="22"/>
          <w:lang w:val="en-GB"/>
        </w:rPr>
        <w:t xml:space="preserve"> Compliance</w:t>
      </w:r>
      <w:r w:rsidRPr="00C8196A">
        <w:rPr>
          <w:kern w:val="22"/>
          <w:sz w:val="22"/>
          <w:szCs w:val="22"/>
          <w:lang w:val="en-GB"/>
        </w:rPr>
        <w:t xml:space="preserve"> Committee were set to end on 31 December 2020. </w:t>
      </w:r>
      <w:r w:rsidR="00DD0F3E" w:rsidRPr="00C8196A">
        <w:rPr>
          <w:kern w:val="22"/>
          <w:sz w:val="22"/>
          <w:szCs w:val="22"/>
          <w:lang w:val="en-GB"/>
        </w:rPr>
        <w:t xml:space="preserve">Owing </w:t>
      </w:r>
      <w:r w:rsidRPr="00C8196A">
        <w:rPr>
          <w:kern w:val="22"/>
          <w:sz w:val="22"/>
          <w:szCs w:val="22"/>
          <w:lang w:val="en-GB"/>
        </w:rPr>
        <w:t xml:space="preserve">to the </w:t>
      </w:r>
      <w:r w:rsidR="009E010E" w:rsidRPr="00C8196A">
        <w:rPr>
          <w:kern w:val="22"/>
          <w:sz w:val="22"/>
          <w:szCs w:val="22"/>
          <w:lang w:val="en-GB"/>
        </w:rPr>
        <w:t>coronavirus disea</w:t>
      </w:r>
      <w:r w:rsidR="007A6EFF" w:rsidRPr="00C8196A">
        <w:rPr>
          <w:kern w:val="22"/>
          <w:sz w:val="22"/>
          <w:szCs w:val="22"/>
          <w:lang w:val="en-GB"/>
        </w:rPr>
        <w:t>se (</w:t>
      </w:r>
      <w:r w:rsidRPr="00C8196A">
        <w:rPr>
          <w:kern w:val="22"/>
          <w:sz w:val="22"/>
          <w:szCs w:val="22"/>
          <w:lang w:val="en-GB"/>
        </w:rPr>
        <w:t>COVID-19</w:t>
      </w:r>
      <w:r w:rsidR="007A6EFF" w:rsidRPr="00C8196A">
        <w:rPr>
          <w:kern w:val="22"/>
          <w:sz w:val="22"/>
          <w:szCs w:val="22"/>
          <w:lang w:val="en-GB"/>
        </w:rPr>
        <w:t>)</w:t>
      </w:r>
      <w:r w:rsidRPr="00C8196A">
        <w:rPr>
          <w:kern w:val="22"/>
          <w:sz w:val="22"/>
          <w:szCs w:val="22"/>
          <w:lang w:val="en-GB"/>
        </w:rPr>
        <w:t xml:space="preserve"> pandemic, however, it was not possible to hold a meeting of the </w:t>
      </w:r>
      <w:r w:rsidR="00FF7F98" w:rsidRPr="00C8196A">
        <w:rPr>
          <w:kern w:val="22"/>
          <w:sz w:val="22"/>
          <w:szCs w:val="22"/>
          <w:lang w:val="en-GB"/>
        </w:rPr>
        <w:t xml:space="preserve">Conference of the </w:t>
      </w:r>
      <w:r w:rsidRPr="00C8196A">
        <w:rPr>
          <w:kern w:val="22"/>
          <w:sz w:val="22"/>
          <w:szCs w:val="22"/>
          <w:lang w:val="en-GB"/>
        </w:rPr>
        <w:t xml:space="preserve">Parties to the </w:t>
      </w:r>
      <w:r w:rsidR="00FF7F98" w:rsidRPr="00C8196A">
        <w:rPr>
          <w:kern w:val="22"/>
          <w:sz w:val="22"/>
          <w:szCs w:val="22"/>
          <w:lang w:val="en-GB"/>
        </w:rPr>
        <w:t xml:space="preserve">Cartagena </w:t>
      </w:r>
      <w:r w:rsidRPr="00C8196A">
        <w:rPr>
          <w:kern w:val="22"/>
          <w:sz w:val="22"/>
          <w:szCs w:val="22"/>
          <w:lang w:val="en-GB"/>
        </w:rPr>
        <w:t>Protocol in 2020</w:t>
      </w:r>
      <w:r w:rsidR="00191A19">
        <w:rPr>
          <w:kern w:val="22"/>
          <w:sz w:val="22"/>
          <w:szCs w:val="22"/>
          <w:lang w:val="en-GB"/>
        </w:rPr>
        <w:t>,</w:t>
      </w:r>
      <w:r w:rsidRPr="00C8196A">
        <w:rPr>
          <w:kern w:val="22"/>
          <w:sz w:val="22"/>
          <w:szCs w:val="22"/>
          <w:lang w:val="en-GB"/>
        </w:rPr>
        <w:t xml:space="preserve"> as originally planned</w:t>
      </w:r>
      <w:r w:rsidR="00CD2AB7" w:rsidRPr="00C8196A">
        <w:rPr>
          <w:kern w:val="22"/>
          <w:sz w:val="22"/>
          <w:szCs w:val="22"/>
          <w:lang w:val="en-GB"/>
        </w:rPr>
        <w:t>,</w:t>
      </w:r>
      <w:r w:rsidRPr="00C8196A">
        <w:rPr>
          <w:kern w:val="22"/>
          <w:sz w:val="22"/>
          <w:szCs w:val="22"/>
          <w:lang w:val="en-GB"/>
        </w:rPr>
        <w:t xml:space="preserve"> and no election of members of the Committee could </w:t>
      </w:r>
      <w:r w:rsidR="00F12722" w:rsidRPr="00C8196A">
        <w:rPr>
          <w:kern w:val="22"/>
          <w:sz w:val="22"/>
          <w:szCs w:val="22"/>
          <w:lang w:val="en-GB"/>
        </w:rPr>
        <w:t>be held</w:t>
      </w:r>
      <w:r w:rsidRPr="00C8196A">
        <w:rPr>
          <w:kern w:val="22"/>
          <w:sz w:val="22"/>
          <w:szCs w:val="22"/>
          <w:lang w:val="en-GB"/>
        </w:rPr>
        <w:t xml:space="preserve">. To enable the Committee to </w:t>
      </w:r>
      <w:r w:rsidR="009B6AD6" w:rsidRPr="00C8196A">
        <w:rPr>
          <w:kern w:val="22"/>
          <w:sz w:val="22"/>
          <w:szCs w:val="22"/>
          <w:lang w:val="en-GB"/>
        </w:rPr>
        <w:t xml:space="preserve">continue to </w:t>
      </w:r>
      <w:r w:rsidRPr="00C8196A">
        <w:rPr>
          <w:kern w:val="22"/>
          <w:sz w:val="22"/>
          <w:szCs w:val="22"/>
          <w:lang w:val="en-GB"/>
        </w:rPr>
        <w:t>function, the Bureau agreed to extend the terms of th</w:t>
      </w:r>
      <w:r w:rsidR="00145DE5" w:rsidRPr="00C8196A">
        <w:rPr>
          <w:kern w:val="22"/>
          <w:sz w:val="22"/>
          <w:szCs w:val="22"/>
          <w:lang w:val="en-GB"/>
        </w:rPr>
        <w:t>o</w:t>
      </w:r>
      <w:r w:rsidRPr="00C8196A">
        <w:rPr>
          <w:kern w:val="22"/>
          <w:sz w:val="22"/>
          <w:szCs w:val="22"/>
          <w:lang w:val="en-GB"/>
        </w:rPr>
        <w:t>se members until 31 December 2021</w:t>
      </w:r>
      <w:r w:rsidR="00145DE5" w:rsidRPr="00C8196A">
        <w:rPr>
          <w:kern w:val="22"/>
          <w:sz w:val="22"/>
          <w:szCs w:val="22"/>
          <w:lang w:val="en-GB"/>
        </w:rPr>
        <w:t>.</w:t>
      </w:r>
      <w:r w:rsidR="00145DE5" w:rsidRPr="00C8196A">
        <w:rPr>
          <w:rStyle w:val="FootnoteReference"/>
          <w:kern w:val="22"/>
          <w:sz w:val="22"/>
          <w:szCs w:val="22"/>
          <w:lang w:val="en-GB"/>
        </w:rPr>
        <w:footnoteReference w:id="14"/>
      </w:r>
      <w:r w:rsidRPr="00C8196A">
        <w:rPr>
          <w:kern w:val="22"/>
          <w:sz w:val="22"/>
          <w:szCs w:val="22"/>
          <w:lang w:val="en-GB"/>
        </w:rPr>
        <w:t xml:space="preserve"> At </w:t>
      </w:r>
      <w:r w:rsidR="00512B11" w:rsidRPr="00C8196A">
        <w:rPr>
          <w:kern w:val="22"/>
          <w:sz w:val="22"/>
          <w:szCs w:val="22"/>
          <w:lang w:val="en-GB"/>
        </w:rPr>
        <w:t xml:space="preserve">the first </w:t>
      </w:r>
      <w:r w:rsidRPr="00C8196A">
        <w:rPr>
          <w:kern w:val="22"/>
          <w:sz w:val="22"/>
          <w:szCs w:val="22"/>
          <w:lang w:val="en-GB"/>
        </w:rPr>
        <w:t xml:space="preserve">part of </w:t>
      </w:r>
      <w:r w:rsidR="00512B11" w:rsidRPr="00C8196A">
        <w:rPr>
          <w:kern w:val="22"/>
          <w:sz w:val="22"/>
          <w:szCs w:val="22"/>
          <w:lang w:val="en-GB"/>
        </w:rPr>
        <w:t>the tenth meeting,</w:t>
      </w:r>
      <w:r w:rsidRPr="00C8196A">
        <w:rPr>
          <w:kern w:val="22"/>
          <w:sz w:val="22"/>
          <w:szCs w:val="22"/>
          <w:lang w:val="en-GB"/>
        </w:rPr>
        <w:t xml:space="preserve"> </w:t>
      </w:r>
      <w:r w:rsidR="00512B11" w:rsidRPr="00C8196A">
        <w:rPr>
          <w:kern w:val="22"/>
          <w:sz w:val="22"/>
          <w:szCs w:val="22"/>
          <w:lang w:val="en-GB"/>
        </w:rPr>
        <w:t>it was</w:t>
      </w:r>
      <w:r w:rsidRPr="00C8196A">
        <w:rPr>
          <w:kern w:val="22"/>
          <w:sz w:val="22"/>
          <w:szCs w:val="22"/>
          <w:lang w:val="en-GB"/>
        </w:rPr>
        <w:t xml:space="preserve"> decided to defer the election of new members of the Committee until </w:t>
      </w:r>
      <w:r w:rsidR="00165ECD" w:rsidRPr="00C8196A">
        <w:rPr>
          <w:kern w:val="22"/>
          <w:sz w:val="22"/>
          <w:szCs w:val="22"/>
          <w:lang w:val="en-GB"/>
        </w:rPr>
        <w:t xml:space="preserve">the second </w:t>
      </w:r>
      <w:r w:rsidRPr="00C8196A">
        <w:rPr>
          <w:kern w:val="22"/>
          <w:sz w:val="22"/>
          <w:szCs w:val="22"/>
          <w:lang w:val="en-GB"/>
        </w:rPr>
        <w:t xml:space="preserve">part of the meeting and to extend </w:t>
      </w:r>
      <w:r w:rsidR="00165ECD" w:rsidRPr="00C8196A">
        <w:rPr>
          <w:kern w:val="22"/>
          <w:sz w:val="22"/>
          <w:szCs w:val="22"/>
          <w:lang w:val="en-GB"/>
        </w:rPr>
        <w:t xml:space="preserve">the terms of the </w:t>
      </w:r>
      <w:r w:rsidR="005625D1" w:rsidRPr="00C8196A">
        <w:rPr>
          <w:kern w:val="22"/>
          <w:sz w:val="22"/>
          <w:szCs w:val="22"/>
          <w:lang w:val="en-GB"/>
        </w:rPr>
        <w:t>10</w:t>
      </w:r>
      <w:r w:rsidR="00165ECD" w:rsidRPr="00C8196A">
        <w:rPr>
          <w:kern w:val="22"/>
          <w:sz w:val="22"/>
          <w:szCs w:val="22"/>
          <w:lang w:val="en-GB"/>
        </w:rPr>
        <w:t xml:space="preserve"> members </w:t>
      </w:r>
      <w:r w:rsidRPr="00C8196A">
        <w:rPr>
          <w:kern w:val="22"/>
          <w:sz w:val="22"/>
          <w:szCs w:val="22"/>
          <w:lang w:val="en-GB"/>
        </w:rPr>
        <w:t>for a further year</w:t>
      </w:r>
      <w:r w:rsidR="005625D1" w:rsidRPr="00C8196A">
        <w:rPr>
          <w:kern w:val="22"/>
          <w:sz w:val="22"/>
          <w:szCs w:val="22"/>
          <w:lang w:val="en-GB"/>
        </w:rPr>
        <w:t>,</w:t>
      </w:r>
      <w:r w:rsidRPr="00C8196A">
        <w:rPr>
          <w:kern w:val="22"/>
          <w:sz w:val="22"/>
          <w:szCs w:val="22"/>
          <w:lang w:val="en-GB"/>
        </w:rPr>
        <w:t xml:space="preserve"> </w:t>
      </w:r>
      <w:r w:rsidR="00174262">
        <w:rPr>
          <w:kern w:val="22"/>
          <w:sz w:val="22"/>
          <w:szCs w:val="22"/>
          <w:lang w:val="en-GB"/>
        </w:rPr>
        <w:t xml:space="preserve">that is, </w:t>
      </w:r>
      <w:r w:rsidRPr="00C8196A">
        <w:rPr>
          <w:kern w:val="22"/>
          <w:sz w:val="22"/>
          <w:szCs w:val="22"/>
          <w:lang w:val="en-GB"/>
        </w:rPr>
        <w:t>until 31</w:t>
      </w:r>
      <w:r w:rsidR="00174262">
        <w:rPr>
          <w:kern w:val="22"/>
          <w:sz w:val="22"/>
          <w:szCs w:val="22"/>
          <w:lang w:val="en-GB"/>
        </w:rPr>
        <w:t> </w:t>
      </w:r>
      <w:r w:rsidRPr="00C8196A">
        <w:rPr>
          <w:kern w:val="22"/>
          <w:sz w:val="22"/>
          <w:szCs w:val="22"/>
          <w:lang w:val="en-GB"/>
        </w:rPr>
        <w:t>December 2022</w:t>
      </w:r>
      <w:r w:rsidR="00B9006C" w:rsidRPr="00C8196A">
        <w:rPr>
          <w:kern w:val="22"/>
          <w:sz w:val="22"/>
          <w:szCs w:val="22"/>
          <w:lang w:val="en-GB"/>
        </w:rPr>
        <w:t>.</w:t>
      </w:r>
      <w:r w:rsidR="00B9006C" w:rsidRPr="00C8196A">
        <w:rPr>
          <w:rStyle w:val="FootnoteReference"/>
          <w:kern w:val="22"/>
          <w:sz w:val="22"/>
          <w:szCs w:val="22"/>
          <w:lang w:val="en-GB"/>
        </w:rPr>
        <w:footnoteReference w:id="15"/>
      </w:r>
    </w:p>
    <w:p w14:paraId="393D274F" w14:textId="6E6AB9EC" w:rsidR="00482F84" w:rsidRPr="00C8196A" w:rsidRDefault="00482F84" w:rsidP="00C8196A">
      <w:pPr>
        <w:pStyle w:val="Para1"/>
        <w:numPr>
          <w:ilvl w:val="0"/>
          <w:numId w:val="24"/>
        </w:numPr>
        <w:tabs>
          <w:tab w:val="clear" w:pos="360"/>
          <w:tab w:val="num" w:pos="630"/>
          <w:tab w:val="left" w:pos="1134"/>
        </w:tabs>
        <w:ind w:left="540"/>
        <w:jc w:val="both"/>
        <w:rPr>
          <w:kern w:val="22"/>
          <w:sz w:val="22"/>
          <w:szCs w:val="22"/>
          <w:lang w:val="en-GB"/>
        </w:rPr>
      </w:pPr>
      <w:r w:rsidRPr="00C8196A">
        <w:rPr>
          <w:sz w:val="22"/>
          <w:szCs w:val="22"/>
          <w:lang w:val="en-GB"/>
        </w:rPr>
        <w:t xml:space="preserve">The regular terms of the other five members of the </w:t>
      </w:r>
      <w:r w:rsidR="00493B5B">
        <w:rPr>
          <w:kern w:val="22"/>
          <w:sz w:val="22"/>
          <w:szCs w:val="22"/>
          <w:lang w:val="en-GB"/>
        </w:rPr>
        <w:t xml:space="preserve">Compliance </w:t>
      </w:r>
      <w:r w:rsidRPr="00C8196A">
        <w:rPr>
          <w:sz w:val="22"/>
          <w:szCs w:val="22"/>
          <w:lang w:val="en-GB"/>
        </w:rPr>
        <w:t>Committee were also due to end on 31</w:t>
      </w:r>
      <w:r w:rsidR="003076D0" w:rsidRPr="00C8196A">
        <w:rPr>
          <w:sz w:val="22"/>
          <w:szCs w:val="22"/>
          <w:lang w:val="en-GB"/>
        </w:rPr>
        <w:t> </w:t>
      </w:r>
      <w:r w:rsidRPr="00C8196A">
        <w:rPr>
          <w:sz w:val="22"/>
          <w:szCs w:val="22"/>
          <w:lang w:val="en-GB"/>
        </w:rPr>
        <w:t>December 2022</w:t>
      </w:r>
      <w:r w:rsidR="003076D0" w:rsidRPr="00C8196A">
        <w:rPr>
          <w:sz w:val="22"/>
          <w:szCs w:val="22"/>
          <w:lang w:val="en-GB"/>
        </w:rPr>
        <w:t>,</w:t>
      </w:r>
      <w:r w:rsidRPr="00C8196A">
        <w:rPr>
          <w:sz w:val="22"/>
          <w:szCs w:val="22"/>
          <w:lang w:val="en-GB"/>
        </w:rPr>
        <w:t xml:space="preserve"> given that their terms had started on 1 January 2019. As a result, all </w:t>
      </w:r>
      <w:r w:rsidR="00DC1457" w:rsidRPr="00C8196A">
        <w:rPr>
          <w:sz w:val="22"/>
          <w:szCs w:val="22"/>
          <w:lang w:val="en-GB"/>
        </w:rPr>
        <w:t xml:space="preserve">15 </w:t>
      </w:r>
      <w:r w:rsidRPr="00C8196A">
        <w:rPr>
          <w:sz w:val="22"/>
          <w:szCs w:val="22"/>
          <w:lang w:val="en-GB"/>
        </w:rPr>
        <w:t xml:space="preserve">seats in the Committee were up for election at </w:t>
      </w:r>
      <w:r w:rsidR="00DC1457" w:rsidRPr="00C8196A">
        <w:rPr>
          <w:sz w:val="22"/>
          <w:szCs w:val="22"/>
          <w:lang w:val="en-GB"/>
        </w:rPr>
        <w:t xml:space="preserve">the second </w:t>
      </w:r>
      <w:r w:rsidRPr="00C8196A">
        <w:rPr>
          <w:sz w:val="22"/>
          <w:szCs w:val="22"/>
          <w:lang w:val="en-GB"/>
        </w:rPr>
        <w:t xml:space="preserve">part </w:t>
      </w:r>
      <w:r w:rsidR="00DC1457" w:rsidRPr="00C8196A">
        <w:rPr>
          <w:sz w:val="22"/>
          <w:szCs w:val="22"/>
          <w:lang w:val="en-GB"/>
        </w:rPr>
        <w:t>of the tenth meeting</w:t>
      </w:r>
      <w:r w:rsidR="00F75B83" w:rsidRPr="00C8196A">
        <w:rPr>
          <w:sz w:val="22"/>
          <w:szCs w:val="22"/>
          <w:lang w:val="en-GB"/>
        </w:rPr>
        <w:t>.</w:t>
      </w:r>
    </w:p>
    <w:p w14:paraId="7A19DC5C" w14:textId="5B4A0DA5" w:rsidR="00482F84" w:rsidRPr="00C8196A" w:rsidRDefault="00482F84" w:rsidP="00C8196A">
      <w:pPr>
        <w:pStyle w:val="Para1"/>
        <w:numPr>
          <w:ilvl w:val="0"/>
          <w:numId w:val="24"/>
        </w:numPr>
        <w:tabs>
          <w:tab w:val="clear" w:pos="360"/>
          <w:tab w:val="left" w:pos="1134"/>
        </w:tabs>
        <w:ind w:left="540"/>
        <w:jc w:val="both"/>
        <w:rPr>
          <w:kern w:val="22"/>
          <w:sz w:val="22"/>
          <w:szCs w:val="22"/>
          <w:lang w:val="en-GB"/>
        </w:rPr>
      </w:pPr>
      <w:r w:rsidRPr="00C8196A">
        <w:rPr>
          <w:sz w:val="22"/>
          <w:szCs w:val="22"/>
          <w:lang w:val="en-GB"/>
        </w:rPr>
        <w:t xml:space="preserve">During </w:t>
      </w:r>
      <w:r w:rsidR="006C2B90" w:rsidRPr="00C8196A">
        <w:rPr>
          <w:sz w:val="22"/>
          <w:szCs w:val="22"/>
          <w:lang w:val="en-GB"/>
        </w:rPr>
        <w:t xml:space="preserve">the second </w:t>
      </w:r>
      <w:r w:rsidRPr="00C8196A">
        <w:rPr>
          <w:sz w:val="22"/>
          <w:szCs w:val="22"/>
          <w:lang w:val="en-GB"/>
        </w:rPr>
        <w:t>part of the meeting, with a view to maintaining the staggering of terms,</w:t>
      </w:r>
      <w:r w:rsidR="00B75A7C" w:rsidRPr="00C8196A">
        <w:rPr>
          <w:sz w:val="22"/>
          <w:szCs w:val="22"/>
          <w:lang w:val="en-GB"/>
        </w:rPr>
        <w:t xml:space="preserve"> the Conference of the Parties serving as the meeting of the Parties to the Cartagena Protocol</w:t>
      </w:r>
      <w:r w:rsidRPr="00C8196A">
        <w:rPr>
          <w:sz w:val="22"/>
          <w:szCs w:val="22"/>
          <w:lang w:val="en-GB"/>
        </w:rPr>
        <w:t xml:space="preserve"> agreed to extend until 31 December 2024 the terms of the five members whose terms had not been </w:t>
      </w:r>
      <w:r w:rsidR="00672B07" w:rsidRPr="00C8196A">
        <w:rPr>
          <w:sz w:val="22"/>
          <w:szCs w:val="22"/>
          <w:lang w:val="en-GB"/>
        </w:rPr>
        <w:t xml:space="preserve">previously </w:t>
      </w:r>
      <w:r w:rsidRPr="00C8196A">
        <w:rPr>
          <w:sz w:val="22"/>
          <w:szCs w:val="22"/>
          <w:lang w:val="en-GB"/>
        </w:rPr>
        <w:t xml:space="preserve">extended. </w:t>
      </w:r>
    </w:p>
    <w:p w14:paraId="4D27AD62" w14:textId="518FB2D8" w:rsidR="00482F84" w:rsidRPr="006A5361" w:rsidRDefault="00D57AE6" w:rsidP="00C8196A">
      <w:pPr>
        <w:numPr>
          <w:ilvl w:val="0"/>
          <w:numId w:val="24"/>
        </w:numPr>
        <w:tabs>
          <w:tab w:val="clear" w:pos="360"/>
          <w:tab w:val="num" w:pos="630"/>
          <w:tab w:val="left" w:pos="1134"/>
        </w:tabs>
        <w:ind w:left="540"/>
        <w:rPr>
          <w:szCs w:val="22"/>
        </w:rPr>
      </w:pPr>
      <w:r w:rsidRPr="006A5361">
        <w:rPr>
          <w:szCs w:val="22"/>
        </w:rPr>
        <w:t>The e</w:t>
      </w:r>
      <w:r w:rsidR="00482F84" w:rsidRPr="006A5361">
        <w:rPr>
          <w:szCs w:val="22"/>
        </w:rPr>
        <w:t xml:space="preserve">lection to replace the other 10 members </w:t>
      </w:r>
      <w:r w:rsidRPr="006A5361">
        <w:rPr>
          <w:szCs w:val="22"/>
        </w:rPr>
        <w:t xml:space="preserve">was </w:t>
      </w:r>
      <w:r w:rsidR="00482F84" w:rsidRPr="006A5361">
        <w:rPr>
          <w:szCs w:val="22"/>
        </w:rPr>
        <w:t xml:space="preserve">to </w:t>
      </w:r>
      <w:r w:rsidR="00AB0C3B" w:rsidRPr="006A5361">
        <w:rPr>
          <w:szCs w:val="22"/>
        </w:rPr>
        <w:t>be held</w:t>
      </w:r>
      <w:r w:rsidR="00482F84" w:rsidRPr="006A5361">
        <w:rPr>
          <w:szCs w:val="22"/>
        </w:rPr>
        <w:t xml:space="preserve"> during the final plenary </w:t>
      </w:r>
      <w:r w:rsidR="00AB0C3B" w:rsidRPr="006A5361">
        <w:rPr>
          <w:szCs w:val="22"/>
        </w:rPr>
        <w:t xml:space="preserve">session </w:t>
      </w:r>
      <w:r w:rsidR="00482F84" w:rsidRPr="006A5361">
        <w:rPr>
          <w:szCs w:val="22"/>
        </w:rPr>
        <w:t xml:space="preserve">of the </w:t>
      </w:r>
      <w:r w:rsidR="000010A1" w:rsidRPr="00C8196A">
        <w:rPr>
          <w:szCs w:val="22"/>
        </w:rPr>
        <w:t xml:space="preserve">tenth </w:t>
      </w:r>
      <w:r w:rsidR="00482F84" w:rsidRPr="006A5361">
        <w:rPr>
          <w:szCs w:val="22"/>
        </w:rPr>
        <w:t xml:space="preserve">meeting. </w:t>
      </w:r>
      <w:r w:rsidR="00E21B79" w:rsidRPr="006A5361">
        <w:rPr>
          <w:szCs w:val="22"/>
        </w:rPr>
        <w:t>H</w:t>
      </w:r>
      <w:r w:rsidR="00482F84" w:rsidRPr="006A5361">
        <w:rPr>
          <w:szCs w:val="22"/>
        </w:rPr>
        <w:t xml:space="preserve">owever, the meeting </w:t>
      </w:r>
      <w:r w:rsidR="00672B07" w:rsidRPr="006A5361">
        <w:rPr>
          <w:szCs w:val="22"/>
        </w:rPr>
        <w:t xml:space="preserve">was </w:t>
      </w:r>
      <w:r w:rsidR="00482F84" w:rsidRPr="006A5361">
        <w:rPr>
          <w:szCs w:val="22"/>
        </w:rPr>
        <w:t>suspended</w:t>
      </w:r>
      <w:r w:rsidR="00270B30">
        <w:rPr>
          <w:szCs w:val="22"/>
        </w:rPr>
        <w:t>,</w:t>
      </w:r>
      <w:r w:rsidR="00482F84" w:rsidRPr="006A5361">
        <w:rPr>
          <w:szCs w:val="22"/>
        </w:rPr>
        <w:t xml:space="preserve"> and the election </w:t>
      </w:r>
      <w:r w:rsidRPr="00C8196A">
        <w:rPr>
          <w:szCs w:val="22"/>
        </w:rPr>
        <w:t>was</w:t>
      </w:r>
      <w:r w:rsidR="00B34EEB" w:rsidRPr="006A5361">
        <w:rPr>
          <w:szCs w:val="22"/>
        </w:rPr>
        <w:t xml:space="preserve"> </w:t>
      </w:r>
      <w:r w:rsidR="00270B30">
        <w:rPr>
          <w:szCs w:val="22"/>
        </w:rPr>
        <w:t xml:space="preserve">therefore not </w:t>
      </w:r>
      <w:r w:rsidR="00B34EEB" w:rsidRPr="006A5361">
        <w:rPr>
          <w:szCs w:val="22"/>
        </w:rPr>
        <w:t>held</w:t>
      </w:r>
      <w:r w:rsidR="00482F84" w:rsidRPr="006A5361">
        <w:rPr>
          <w:szCs w:val="22"/>
        </w:rPr>
        <w:t>.</w:t>
      </w:r>
    </w:p>
    <w:p w14:paraId="06335B1A" w14:textId="1566367D" w:rsidR="00482F84" w:rsidRPr="00C8196A" w:rsidRDefault="00482F84" w:rsidP="00C8196A">
      <w:pPr>
        <w:pStyle w:val="Para1"/>
        <w:numPr>
          <w:ilvl w:val="0"/>
          <w:numId w:val="24"/>
        </w:numPr>
        <w:tabs>
          <w:tab w:val="clear" w:pos="360"/>
          <w:tab w:val="num" w:pos="630"/>
          <w:tab w:val="left" w:pos="1134"/>
        </w:tabs>
        <w:ind w:left="540"/>
        <w:jc w:val="both"/>
        <w:rPr>
          <w:kern w:val="22"/>
          <w:sz w:val="22"/>
          <w:szCs w:val="22"/>
          <w:lang w:val="en-GB"/>
        </w:rPr>
      </w:pPr>
      <w:r w:rsidRPr="00C8196A">
        <w:rPr>
          <w:sz w:val="22"/>
          <w:szCs w:val="22"/>
          <w:lang w:val="en-GB"/>
        </w:rPr>
        <w:t xml:space="preserve">With </w:t>
      </w:r>
      <w:r w:rsidR="006E0BEB" w:rsidRPr="00C8196A">
        <w:rPr>
          <w:sz w:val="22"/>
          <w:szCs w:val="22"/>
          <w:lang w:val="en-GB"/>
        </w:rPr>
        <w:t>10 </w:t>
      </w:r>
      <w:r w:rsidRPr="00C8196A">
        <w:rPr>
          <w:sz w:val="22"/>
          <w:szCs w:val="22"/>
          <w:lang w:val="en-GB"/>
        </w:rPr>
        <w:t xml:space="preserve">seats vacant, the </w:t>
      </w:r>
      <w:r w:rsidR="00493B5B" w:rsidRPr="0C1748B8">
        <w:rPr>
          <w:sz w:val="22"/>
          <w:szCs w:val="22"/>
          <w:lang w:val="en-GB"/>
        </w:rPr>
        <w:t xml:space="preserve">Compliance </w:t>
      </w:r>
      <w:r w:rsidRPr="00C8196A">
        <w:rPr>
          <w:sz w:val="22"/>
          <w:szCs w:val="22"/>
          <w:lang w:val="en-GB"/>
        </w:rPr>
        <w:t xml:space="preserve">Committee </w:t>
      </w:r>
      <w:r w:rsidR="006E0BEB" w:rsidRPr="00C8196A">
        <w:rPr>
          <w:sz w:val="22"/>
          <w:szCs w:val="22"/>
          <w:lang w:val="en-GB"/>
        </w:rPr>
        <w:t xml:space="preserve">is </w:t>
      </w:r>
      <w:r w:rsidRPr="00C8196A">
        <w:rPr>
          <w:sz w:val="22"/>
          <w:szCs w:val="22"/>
          <w:lang w:val="en-GB"/>
        </w:rPr>
        <w:t xml:space="preserve">not be able to constitute </w:t>
      </w:r>
      <w:r w:rsidR="008A1880" w:rsidRPr="00C8196A">
        <w:rPr>
          <w:sz w:val="22"/>
          <w:szCs w:val="22"/>
          <w:lang w:val="en-GB"/>
        </w:rPr>
        <w:t xml:space="preserve">a </w:t>
      </w:r>
      <w:r w:rsidRPr="00C8196A">
        <w:rPr>
          <w:sz w:val="22"/>
          <w:szCs w:val="22"/>
          <w:lang w:val="en-GB"/>
        </w:rPr>
        <w:t xml:space="preserve">quorum. </w:t>
      </w:r>
      <w:r w:rsidR="00FD268B" w:rsidRPr="00C8196A">
        <w:rPr>
          <w:sz w:val="22"/>
          <w:szCs w:val="22"/>
          <w:lang w:val="en-GB"/>
        </w:rPr>
        <w:t xml:space="preserve">To enable the Committee to continue </w:t>
      </w:r>
      <w:r w:rsidR="008A1880" w:rsidRPr="00C8196A">
        <w:rPr>
          <w:sz w:val="22"/>
          <w:szCs w:val="22"/>
          <w:lang w:val="en-GB"/>
        </w:rPr>
        <w:t xml:space="preserve">its </w:t>
      </w:r>
      <w:r w:rsidR="00FD268B" w:rsidRPr="00C8196A">
        <w:rPr>
          <w:sz w:val="22"/>
          <w:szCs w:val="22"/>
          <w:lang w:val="en-GB"/>
        </w:rPr>
        <w:t>important work over the intersessional period, the Bureau</w:t>
      </w:r>
      <w:r w:rsidR="0060375E" w:rsidRPr="0C1748B8">
        <w:rPr>
          <w:sz w:val="22"/>
          <w:szCs w:val="22"/>
          <w:lang w:val="en-GB"/>
        </w:rPr>
        <w:t xml:space="preserve"> agreed</w:t>
      </w:r>
      <w:r w:rsidR="00FD268B" w:rsidRPr="00C8196A">
        <w:rPr>
          <w:sz w:val="22"/>
          <w:szCs w:val="22"/>
          <w:lang w:val="en-GB"/>
        </w:rPr>
        <w:t xml:space="preserve"> at its meeting held </w:t>
      </w:r>
      <w:r w:rsidRPr="00C8196A">
        <w:rPr>
          <w:sz w:val="22"/>
          <w:szCs w:val="22"/>
          <w:lang w:val="en-GB"/>
        </w:rPr>
        <w:t xml:space="preserve">in May 2023, in Kunming, </w:t>
      </w:r>
      <w:r w:rsidR="00FD268B" w:rsidRPr="00C8196A">
        <w:rPr>
          <w:sz w:val="22"/>
          <w:szCs w:val="22"/>
          <w:lang w:val="en-GB"/>
        </w:rPr>
        <w:t xml:space="preserve">subject to endorsement </w:t>
      </w:r>
      <w:proofErr w:type="gramStart"/>
      <w:r w:rsidR="00FD268B" w:rsidRPr="00C8196A">
        <w:rPr>
          <w:sz w:val="22"/>
          <w:szCs w:val="22"/>
          <w:lang w:val="en-GB"/>
        </w:rPr>
        <w:t>at a later date</w:t>
      </w:r>
      <w:proofErr w:type="gramEnd"/>
      <w:r w:rsidR="00FD268B" w:rsidRPr="00C8196A">
        <w:rPr>
          <w:sz w:val="22"/>
          <w:szCs w:val="22"/>
          <w:lang w:val="en-GB"/>
        </w:rPr>
        <w:t xml:space="preserve"> by the </w:t>
      </w:r>
      <w:r w:rsidR="000C49AD" w:rsidRPr="00C8196A">
        <w:rPr>
          <w:sz w:val="22"/>
          <w:szCs w:val="22"/>
          <w:lang w:val="en-GB"/>
        </w:rPr>
        <w:t xml:space="preserve">Conference of the Parties serving as the </w:t>
      </w:r>
      <w:r w:rsidR="00FD268B" w:rsidRPr="00C8196A">
        <w:rPr>
          <w:sz w:val="22"/>
          <w:szCs w:val="22"/>
          <w:lang w:val="en-GB"/>
        </w:rPr>
        <w:t>meeting of the Part</w:t>
      </w:r>
      <w:r w:rsidR="00D070B5" w:rsidRPr="00C8196A">
        <w:rPr>
          <w:sz w:val="22"/>
          <w:szCs w:val="22"/>
          <w:lang w:val="en-GB"/>
        </w:rPr>
        <w:t>ies</w:t>
      </w:r>
      <w:r w:rsidR="00FD268B" w:rsidRPr="00C8196A">
        <w:rPr>
          <w:sz w:val="22"/>
          <w:szCs w:val="22"/>
          <w:lang w:val="en-GB"/>
        </w:rPr>
        <w:t xml:space="preserve"> to the Protocol, to extend the terms of the members concerned until 31</w:t>
      </w:r>
      <w:r w:rsidR="0060375E" w:rsidRPr="0C1748B8">
        <w:rPr>
          <w:sz w:val="22"/>
          <w:szCs w:val="22"/>
          <w:lang w:val="en-GB"/>
        </w:rPr>
        <w:t> </w:t>
      </w:r>
      <w:r w:rsidR="00FD268B" w:rsidRPr="00C8196A">
        <w:rPr>
          <w:sz w:val="22"/>
          <w:szCs w:val="22"/>
          <w:lang w:val="en-GB"/>
        </w:rPr>
        <w:t>December 2024.</w:t>
      </w:r>
    </w:p>
    <w:p w14:paraId="7B3AA765" w14:textId="37969A14" w:rsidR="00482F84" w:rsidRPr="00C8196A" w:rsidRDefault="000C49AD" w:rsidP="00C8196A">
      <w:pPr>
        <w:pStyle w:val="Para1"/>
        <w:numPr>
          <w:ilvl w:val="0"/>
          <w:numId w:val="24"/>
        </w:numPr>
        <w:tabs>
          <w:tab w:val="clear" w:pos="360"/>
          <w:tab w:val="left" w:pos="540"/>
          <w:tab w:val="num" w:pos="630"/>
          <w:tab w:val="left" w:pos="1134"/>
        </w:tabs>
        <w:ind w:left="540"/>
        <w:jc w:val="both"/>
        <w:rPr>
          <w:kern w:val="22"/>
          <w:sz w:val="22"/>
          <w:szCs w:val="22"/>
          <w:lang w:val="en-GB"/>
        </w:rPr>
      </w:pPr>
      <w:r w:rsidRPr="00C8196A">
        <w:rPr>
          <w:sz w:val="22"/>
          <w:szCs w:val="22"/>
          <w:lang w:val="en-GB"/>
        </w:rPr>
        <w:t>As a result</w:t>
      </w:r>
      <w:r w:rsidR="00482F84" w:rsidRPr="00C8196A">
        <w:rPr>
          <w:kern w:val="22"/>
          <w:sz w:val="22"/>
          <w:szCs w:val="22"/>
          <w:lang w:val="en-GB"/>
        </w:rPr>
        <w:t>, t</w:t>
      </w:r>
      <w:r w:rsidR="00482F84" w:rsidRPr="00C8196A">
        <w:rPr>
          <w:sz w:val="22"/>
          <w:szCs w:val="22"/>
          <w:lang w:val="en-GB"/>
        </w:rPr>
        <w:t xml:space="preserve">he Secretariat contacted all members to </w:t>
      </w:r>
      <w:r w:rsidR="00E63582">
        <w:rPr>
          <w:sz w:val="22"/>
          <w:szCs w:val="22"/>
          <w:lang w:val="en-GB"/>
        </w:rPr>
        <w:t xml:space="preserve">enquire about </w:t>
      </w:r>
      <w:r w:rsidR="00482F84" w:rsidRPr="00C8196A">
        <w:rPr>
          <w:sz w:val="22"/>
          <w:szCs w:val="22"/>
          <w:lang w:val="en-GB"/>
        </w:rPr>
        <w:t xml:space="preserve">their availability to continue </w:t>
      </w:r>
      <w:r w:rsidR="00023FE6" w:rsidRPr="00C8196A">
        <w:rPr>
          <w:sz w:val="22"/>
          <w:szCs w:val="22"/>
          <w:lang w:val="en-GB"/>
        </w:rPr>
        <w:t xml:space="preserve">to </w:t>
      </w:r>
      <w:r w:rsidR="00482F84" w:rsidRPr="00C8196A">
        <w:rPr>
          <w:sz w:val="22"/>
          <w:szCs w:val="22"/>
          <w:lang w:val="en-GB"/>
        </w:rPr>
        <w:t>serv</w:t>
      </w:r>
      <w:r w:rsidR="00023FE6" w:rsidRPr="00C8196A">
        <w:rPr>
          <w:sz w:val="22"/>
          <w:szCs w:val="22"/>
          <w:lang w:val="en-GB"/>
        </w:rPr>
        <w:t>e</w:t>
      </w:r>
      <w:r w:rsidR="00482F84" w:rsidRPr="00C8196A">
        <w:rPr>
          <w:sz w:val="22"/>
          <w:szCs w:val="22"/>
          <w:lang w:val="en-GB"/>
        </w:rPr>
        <w:t xml:space="preserve"> on the </w:t>
      </w:r>
      <w:r w:rsidR="00493B5B" w:rsidRPr="0C1748B8">
        <w:rPr>
          <w:sz w:val="22"/>
          <w:szCs w:val="22"/>
          <w:lang w:val="en-GB"/>
        </w:rPr>
        <w:t xml:space="preserve">Compliance </w:t>
      </w:r>
      <w:r w:rsidR="00482F84" w:rsidRPr="00C8196A">
        <w:rPr>
          <w:sz w:val="22"/>
          <w:szCs w:val="22"/>
          <w:lang w:val="en-GB"/>
        </w:rPr>
        <w:t>Committee</w:t>
      </w:r>
      <w:r w:rsidR="00E63582">
        <w:rPr>
          <w:sz w:val="22"/>
          <w:szCs w:val="22"/>
          <w:lang w:val="en-GB"/>
        </w:rPr>
        <w:t>,</w:t>
      </w:r>
      <w:r w:rsidR="00482F84" w:rsidRPr="00C8196A">
        <w:rPr>
          <w:sz w:val="22"/>
          <w:szCs w:val="22"/>
          <w:lang w:val="en-GB"/>
        </w:rPr>
        <w:t xml:space="preserve"> </w:t>
      </w:r>
      <w:r w:rsidR="00E63582">
        <w:rPr>
          <w:sz w:val="22"/>
          <w:szCs w:val="22"/>
          <w:lang w:val="en-GB"/>
        </w:rPr>
        <w:t xml:space="preserve">which </w:t>
      </w:r>
      <w:r w:rsidR="00BC1816" w:rsidRPr="00C8196A">
        <w:rPr>
          <w:sz w:val="22"/>
          <w:szCs w:val="22"/>
          <w:lang w:val="en-GB"/>
        </w:rPr>
        <w:t>a</w:t>
      </w:r>
      <w:r w:rsidR="00482F84" w:rsidRPr="00C8196A">
        <w:rPr>
          <w:sz w:val="22"/>
          <w:szCs w:val="22"/>
          <w:lang w:val="en-GB"/>
        </w:rPr>
        <w:t xml:space="preserve">ll but three members </w:t>
      </w:r>
      <w:r w:rsidR="00E63582">
        <w:rPr>
          <w:sz w:val="22"/>
          <w:szCs w:val="22"/>
          <w:lang w:val="en-GB"/>
        </w:rPr>
        <w:t>confirmed</w:t>
      </w:r>
      <w:r w:rsidR="00BC1816" w:rsidRPr="00C8196A">
        <w:rPr>
          <w:sz w:val="22"/>
          <w:szCs w:val="22"/>
          <w:lang w:val="en-GB"/>
        </w:rPr>
        <w:t>.</w:t>
      </w:r>
    </w:p>
    <w:p w14:paraId="1434BB51" w14:textId="05273331" w:rsidR="00482F84" w:rsidRPr="00C8196A" w:rsidRDefault="00482F84" w:rsidP="00C8196A">
      <w:pPr>
        <w:pStyle w:val="Para1"/>
        <w:numPr>
          <w:ilvl w:val="0"/>
          <w:numId w:val="24"/>
        </w:numPr>
        <w:tabs>
          <w:tab w:val="clear" w:pos="360"/>
          <w:tab w:val="left" w:pos="540"/>
          <w:tab w:val="num" w:pos="630"/>
          <w:tab w:val="left" w:pos="1134"/>
        </w:tabs>
        <w:ind w:left="540"/>
        <w:jc w:val="both"/>
        <w:rPr>
          <w:kern w:val="22"/>
          <w:sz w:val="22"/>
          <w:szCs w:val="22"/>
          <w:lang w:val="en-GB"/>
        </w:rPr>
      </w:pPr>
      <w:r w:rsidRPr="00C8196A">
        <w:rPr>
          <w:kern w:val="22"/>
          <w:sz w:val="22"/>
          <w:szCs w:val="22"/>
          <w:lang w:val="en-GB"/>
        </w:rPr>
        <w:t xml:space="preserve">In accordance with </w:t>
      </w:r>
      <w:r w:rsidR="004E5A0F" w:rsidRPr="00C8196A">
        <w:rPr>
          <w:sz w:val="22"/>
          <w:szCs w:val="22"/>
          <w:lang w:val="en-GB"/>
        </w:rPr>
        <w:t>r</w:t>
      </w:r>
      <w:r w:rsidRPr="00C8196A">
        <w:rPr>
          <w:sz w:val="22"/>
          <w:szCs w:val="22"/>
          <w:lang w:val="en-GB"/>
        </w:rPr>
        <w:t xml:space="preserve">ule 10, paragraph 2, of the </w:t>
      </w:r>
      <w:r w:rsidR="00E47D79" w:rsidRPr="00C8196A">
        <w:rPr>
          <w:sz w:val="22"/>
          <w:szCs w:val="22"/>
          <w:lang w:val="en-GB"/>
        </w:rPr>
        <w:t>r</w:t>
      </w:r>
      <w:r w:rsidRPr="00C8196A">
        <w:rPr>
          <w:sz w:val="22"/>
          <w:szCs w:val="22"/>
          <w:lang w:val="en-GB"/>
        </w:rPr>
        <w:t xml:space="preserve">ules of </w:t>
      </w:r>
      <w:r w:rsidR="00E47D79" w:rsidRPr="00C8196A">
        <w:rPr>
          <w:sz w:val="22"/>
          <w:szCs w:val="22"/>
          <w:lang w:val="en-GB"/>
        </w:rPr>
        <w:t>p</w:t>
      </w:r>
      <w:r w:rsidRPr="00C8196A">
        <w:rPr>
          <w:sz w:val="22"/>
          <w:szCs w:val="22"/>
          <w:lang w:val="en-GB"/>
        </w:rPr>
        <w:t xml:space="preserve">rocedure for </w:t>
      </w:r>
      <w:r w:rsidR="00094E43" w:rsidRPr="00C8196A">
        <w:rPr>
          <w:sz w:val="22"/>
          <w:szCs w:val="22"/>
          <w:lang w:val="en-GB"/>
        </w:rPr>
        <w:t xml:space="preserve">the </w:t>
      </w:r>
      <w:r w:rsidR="00926CE1" w:rsidRPr="00C8196A">
        <w:rPr>
          <w:sz w:val="22"/>
          <w:szCs w:val="22"/>
          <w:lang w:val="en-GB"/>
        </w:rPr>
        <w:t>m</w:t>
      </w:r>
      <w:r w:rsidRPr="00C8196A">
        <w:rPr>
          <w:sz w:val="22"/>
          <w:szCs w:val="22"/>
          <w:lang w:val="en-GB"/>
        </w:rPr>
        <w:t>eetings of the Compliance Committee</w:t>
      </w:r>
      <w:r w:rsidR="00E05AD0" w:rsidRPr="00C8196A">
        <w:rPr>
          <w:sz w:val="22"/>
          <w:szCs w:val="22"/>
          <w:lang w:val="en-GB"/>
        </w:rPr>
        <w:t xml:space="preserve"> under the Cartagena Protocol</w:t>
      </w:r>
      <w:r w:rsidR="00D523DB" w:rsidRPr="00C8196A">
        <w:rPr>
          <w:sz w:val="22"/>
          <w:szCs w:val="22"/>
          <w:lang w:val="en-GB"/>
        </w:rPr>
        <w:t>,</w:t>
      </w:r>
      <w:r w:rsidR="00D523DB" w:rsidRPr="00C8196A">
        <w:rPr>
          <w:rStyle w:val="FootnoteReference"/>
          <w:sz w:val="22"/>
          <w:szCs w:val="22"/>
          <w:lang w:val="en-GB"/>
        </w:rPr>
        <w:footnoteReference w:id="16"/>
      </w:r>
      <w:r w:rsidRPr="00C8196A">
        <w:rPr>
          <w:sz w:val="22"/>
          <w:szCs w:val="22"/>
          <w:lang w:val="en-GB"/>
        </w:rPr>
        <w:t xml:space="preserve"> the Bureau consulted the relevant regions and appointed two individuals from </w:t>
      </w:r>
      <w:r w:rsidR="00E05AD0" w:rsidRPr="00C8196A">
        <w:rPr>
          <w:sz w:val="22"/>
          <w:szCs w:val="22"/>
          <w:lang w:val="en-GB"/>
        </w:rPr>
        <w:t xml:space="preserve">the </w:t>
      </w:r>
      <w:r w:rsidRPr="00C8196A">
        <w:rPr>
          <w:sz w:val="22"/>
          <w:szCs w:val="22"/>
          <w:lang w:val="en-GB"/>
        </w:rPr>
        <w:t xml:space="preserve">Asia-Pacific </w:t>
      </w:r>
      <w:r w:rsidR="00E05AD0" w:rsidRPr="00C8196A">
        <w:rPr>
          <w:sz w:val="22"/>
          <w:szCs w:val="22"/>
          <w:lang w:val="en-GB"/>
        </w:rPr>
        <w:t xml:space="preserve">region </w:t>
      </w:r>
      <w:r w:rsidRPr="00C8196A">
        <w:rPr>
          <w:sz w:val="22"/>
          <w:szCs w:val="22"/>
          <w:lang w:val="en-GB"/>
        </w:rPr>
        <w:t xml:space="preserve">and one individual from </w:t>
      </w:r>
      <w:r w:rsidR="00E05AD0" w:rsidRPr="00C8196A">
        <w:rPr>
          <w:sz w:val="22"/>
          <w:szCs w:val="22"/>
          <w:lang w:val="en-GB"/>
        </w:rPr>
        <w:t xml:space="preserve">the </w:t>
      </w:r>
      <w:r w:rsidRPr="00C8196A">
        <w:rPr>
          <w:sz w:val="22"/>
          <w:szCs w:val="22"/>
          <w:lang w:val="en-GB"/>
        </w:rPr>
        <w:t xml:space="preserve">Eastern Europe </w:t>
      </w:r>
      <w:r w:rsidR="00E05AD0" w:rsidRPr="00C8196A">
        <w:rPr>
          <w:sz w:val="22"/>
          <w:szCs w:val="22"/>
          <w:lang w:val="en-GB"/>
        </w:rPr>
        <w:t xml:space="preserve">region </w:t>
      </w:r>
      <w:r w:rsidRPr="00C8196A">
        <w:rPr>
          <w:sz w:val="22"/>
          <w:szCs w:val="22"/>
          <w:lang w:val="en-GB"/>
        </w:rPr>
        <w:t xml:space="preserve">to replace the members from those regions who were unable to continue </w:t>
      </w:r>
      <w:r w:rsidR="003937C2" w:rsidRPr="00C8196A">
        <w:rPr>
          <w:sz w:val="22"/>
          <w:szCs w:val="22"/>
          <w:lang w:val="en-GB"/>
        </w:rPr>
        <w:t xml:space="preserve">to </w:t>
      </w:r>
      <w:r w:rsidRPr="00C8196A">
        <w:rPr>
          <w:sz w:val="22"/>
          <w:szCs w:val="22"/>
          <w:lang w:val="en-GB"/>
        </w:rPr>
        <w:t>serv</w:t>
      </w:r>
      <w:r w:rsidR="003937C2" w:rsidRPr="00C8196A">
        <w:rPr>
          <w:sz w:val="22"/>
          <w:szCs w:val="22"/>
          <w:lang w:val="en-GB"/>
        </w:rPr>
        <w:t>e</w:t>
      </w:r>
      <w:r w:rsidRPr="00C8196A">
        <w:rPr>
          <w:sz w:val="22"/>
          <w:szCs w:val="22"/>
          <w:lang w:val="en-GB"/>
        </w:rPr>
        <w:t xml:space="preserve"> on the Committee.</w:t>
      </w:r>
    </w:p>
    <w:p w14:paraId="4602BC03" w14:textId="5163FCB9" w:rsidR="00482F84" w:rsidRPr="00C8196A" w:rsidRDefault="00482F84" w:rsidP="00C8196A">
      <w:pPr>
        <w:pStyle w:val="Para1"/>
        <w:numPr>
          <w:ilvl w:val="0"/>
          <w:numId w:val="24"/>
        </w:numPr>
        <w:tabs>
          <w:tab w:val="clear" w:pos="360"/>
          <w:tab w:val="left" w:pos="540"/>
          <w:tab w:val="num" w:pos="630"/>
          <w:tab w:val="left" w:pos="1134"/>
        </w:tabs>
        <w:ind w:left="540"/>
        <w:jc w:val="both"/>
        <w:rPr>
          <w:kern w:val="22"/>
          <w:sz w:val="22"/>
          <w:szCs w:val="22"/>
          <w:lang w:val="en-GB"/>
        </w:rPr>
      </w:pPr>
      <w:r w:rsidRPr="00C8196A">
        <w:rPr>
          <w:kern w:val="22"/>
          <w:sz w:val="22"/>
          <w:szCs w:val="22"/>
          <w:lang w:val="en-GB"/>
        </w:rPr>
        <w:t xml:space="preserve">Accordingly, </w:t>
      </w:r>
      <w:r w:rsidR="00853F32">
        <w:rPr>
          <w:kern w:val="22"/>
          <w:sz w:val="22"/>
          <w:szCs w:val="22"/>
          <w:lang w:val="en-GB"/>
        </w:rPr>
        <w:t xml:space="preserve">at the time of reporting, </w:t>
      </w:r>
      <w:r w:rsidRPr="00C8196A">
        <w:rPr>
          <w:kern w:val="22"/>
          <w:sz w:val="22"/>
          <w:szCs w:val="22"/>
          <w:lang w:val="en-GB"/>
        </w:rPr>
        <w:t xml:space="preserve">the </w:t>
      </w:r>
      <w:r w:rsidR="00143F15">
        <w:rPr>
          <w:kern w:val="22"/>
          <w:sz w:val="22"/>
          <w:szCs w:val="22"/>
          <w:lang w:val="en-GB"/>
        </w:rPr>
        <w:t>members</w:t>
      </w:r>
      <w:r w:rsidR="00143F15" w:rsidRPr="00C8196A">
        <w:rPr>
          <w:kern w:val="22"/>
          <w:sz w:val="22"/>
          <w:szCs w:val="22"/>
          <w:lang w:val="en-GB"/>
        </w:rPr>
        <w:t xml:space="preserve"> </w:t>
      </w:r>
      <w:r w:rsidRPr="00C8196A">
        <w:rPr>
          <w:kern w:val="22"/>
          <w:sz w:val="22"/>
          <w:szCs w:val="22"/>
          <w:lang w:val="en-GB"/>
        </w:rPr>
        <w:t xml:space="preserve">of the </w:t>
      </w:r>
      <w:r w:rsidR="00493B5B">
        <w:rPr>
          <w:kern w:val="22"/>
          <w:sz w:val="22"/>
          <w:szCs w:val="22"/>
          <w:lang w:val="en-GB"/>
        </w:rPr>
        <w:t xml:space="preserve">Compliance </w:t>
      </w:r>
      <w:r w:rsidRPr="00C8196A">
        <w:rPr>
          <w:kern w:val="22"/>
          <w:sz w:val="22"/>
          <w:szCs w:val="22"/>
          <w:lang w:val="en-GB"/>
        </w:rPr>
        <w:t xml:space="preserve">Committee </w:t>
      </w:r>
      <w:r w:rsidR="00143F15">
        <w:rPr>
          <w:kern w:val="22"/>
          <w:sz w:val="22"/>
          <w:szCs w:val="22"/>
          <w:lang w:val="en-GB"/>
        </w:rPr>
        <w:t xml:space="preserve">were </w:t>
      </w:r>
      <w:r w:rsidRPr="00C8196A">
        <w:rPr>
          <w:kern w:val="22"/>
          <w:sz w:val="22"/>
          <w:szCs w:val="22"/>
          <w:lang w:val="en-GB"/>
        </w:rPr>
        <w:t>as follows:</w:t>
      </w:r>
    </w:p>
    <w:p w14:paraId="71F391A8" w14:textId="4424235E" w:rsidR="00482F84" w:rsidRPr="00C8196A" w:rsidRDefault="00482F84" w:rsidP="00C8196A">
      <w:pPr>
        <w:pStyle w:val="Para1"/>
        <w:numPr>
          <w:ilvl w:val="0"/>
          <w:numId w:val="0"/>
        </w:numPr>
        <w:tabs>
          <w:tab w:val="left" w:pos="540"/>
          <w:tab w:val="left" w:pos="1701"/>
        </w:tabs>
        <w:ind w:left="567" w:firstLine="567"/>
        <w:rPr>
          <w:kern w:val="22"/>
          <w:sz w:val="22"/>
          <w:szCs w:val="22"/>
          <w:lang w:val="en-GB"/>
        </w:rPr>
      </w:pPr>
      <w:r w:rsidRPr="00C8196A">
        <w:rPr>
          <w:bCs/>
          <w:iCs/>
          <w:kern w:val="22"/>
          <w:sz w:val="22"/>
          <w:szCs w:val="22"/>
          <w:lang w:val="en-GB"/>
        </w:rPr>
        <w:t>(a)</w:t>
      </w:r>
      <w:r w:rsidRPr="00C8196A">
        <w:rPr>
          <w:b/>
          <w:bCs/>
          <w:i/>
          <w:iCs/>
          <w:kern w:val="22"/>
          <w:sz w:val="22"/>
          <w:szCs w:val="22"/>
          <w:lang w:val="en-GB"/>
        </w:rPr>
        <w:tab/>
      </w:r>
      <w:r w:rsidRPr="00C8196A">
        <w:rPr>
          <w:kern w:val="22"/>
          <w:sz w:val="22"/>
          <w:szCs w:val="22"/>
          <w:lang w:val="en-GB"/>
        </w:rPr>
        <w:t>Africa</w:t>
      </w:r>
      <w:r w:rsidR="00852022" w:rsidRPr="00C8196A">
        <w:rPr>
          <w:kern w:val="22"/>
          <w:sz w:val="22"/>
          <w:szCs w:val="22"/>
          <w:lang w:val="en-GB"/>
        </w:rPr>
        <w:t>:</w:t>
      </w:r>
      <w:r w:rsidRPr="00C8196A">
        <w:rPr>
          <w:kern w:val="22"/>
          <w:sz w:val="22"/>
          <w:szCs w:val="22"/>
          <w:lang w:val="en-GB"/>
        </w:rPr>
        <w:t xml:space="preserve"> </w:t>
      </w:r>
      <w:proofErr w:type="spellStart"/>
      <w:r w:rsidRPr="00C8196A">
        <w:rPr>
          <w:bCs/>
          <w:kern w:val="22"/>
          <w:sz w:val="22"/>
          <w:szCs w:val="22"/>
          <w:lang w:val="en-GB"/>
        </w:rPr>
        <w:t>Rigobert</w:t>
      </w:r>
      <w:proofErr w:type="spellEnd"/>
      <w:r w:rsidRPr="00C8196A">
        <w:rPr>
          <w:bCs/>
          <w:kern w:val="22"/>
          <w:sz w:val="22"/>
          <w:szCs w:val="22"/>
          <w:lang w:val="en-GB"/>
        </w:rPr>
        <w:t xml:space="preserve"> </w:t>
      </w:r>
      <w:proofErr w:type="spellStart"/>
      <w:r w:rsidRPr="00C8196A">
        <w:rPr>
          <w:bCs/>
          <w:kern w:val="22"/>
          <w:sz w:val="22"/>
          <w:szCs w:val="22"/>
          <w:lang w:val="en-GB"/>
        </w:rPr>
        <w:t>Nte</w:t>
      </w:r>
      <w:r w:rsidRPr="00C8196A">
        <w:rPr>
          <w:kern w:val="22"/>
          <w:sz w:val="22"/>
          <w:szCs w:val="22"/>
          <w:lang w:val="en-GB"/>
        </w:rPr>
        <w:t>p</w:t>
      </w:r>
      <w:proofErr w:type="spellEnd"/>
      <w:r w:rsidR="00D078D9" w:rsidRPr="00C8196A">
        <w:rPr>
          <w:kern w:val="22"/>
          <w:sz w:val="22"/>
          <w:szCs w:val="22"/>
          <w:lang w:val="en-GB"/>
        </w:rPr>
        <w:t xml:space="preserve">, </w:t>
      </w:r>
      <w:r w:rsidRPr="00C8196A">
        <w:rPr>
          <w:kern w:val="22"/>
          <w:sz w:val="22"/>
          <w:szCs w:val="22"/>
          <w:lang w:val="en-GB"/>
        </w:rPr>
        <w:t xml:space="preserve">Dorington O. </w:t>
      </w:r>
      <w:proofErr w:type="spellStart"/>
      <w:r w:rsidRPr="00C8196A">
        <w:rPr>
          <w:kern w:val="22"/>
          <w:sz w:val="22"/>
          <w:szCs w:val="22"/>
          <w:lang w:val="en-GB"/>
        </w:rPr>
        <w:t>Ogoyi</w:t>
      </w:r>
      <w:proofErr w:type="spellEnd"/>
      <w:r w:rsidRPr="00C8196A">
        <w:rPr>
          <w:kern w:val="22"/>
          <w:sz w:val="22"/>
          <w:szCs w:val="22"/>
          <w:lang w:val="en-GB"/>
        </w:rPr>
        <w:t xml:space="preserve"> and </w:t>
      </w:r>
      <w:proofErr w:type="spellStart"/>
      <w:r w:rsidRPr="00C8196A">
        <w:rPr>
          <w:kern w:val="22"/>
          <w:sz w:val="22"/>
          <w:szCs w:val="22"/>
          <w:lang w:val="en-GB"/>
        </w:rPr>
        <w:t>Mahaman</w:t>
      </w:r>
      <w:proofErr w:type="spellEnd"/>
      <w:r w:rsidRPr="00C8196A">
        <w:rPr>
          <w:kern w:val="22"/>
          <w:sz w:val="22"/>
          <w:szCs w:val="22"/>
          <w:lang w:val="en-GB"/>
        </w:rPr>
        <w:t xml:space="preserve"> Gado </w:t>
      </w:r>
      <w:proofErr w:type="gramStart"/>
      <w:r w:rsidRPr="00C8196A">
        <w:rPr>
          <w:kern w:val="22"/>
          <w:sz w:val="22"/>
          <w:szCs w:val="22"/>
          <w:lang w:val="en-GB"/>
        </w:rPr>
        <w:t>Zaki;</w:t>
      </w:r>
      <w:proofErr w:type="gramEnd"/>
    </w:p>
    <w:p w14:paraId="2827E0AE" w14:textId="468AEFE5" w:rsidR="00482F84" w:rsidRPr="006A5361" w:rsidRDefault="00482F84" w:rsidP="00C8196A">
      <w:pPr>
        <w:tabs>
          <w:tab w:val="left" w:pos="540"/>
          <w:tab w:val="left" w:pos="1701"/>
        </w:tabs>
        <w:spacing w:after="120"/>
        <w:ind w:left="567" w:firstLine="567"/>
        <w:rPr>
          <w:snapToGrid w:val="0"/>
          <w:kern w:val="22"/>
          <w:szCs w:val="22"/>
        </w:rPr>
      </w:pPr>
      <w:r w:rsidRPr="00C8196A">
        <w:rPr>
          <w:bCs/>
          <w:snapToGrid w:val="0"/>
          <w:kern w:val="22"/>
          <w:szCs w:val="22"/>
        </w:rPr>
        <w:t>(b)</w:t>
      </w:r>
      <w:r w:rsidRPr="00C8196A">
        <w:rPr>
          <w:b/>
          <w:bCs/>
          <w:snapToGrid w:val="0"/>
          <w:kern w:val="22"/>
          <w:szCs w:val="22"/>
        </w:rPr>
        <w:tab/>
      </w:r>
      <w:r w:rsidRPr="00C8196A">
        <w:rPr>
          <w:snapToGrid w:val="0"/>
          <w:kern w:val="22"/>
          <w:szCs w:val="22"/>
        </w:rPr>
        <w:t>Asia-Pacific</w:t>
      </w:r>
      <w:r w:rsidR="00852022" w:rsidRPr="00C8196A">
        <w:rPr>
          <w:snapToGrid w:val="0"/>
          <w:kern w:val="22"/>
          <w:szCs w:val="22"/>
        </w:rPr>
        <w:t>:</w:t>
      </w:r>
      <w:r w:rsidRPr="006A5361">
        <w:rPr>
          <w:snapToGrid w:val="0"/>
          <w:kern w:val="22"/>
          <w:szCs w:val="22"/>
        </w:rPr>
        <w:t xml:space="preserve"> </w:t>
      </w:r>
      <w:r w:rsidR="00F24717" w:rsidRPr="006A5361">
        <w:rPr>
          <w:szCs w:val="22"/>
        </w:rPr>
        <w:t xml:space="preserve">Maria </w:t>
      </w:r>
      <w:proofErr w:type="spellStart"/>
      <w:r w:rsidR="00F24717" w:rsidRPr="006A5361">
        <w:rPr>
          <w:szCs w:val="22"/>
        </w:rPr>
        <w:t>Agbagala</w:t>
      </w:r>
      <w:proofErr w:type="spellEnd"/>
      <w:r w:rsidR="00F24717" w:rsidRPr="006A5361">
        <w:rPr>
          <w:szCs w:val="22"/>
        </w:rPr>
        <w:t xml:space="preserve">, </w:t>
      </w:r>
      <w:r w:rsidRPr="00C8196A">
        <w:rPr>
          <w:bCs/>
          <w:snapToGrid w:val="0"/>
          <w:kern w:val="22"/>
          <w:szCs w:val="22"/>
        </w:rPr>
        <w:t xml:space="preserve">Achmad Gusman </w:t>
      </w:r>
      <w:proofErr w:type="spellStart"/>
      <w:r w:rsidRPr="00C8196A">
        <w:rPr>
          <w:bCs/>
          <w:snapToGrid w:val="0"/>
          <w:kern w:val="22"/>
          <w:szCs w:val="22"/>
        </w:rPr>
        <w:t>Siswandi</w:t>
      </w:r>
      <w:proofErr w:type="spellEnd"/>
      <w:r w:rsidR="00F24717" w:rsidRPr="00C8196A">
        <w:rPr>
          <w:bCs/>
          <w:snapToGrid w:val="0"/>
          <w:kern w:val="22"/>
          <w:szCs w:val="22"/>
        </w:rPr>
        <w:t xml:space="preserve"> and </w:t>
      </w:r>
      <w:r w:rsidR="00F24717" w:rsidRPr="006A5361">
        <w:rPr>
          <w:szCs w:val="22"/>
        </w:rPr>
        <w:t xml:space="preserve">Liu </w:t>
      </w:r>
      <w:proofErr w:type="gramStart"/>
      <w:r w:rsidR="00F24717" w:rsidRPr="006A5361">
        <w:rPr>
          <w:szCs w:val="22"/>
        </w:rPr>
        <w:t>Yan;</w:t>
      </w:r>
      <w:proofErr w:type="gramEnd"/>
    </w:p>
    <w:p w14:paraId="1CE3366D" w14:textId="5A4CC7C4" w:rsidR="00482F84" w:rsidRPr="006A5361" w:rsidRDefault="00482F84" w:rsidP="00C8196A">
      <w:pPr>
        <w:tabs>
          <w:tab w:val="left" w:pos="540"/>
          <w:tab w:val="left" w:pos="1701"/>
        </w:tabs>
        <w:spacing w:after="120"/>
        <w:ind w:left="567" w:firstLine="567"/>
      </w:pPr>
      <w:r w:rsidRPr="00C8196A">
        <w:rPr>
          <w:snapToGrid w:val="0"/>
          <w:kern w:val="22"/>
        </w:rPr>
        <w:t>(c)</w:t>
      </w:r>
      <w:r w:rsidRPr="00C8196A">
        <w:rPr>
          <w:b/>
          <w:bCs/>
          <w:snapToGrid w:val="0"/>
          <w:kern w:val="22"/>
          <w:szCs w:val="22"/>
        </w:rPr>
        <w:tab/>
      </w:r>
      <w:r w:rsidRPr="00C8196A">
        <w:rPr>
          <w:snapToGrid w:val="0"/>
          <w:kern w:val="22"/>
        </w:rPr>
        <w:t>Eastern Europe</w:t>
      </w:r>
      <w:r w:rsidR="00852022" w:rsidRPr="00C8196A">
        <w:t>:</w:t>
      </w:r>
      <w:r w:rsidRPr="00416044">
        <w:rPr>
          <w:snapToGrid w:val="0"/>
          <w:kern w:val="22"/>
          <w:szCs w:val="22"/>
        </w:rPr>
        <w:t xml:space="preserve"> </w:t>
      </w:r>
      <w:r w:rsidRPr="00416044">
        <w:rPr>
          <w:snapToGrid w:val="0"/>
          <w:kern w:val="22"/>
        </w:rPr>
        <w:t>Martin Ba</w:t>
      </w:r>
      <w:r w:rsidRPr="00C8196A">
        <w:rPr>
          <w:rFonts w:asciiTheme="majorBidi" w:hAnsiTheme="majorBidi" w:cstheme="majorBidi"/>
          <w:snapToGrid w:val="0"/>
          <w:kern w:val="22"/>
          <w:szCs w:val="22"/>
        </w:rPr>
        <w:t>ti</w:t>
      </w:r>
      <w:r w:rsidR="005C3697">
        <w:rPr>
          <w:rFonts w:asciiTheme="majorBidi" w:hAnsiTheme="majorBidi" w:cstheme="majorBidi"/>
          <w:snapToGrid w:val="0"/>
          <w:kern w:val="22"/>
          <w:szCs w:val="22"/>
        </w:rPr>
        <w:t>č</w:t>
      </w:r>
      <w:r w:rsidR="00F24717" w:rsidRPr="00C8196A">
        <w:rPr>
          <w:rFonts w:asciiTheme="majorBidi" w:hAnsiTheme="majorBidi" w:cstheme="majorBidi"/>
          <w:snapToGrid w:val="0"/>
          <w:kern w:val="22"/>
          <w:szCs w:val="22"/>
        </w:rPr>
        <w:t xml:space="preserve">, </w:t>
      </w:r>
      <w:proofErr w:type="spellStart"/>
      <w:r w:rsidRPr="00416044">
        <w:t>Klodiana</w:t>
      </w:r>
      <w:proofErr w:type="spellEnd"/>
      <w:r w:rsidRPr="00416044">
        <w:t xml:space="preserve"> Marika</w:t>
      </w:r>
      <w:r w:rsidR="00F24717" w:rsidRPr="00416044">
        <w:t xml:space="preserve"> and </w:t>
      </w:r>
      <w:r w:rsidR="00F24717" w:rsidRPr="00416044">
        <w:rPr>
          <w:noProof/>
          <w:snapToGrid w:val="0"/>
          <w:kern w:val="22"/>
        </w:rPr>
        <w:t xml:space="preserve">Dubravka </w:t>
      </w:r>
      <w:proofErr w:type="gramStart"/>
      <w:r w:rsidR="00F24717" w:rsidRPr="00416044">
        <w:rPr>
          <w:noProof/>
          <w:snapToGrid w:val="0"/>
          <w:kern w:val="22"/>
        </w:rPr>
        <w:t>Stepi</w:t>
      </w:r>
      <w:r w:rsidR="00D43467" w:rsidRPr="00416044">
        <w:rPr>
          <w:noProof/>
          <w:snapToGrid w:val="0"/>
          <w:kern w:val="22"/>
        </w:rPr>
        <w:t>ć</w:t>
      </w:r>
      <w:r w:rsidR="00F24717" w:rsidRPr="00416044">
        <w:rPr>
          <w:szCs w:val="22"/>
        </w:rPr>
        <w:t>;</w:t>
      </w:r>
      <w:proofErr w:type="gramEnd"/>
    </w:p>
    <w:p w14:paraId="53ABA473" w14:textId="22B3DF09" w:rsidR="00482F84" w:rsidRPr="006A5361" w:rsidRDefault="00482F84" w:rsidP="00C8196A">
      <w:pPr>
        <w:tabs>
          <w:tab w:val="left" w:pos="540"/>
          <w:tab w:val="left" w:pos="1701"/>
        </w:tabs>
        <w:spacing w:after="120"/>
        <w:ind w:left="567" w:firstLine="567"/>
        <w:rPr>
          <w:snapToGrid w:val="0"/>
          <w:kern w:val="22"/>
          <w:szCs w:val="22"/>
        </w:rPr>
      </w:pPr>
      <w:r w:rsidRPr="00C8196A">
        <w:rPr>
          <w:bCs/>
          <w:snapToGrid w:val="0"/>
          <w:kern w:val="22"/>
          <w:szCs w:val="22"/>
        </w:rPr>
        <w:t>(d)</w:t>
      </w:r>
      <w:r w:rsidRPr="00C8196A">
        <w:rPr>
          <w:b/>
          <w:bCs/>
          <w:snapToGrid w:val="0"/>
          <w:kern w:val="22"/>
          <w:szCs w:val="22"/>
        </w:rPr>
        <w:tab/>
      </w:r>
      <w:r w:rsidRPr="00C8196A">
        <w:rPr>
          <w:snapToGrid w:val="0"/>
          <w:kern w:val="22"/>
          <w:szCs w:val="22"/>
        </w:rPr>
        <w:t>Latin America and the Caribbean</w:t>
      </w:r>
      <w:r w:rsidR="00852022" w:rsidRPr="00C8196A">
        <w:rPr>
          <w:snapToGrid w:val="0"/>
          <w:kern w:val="22"/>
          <w:szCs w:val="22"/>
        </w:rPr>
        <w:t>:</w:t>
      </w:r>
      <w:r w:rsidRPr="006A5361">
        <w:rPr>
          <w:snapToGrid w:val="0"/>
          <w:kern w:val="22"/>
          <w:szCs w:val="22"/>
        </w:rPr>
        <w:t xml:space="preserve"> Georgina Catacora Vargas</w:t>
      </w:r>
      <w:r w:rsidR="00714D7D" w:rsidRPr="006A5361">
        <w:rPr>
          <w:snapToGrid w:val="0"/>
          <w:kern w:val="22"/>
          <w:szCs w:val="22"/>
        </w:rPr>
        <w:t>,</w:t>
      </w:r>
      <w:r w:rsidRPr="006A5361">
        <w:rPr>
          <w:snapToGrid w:val="0"/>
          <w:kern w:val="22"/>
          <w:szCs w:val="22"/>
        </w:rPr>
        <w:t xml:space="preserve"> </w:t>
      </w:r>
      <w:r w:rsidR="00F24717" w:rsidRPr="006A5361">
        <w:rPr>
          <w:snapToGrid w:val="0"/>
          <w:kern w:val="22"/>
          <w:szCs w:val="22"/>
        </w:rPr>
        <w:t xml:space="preserve">Malachy Dottin and </w:t>
      </w:r>
      <w:r w:rsidRPr="006A5361">
        <w:rPr>
          <w:noProof/>
          <w:snapToGrid w:val="0"/>
          <w:kern w:val="22"/>
          <w:szCs w:val="22"/>
        </w:rPr>
        <w:t xml:space="preserve">Jimena Nieto </w:t>
      </w:r>
      <w:proofErr w:type="gramStart"/>
      <w:r w:rsidRPr="006A5361">
        <w:rPr>
          <w:noProof/>
          <w:snapToGrid w:val="0"/>
          <w:kern w:val="22"/>
          <w:szCs w:val="22"/>
        </w:rPr>
        <w:t>Carrasco</w:t>
      </w:r>
      <w:r w:rsidRPr="006A5361">
        <w:rPr>
          <w:snapToGrid w:val="0"/>
          <w:kern w:val="22"/>
          <w:szCs w:val="22"/>
        </w:rPr>
        <w:t>;</w:t>
      </w:r>
      <w:proofErr w:type="gramEnd"/>
    </w:p>
    <w:p w14:paraId="2C52E9CF" w14:textId="4468975A" w:rsidR="00482F84" w:rsidRPr="00C8196A" w:rsidRDefault="00482F84" w:rsidP="00C8196A">
      <w:pPr>
        <w:tabs>
          <w:tab w:val="left" w:pos="540"/>
          <w:tab w:val="left" w:pos="1701"/>
        </w:tabs>
        <w:spacing w:before="120" w:after="120"/>
        <w:ind w:left="567" w:firstLine="567"/>
        <w:rPr>
          <w:szCs w:val="22"/>
        </w:rPr>
      </w:pPr>
      <w:r w:rsidRPr="00C8196A">
        <w:rPr>
          <w:bCs/>
          <w:snapToGrid w:val="0"/>
          <w:kern w:val="22"/>
          <w:szCs w:val="22"/>
        </w:rPr>
        <w:t>(e)</w:t>
      </w:r>
      <w:r w:rsidRPr="00C8196A">
        <w:rPr>
          <w:b/>
          <w:bCs/>
          <w:snapToGrid w:val="0"/>
          <w:kern w:val="22"/>
          <w:szCs w:val="22"/>
        </w:rPr>
        <w:tab/>
      </w:r>
      <w:r w:rsidRPr="00C8196A">
        <w:rPr>
          <w:snapToGrid w:val="0"/>
          <w:kern w:val="22"/>
          <w:szCs w:val="22"/>
        </w:rPr>
        <w:t>Western Europe and others</w:t>
      </w:r>
      <w:r w:rsidR="00852022" w:rsidRPr="00C8196A">
        <w:rPr>
          <w:snapToGrid w:val="0"/>
          <w:kern w:val="22"/>
          <w:szCs w:val="22"/>
        </w:rPr>
        <w:t>:</w:t>
      </w:r>
      <w:r w:rsidRPr="006A5361">
        <w:rPr>
          <w:snapToGrid w:val="0"/>
          <w:kern w:val="22"/>
          <w:szCs w:val="22"/>
        </w:rPr>
        <w:t xml:space="preserve"> </w:t>
      </w:r>
      <w:r w:rsidRPr="006A5361">
        <w:rPr>
          <w:noProof/>
          <w:snapToGrid w:val="0"/>
          <w:kern w:val="22"/>
          <w:szCs w:val="22"/>
        </w:rPr>
        <w:t>Andreas Heissenberger, Casper Linnestad and Michelangelo Lombardo.</w:t>
      </w:r>
    </w:p>
    <w:p w14:paraId="5F1C3237" w14:textId="76798F3D" w:rsidR="002B559C" w:rsidRPr="00C8196A" w:rsidRDefault="00ED3849" w:rsidP="00ED3849">
      <w:pPr>
        <w:pStyle w:val="Para10"/>
        <w:numPr>
          <w:ilvl w:val="0"/>
          <w:numId w:val="0"/>
        </w:numPr>
        <w:ind w:left="567"/>
        <w:jc w:val="center"/>
        <w:rPr>
          <w:szCs w:val="22"/>
          <w:lang w:val="en-GB"/>
        </w:rPr>
      </w:pPr>
      <w:r w:rsidRPr="00C8196A">
        <w:rPr>
          <w:szCs w:val="22"/>
          <w:lang w:val="en-GB"/>
        </w:rPr>
        <w:t>__________</w:t>
      </w:r>
    </w:p>
    <w:sectPr w:rsidR="002B559C" w:rsidRPr="00C8196A" w:rsidSect="00C8196A">
      <w:headerReference w:type="even" r:id="rId24"/>
      <w:headerReference w:type="default" r:id="rId25"/>
      <w:footerReference w:type="even" r:id="rId26"/>
      <w:footerReference w:type="default" r:id="rId27"/>
      <w:pgSz w:w="12240" w:h="15840"/>
      <w:pgMar w:top="1134" w:right="1440" w:bottom="1134" w:left="11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B26E" w14:textId="77777777" w:rsidR="009509C5" w:rsidRDefault="009509C5" w:rsidP="00A96B21">
      <w:r>
        <w:separator/>
      </w:r>
    </w:p>
  </w:endnote>
  <w:endnote w:type="continuationSeparator" w:id="0">
    <w:p w14:paraId="6B42E7A7" w14:textId="77777777" w:rsidR="009509C5" w:rsidRDefault="009509C5" w:rsidP="00A96B21">
      <w:r>
        <w:continuationSeparator/>
      </w:r>
    </w:p>
  </w:endnote>
  <w:endnote w:type="continuationNotice" w:id="1">
    <w:p w14:paraId="120608FC" w14:textId="77777777" w:rsidR="009509C5" w:rsidRDefault="00950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6FBF"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052C3E4D" w14:textId="2023DED0" w:rsidR="002B559C" w:rsidRDefault="002B559C" w:rsidP="008D5FA5">
            <w:pPr>
              <w:pStyle w:val="Footer"/>
              <w:ind w:left="720"/>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B3E8" w14:textId="77777777" w:rsidR="009509C5" w:rsidRDefault="009509C5" w:rsidP="00A96B21">
      <w:r>
        <w:separator/>
      </w:r>
    </w:p>
  </w:footnote>
  <w:footnote w:type="continuationSeparator" w:id="0">
    <w:p w14:paraId="6645209E" w14:textId="77777777" w:rsidR="009509C5" w:rsidRDefault="009509C5" w:rsidP="00A96B21">
      <w:r>
        <w:continuationSeparator/>
      </w:r>
    </w:p>
  </w:footnote>
  <w:footnote w:type="continuationNotice" w:id="1">
    <w:p w14:paraId="1D500707" w14:textId="77777777" w:rsidR="009509C5" w:rsidRDefault="009509C5"/>
  </w:footnote>
  <w:footnote w:id="2">
    <w:p w14:paraId="3AB7BB2F" w14:textId="392F441D" w:rsidR="008D5FA5" w:rsidRPr="00C8196A" w:rsidRDefault="008D5FA5" w:rsidP="00C8196A">
      <w:pPr>
        <w:pStyle w:val="Footer"/>
        <w:jc w:val="left"/>
        <w:rPr>
          <w:sz w:val="18"/>
          <w:szCs w:val="18"/>
        </w:rPr>
      </w:pPr>
      <w:r w:rsidRPr="00C8196A">
        <w:rPr>
          <w:rStyle w:val="FootnoteReference"/>
          <w:sz w:val="18"/>
          <w:szCs w:val="18"/>
        </w:rPr>
        <w:t>*</w:t>
      </w:r>
      <w:r w:rsidRPr="00C8196A">
        <w:rPr>
          <w:sz w:val="18"/>
          <w:szCs w:val="18"/>
        </w:rPr>
        <w:t xml:space="preserve"> CBD/CP/CC/18/1.</w:t>
      </w:r>
    </w:p>
  </w:footnote>
  <w:footnote w:id="3">
    <w:p w14:paraId="5A843D94" w14:textId="5F170C99" w:rsidR="00375982" w:rsidRPr="00C8196A" w:rsidRDefault="00375982">
      <w:pPr>
        <w:pStyle w:val="FootnoteText"/>
        <w:rPr>
          <w:sz w:val="18"/>
          <w:szCs w:val="18"/>
          <w:lang w:val="en-US"/>
        </w:rPr>
      </w:pPr>
      <w:r w:rsidRPr="00C8196A">
        <w:rPr>
          <w:rStyle w:val="FootnoteReference"/>
          <w:sz w:val="18"/>
          <w:szCs w:val="18"/>
        </w:rPr>
        <w:footnoteRef/>
      </w:r>
      <w:r w:rsidRPr="00C8196A">
        <w:rPr>
          <w:sz w:val="18"/>
          <w:szCs w:val="18"/>
        </w:rPr>
        <w:t xml:space="preserve"> </w:t>
      </w:r>
      <w:hyperlink r:id="rId1" w:history="1">
        <w:r w:rsidRPr="00C8196A">
          <w:rPr>
            <w:rStyle w:val="Hyperlink"/>
            <w:noProof/>
            <w:kern w:val="18"/>
            <w:sz w:val="18"/>
            <w:szCs w:val="18"/>
          </w:rPr>
          <w:t>CBD/CP/MOP/10/2</w:t>
        </w:r>
      </w:hyperlink>
      <w:r w:rsidRPr="00C8196A">
        <w:rPr>
          <w:rStyle w:val="Hyperlink"/>
          <w:noProof/>
          <w:kern w:val="18"/>
          <w:sz w:val="18"/>
          <w:szCs w:val="18"/>
        </w:rPr>
        <w:t>.</w:t>
      </w:r>
    </w:p>
  </w:footnote>
  <w:footnote w:id="4">
    <w:p w14:paraId="6C11B3D7" w14:textId="1B27838B" w:rsidR="00B30C3D" w:rsidRPr="00D96B76" w:rsidRDefault="00B30C3D">
      <w:pPr>
        <w:pStyle w:val="FootnoteText"/>
        <w:rPr>
          <w:lang w:val="en-US"/>
        </w:rPr>
      </w:pPr>
      <w:r w:rsidRPr="00D96B76">
        <w:rPr>
          <w:rStyle w:val="FootnoteReference"/>
        </w:rPr>
        <w:footnoteRef/>
      </w:r>
      <w:r w:rsidRPr="00D96B76">
        <w:t xml:space="preserve"> </w:t>
      </w:r>
      <w:hyperlink r:id="rId2" w:history="1">
        <w:r w:rsidRPr="00D96B76">
          <w:rPr>
            <w:rStyle w:val="Hyperlink"/>
            <w:snapToGrid w:val="0"/>
            <w:kern w:val="22"/>
            <w:szCs w:val="22"/>
          </w:rPr>
          <w:t>CBD/CP/MOP/10/4</w:t>
        </w:r>
      </w:hyperlink>
      <w:r w:rsidRPr="00D96B76">
        <w:rPr>
          <w:snapToGrid w:val="0"/>
          <w:kern w:val="22"/>
          <w:szCs w:val="22"/>
        </w:rPr>
        <w:t>, para. 30</w:t>
      </w:r>
      <w:r w:rsidR="00EC57BE" w:rsidRPr="00D96B76">
        <w:rPr>
          <w:snapToGrid w:val="0"/>
          <w:kern w:val="22"/>
          <w:szCs w:val="22"/>
        </w:rPr>
        <w:t>.</w:t>
      </w:r>
    </w:p>
  </w:footnote>
  <w:footnote w:id="5">
    <w:p w14:paraId="55CD638A" w14:textId="5A8FBEA3" w:rsidR="009A27A5" w:rsidRPr="00D96B76" w:rsidRDefault="009A27A5">
      <w:pPr>
        <w:pStyle w:val="FootnoteText"/>
        <w:rPr>
          <w:lang w:val="en-US"/>
        </w:rPr>
      </w:pPr>
      <w:r w:rsidRPr="00D96B76">
        <w:rPr>
          <w:rStyle w:val="FootnoteReference"/>
        </w:rPr>
        <w:footnoteRef/>
      </w:r>
      <w:r w:rsidRPr="00D96B76">
        <w:t xml:space="preserve"> </w:t>
      </w:r>
      <w:hyperlink r:id="rId3" w:history="1">
        <w:r w:rsidRPr="00D96B76">
          <w:rPr>
            <w:rStyle w:val="Hyperlink"/>
          </w:rPr>
          <w:t>CBD/CP/MOP/10/1/Add.5</w:t>
        </w:r>
      </w:hyperlink>
      <w:r w:rsidR="008C6CAF">
        <w:rPr>
          <w:rStyle w:val="Hyperlink"/>
        </w:rPr>
        <w:t>.</w:t>
      </w:r>
    </w:p>
  </w:footnote>
  <w:footnote w:id="6">
    <w:p w14:paraId="20435458" w14:textId="77777777" w:rsidR="00440AA4" w:rsidRDefault="00440AA4" w:rsidP="00440AA4">
      <w:pPr>
        <w:pStyle w:val="FootnoteText"/>
        <w:suppressLineNumbers/>
        <w:suppressAutoHyphens/>
        <w:jc w:val="left"/>
        <w:rPr>
          <w:kern w:val="18"/>
        </w:rPr>
      </w:pPr>
      <w:r w:rsidRPr="006229A2">
        <w:rPr>
          <w:rStyle w:val="FootnoteReference"/>
          <w:rFonts w:eastAsia="DengXian Light"/>
          <w:kern w:val="18"/>
          <w:szCs w:val="18"/>
        </w:rPr>
        <w:footnoteRef/>
      </w:r>
      <w:r>
        <w:rPr>
          <w:kern w:val="18"/>
        </w:rPr>
        <w:t xml:space="preserve"> Barbados, Kyrgyzstan, </w:t>
      </w:r>
      <w:proofErr w:type="gramStart"/>
      <w:r>
        <w:rPr>
          <w:kern w:val="18"/>
        </w:rPr>
        <w:t>Morocco</w:t>
      </w:r>
      <w:proofErr w:type="gramEnd"/>
      <w:r>
        <w:rPr>
          <w:kern w:val="18"/>
        </w:rPr>
        <w:t xml:space="preserve"> and Oman.</w:t>
      </w:r>
    </w:p>
  </w:footnote>
  <w:footnote w:id="7">
    <w:p w14:paraId="5FB06398" w14:textId="532A410D" w:rsidR="00800AFE" w:rsidRPr="001262FB" w:rsidRDefault="00800AFE" w:rsidP="00800AFE">
      <w:pPr>
        <w:pStyle w:val="FootnoteText"/>
      </w:pPr>
      <w:r w:rsidRPr="001262FB">
        <w:rPr>
          <w:rStyle w:val="FootnoteReference"/>
        </w:rPr>
        <w:footnoteRef/>
      </w:r>
      <w:r w:rsidRPr="001262FB">
        <w:t xml:space="preserve"> </w:t>
      </w:r>
      <w:hyperlink r:id="rId4" w:history="1">
        <w:r w:rsidR="002D2B80">
          <w:rPr>
            <w:rStyle w:val="Hyperlink"/>
          </w:rPr>
          <w:t>D</w:t>
        </w:r>
        <w:r w:rsidRPr="001262FB">
          <w:rPr>
            <w:rStyle w:val="Hyperlink"/>
          </w:rPr>
          <w:t>ecision 15/15</w:t>
        </w:r>
      </w:hyperlink>
      <w:r w:rsidR="005C11B7" w:rsidRPr="001262FB">
        <w:rPr>
          <w:rStyle w:val="Hyperlink"/>
        </w:rPr>
        <w:t>,</w:t>
      </w:r>
      <w:r w:rsidR="005C11B7" w:rsidRPr="001262FB">
        <w:t xml:space="preserve"> annex</w:t>
      </w:r>
      <w:r w:rsidR="00970D2B">
        <w:t>es</w:t>
      </w:r>
      <w:r w:rsidR="005C11B7" w:rsidRPr="001262FB">
        <w:t xml:space="preserve"> II A</w:t>
      </w:r>
      <w:r w:rsidR="00970D2B">
        <w:t xml:space="preserve"> and B.</w:t>
      </w:r>
    </w:p>
  </w:footnote>
  <w:footnote w:id="8">
    <w:p w14:paraId="7C5587A9" w14:textId="1CC41068" w:rsidR="00C264A2" w:rsidRPr="00F22FCB" w:rsidRDefault="00C264A2" w:rsidP="00C264A2">
      <w:pPr>
        <w:pStyle w:val="FootnoteText"/>
        <w:rPr>
          <w:color w:val="000000" w:themeColor="text1"/>
          <w:sz w:val="18"/>
          <w:szCs w:val="18"/>
        </w:rPr>
      </w:pPr>
      <w:r w:rsidRPr="00F22FCB">
        <w:rPr>
          <w:rStyle w:val="FootnoteReference"/>
          <w:color w:val="000000" w:themeColor="text1"/>
          <w:sz w:val="18"/>
          <w:szCs w:val="18"/>
        </w:rPr>
        <w:footnoteRef/>
      </w:r>
      <w:r w:rsidR="005B0413" w:rsidRPr="00F22FCB">
        <w:rPr>
          <w:color w:val="000000" w:themeColor="text1"/>
          <w:sz w:val="18"/>
          <w:szCs w:val="18"/>
        </w:rPr>
        <w:t xml:space="preserve"> </w:t>
      </w:r>
      <w:r w:rsidR="00431B09" w:rsidRPr="00F22FCB">
        <w:rPr>
          <w:rStyle w:val="Hyperlink"/>
          <w:color w:val="000000" w:themeColor="text1"/>
          <w:sz w:val="18"/>
          <w:szCs w:val="18"/>
          <w:u w:val="none"/>
        </w:rPr>
        <w:t>Ibid.</w:t>
      </w:r>
      <w:r w:rsidR="005C11B7" w:rsidRPr="00F22FCB">
        <w:rPr>
          <w:rStyle w:val="Hyperlink"/>
          <w:color w:val="000000" w:themeColor="text1"/>
          <w:sz w:val="18"/>
          <w:szCs w:val="18"/>
          <w:u w:val="none"/>
        </w:rPr>
        <w:t>,</w:t>
      </w:r>
      <w:r w:rsidR="005C11B7" w:rsidRPr="00F22FCB">
        <w:rPr>
          <w:color w:val="000000" w:themeColor="text1"/>
          <w:sz w:val="18"/>
          <w:szCs w:val="18"/>
        </w:rPr>
        <w:t xml:space="preserve"> annex I, para</w:t>
      </w:r>
      <w:r w:rsidR="0056273C" w:rsidRPr="00F22FCB">
        <w:rPr>
          <w:color w:val="000000" w:themeColor="text1"/>
          <w:sz w:val="18"/>
          <w:szCs w:val="18"/>
        </w:rPr>
        <w:t>.</w:t>
      </w:r>
      <w:r w:rsidR="005C11B7" w:rsidRPr="00F22FCB">
        <w:rPr>
          <w:color w:val="000000" w:themeColor="text1"/>
          <w:sz w:val="18"/>
          <w:szCs w:val="18"/>
        </w:rPr>
        <w:t xml:space="preserve"> 4 (h)</w:t>
      </w:r>
      <w:r w:rsidR="00EC57BE" w:rsidRPr="00F22FCB">
        <w:rPr>
          <w:rStyle w:val="Hyperlink"/>
          <w:color w:val="000000" w:themeColor="text1"/>
          <w:sz w:val="18"/>
          <w:szCs w:val="18"/>
          <w:u w:val="none"/>
        </w:rPr>
        <w:t>.</w:t>
      </w:r>
    </w:p>
  </w:footnote>
  <w:footnote w:id="9">
    <w:p w14:paraId="5E7F0E60" w14:textId="26E6D392" w:rsidR="00C264A2" w:rsidRPr="00F22FCB" w:rsidRDefault="00C264A2" w:rsidP="005A3F51">
      <w:pPr>
        <w:pStyle w:val="FootnoteText"/>
        <w:rPr>
          <w:sz w:val="18"/>
          <w:szCs w:val="18"/>
          <w:lang w:val="en-US"/>
        </w:rPr>
      </w:pPr>
      <w:r w:rsidRPr="00F22FCB">
        <w:rPr>
          <w:rStyle w:val="FootnoteReference"/>
          <w:sz w:val="18"/>
          <w:szCs w:val="18"/>
        </w:rPr>
        <w:footnoteRef/>
      </w:r>
      <w:r w:rsidRPr="00F22FCB">
        <w:rPr>
          <w:sz w:val="18"/>
          <w:szCs w:val="18"/>
        </w:rPr>
        <w:t xml:space="preserve"> </w:t>
      </w:r>
      <w:r w:rsidR="00D71646" w:rsidRPr="00F22FCB">
        <w:rPr>
          <w:sz w:val="18"/>
          <w:szCs w:val="18"/>
        </w:rPr>
        <w:t xml:space="preserve">Global Environment Facility, </w:t>
      </w:r>
      <w:r w:rsidRPr="00F22FCB">
        <w:rPr>
          <w:sz w:val="18"/>
          <w:szCs w:val="18"/>
          <w:lang w:val="en-US"/>
        </w:rPr>
        <w:t xml:space="preserve">Report on the </w:t>
      </w:r>
      <w:r w:rsidR="00AA7F58" w:rsidRPr="00F22FCB">
        <w:rPr>
          <w:sz w:val="18"/>
          <w:szCs w:val="18"/>
          <w:lang w:val="en-US"/>
        </w:rPr>
        <w:t>e</w:t>
      </w:r>
      <w:r w:rsidRPr="00F22FCB">
        <w:rPr>
          <w:sz w:val="18"/>
          <w:szCs w:val="18"/>
          <w:lang w:val="en-US"/>
        </w:rPr>
        <w:t xml:space="preserve">ighth </w:t>
      </w:r>
      <w:r w:rsidR="00AA7F58" w:rsidRPr="00F22FCB">
        <w:rPr>
          <w:sz w:val="18"/>
          <w:szCs w:val="18"/>
          <w:lang w:val="en-US"/>
        </w:rPr>
        <w:t>r</w:t>
      </w:r>
      <w:r w:rsidRPr="00F22FCB">
        <w:rPr>
          <w:sz w:val="18"/>
          <w:szCs w:val="18"/>
          <w:lang w:val="en-US"/>
        </w:rPr>
        <w:t xml:space="preserve">eplenishment of the </w:t>
      </w:r>
      <w:r w:rsidR="00122CF4" w:rsidRPr="00F22FCB">
        <w:rPr>
          <w:sz w:val="18"/>
          <w:szCs w:val="18"/>
          <w:lang w:val="en-US"/>
        </w:rPr>
        <w:t>GEF</w:t>
      </w:r>
      <w:r w:rsidRPr="00F22FCB">
        <w:rPr>
          <w:sz w:val="18"/>
          <w:szCs w:val="18"/>
          <w:lang w:val="en-US"/>
        </w:rPr>
        <w:t xml:space="preserve"> Trust Fund</w:t>
      </w:r>
      <w:r w:rsidR="00855468" w:rsidRPr="00F22FCB">
        <w:rPr>
          <w:sz w:val="18"/>
          <w:szCs w:val="18"/>
          <w:lang w:val="en-US"/>
        </w:rPr>
        <w:t xml:space="preserve">, </w:t>
      </w:r>
      <w:r w:rsidR="006B36F7" w:rsidRPr="00F22FCB">
        <w:rPr>
          <w:sz w:val="18"/>
          <w:szCs w:val="18"/>
        </w:rPr>
        <w:t xml:space="preserve">GEF/A.7/04, </w:t>
      </w:r>
      <w:r w:rsidR="00DB02D1" w:rsidRPr="00F22FCB">
        <w:rPr>
          <w:sz w:val="18"/>
          <w:szCs w:val="18"/>
          <w:lang w:val="en-US"/>
        </w:rPr>
        <w:t>paras. 400–404</w:t>
      </w:r>
      <w:r w:rsidR="00855468" w:rsidRPr="00F22FCB">
        <w:rPr>
          <w:sz w:val="18"/>
          <w:szCs w:val="18"/>
          <w:lang w:val="en-US"/>
        </w:rPr>
        <w:t>.</w:t>
      </w:r>
    </w:p>
  </w:footnote>
  <w:footnote w:id="10">
    <w:p w14:paraId="23738EDA" w14:textId="18ED21ED" w:rsidR="00222DDF" w:rsidRPr="00C8196A" w:rsidRDefault="00222DDF">
      <w:pPr>
        <w:pStyle w:val="FootnoteText"/>
        <w:rPr>
          <w:lang w:val="en-US"/>
        </w:rPr>
      </w:pPr>
      <w:r w:rsidRPr="00F22FCB">
        <w:rPr>
          <w:rStyle w:val="FootnoteReference"/>
          <w:sz w:val="18"/>
          <w:szCs w:val="18"/>
        </w:rPr>
        <w:footnoteRef/>
      </w:r>
      <w:r w:rsidRPr="00F22FCB">
        <w:rPr>
          <w:sz w:val="18"/>
          <w:szCs w:val="18"/>
        </w:rPr>
        <w:t xml:space="preserve"> </w:t>
      </w:r>
      <w:r w:rsidR="00FA214B" w:rsidRPr="00F22FCB">
        <w:rPr>
          <w:sz w:val="18"/>
          <w:szCs w:val="18"/>
        </w:rPr>
        <w:t>UNEP/CBD/BS/CC/8/3, figure 2 and para. 19.</w:t>
      </w:r>
      <w:r w:rsidR="00FA214B">
        <w:t xml:space="preserve"> </w:t>
      </w:r>
    </w:p>
  </w:footnote>
  <w:footnote w:id="11">
    <w:p w14:paraId="063C67A5" w14:textId="71C07EF8" w:rsidR="00E83E32" w:rsidRPr="00C8196A" w:rsidRDefault="00E83E32">
      <w:pPr>
        <w:pStyle w:val="FootnoteText"/>
        <w:rPr>
          <w:lang w:val="en-US"/>
        </w:rPr>
      </w:pPr>
      <w:r>
        <w:rPr>
          <w:rStyle w:val="FootnoteReference"/>
        </w:rPr>
        <w:footnoteRef/>
      </w:r>
      <w:r>
        <w:t xml:space="preserve"> S</w:t>
      </w:r>
      <w:r w:rsidRPr="001262FB">
        <w:rPr>
          <w:snapToGrid w:val="0"/>
        </w:rPr>
        <w:t xml:space="preserve">tep 6 </w:t>
      </w:r>
      <w:r w:rsidR="00F24CB7">
        <w:rPr>
          <w:snapToGrid w:val="0"/>
        </w:rPr>
        <w:t>of</w:t>
      </w:r>
      <w:r w:rsidRPr="001262FB">
        <w:rPr>
          <w:snapToGrid w:val="0"/>
        </w:rPr>
        <w:t xml:space="preserve"> the organization of work</w:t>
      </w:r>
      <w:r>
        <w:rPr>
          <w:snapToGrid w:val="0"/>
        </w:rPr>
        <w:t>.</w:t>
      </w:r>
    </w:p>
  </w:footnote>
  <w:footnote w:id="12">
    <w:p w14:paraId="7BAC2B46" w14:textId="5952E6A9" w:rsidR="00665C2D" w:rsidRPr="00C8196A" w:rsidRDefault="00665C2D">
      <w:pPr>
        <w:pStyle w:val="FootnoteText"/>
        <w:rPr>
          <w:lang w:val="en-US"/>
        </w:rPr>
      </w:pPr>
      <w:r>
        <w:rPr>
          <w:rStyle w:val="FootnoteReference"/>
        </w:rPr>
        <w:footnoteRef/>
      </w:r>
      <w:r>
        <w:t xml:space="preserve"> T</w:t>
      </w:r>
      <w:r w:rsidRPr="001262FB">
        <w:rPr>
          <w:snapToGrid w:val="0"/>
        </w:rPr>
        <w:t xml:space="preserve">he results of the survey on </w:t>
      </w:r>
      <w:r w:rsidR="003D6073">
        <w:rPr>
          <w:snapToGrid w:val="0"/>
        </w:rPr>
        <w:t xml:space="preserve">challenges to </w:t>
      </w:r>
      <w:r w:rsidRPr="001262FB">
        <w:rPr>
          <w:snapToGrid w:val="0"/>
        </w:rPr>
        <w:t xml:space="preserve">compliance </w:t>
      </w:r>
      <w:r w:rsidR="00D03FEA">
        <w:rPr>
          <w:snapToGrid w:val="0"/>
        </w:rPr>
        <w:t xml:space="preserve">requested in </w:t>
      </w:r>
      <w:r w:rsidR="00D03FEA" w:rsidRPr="001262FB">
        <w:rPr>
          <w:snapToGrid w:val="0"/>
        </w:rPr>
        <w:t>para</w:t>
      </w:r>
      <w:r w:rsidR="00D03FEA">
        <w:rPr>
          <w:snapToGrid w:val="0"/>
        </w:rPr>
        <w:t>graph </w:t>
      </w:r>
      <w:r w:rsidR="00D03FEA" w:rsidRPr="001262FB">
        <w:rPr>
          <w:snapToGrid w:val="0"/>
        </w:rPr>
        <w:t>6</w:t>
      </w:r>
      <w:r w:rsidR="00D03FEA">
        <w:rPr>
          <w:snapToGrid w:val="0"/>
        </w:rPr>
        <w:t xml:space="preserve"> of </w:t>
      </w:r>
      <w:r w:rsidRPr="001262FB">
        <w:rPr>
          <w:snapToGrid w:val="0"/>
        </w:rPr>
        <w:t>decision</w:t>
      </w:r>
      <w:r w:rsidRPr="001262FB">
        <w:t xml:space="preserve"> </w:t>
      </w:r>
      <w:r w:rsidRPr="001262FB">
        <w:rPr>
          <w:snapToGrid w:val="0"/>
        </w:rPr>
        <w:t>CP-10/2 will also be considered</w:t>
      </w:r>
      <w:r>
        <w:rPr>
          <w:snapToGrid w:val="0"/>
        </w:rPr>
        <w:t xml:space="preserve"> under item 4.</w:t>
      </w:r>
    </w:p>
  </w:footnote>
  <w:footnote w:id="13">
    <w:p w14:paraId="5E29F819" w14:textId="699952BA" w:rsidR="00A41EE4" w:rsidRPr="00C8196A" w:rsidRDefault="00A41EE4" w:rsidP="00A41EE4">
      <w:pPr>
        <w:pStyle w:val="FootnoteText"/>
        <w:rPr>
          <w:lang w:val="en-US"/>
        </w:rPr>
      </w:pPr>
      <w:r>
        <w:rPr>
          <w:rStyle w:val="FootnoteReference"/>
        </w:rPr>
        <w:footnoteRef/>
      </w:r>
      <w:r>
        <w:t xml:space="preserve"> S</w:t>
      </w:r>
      <w:r w:rsidRPr="00CD4B70">
        <w:rPr>
          <w:snapToGrid w:val="0"/>
        </w:rPr>
        <w:t xml:space="preserve">tep 7 </w:t>
      </w:r>
      <w:r>
        <w:rPr>
          <w:snapToGrid w:val="0"/>
        </w:rPr>
        <w:t xml:space="preserve">of </w:t>
      </w:r>
      <w:r w:rsidRPr="00CD4B70">
        <w:rPr>
          <w:snapToGrid w:val="0"/>
        </w:rPr>
        <w:t>the organization of work</w:t>
      </w:r>
      <w:r>
        <w:rPr>
          <w:snapToGrid w:val="0"/>
        </w:rPr>
        <w:t>.</w:t>
      </w:r>
    </w:p>
  </w:footnote>
  <w:footnote w:id="14">
    <w:p w14:paraId="1991A8B4" w14:textId="28143615" w:rsidR="00145DE5" w:rsidRPr="00C8196A" w:rsidRDefault="00145DE5">
      <w:pPr>
        <w:pStyle w:val="FootnoteText"/>
        <w:rPr>
          <w:lang w:val="en-US"/>
        </w:rPr>
      </w:pPr>
      <w:r>
        <w:rPr>
          <w:rStyle w:val="FootnoteReference"/>
        </w:rPr>
        <w:footnoteRef/>
      </w:r>
      <w:r>
        <w:t xml:space="preserve"> S</w:t>
      </w:r>
      <w:r w:rsidRPr="00145DE5">
        <w:t xml:space="preserve">ee notification </w:t>
      </w:r>
      <w:hyperlink r:id="rId5" w:history="1">
        <w:r w:rsidRPr="002A0952">
          <w:rPr>
            <w:rStyle w:val="Hyperlink"/>
          </w:rPr>
          <w:t>2020-075</w:t>
        </w:r>
      </w:hyperlink>
      <w:r w:rsidRPr="00145DE5">
        <w:t xml:space="preserve"> </w:t>
      </w:r>
      <w:r>
        <w:t xml:space="preserve">of </w:t>
      </w:r>
      <w:r w:rsidRPr="00145DE5">
        <w:t>16 September 2020</w:t>
      </w:r>
      <w:r>
        <w:t>.</w:t>
      </w:r>
    </w:p>
  </w:footnote>
  <w:footnote w:id="15">
    <w:p w14:paraId="5F65F1CF" w14:textId="4EFFD5AE" w:rsidR="00B9006C" w:rsidRPr="00C8196A" w:rsidRDefault="00B9006C">
      <w:pPr>
        <w:pStyle w:val="FootnoteText"/>
        <w:rPr>
          <w:lang w:val="en-US"/>
        </w:rPr>
      </w:pPr>
      <w:r>
        <w:rPr>
          <w:rStyle w:val="FootnoteReference"/>
        </w:rPr>
        <w:footnoteRef/>
      </w:r>
      <w:r>
        <w:t xml:space="preserve"> </w:t>
      </w:r>
      <w:r w:rsidRPr="00B9006C">
        <w:t>CBD/CP/MOP/10/4, para. 30</w:t>
      </w:r>
      <w:r>
        <w:t>.</w:t>
      </w:r>
    </w:p>
  </w:footnote>
  <w:footnote w:id="16">
    <w:p w14:paraId="6F0A1779" w14:textId="7695E85E" w:rsidR="00D523DB" w:rsidRPr="00C8196A" w:rsidRDefault="00D523DB">
      <w:pPr>
        <w:pStyle w:val="FootnoteText"/>
        <w:rPr>
          <w:lang w:val="en-US"/>
        </w:rPr>
      </w:pPr>
      <w:r>
        <w:rPr>
          <w:rStyle w:val="FootnoteReference"/>
        </w:rPr>
        <w:footnoteRef/>
      </w:r>
      <w:r>
        <w:t xml:space="preserve"> </w:t>
      </w:r>
      <w:r w:rsidR="00094E43" w:rsidRPr="007919FF">
        <w:rPr>
          <w:sz w:val="18"/>
          <w:szCs w:val="18"/>
        </w:rPr>
        <w:t>Decision BS-II/1,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37802784"/>
  <w:bookmarkStart w:id="8" w:name="_Hlk137802785"/>
  <w:p w14:paraId="27E83D71" w14:textId="7CBA5567" w:rsidR="002B559C" w:rsidRPr="002B559C" w:rsidRDefault="000852AB"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8D5FA5">
          <w:rPr>
            <w:sz w:val="20"/>
            <w:szCs w:val="20"/>
            <w:lang w:val="fr-FR"/>
          </w:rPr>
          <w:t>CBD/CP/CC/18/2</w:t>
        </w:r>
      </w:sdtContent>
    </w:sdt>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C00A14C" w14:textId="38BF4B25" w:rsidR="002B559C" w:rsidRPr="002B559C" w:rsidRDefault="008D5FA5" w:rsidP="002B559C">
        <w:pPr>
          <w:pStyle w:val="Header"/>
          <w:pBdr>
            <w:bottom w:val="single" w:sz="4" w:space="1" w:color="auto"/>
          </w:pBdr>
          <w:spacing w:after="240"/>
          <w:jc w:val="right"/>
          <w:rPr>
            <w:sz w:val="20"/>
            <w:szCs w:val="20"/>
            <w:lang w:val="fr-FR"/>
          </w:rPr>
        </w:pPr>
        <w:r>
          <w:rPr>
            <w:sz w:val="20"/>
            <w:szCs w:val="20"/>
            <w:lang w:val="fr-FR"/>
          </w:rPr>
          <w:t>CBD/CP/CC/18/2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4C"/>
    <w:multiLevelType w:val="hybridMultilevel"/>
    <w:tmpl w:val="89DE8B26"/>
    <w:lvl w:ilvl="0" w:tplc="F89AE9DE">
      <w:start w:val="1"/>
      <w:numFmt w:val="lowerLetter"/>
      <w:lvlText w:val="(%1)"/>
      <w:lvlJc w:val="left"/>
      <w:pPr>
        <w:ind w:left="2347" w:hanging="360"/>
      </w:pPr>
      <w:rPr>
        <w:b w:val="0"/>
        <w:i w:val="0"/>
      </w:rPr>
    </w:lvl>
    <w:lvl w:ilvl="1" w:tplc="10090019">
      <w:start w:val="1"/>
      <w:numFmt w:val="lowerLetter"/>
      <w:lvlText w:val="%2."/>
      <w:lvlJc w:val="left"/>
      <w:pPr>
        <w:ind w:left="3067" w:hanging="360"/>
      </w:pPr>
    </w:lvl>
    <w:lvl w:ilvl="2" w:tplc="1009001B">
      <w:start w:val="1"/>
      <w:numFmt w:val="lowerRoman"/>
      <w:lvlText w:val="%3."/>
      <w:lvlJc w:val="right"/>
      <w:pPr>
        <w:ind w:left="3787" w:hanging="180"/>
      </w:pPr>
    </w:lvl>
    <w:lvl w:ilvl="3" w:tplc="1009000F">
      <w:start w:val="1"/>
      <w:numFmt w:val="decimal"/>
      <w:lvlText w:val="%4."/>
      <w:lvlJc w:val="left"/>
      <w:pPr>
        <w:ind w:left="4507" w:hanging="360"/>
      </w:pPr>
    </w:lvl>
    <w:lvl w:ilvl="4" w:tplc="10090019">
      <w:start w:val="1"/>
      <w:numFmt w:val="lowerLetter"/>
      <w:lvlText w:val="%5."/>
      <w:lvlJc w:val="left"/>
      <w:pPr>
        <w:ind w:left="5227" w:hanging="360"/>
      </w:pPr>
    </w:lvl>
    <w:lvl w:ilvl="5" w:tplc="1009001B">
      <w:start w:val="1"/>
      <w:numFmt w:val="lowerRoman"/>
      <w:lvlText w:val="%6."/>
      <w:lvlJc w:val="right"/>
      <w:pPr>
        <w:ind w:left="5947" w:hanging="180"/>
      </w:pPr>
    </w:lvl>
    <w:lvl w:ilvl="6" w:tplc="1009000F">
      <w:start w:val="1"/>
      <w:numFmt w:val="decimal"/>
      <w:lvlText w:val="%7."/>
      <w:lvlJc w:val="left"/>
      <w:pPr>
        <w:ind w:left="6667" w:hanging="360"/>
      </w:pPr>
    </w:lvl>
    <w:lvl w:ilvl="7" w:tplc="10090019">
      <w:start w:val="1"/>
      <w:numFmt w:val="lowerLetter"/>
      <w:lvlText w:val="%8."/>
      <w:lvlJc w:val="left"/>
      <w:pPr>
        <w:ind w:left="7387" w:hanging="360"/>
      </w:pPr>
    </w:lvl>
    <w:lvl w:ilvl="8" w:tplc="1009001B">
      <w:start w:val="1"/>
      <w:numFmt w:val="lowerRoman"/>
      <w:lvlText w:val="%9."/>
      <w:lvlJc w:val="right"/>
      <w:pPr>
        <w:ind w:left="8107" w:hanging="180"/>
      </w:pPr>
    </w:lvl>
  </w:abstractNum>
  <w:abstractNum w:abstractNumId="1" w15:restartNumberingAfterBreak="0">
    <w:nsid w:val="02885A0B"/>
    <w:multiLevelType w:val="multilevel"/>
    <w:tmpl w:val="B2202624"/>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63264DD"/>
    <w:multiLevelType w:val="hybridMultilevel"/>
    <w:tmpl w:val="8290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4618A"/>
    <w:multiLevelType w:val="hybridMultilevel"/>
    <w:tmpl w:val="EFE01AD6"/>
    <w:lvl w:ilvl="0" w:tplc="1496059E">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DC23B0"/>
    <w:multiLevelType w:val="hybridMultilevel"/>
    <w:tmpl w:val="67720BBE"/>
    <w:lvl w:ilvl="0" w:tplc="00FE8B4C">
      <w:start w:val="23"/>
      <w:numFmt w:val="bullet"/>
      <w:lvlText w:val="-"/>
      <w:lvlJc w:val="left"/>
      <w:pPr>
        <w:ind w:left="927" w:hanging="360"/>
      </w:pPr>
      <w:rPr>
        <w:rFonts w:ascii="Times New Roman" w:eastAsia="Times New Roman" w:hAnsi="Times New Roman" w:cs="Times New Roman"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5" w15:restartNumberingAfterBreak="0">
    <w:nsid w:val="20B5085D"/>
    <w:multiLevelType w:val="hybridMultilevel"/>
    <w:tmpl w:val="5A1650B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E4CDE"/>
    <w:multiLevelType w:val="multilevel"/>
    <w:tmpl w:val="B2202624"/>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3CCC21A0"/>
    <w:multiLevelType w:val="hybridMultilevel"/>
    <w:tmpl w:val="D3BEA3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76BEEAB0">
      <w:start w:val="1"/>
      <w:numFmt w:val="decimal"/>
      <w:lvlText w:val="%3."/>
      <w:lvlJc w:val="left"/>
      <w:pPr>
        <w:ind w:left="2160" w:hanging="180"/>
      </w:pPr>
      <w:rPr>
        <w:i w:val="0"/>
        <w:i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157EA3"/>
    <w:multiLevelType w:val="hybridMultilevel"/>
    <w:tmpl w:val="8018B27C"/>
    <w:lvl w:ilvl="0" w:tplc="E8745CA6">
      <w:start w:val="1"/>
      <w:numFmt w:val="lowerRoman"/>
      <w:lvlText w:val="(%1)"/>
      <w:lvlJc w:val="right"/>
      <w:pPr>
        <w:ind w:left="1440" w:hanging="360"/>
      </w:pPr>
      <w:rPr>
        <w:rFonts w:ascii="Times New Roman" w:eastAsia="Times New Roman" w:hAnsi="Times New Roman" w:cs="Times New Roman"/>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075945"/>
    <w:multiLevelType w:val="multilevel"/>
    <w:tmpl w:val="33000D4C"/>
    <w:lvl w:ilvl="0">
      <w:start w:val="8"/>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0442B4"/>
    <w:multiLevelType w:val="multilevel"/>
    <w:tmpl w:val="C89A4D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5584C01"/>
    <w:multiLevelType w:val="multilevel"/>
    <w:tmpl w:val="C2AA79AE"/>
    <w:lvl w:ilvl="0">
      <w:start w:val="8"/>
      <w:numFmt w:val="decimal"/>
      <w:lvlText w:val="%1."/>
      <w:lvlJc w:val="left"/>
      <w:pPr>
        <w:tabs>
          <w:tab w:val="num" w:pos="360"/>
        </w:tabs>
        <w:ind w:left="0" w:firstLine="0"/>
      </w:pPr>
      <w:rPr>
        <w:rFonts w:hint="default"/>
        <w:b w:val="0"/>
        <w:bCs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8F75E3"/>
    <w:multiLevelType w:val="multilevel"/>
    <w:tmpl w:val="5BA2BC02"/>
    <w:lvl w:ilvl="0">
      <w:start w:val="19"/>
      <w:numFmt w:val="decimal"/>
      <w:lvlText w:val="%1."/>
      <w:lvlJc w:val="left"/>
      <w:pPr>
        <w:tabs>
          <w:tab w:val="num" w:pos="360"/>
        </w:tabs>
        <w:ind w:left="0" w:firstLine="0"/>
      </w:pPr>
      <w:rPr>
        <w:rFonts w:hint="default"/>
        <w:b w:val="0"/>
        <w:bCs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6" w15:restartNumberingAfterBreak="0">
    <w:nsid w:val="601262FE"/>
    <w:multiLevelType w:val="hybridMultilevel"/>
    <w:tmpl w:val="6D909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6C48C3"/>
    <w:multiLevelType w:val="hybridMultilevel"/>
    <w:tmpl w:val="325A09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13C7C05"/>
    <w:multiLevelType w:val="multilevel"/>
    <w:tmpl w:val="9E98CCE0"/>
    <w:lvl w:ilvl="0">
      <w:start w:val="9"/>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68B70991"/>
    <w:multiLevelType w:val="hybridMultilevel"/>
    <w:tmpl w:val="B0B46B4E"/>
    <w:lvl w:ilvl="0" w:tplc="25A23CC4">
      <w:start w:val="1"/>
      <w:numFmt w:val="decimal"/>
      <w:pStyle w:val="Para10"/>
      <w:lvlText w:val="%1."/>
      <w:lvlJc w:val="left"/>
      <w:pPr>
        <w:ind w:left="990"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6EE23244"/>
    <w:multiLevelType w:val="multilevel"/>
    <w:tmpl w:val="B2202624"/>
    <w:lvl w:ilvl="0">
      <w:start w:val="1"/>
      <w:numFmt w:val="decimal"/>
      <w:lvlText w:val="%1."/>
      <w:lvlJc w:val="left"/>
      <w:pPr>
        <w:tabs>
          <w:tab w:val="num" w:pos="360"/>
        </w:tabs>
        <w:ind w:left="0"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768E7D20"/>
    <w:multiLevelType w:val="multilevel"/>
    <w:tmpl w:val="9E98CCE0"/>
    <w:lvl w:ilvl="0">
      <w:start w:val="9"/>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370327">
    <w:abstractNumId w:val="9"/>
  </w:num>
  <w:num w:numId="2" w16cid:durableId="2069499237">
    <w:abstractNumId w:val="19"/>
  </w:num>
  <w:num w:numId="3" w16cid:durableId="1334139419">
    <w:abstractNumId w:val="13"/>
  </w:num>
  <w:num w:numId="4" w16cid:durableId="199586161">
    <w:abstractNumId w:val="15"/>
  </w:num>
  <w:num w:numId="5" w16cid:durableId="1480611021">
    <w:abstractNumId w:val="22"/>
  </w:num>
  <w:num w:numId="6" w16cid:durableId="208959761">
    <w:abstractNumId w:val="20"/>
  </w:num>
  <w:num w:numId="7" w16cid:durableId="327681417">
    <w:abstractNumId w:val="11"/>
  </w:num>
  <w:num w:numId="8" w16cid:durableId="1316252867">
    <w:abstractNumId w:val="16"/>
  </w:num>
  <w:num w:numId="9" w16cid:durableId="1048724061">
    <w:abstractNumId w:val="7"/>
  </w:num>
  <w:num w:numId="10" w16cid:durableId="856507212">
    <w:abstractNumId w:val="2"/>
  </w:num>
  <w:num w:numId="11" w16cid:durableId="1282803986">
    <w:abstractNumId w:val="17"/>
  </w:num>
  <w:num w:numId="12" w16cid:durableId="469178161">
    <w:abstractNumId w:val="1"/>
  </w:num>
  <w:num w:numId="13" w16cid:durableId="336426939">
    <w:abstractNumId w:val="6"/>
  </w:num>
  <w:num w:numId="14" w16cid:durableId="2041322080">
    <w:abstractNumId w:val="11"/>
  </w:num>
  <w:num w:numId="15" w16cid:durableId="1840273302">
    <w:abstractNumId w:val="11"/>
  </w:num>
  <w:num w:numId="16" w16cid:durableId="753205868">
    <w:abstractNumId w:val="3"/>
  </w:num>
  <w:num w:numId="17" w16cid:durableId="882212280">
    <w:abstractNumId w:val="3"/>
  </w:num>
  <w:num w:numId="18" w16cid:durableId="1521506346">
    <w:abstractNumId w:val="4"/>
  </w:num>
  <w:num w:numId="19" w16cid:durableId="1981382056">
    <w:abstractNumId w:val="11"/>
  </w:num>
  <w:num w:numId="20" w16cid:durableId="1041713655">
    <w:abstractNumId w:val="11"/>
  </w:num>
  <w:num w:numId="21" w16cid:durableId="1255094635">
    <w:abstractNumId w:val="11"/>
  </w:num>
  <w:num w:numId="22" w16cid:durableId="575094364">
    <w:abstractNumId w:val="11"/>
  </w:num>
  <w:num w:numId="23" w16cid:durableId="2017883844">
    <w:abstractNumId w:val="10"/>
  </w:num>
  <w:num w:numId="24" w16cid:durableId="1816098559">
    <w:abstractNumId w:val="14"/>
  </w:num>
  <w:num w:numId="25" w16cid:durableId="235627140">
    <w:abstractNumId w:val="18"/>
  </w:num>
  <w:num w:numId="26" w16cid:durableId="440027574">
    <w:abstractNumId w:val="12"/>
  </w:num>
  <w:num w:numId="27" w16cid:durableId="97872675">
    <w:abstractNumId w:val="21"/>
  </w:num>
  <w:num w:numId="28" w16cid:durableId="2069642719">
    <w:abstractNumId w:val="11"/>
  </w:num>
  <w:num w:numId="29" w16cid:durableId="1742437168">
    <w:abstractNumId w:val="9"/>
  </w:num>
  <w:num w:numId="30" w16cid:durableId="197594974">
    <w:abstractNumId w:val="8"/>
  </w:num>
  <w:num w:numId="31" w16cid:durableId="217399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280316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7383700">
    <w:abstractNumId w:val="11"/>
    <w:lvlOverride w:ilvl="0">
      <w:startOverride w:val="18"/>
    </w:lvlOverride>
  </w:num>
  <w:num w:numId="34" w16cid:durableId="1828201327">
    <w:abstractNumId w:val="11"/>
    <w:lvlOverride w:ilvl="0">
      <w:startOverride w:val="22"/>
    </w:lvlOverride>
  </w:num>
  <w:num w:numId="35" w16cid:durableId="312174880">
    <w:abstractNumId w:val="5"/>
  </w:num>
  <w:num w:numId="36" w16cid:durableId="7567371">
    <w:abstractNumId w:val="19"/>
  </w:num>
  <w:num w:numId="37" w16cid:durableId="252132451">
    <w:abstractNumId w:val="11"/>
  </w:num>
  <w:num w:numId="38" w16cid:durableId="386152155">
    <w:abstractNumId w:val="11"/>
  </w:num>
  <w:num w:numId="39" w16cid:durableId="1811677733">
    <w:abstractNumId w:val="11"/>
  </w:num>
  <w:num w:numId="40" w16cid:durableId="1694840996">
    <w:abstractNumId w:val="11"/>
  </w:num>
  <w:num w:numId="41" w16cid:durableId="1190726946">
    <w:abstractNumId w:val="15"/>
    <w:lvlOverride w:ilvl="0">
      <w:startOverride w:val="1"/>
    </w:lvlOverride>
  </w:num>
  <w:num w:numId="42" w16cid:durableId="2080667060">
    <w:abstractNumId w:val="19"/>
  </w:num>
  <w:num w:numId="43" w16cid:durableId="1959216760">
    <w:abstractNumId w:val="19"/>
  </w:num>
  <w:num w:numId="44" w16cid:durableId="1006859429">
    <w:abstractNumId w:val="15"/>
  </w:num>
  <w:num w:numId="45" w16cid:durableId="13830360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23"/>
    <w:rsid w:val="00000733"/>
    <w:rsid w:val="000010A1"/>
    <w:rsid w:val="0000152E"/>
    <w:rsid w:val="000039B6"/>
    <w:rsid w:val="00006532"/>
    <w:rsid w:val="0000719E"/>
    <w:rsid w:val="00007700"/>
    <w:rsid w:val="00007B49"/>
    <w:rsid w:val="000116F5"/>
    <w:rsid w:val="0001229A"/>
    <w:rsid w:val="00012F51"/>
    <w:rsid w:val="000139B4"/>
    <w:rsid w:val="00013CA4"/>
    <w:rsid w:val="000144AA"/>
    <w:rsid w:val="00014572"/>
    <w:rsid w:val="000156F5"/>
    <w:rsid w:val="00015B4D"/>
    <w:rsid w:val="000170BE"/>
    <w:rsid w:val="00020D5D"/>
    <w:rsid w:val="00020E19"/>
    <w:rsid w:val="00021475"/>
    <w:rsid w:val="000227A4"/>
    <w:rsid w:val="00023FE6"/>
    <w:rsid w:val="000251ED"/>
    <w:rsid w:val="00025838"/>
    <w:rsid w:val="0002750D"/>
    <w:rsid w:val="00030402"/>
    <w:rsid w:val="00030464"/>
    <w:rsid w:val="0003126C"/>
    <w:rsid w:val="0003145C"/>
    <w:rsid w:val="00032BD9"/>
    <w:rsid w:val="00032CD3"/>
    <w:rsid w:val="0003362C"/>
    <w:rsid w:val="00034D84"/>
    <w:rsid w:val="00034ED1"/>
    <w:rsid w:val="00040598"/>
    <w:rsid w:val="0004225E"/>
    <w:rsid w:val="000423AD"/>
    <w:rsid w:val="00042822"/>
    <w:rsid w:val="00043D14"/>
    <w:rsid w:val="00043EC5"/>
    <w:rsid w:val="0004767C"/>
    <w:rsid w:val="000511A0"/>
    <w:rsid w:val="00051A73"/>
    <w:rsid w:val="00052F29"/>
    <w:rsid w:val="000535DE"/>
    <w:rsid w:val="0005592D"/>
    <w:rsid w:val="00055AE6"/>
    <w:rsid w:val="00056A13"/>
    <w:rsid w:val="0006086F"/>
    <w:rsid w:val="00061A70"/>
    <w:rsid w:val="000622A8"/>
    <w:rsid w:val="000629FA"/>
    <w:rsid w:val="00062F8E"/>
    <w:rsid w:val="00065E05"/>
    <w:rsid w:val="00066048"/>
    <w:rsid w:val="000661DD"/>
    <w:rsid w:val="0006624C"/>
    <w:rsid w:val="00066B09"/>
    <w:rsid w:val="00067796"/>
    <w:rsid w:val="000679BA"/>
    <w:rsid w:val="00067E8F"/>
    <w:rsid w:val="00072790"/>
    <w:rsid w:val="0007281A"/>
    <w:rsid w:val="00072CFC"/>
    <w:rsid w:val="000732F9"/>
    <w:rsid w:val="00073680"/>
    <w:rsid w:val="00074A74"/>
    <w:rsid w:val="00074BA4"/>
    <w:rsid w:val="0007570D"/>
    <w:rsid w:val="0007764E"/>
    <w:rsid w:val="000808E0"/>
    <w:rsid w:val="0008220A"/>
    <w:rsid w:val="00083C1F"/>
    <w:rsid w:val="00084301"/>
    <w:rsid w:val="000852AB"/>
    <w:rsid w:val="0008592F"/>
    <w:rsid w:val="00085D94"/>
    <w:rsid w:val="00086066"/>
    <w:rsid w:val="000868D1"/>
    <w:rsid w:val="00086EFC"/>
    <w:rsid w:val="00087049"/>
    <w:rsid w:val="0008781D"/>
    <w:rsid w:val="0009003B"/>
    <w:rsid w:val="00091206"/>
    <w:rsid w:val="0009186C"/>
    <w:rsid w:val="00092BE2"/>
    <w:rsid w:val="0009382B"/>
    <w:rsid w:val="00094E43"/>
    <w:rsid w:val="00096992"/>
    <w:rsid w:val="0009785F"/>
    <w:rsid w:val="0009794B"/>
    <w:rsid w:val="000A120E"/>
    <w:rsid w:val="000A196A"/>
    <w:rsid w:val="000A1E18"/>
    <w:rsid w:val="000A215E"/>
    <w:rsid w:val="000A21CB"/>
    <w:rsid w:val="000A2592"/>
    <w:rsid w:val="000A2E8C"/>
    <w:rsid w:val="000A3589"/>
    <w:rsid w:val="000A51A0"/>
    <w:rsid w:val="000B0A4F"/>
    <w:rsid w:val="000B135B"/>
    <w:rsid w:val="000B29B6"/>
    <w:rsid w:val="000B2B69"/>
    <w:rsid w:val="000C017D"/>
    <w:rsid w:val="000C01C5"/>
    <w:rsid w:val="000C49AD"/>
    <w:rsid w:val="000C58A0"/>
    <w:rsid w:val="000C5F42"/>
    <w:rsid w:val="000C619E"/>
    <w:rsid w:val="000C6584"/>
    <w:rsid w:val="000C729E"/>
    <w:rsid w:val="000C73D5"/>
    <w:rsid w:val="000D02AF"/>
    <w:rsid w:val="000D03F6"/>
    <w:rsid w:val="000D1008"/>
    <w:rsid w:val="000D1898"/>
    <w:rsid w:val="000D449D"/>
    <w:rsid w:val="000E0848"/>
    <w:rsid w:val="000E37EA"/>
    <w:rsid w:val="000E387C"/>
    <w:rsid w:val="000E42B8"/>
    <w:rsid w:val="000E4D03"/>
    <w:rsid w:val="000E5109"/>
    <w:rsid w:val="000E720D"/>
    <w:rsid w:val="000E7C96"/>
    <w:rsid w:val="000F0F94"/>
    <w:rsid w:val="000F1920"/>
    <w:rsid w:val="000F2D47"/>
    <w:rsid w:val="000F46A6"/>
    <w:rsid w:val="000F518B"/>
    <w:rsid w:val="000F6C8D"/>
    <w:rsid w:val="000F773C"/>
    <w:rsid w:val="000F7A8C"/>
    <w:rsid w:val="00101503"/>
    <w:rsid w:val="00101AD8"/>
    <w:rsid w:val="00101E4F"/>
    <w:rsid w:val="00103CF1"/>
    <w:rsid w:val="00105936"/>
    <w:rsid w:val="001067AC"/>
    <w:rsid w:val="00107875"/>
    <w:rsid w:val="00111A3A"/>
    <w:rsid w:val="00112A01"/>
    <w:rsid w:val="001131DB"/>
    <w:rsid w:val="001131F9"/>
    <w:rsid w:val="0011370E"/>
    <w:rsid w:val="0011524A"/>
    <w:rsid w:val="00115321"/>
    <w:rsid w:val="00115669"/>
    <w:rsid w:val="00115858"/>
    <w:rsid w:val="001164EF"/>
    <w:rsid w:val="001175B5"/>
    <w:rsid w:val="00117D6B"/>
    <w:rsid w:val="00117F96"/>
    <w:rsid w:val="0012105F"/>
    <w:rsid w:val="001221D7"/>
    <w:rsid w:val="00122260"/>
    <w:rsid w:val="0012261E"/>
    <w:rsid w:val="00122A7C"/>
    <w:rsid w:val="00122CF4"/>
    <w:rsid w:val="001253DC"/>
    <w:rsid w:val="001262FB"/>
    <w:rsid w:val="00126750"/>
    <w:rsid w:val="00127853"/>
    <w:rsid w:val="00127878"/>
    <w:rsid w:val="00127DBD"/>
    <w:rsid w:val="0013019B"/>
    <w:rsid w:val="00132581"/>
    <w:rsid w:val="00132A6E"/>
    <w:rsid w:val="00132DC7"/>
    <w:rsid w:val="00132FCD"/>
    <w:rsid w:val="00134B4F"/>
    <w:rsid w:val="001357A5"/>
    <w:rsid w:val="00135B1C"/>
    <w:rsid w:val="00141880"/>
    <w:rsid w:val="001424D5"/>
    <w:rsid w:val="00143F15"/>
    <w:rsid w:val="00145DE5"/>
    <w:rsid w:val="00145FC4"/>
    <w:rsid w:val="00150F55"/>
    <w:rsid w:val="00152249"/>
    <w:rsid w:val="00152C34"/>
    <w:rsid w:val="00153659"/>
    <w:rsid w:val="00154248"/>
    <w:rsid w:val="001548DD"/>
    <w:rsid w:val="00154AE5"/>
    <w:rsid w:val="001551B6"/>
    <w:rsid w:val="001556DD"/>
    <w:rsid w:val="001556EA"/>
    <w:rsid w:val="00155FAC"/>
    <w:rsid w:val="00156DE9"/>
    <w:rsid w:val="00160CCC"/>
    <w:rsid w:val="00160F84"/>
    <w:rsid w:val="00162A37"/>
    <w:rsid w:val="00162C1B"/>
    <w:rsid w:val="00165ECD"/>
    <w:rsid w:val="00166B38"/>
    <w:rsid w:val="001707CB"/>
    <w:rsid w:val="0017270F"/>
    <w:rsid w:val="00172D8F"/>
    <w:rsid w:val="00174262"/>
    <w:rsid w:val="001746CA"/>
    <w:rsid w:val="00175682"/>
    <w:rsid w:val="00175F55"/>
    <w:rsid w:val="001772B1"/>
    <w:rsid w:val="0017773E"/>
    <w:rsid w:val="001828BE"/>
    <w:rsid w:val="00182B8E"/>
    <w:rsid w:val="00183C73"/>
    <w:rsid w:val="00184909"/>
    <w:rsid w:val="001858E8"/>
    <w:rsid w:val="00185B72"/>
    <w:rsid w:val="00186F6A"/>
    <w:rsid w:val="001873AF"/>
    <w:rsid w:val="00187958"/>
    <w:rsid w:val="00191419"/>
    <w:rsid w:val="00191A19"/>
    <w:rsid w:val="00191AF1"/>
    <w:rsid w:val="00193607"/>
    <w:rsid w:val="001936C6"/>
    <w:rsid w:val="001954D4"/>
    <w:rsid w:val="00196CA9"/>
    <w:rsid w:val="00196D08"/>
    <w:rsid w:val="00196D11"/>
    <w:rsid w:val="001A26B8"/>
    <w:rsid w:val="001A4447"/>
    <w:rsid w:val="001A4E1F"/>
    <w:rsid w:val="001A656F"/>
    <w:rsid w:val="001A699C"/>
    <w:rsid w:val="001A6A16"/>
    <w:rsid w:val="001A6B1D"/>
    <w:rsid w:val="001A6F5E"/>
    <w:rsid w:val="001A773B"/>
    <w:rsid w:val="001A78EF"/>
    <w:rsid w:val="001A79A3"/>
    <w:rsid w:val="001B1B7B"/>
    <w:rsid w:val="001B2A36"/>
    <w:rsid w:val="001B3DC0"/>
    <w:rsid w:val="001B524B"/>
    <w:rsid w:val="001B651E"/>
    <w:rsid w:val="001B73A4"/>
    <w:rsid w:val="001C1EB5"/>
    <w:rsid w:val="001C37BF"/>
    <w:rsid w:val="001C3AE5"/>
    <w:rsid w:val="001C4120"/>
    <w:rsid w:val="001C5151"/>
    <w:rsid w:val="001C7DDB"/>
    <w:rsid w:val="001D082D"/>
    <w:rsid w:val="001D0B45"/>
    <w:rsid w:val="001D12C9"/>
    <w:rsid w:val="001D2AF9"/>
    <w:rsid w:val="001D2F7E"/>
    <w:rsid w:val="001D3132"/>
    <w:rsid w:val="001D3369"/>
    <w:rsid w:val="001D35CA"/>
    <w:rsid w:val="001D66D1"/>
    <w:rsid w:val="001E0FEA"/>
    <w:rsid w:val="001E2785"/>
    <w:rsid w:val="001E2BD6"/>
    <w:rsid w:val="001E30AF"/>
    <w:rsid w:val="001E30CA"/>
    <w:rsid w:val="001E3E51"/>
    <w:rsid w:val="001E3FA6"/>
    <w:rsid w:val="001E483F"/>
    <w:rsid w:val="001E6A0D"/>
    <w:rsid w:val="001E7ABA"/>
    <w:rsid w:val="001F25FF"/>
    <w:rsid w:val="001F2856"/>
    <w:rsid w:val="001F2962"/>
    <w:rsid w:val="001F39C5"/>
    <w:rsid w:val="001F4C94"/>
    <w:rsid w:val="001F5F76"/>
    <w:rsid w:val="001F6A78"/>
    <w:rsid w:val="001F7891"/>
    <w:rsid w:val="002000D8"/>
    <w:rsid w:val="0020010E"/>
    <w:rsid w:val="00200C26"/>
    <w:rsid w:val="0020167C"/>
    <w:rsid w:val="00201710"/>
    <w:rsid w:val="00201917"/>
    <w:rsid w:val="0020192D"/>
    <w:rsid w:val="00202465"/>
    <w:rsid w:val="00202492"/>
    <w:rsid w:val="00202918"/>
    <w:rsid w:val="002033FB"/>
    <w:rsid w:val="0020434E"/>
    <w:rsid w:val="0020753F"/>
    <w:rsid w:val="002105E4"/>
    <w:rsid w:val="00213A63"/>
    <w:rsid w:val="00213D90"/>
    <w:rsid w:val="00214016"/>
    <w:rsid w:val="00215BA9"/>
    <w:rsid w:val="002160AC"/>
    <w:rsid w:val="00216C6B"/>
    <w:rsid w:val="00217D7A"/>
    <w:rsid w:val="002217FC"/>
    <w:rsid w:val="00221BC3"/>
    <w:rsid w:val="00222DDF"/>
    <w:rsid w:val="002266F4"/>
    <w:rsid w:val="00227540"/>
    <w:rsid w:val="002304C6"/>
    <w:rsid w:val="0023061E"/>
    <w:rsid w:val="002319DD"/>
    <w:rsid w:val="00233A1E"/>
    <w:rsid w:val="00234866"/>
    <w:rsid w:val="00234B4D"/>
    <w:rsid w:val="00235CDC"/>
    <w:rsid w:val="00240027"/>
    <w:rsid w:val="00240970"/>
    <w:rsid w:val="00240AFF"/>
    <w:rsid w:val="00240B92"/>
    <w:rsid w:val="0024105B"/>
    <w:rsid w:val="00241457"/>
    <w:rsid w:val="0024257B"/>
    <w:rsid w:val="00243BFC"/>
    <w:rsid w:val="00243CA6"/>
    <w:rsid w:val="00243DC0"/>
    <w:rsid w:val="00244BE5"/>
    <w:rsid w:val="002457A4"/>
    <w:rsid w:val="002465F6"/>
    <w:rsid w:val="00246BE0"/>
    <w:rsid w:val="002478B8"/>
    <w:rsid w:val="002528EF"/>
    <w:rsid w:val="002538EC"/>
    <w:rsid w:val="00254151"/>
    <w:rsid w:val="00254811"/>
    <w:rsid w:val="00255471"/>
    <w:rsid w:val="0025760A"/>
    <w:rsid w:val="00262486"/>
    <w:rsid w:val="00262548"/>
    <w:rsid w:val="00262731"/>
    <w:rsid w:val="00263A28"/>
    <w:rsid w:val="00264555"/>
    <w:rsid w:val="00265FB5"/>
    <w:rsid w:val="0026778B"/>
    <w:rsid w:val="00267A63"/>
    <w:rsid w:val="00267E46"/>
    <w:rsid w:val="0027058B"/>
    <w:rsid w:val="002708E9"/>
    <w:rsid w:val="00270B30"/>
    <w:rsid w:val="00271415"/>
    <w:rsid w:val="00276D98"/>
    <w:rsid w:val="00281D34"/>
    <w:rsid w:val="002820B5"/>
    <w:rsid w:val="00283468"/>
    <w:rsid w:val="00285403"/>
    <w:rsid w:val="00285556"/>
    <w:rsid w:val="00285A4A"/>
    <w:rsid w:val="002861D5"/>
    <w:rsid w:val="002862FE"/>
    <w:rsid w:val="00286B56"/>
    <w:rsid w:val="002922D0"/>
    <w:rsid w:val="0029250E"/>
    <w:rsid w:val="00292A28"/>
    <w:rsid w:val="00294586"/>
    <w:rsid w:val="002945F6"/>
    <w:rsid w:val="0029548D"/>
    <w:rsid w:val="00297E41"/>
    <w:rsid w:val="002A0952"/>
    <w:rsid w:val="002A0C6D"/>
    <w:rsid w:val="002A101F"/>
    <w:rsid w:val="002A1EEF"/>
    <w:rsid w:val="002A2E62"/>
    <w:rsid w:val="002A3A52"/>
    <w:rsid w:val="002A729F"/>
    <w:rsid w:val="002A7F50"/>
    <w:rsid w:val="002B00CA"/>
    <w:rsid w:val="002B0490"/>
    <w:rsid w:val="002B139F"/>
    <w:rsid w:val="002B1870"/>
    <w:rsid w:val="002B33E1"/>
    <w:rsid w:val="002B38E9"/>
    <w:rsid w:val="002B487B"/>
    <w:rsid w:val="002B50FE"/>
    <w:rsid w:val="002B5153"/>
    <w:rsid w:val="002B559C"/>
    <w:rsid w:val="002B5BCB"/>
    <w:rsid w:val="002B7135"/>
    <w:rsid w:val="002C23DE"/>
    <w:rsid w:val="002C44BC"/>
    <w:rsid w:val="002C664D"/>
    <w:rsid w:val="002D2B80"/>
    <w:rsid w:val="002D43AD"/>
    <w:rsid w:val="002D4EE5"/>
    <w:rsid w:val="002D5C69"/>
    <w:rsid w:val="002D6408"/>
    <w:rsid w:val="002D6AB4"/>
    <w:rsid w:val="002E1ACD"/>
    <w:rsid w:val="002E3266"/>
    <w:rsid w:val="002E34B0"/>
    <w:rsid w:val="002E5A13"/>
    <w:rsid w:val="002E69B1"/>
    <w:rsid w:val="002E73CB"/>
    <w:rsid w:val="002E765C"/>
    <w:rsid w:val="002E7826"/>
    <w:rsid w:val="002F0BE9"/>
    <w:rsid w:val="002F0E44"/>
    <w:rsid w:val="002F38C1"/>
    <w:rsid w:val="002F4A92"/>
    <w:rsid w:val="002F4CD8"/>
    <w:rsid w:val="002F54C6"/>
    <w:rsid w:val="002F6196"/>
    <w:rsid w:val="002F69F7"/>
    <w:rsid w:val="002F7D1E"/>
    <w:rsid w:val="00300645"/>
    <w:rsid w:val="00300A42"/>
    <w:rsid w:val="00300F2E"/>
    <w:rsid w:val="0030180F"/>
    <w:rsid w:val="00301C89"/>
    <w:rsid w:val="00301F79"/>
    <w:rsid w:val="003021FA"/>
    <w:rsid w:val="003035B3"/>
    <w:rsid w:val="00304275"/>
    <w:rsid w:val="00306422"/>
    <w:rsid w:val="003076D0"/>
    <w:rsid w:val="00307B00"/>
    <w:rsid w:val="00307ED7"/>
    <w:rsid w:val="0031031A"/>
    <w:rsid w:val="00310481"/>
    <w:rsid w:val="00310608"/>
    <w:rsid w:val="00310D72"/>
    <w:rsid w:val="003112A1"/>
    <w:rsid w:val="003120A8"/>
    <w:rsid w:val="00313E59"/>
    <w:rsid w:val="00314ECE"/>
    <w:rsid w:val="00320250"/>
    <w:rsid w:val="003215C6"/>
    <w:rsid w:val="0032164A"/>
    <w:rsid w:val="0032243B"/>
    <w:rsid w:val="00322460"/>
    <w:rsid w:val="00323F22"/>
    <w:rsid w:val="00325570"/>
    <w:rsid w:val="0033046D"/>
    <w:rsid w:val="00332810"/>
    <w:rsid w:val="00332E26"/>
    <w:rsid w:val="00333093"/>
    <w:rsid w:val="00334C9F"/>
    <w:rsid w:val="00335678"/>
    <w:rsid w:val="0034052E"/>
    <w:rsid w:val="003416B1"/>
    <w:rsid w:val="003428DC"/>
    <w:rsid w:val="00342B59"/>
    <w:rsid w:val="00343581"/>
    <w:rsid w:val="00343928"/>
    <w:rsid w:val="00345856"/>
    <w:rsid w:val="00345D90"/>
    <w:rsid w:val="0034689C"/>
    <w:rsid w:val="003476A9"/>
    <w:rsid w:val="00350414"/>
    <w:rsid w:val="00350DC1"/>
    <w:rsid w:val="00350E1F"/>
    <w:rsid w:val="00352C1F"/>
    <w:rsid w:val="003533A3"/>
    <w:rsid w:val="00353B68"/>
    <w:rsid w:val="003560D0"/>
    <w:rsid w:val="003570BA"/>
    <w:rsid w:val="003570F7"/>
    <w:rsid w:val="00361FF4"/>
    <w:rsid w:val="00363D8C"/>
    <w:rsid w:val="003641B9"/>
    <w:rsid w:val="003647E8"/>
    <w:rsid w:val="0036485C"/>
    <w:rsid w:val="003664F0"/>
    <w:rsid w:val="003668FA"/>
    <w:rsid w:val="003679D0"/>
    <w:rsid w:val="00371C05"/>
    <w:rsid w:val="003722E2"/>
    <w:rsid w:val="003723E4"/>
    <w:rsid w:val="003726F9"/>
    <w:rsid w:val="00373C40"/>
    <w:rsid w:val="00375982"/>
    <w:rsid w:val="00375F82"/>
    <w:rsid w:val="00376D92"/>
    <w:rsid w:val="003779B1"/>
    <w:rsid w:val="00382263"/>
    <w:rsid w:val="0038340E"/>
    <w:rsid w:val="00383DE1"/>
    <w:rsid w:val="00386664"/>
    <w:rsid w:val="003870BA"/>
    <w:rsid w:val="0038788D"/>
    <w:rsid w:val="00387CE4"/>
    <w:rsid w:val="00392959"/>
    <w:rsid w:val="00393693"/>
    <w:rsid w:val="003937C2"/>
    <w:rsid w:val="00394CE0"/>
    <w:rsid w:val="003959D8"/>
    <w:rsid w:val="00396639"/>
    <w:rsid w:val="003A0E01"/>
    <w:rsid w:val="003A2AB9"/>
    <w:rsid w:val="003A349D"/>
    <w:rsid w:val="003A3A01"/>
    <w:rsid w:val="003A4AC9"/>
    <w:rsid w:val="003A7F7B"/>
    <w:rsid w:val="003B28FA"/>
    <w:rsid w:val="003B2991"/>
    <w:rsid w:val="003B3421"/>
    <w:rsid w:val="003B4AEE"/>
    <w:rsid w:val="003B525E"/>
    <w:rsid w:val="003B6D84"/>
    <w:rsid w:val="003C35F2"/>
    <w:rsid w:val="003C45C1"/>
    <w:rsid w:val="003C5531"/>
    <w:rsid w:val="003C5672"/>
    <w:rsid w:val="003C5864"/>
    <w:rsid w:val="003C5EFC"/>
    <w:rsid w:val="003C5FB7"/>
    <w:rsid w:val="003C6F10"/>
    <w:rsid w:val="003C7A64"/>
    <w:rsid w:val="003D030D"/>
    <w:rsid w:val="003D1173"/>
    <w:rsid w:val="003D16F4"/>
    <w:rsid w:val="003D1911"/>
    <w:rsid w:val="003D1FE1"/>
    <w:rsid w:val="003D4A85"/>
    <w:rsid w:val="003D5179"/>
    <w:rsid w:val="003D5D16"/>
    <w:rsid w:val="003D6073"/>
    <w:rsid w:val="003E0E32"/>
    <w:rsid w:val="003E220A"/>
    <w:rsid w:val="003E25B7"/>
    <w:rsid w:val="003E2CC9"/>
    <w:rsid w:val="003E2CF9"/>
    <w:rsid w:val="003E44CF"/>
    <w:rsid w:val="003E491D"/>
    <w:rsid w:val="003E5403"/>
    <w:rsid w:val="003E614B"/>
    <w:rsid w:val="003E6CE4"/>
    <w:rsid w:val="003E77D6"/>
    <w:rsid w:val="003E7D2B"/>
    <w:rsid w:val="003E7E06"/>
    <w:rsid w:val="003F0054"/>
    <w:rsid w:val="003F1B4C"/>
    <w:rsid w:val="003F287C"/>
    <w:rsid w:val="003F3882"/>
    <w:rsid w:val="003F3DDE"/>
    <w:rsid w:val="003F4F78"/>
    <w:rsid w:val="003F5A28"/>
    <w:rsid w:val="003F6248"/>
    <w:rsid w:val="003F6649"/>
    <w:rsid w:val="003F6E80"/>
    <w:rsid w:val="003F721E"/>
    <w:rsid w:val="003F7649"/>
    <w:rsid w:val="00401973"/>
    <w:rsid w:val="00402E2E"/>
    <w:rsid w:val="00404570"/>
    <w:rsid w:val="004079AD"/>
    <w:rsid w:val="00407B55"/>
    <w:rsid w:val="00411ACF"/>
    <w:rsid w:val="00413333"/>
    <w:rsid w:val="00414055"/>
    <w:rsid w:val="004153F3"/>
    <w:rsid w:val="004157F9"/>
    <w:rsid w:val="00416044"/>
    <w:rsid w:val="00417FC0"/>
    <w:rsid w:val="004211E7"/>
    <w:rsid w:val="0042381D"/>
    <w:rsid w:val="00423B73"/>
    <w:rsid w:val="00424A50"/>
    <w:rsid w:val="00424F45"/>
    <w:rsid w:val="004264BE"/>
    <w:rsid w:val="00426F47"/>
    <w:rsid w:val="00430BEA"/>
    <w:rsid w:val="004317ED"/>
    <w:rsid w:val="00431B09"/>
    <w:rsid w:val="00431D5A"/>
    <w:rsid w:val="004326F7"/>
    <w:rsid w:val="004330A0"/>
    <w:rsid w:val="004349DC"/>
    <w:rsid w:val="00436249"/>
    <w:rsid w:val="0043659D"/>
    <w:rsid w:val="00436A97"/>
    <w:rsid w:val="00437B7E"/>
    <w:rsid w:val="00440AA4"/>
    <w:rsid w:val="00440CCF"/>
    <w:rsid w:val="00442617"/>
    <w:rsid w:val="00442DF0"/>
    <w:rsid w:val="00443061"/>
    <w:rsid w:val="00444817"/>
    <w:rsid w:val="0044481E"/>
    <w:rsid w:val="00445184"/>
    <w:rsid w:val="00445D0A"/>
    <w:rsid w:val="00446C31"/>
    <w:rsid w:val="0044754F"/>
    <w:rsid w:val="00450897"/>
    <w:rsid w:val="0045123D"/>
    <w:rsid w:val="004526F6"/>
    <w:rsid w:val="00453727"/>
    <w:rsid w:val="00453CF1"/>
    <w:rsid w:val="00454659"/>
    <w:rsid w:val="00457499"/>
    <w:rsid w:val="004603DD"/>
    <w:rsid w:val="0046047C"/>
    <w:rsid w:val="00461477"/>
    <w:rsid w:val="00462426"/>
    <w:rsid w:val="00463198"/>
    <w:rsid w:val="00463927"/>
    <w:rsid w:val="00466311"/>
    <w:rsid w:val="00466AB1"/>
    <w:rsid w:val="004672E6"/>
    <w:rsid w:val="004701EE"/>
    <w:rsid w:val="004718AB"/>
    <w:rsid w:val="00472067"/>
    <w:rsid w:val="00472865"/>
    <w:rsid w:val="00472D45"/>
    <w:rsid w:val="00474639"/>
    <w:rsid w:val="00475761"/>
    <w:rsid w:val="00482F84"/>
    <w:rsid w:val="00483FDD"/>
    <w:rsid w:val="00484E83"/>
    <w:rsid w:val="004859CB"/>
    <w:rsid w:val="00486777"/>
    <w:rsid w:val="00486DCF"/>
    <w:rsid w:val="00491A26"/>
    <w:rsid w:val="00493B5B"/>
    <w:rsid w:val="00494266"/>
    <w:rsid w:val="0049572B"/>
    <w:rsid w:val="0049579A"/>
    <w:rsid w:val="004965BA"/>
    <w:rsid w:val="00496791"/>
    <w:rsid w:val="00496A84"/>
    <w:rsid w:val="004973A8"/>
    <w:rsid w:val="004A2A2D"/>
    <w:rsid w:val="004A3C52"/>
    <w:rsid w:val="004A407D"/>
    <w:rsid w:val="004A4353"/>
    <w:rsid w:val="004A519E"/>
    <w:rsid w:val="004A5931"/>
    <w:rsid w:val="004A5B6D"/>
    <w:rsid w:val="004A7A38"/>
    <w:rsid w:val="004B0C34"/>
    <w:rsid w:val="004B13A9"/>
    <w:rsid w:val="004B4B9F"/>
    <w:rsid w:val="004B6163"/>
    <w:rsid w:val="004B6785"/>
    <w:rsid w:val="004C5C06"/>
    <w:rsid w:val="004C630B"/>
    <w:rsid w:val="004C675C"/>
    <w:rsid w:val="004C7BA1"/>
    <w:rsid w:val="004D0997"/>
    <w:rsid w:val="004D0B80"/>
    <w:rsid w:val="004D0ECE"/>
    <w:rsid w:val="004D245F"/>
    <w:rsid w:val="004D3822"/>
    <w:rsid w:val="004D47D4"/>
    <w:rsid w:val="004D49A9"/>
    <w:rsid w:val="004D6FBC"/>
    <w:rsid w:val="004D732C"/>
    <w:rsid w:val="004E2D5B"/>
    <w:rsid w:val="004E3122"/>
    <w:rsid w:val="004E3CE3"/>
    <w:rsid w:val="004E4B9D"/>
    <w:rsid w:val="004E5110"/>
    <w:rsid w:val="004E541F"/>
    <w:rsid w:val="004E5A0F"/>
    <w:rsid w:val="004F038A"/>
    <w:rsid w:val="004F1296"/>
    <w:rsid w:val="004F26F6"/>
    <w:rsid w:val="004F3406"/>
    <w:rsid w:val="004F6D9C"/>
    <w:rsid w:val="00500EA9"/>
    <w:rsid w:val="00501E4E"/>
    <w:rsid w:val="00503AB7"/>
    <w:rsid w:val="00504AC0"/>
    <w:rsid w:val="00505E3D"/>
    <w:rsid w:val="00506072"/>
    <w:rsid w:val="0051050E"/>
    <w:rsid w:val="00511047"/>
    <w:rsid w:val="00512720"/>
    <w:rsid w:val="00512B11"/>
    <w:rsid w:val="00513648"/>
    <w:rsid w:val="0051379F"/>
    <w:rsid w:val="00514F34"/>
    <w:rsid w:val="005154B3"/>
    <w:rsid w:val="00515617"/>
    <w:rsid w:val="00516E8B"/>
    <w:rsid w:val="00517076"/>
    <w:rsid w:val="005172FE"/>
    <w:rsid w:val="00517A42"/>
    <w:rsid w:val="00520DC6"/>
    <w:rsid w:val="00522AEF"/>
    <w:rsid w:val="00524876"/>
    <w:rsid w:val="00524ADC"/>
    <w:rsid w:val="00525684"/>
    <w:rsid w:val="005267B2"/>
    <w:rsid w:val="00526916"/>
    <w:rsid w:val="0052770D"/>
    <w:rsid w:val="005300DC"/>
    <w:rsid w:val="005307E3"/>
    <w:rsid w:val="00530C5E"/>
    <w:rsid w:val="00530E3F"/>
    <w:rsid w:val="00532346"/>
    <w:rsid w:val="00533468"/>
    <w:rsid w:val="00533E0F"/>
    <w:rsid w:val="00534204"/>
    <w:rsid w:val="005365A4"/>
    <w:rsid w:val="00537248"/>
    <w:rsid w:val="00537613"/>
    <w:rsid w:val="00543683"/>
    <w:rsid w:val="00544632"/>
    <w:rsid w:val="005449F9"/>
    <w:rsid w:val="00545644"/>
    <w:rsid w:val="005460EE"/>
    <w:rsid w:val="005478D7"/>
    <w:rsid w:val="0055100D"/>
    <w:rsid w:val="005516CF"/>
    <w:rsid w:val="00551CE4"/>
    <w:rsid w:val="00552312"/>
    <w:rsid w:val="00552E13"/>
    <w:rsid w:val="005530EB"/>
    <w:rsid w:val="00553336"/>
    <w:rsid w:val="005537E3"/>
    <w:rsid w:val="005577F1"/>
    <w:rsid w:val="005603E7"/>
    <w:rsid w:val="00561C70"/>
    <w:rsid w:val="00562562"/>
    <w:rsid w:val="005625D0"/>
    <w:rsid w:val="005625D1"/>
    <w:rsid w:val="0056273C"/>
    <w:rsid w:val="00564BE6"/>
    <w:rsid w:val="0056551F"/>
    <w:rsid w:val="00565EDB"/>
    <w:rsid w:val="00566259"/>
    <w:rsid w:val="0056693F"/>
    <w:rsid w:val="00566C25"/>
    <w:rsid w:val="005670A6"/>
    <w:rsid w:val="00570025"/>
    <w:rsid w:val="00572A67"/>
    <w:rsid w:val="0057350B"/>
    <w:rsid w:val="0057389F"/>
    <w:rsid w:val="00573F70"/>
    <w:rsid w:val="005743B8"/>
    <w:rsid w:val="0057452C"/>
    <w:rsid w:val="00574C9E"/>
    <w:rsid w:val="00575B97"/>
    <w:rsid w:val="0057617F"/>
    <w:rsid w:val="00576772"/>
    <w:rsid w:val="00576F56"/>
    <w:rsid w:val="005773F7"/>
    <w:rsid w:val="00577B2F"/>
    <w:rsid w:val="00580609"/>
    <w:rsid w:val="00581A71"/>
    <w:rsid w:val="00582C43"/>
    <w:rsid w:val="005831D1"/>
    <w:rsid w:val="005837BA"/>
    <w:rsid w:val="00583D3C"/>
    <w:rsid w:val="005860C7"/>
    <w:rsid w:val="00586778"/>
    <w:rsid w:val="00590854"/>
    <w:rsid w:val="005913B0"/>
    <w:rsid w:val="00591425"/>
    <w:rsid w:val="00591F01"/>
    <w:rsid w:val="005925ED"/>
    <w:rsid w:val="00593039"/>
    <w:rsid w:val="005941A1"/>
    <w:rsid w:val="00595FE5"/>
    <w:rsid w:val="0059604B"/>
    <w:rsid w:val="0059723F"/>
    <w:rsid w:val="00597C13"/>
    <w:rsid w:val="005A00E2"/>
    <w:rsid w:val="005A0130"/>
    <w:rsid w:val="005A08B6"/>
    <w:rsid w:val="005A1305"/>
    <w:rsid w:val="005A13EF"/>
    <w:rsid w:val="005A145F"/>
    <w:rsid w:val="005A1C4F"/>
    <w:rsid w:val="005A1D4F"/>
    <w:rsid w:val="005A206E"/>
    <w:rsid w:val="005A27A2"/>
    <w:rsid w:val="005A3992"/>
    <w:rsid w:val="005A3F51"/>
    <w:rsid w:val="005A67F2"/>
    <w:rsid w:val="005A6C04"/>
    <w:rsid w:val="005B0413"/>
    <w:rsid w:val="005B13E9"/>
    <w:rsid w:val="005B15A2"/>
    <w:rsid w:val="005B1AF0"/>
    <w:rsid w:val="005B1C5A"/>
    <w:rsid w:val="005B3D3B"/>
    <w:rsid w:val="005B3D64"/>
    <w:rsid w:val="005B4F81"/>
    <w:rsid w:val="005B76CC"/>
    <w:rsid w:val="005B7E3F"/>
    <w:rsid w:val="005C00AE"/>
    <w:rsid w:val="005C0BE0"/>
    <w:rsid w:val="005C11B7"/>
    <w:rsid w:val="005C2DD4"/>
    <w:rsid w:val="005C3697"/>
    <w:rsid w:val="005C3D75"/>
    <w:rsid w:val="005C4461"/>
    <w:rsid w:val="005C6E73"/>
    <w:rsid w:val="005D0FB1"/>
    <w:rsid w:val="005D0FD6"/>
    <w:rsid w:val="005D12E4"/>
    <w:rsid w:val="005D3CB6"/>
    <w:rsid w:val="005D4AFF"/>
    <w:rsid w:val="005D58EA"/>
    <w:rsid w:val="005D5952"/>
    <w:rsid w:val="005D74C9"/>
    <w:rsid w:val="005D7A92"/>
    <w:rsid w:val="005D7BA7"/>
    <w:rsid w:val="005D7CF6"/>
    <w:rsid w:val="005E1828"/>
    <w:rsid w:val="005E2605"/>
    <w:rsid w:val="005E3321"/>
    <w:rsid w:val="005E35E4"/>
    <w:rsid w:val="005E386A"/>
    <w:rsid w:val="005E45AE"/>
    <w:rsid w:val="005E5CB8"/>
    <w:rsid w:val="005E5ECB"/>
    <w:rsid w:val="005E7427"/>
    <w:rsid w:val="005F0691"/>
    <w:rsid w:val="005F2157"/>
    <w:rsid w:val="005F2390"/>
    <w:rsid w:val="005F584E"/>
    <w:rsid w:val="005F7EDE"/>
    <w:rsid w:val="00600EBE"/>
    <w:rsid w:val="006011A8"/>
    <w:rsid w:val="0060375E"/>
    <w:rsid w:val="00603E9A"/>
    <w:rsid w:val="00604CBA"/>
    <w:rsid w:val="00606436"/>
    <w:rsid w:val="00607784"/>
    <w:rsid w:val="00610C4C"/>
    <w:rsid w:val="006118E6"/>
    <w:rsid w:val="006139C3"/>
    <w:rsid w:val="00614823"/>
    <w:rsid w:val="00615949"/>
    <w:rsid w:val="0061680B"/>
    <w:rsid w:val="00616AFD"/>
    <w:rsid w:val="00617073"/>
    <w:rsid w:val="00620CBF"/>
    <w:rsid w:val="006211E0"/>
    <w:rsid w:val="0062143D"/>
    <w:rsid w:val="006222B0"/>
    <w:rsid w:val="00624185"/>
    <w:rsid w:val="00624F57"/>
    <w:rsid w:val="00625398"/>
    <w:rsid w:val="00625B54"/>
    <w:rsid w:val="006263BF"/>
    <w:rsid w:val="00626402"/>
    <w:rsid w:val="00626684"/>
    <w:rsid w:val="00630CC6"/>
    <w:rsid w:val="00631142"/>
    <w:rsid w:val="00631477"/>
    <w:rsid w:val="00631D4E"/>
    <w:rsid w:val="0063388E"/>
    <w:rsid w:val="00634A94"/>
    <w:rsid w:val="006374C7"/>
    <w:rsid w:val="006375F8"/>
    <w:rsid w:val="00640B56"/>
    <w:rsid w:val="00641D09"/>
    <w:rsid w:val="00642160"/>
    <w:rsid w:val="00643C8E"/>
    <w:rsid w:val="00644040"/>
    <w:rsid w:val="0064455D"/>
    <w:rsid w:val="00645955"/>
    <w:rsid w:val="006467F9"/>
    <w:rsid w:val="00646B34"/>
    <w:rsid w:val="006513B5"/>
    <w:rsid w:val="006537F4"/>
    <w:rsid w:val="0065549C"/>
    <w:rsid w:val="00656BE4"/>
    <w:rsid w:val="0065759A"/>
    <w:rsid w:val="00657ED6"/>
    <w:rsid w:val="006618B6"/>
    <w:rsid w:val="006623B9"/>
    <w:rsid w:val="006628A9"/>
    <w:rsid w:val="00663F6C"/>
    <w:rsid w:val="00664C87"/>
    <w:rsid w:val="006650BC"/>
    <w:rsid w:val="00665C2D"/>
    <w:rsid w:val="00666392"/>
    <w:rsid w:val="00667801"/>
    <w:rsid w:val="00667A53"/>
    <w:rsid w:val="00672141"/>
    <w:rsid w:val="00672B07"/>
    <w:rsid w:val="00675820"/>
    <w:rsid w:val="00677021"/>
    <w:rsid w:val="00677CCB"/>
    <w:rsid w:val="0068098E"/>
    <w:rsid w:val="00680FB9"/>
    <w:rsid w:val="006824B6"/>
    <w:rsid w:val="00682E81"/>
    <w:rsid w:val="00683694"/>
    <w:rsid w:val="00685261"/>
    <w:rsid w:val="00685CDA"/>
    <w:rsid w:val="00685FB1"/>
    <w:rsid w:val="00687732"/>
    <w:rsid w:val="006877F9"/>
    <w:rsid w:val="00687996"/>
    <w:rsid w:val="00690E42"/>
    <w:rsid w:val="006923E3"/>
    <w:rsid w:val="00692C83"/>
    <w:rsid w:val="00692CBD"/>
    <w:rsid w:val="00694575"/>
    <w:rsid w:val="00696F75"/>
    <w:rsid w:val="006973BA"/>
    <w:rsid w:val="006A0D12"/>
    <w:rsid w:val="006A3A2E"/>
    <w:rsid w:val="006A3BD6"/>
    <w:rsid w:val="006A5361"/>
    <w:rsid w:val="006B0EE2"/>
    <w:rsid w:val="006B293D"/>
    <w:rsid w:val="006B36F7"/>
    <w:rsid w:val="006C0861"/>
    <w:rsid w:val="006C2B90"/>
    <w:rsid w:val="006C43D8"/>
    <w:rsid w:val="006C5AA4"/>
    <w:rsid w:val="006C606A"/>
    <w:rsid w:val="006C6ACF"/>
    <w:rsid w:val="006C6FC3"/>
    <w:rsid w:val="006D0826"/>
    <w:rsid w:val="006D2E54"/>
    <w:rsid w:val="006D417A"/>
    <w:rsid w:val="006D4416"/>
    <w:rsid w:val="006D5291"/>
    <w:rsid w:val="006D5DF1"/>
    <w:rsid w:val="006D7CF1"/>
    <w:rsid w:val="006E0BEB"/>
    <w:rsid w:val="006E1827"/>
    <w:rsid w:val="006E1B26"/>
    <w:rsid w:val="006E2980"/>
    <w:rsid w:val="006E2CE9"/>
    <w:rsid w:val="006E44BF"/>
    <w:rsid w:val="006E46AB"/>
    <w:rsid w:val="006E4C3E"/>
    <w:rsid w:val="006E6776"/>
    <w:rsid w:val="006F20E6"/>
    <w:rsid w:val="006F2129"/>
    <w:rsid w:val="006F3030"/>
    <w:rsid w:val="006F498C"/>
    <w:rsid w:val="006F5749"/>
    <w:rsid w:val="006F5B81"/>
    <w:rsid w:val="006F69FC"/>
    <w:rsid w:val="006F6CDC"/>
    <w:rsid w:val="0070212D"/>
    <w:rsid w:val="007061E6"/>
    <w:rsid w:val="007122F0"/>
    <w:rsid w:val="00714103"/>
    <w:rsid w:val="00714D7D"/>
    <w:rsid w:val="00716578"/>
    <w:rsid w:val="007166E2"/>
    <w:rsid w:val="00720AFE"/>
    <w:rsid w:val="007238A3"/>
    <w:rsid w:val="00725523"/>
    <w:rsid w:val="007258DC"/>
    <w:rsid w:val="00726429"/>
    <w:rsid w:val="007271C4"/>
    <w:rsid w:val="00727870"/>
    <w:rsid w:val="007305E6"/>
    <w:rsid w:val="007323B2"/>
    <w:rsid w:val="00732CAB"/>
    <w:rsid w:val="00735579"/>
    <w:rsid w:val="00736EAC"/>
    <w:rsid w:val="0073701A"/>
    <w:rsid w:val="007409BA"/>
    <w:rsid w:val="0074120B"/>
    <w:rsid w:val="007460E3"/>
    <w:rsid w:val="00746725"/>
    <w:rsid w:val="007467F1"/>
    <w:rsid w:val="00747DDE"/>
    <w:rsid w:val="00750F4C"/>
    <w:rsid w:val="007514E8"/>
    <w:rsid w:val="00751508"/>
    <w:rsid w:val="0075342E"/>
    <w:rsid w:val="00756C9C"/>
    <w:rsid w:val="00757CD2"/>
    <w:rsid w:val="0076089B"/>
    <w:rsid w:val="00760B09"/>
    <w:rsid w:val="00761C2E"/>
    <w:rsid w:val="00764498"/>
    <w:rsid w:val="00773AED"/>
    <w:rsid w:val="00775E9A"/>
    <w:rsid w:val="00776804"/>
    <w:rsid w:val="0077769B"/>
    <w:rsid w:val="0078011A"/>
    <w:rsid w:val="00780582"/>
    <w:rsid w:val="007806BB"/>
    <w:rsid w:val="00782507"/>
    <w:rsid w:val="00782AE8"/>
    <w:rsid w:val="00783680"/>
    <w:rsid w:val="00783DD0"/>
    <w:rsid w:val="00785133"/>
    <w:rsid w:val="00785E61"/>
    <w:rsid w:val="007861DD"/>
    <w:rsid w:val="007872C9"/>
    <w:rsid w:val="00787A06"/>
    <w:rsid w:val="00790264"/>
    <w:rsid w:val="00790CD1"/>
    <w:rsid w:val="00790F05"/>
    <w:rsid w:val="00791666"/>
    <w:rsid w:val="007919FF"/>
    <w:rsid w:val="00791DE9"/>
    <w:rsid w:val="00792F9D"/>
    <w:rsid w:val="00793154"/>
    <w:rsid w:val="007968C8"/>
    <w:rsid w:val="00797485"/>
    <w:rsid w:val="00797A19"/>
    <w:rsid w:val="007A2255"/>
    <w:rsid w:val="007A58E8"/>
    <w:rsid w:val="007A66E3"/>
    <w:rsid w:val="007A6EFF"/>
    <w:rsid w:val="007A748B"/>
    <w:rsid w:val="007A7599"/>
    <w:rsid w:val="007B034E"/>
    <w:rsid w:val="007B2FF2"/>
    <w:rsid w:val="007B3EB4"/>
    <w:rsid w:val="007B517D"/>
    <w:rsid w:val="007B5FFE"/>
    <w:rsid w:val="007C0A7B"/>
    <w:rsid w:val="007C147E"/>
    <w:rsid w:val="007C2BB7"/>
    <w:rsid w:val="007C39E2"/>
    <w:rsid w:val="007C54B9"/>
    <w:rsid w:val="007C665E"/>
    <w:rsid w:val="007C77BC"/>
    <w:rsid w:val="007C7F52"/>
    <w:rsid w:val="007C7FD4"/>
    <w:rsid w:val="007D04D7"/>
    <w:rsid w:val="007D076D"/>
    <w:rsid w:val="007D0A15"/>
    <w:rsid w:val="007D0D5B"/>
    <w:rsid w:val="007D0DF2"/>
    <w:rsid w:val="007D289B"/>
    <w:rsid w:val="007D31BF"/>
    <w:rsid w:val="007D39A7"/>
    <w:rsid w:val="007D441D"/>
    <w:rsid w:val="007D481B"/>
    <w:rsid w:val="007D4BBA"/>
    <w:rsid w:val="007D4C3D"/>
    <w:rsid w:val="007D5030"/>
    <w:rsid w:val="007D61B0"/>
    <w:rsid w:val="007D6B87"/>
    <w:rsid w:val="007D7D9A"/>
    <w:rsid w:val="007E023C"/>
    <w:rsid w:val="007E08B1"/>
    <w:rsid w:val="007E12CF"/>
    <w:rsid w:val="007E14FD"/>
    <w:rsid w:val="007E2539"/>
    <w:rsid w:val="007E3958"/>
    <w:rsid w:val="007E46DA"/>
    <w:rsid w:val="007E5D80"/>
    <w:rsid w:val="007E63CD"/>
    <w:rsid w:val="007E66DF"/>
    <w:rsid w:val="007E7287"/>
    <w:rsid w:val="007E792C"/>
    <w:rsid w:val="007E7C72"/>
    <w:rsid w:val="007E7DC0"/>
    <w:rsid w:val="007F0592"/>
    <w:rsid w:val="007F0978"/>
    <w:rsid w:val="007F16FF"/>
    <w:rsid w:val="007F1A53"/>
    <w:rsid w:val="007F2704"/>
    <w:rsid w:val="007F2BD7"/>
    <w:rsid w:val="007F3581"/>
    <w:rsid w:val="007F449E"/>
    <w:rsid w:val="007F4C59"/>
    <w:rsid w:val="007F4D4F"/>
    <w:rsid w:val="007F68B0"/>
    <w:rsid w:val="00800482"/>
    <w:rsid w:val="00800AFE"/>
    <w:rsid w:val="00801038"/>
    <w:rsid w:val="00801C16"/>
    <w:rsid w:val="00804E45"/>
    <w:rsid w:val="008051AB"/>
    <w:rsid w:val="00805B24"/>
    <w:rsid w:val="0080690F"/>
    <w:rsid w:val="00806DF5"/>
    <w:rsid w:val="008072CF"/>
    <w:rsid w:val="00807720"/>
    <w:rsid w:val="0080799C"/>
    <w:rsid w:val="00810A0E"/>
    <w:rsid w:val="00810DFA"/>
    <w:rsid w:val="008112A9"/>
    <w:rsid w:val="00811AE9"/>
    <w:rsid w:val="00813A5C"/>
    <w:rsid w:val="00815105"/>
    <w:rsid w:val="00823391"/>
    <w:rsid w:val="00824C47"/>
    <w:rsid w:val="00826C7D"/>
    <w:rsid w:val="00827278"/>
    <w:rsid w:val="0083067B"/>
    <w:rsid w:val="00831467"/>
    <w:rsid w:val="008320B1"/>
    <w:rsid w:val="00833D93"/>
    <w:rsid w:val="0083599E"/>
    <w:rsid w:val="00836895"/>
    <w:rsid w:val="008369F6"/>
    <w:rsid w:val="008406B7"/>
    <w:rsid w:val="00842858"/>
    <w:rsid w:val="00843F97"/>
    <w:rsid w:val="0084519B"/>
    <w:rsid w:val="008456D5"/>
    <w:rsid w:val="00845A7C"/>
    <w:rsid w:val="008475C3"/>
    <w:rsid w:val="00850F3F"/>
    <w:rsid w:val="00852022"/>
    <w:rsid w:val="00853F32"/>
    <w:rsid w:val="00855468"/>
    <w:rsid w:val="00855B7F"/>
    <w:rsid w:val="00860AA2"/>
    <w:rsid w:val="00860DF8"/>
    <w:rsid w:val="00862AC1"/>
    <w:rsid w:val="00865019"/>
    <w:rsid w:val="00866870"/>
    <w:rsid w:val="0086703E"/>
    <w:rsid w:val="00867C84"/>
    <w:rsid w:val="00870FD8"/>
    <w:rsid w:val="00871E31"/>
    <w:rsid w:val="00872164"/>
    <w:rsid w:val="00874541"/>
    <w:rsid w:val="00874766"/>
    <w:rsid w:val="00876452"/>
    <w:rsid w:val="00877B9D"/>
    <w:rsid w:val="008807AF"/>
    <w:rsid w:val="00881AF7"/>
    <w:rsid w:val="008828AC"/>
    <w:rsid w:val="00883BB8"/>
    <w:rsid w:val="00884F1D"/>
    <w:rsid w:val="00887F78"/>
    <w:rsid w:val="00891158"/>
    <w:rsid w:val="008925FD"/>
    <w:rsid w:val="008937D6"/>
    <w:rsid w:val="00894399"/>
    <w:rsid w:val="008943F4"/>
    <w:rsid w:val="00894666"/>
    <w:rsid w:val="00894B37"/>
    <w:rsid w:val="00896EDE"/>
    <w:rsid w:val="008A0E90"/>
    <w:rsid w:val="008A1880"/>
    <w:rsid w:val="008A4787"/>
    <w:rsid w:val="008A48BB"/>
    <w:rsid w:val="008B014F"/>
    <w:rsid w:val="008B11EE"/>
    <w:rsid w:val="008B3A19"/>
    <w:rsid w:val="008B73CB"/>
    <w:rsid w:val="008C00E1"/>
    <w:rsid w:val="008C023F"/>
    <w:rsid w:val="008C043C"/>
    <w:rsid w:val="008C1393"/>
    <w:rsid w:val="008C1F40"/>
    <w:rsid w:val="008C256A"/>
    <w:rsid w:val="008C2E3B"/>
    <w:rsid w:val="008C3701"/>
    <w:rsid w:val="008C395D"/>
    <w:rsid w:val="008C42C3"/>
    <w:rsid w:val="008C4525"/>
    <w:rsid w:val="008C6CAF"/>
    <w:rsid w:val="008D2495"/>
    <w:rsid w:val="008D40A1"/>
    <w:rsid w:val="008D4211"/>
    <w:rsid w:val="008D42B8"/>
    <w:rsid w:val="008D4C38"/>
    <w:rsid w:val="008D58FB"/>
    <w:rsid w:val="008D5FA5"/>
    <w:rsid w:val="008D6B00"/>
    <w:rsid w:val="008E0581"/>
    <w:rsid w:val="008E21B6"/>
    <w:rsid w:val="008E2E9A"/>
    <w:rsid w:val="008E3672"/>
    <w:rsid w:val="008E3D9E"/>
    <w:rsid w:val="008E7851"/>
    <w:rsid w:val="008F01AA"/>
    <w:rsid w:val="008F303A"/>
    <w:rsid w:val="008F393C"/>
    <w:rsid w:val="008F3AE1"/>
    <w:rsid w:val="008F463E"/>
    <w:rsid w:val="008F4CD3"/>
    <w:rsid w:val="008F4F98"/>
    <w:rsid w:val="008F5F05"/>
    <w:rsid w:val="008F67DB"/>
    <w:rsid w:val="008F6B90"/>
    <w:rsid w:val="008F7CEF"/>
    <w:rsid w:val="00900525"/>
    <w:rsid w:val="00900B1F"/>
    <w:rsid w:val="00901ABC"/>
    <w:rsid w:val="00903628"/>
    <w:rsid w:val="0090380B"/>
    <w:rsid w:val="00903ED1"/>
    <w:rsid w:val="00903FEB"/>
    <w:rsid w:val="0090563C"/>
    <w:rsid w:val="009066E5"/>
    <w:rsid w:val="00906863"/>
    <w:rsid w:val="00906D13"/>
    <w:rsid w:val="0090756F"/>
    <w:rsid w:val="00907827"/>
    <w:rsid w:val="009078AC"/>
    <w:rsid w:val="00907C2C"/>
    <w:rsid w:val="00910292"/>
    <w:rsid w:val="00911A0F"/>
    <w:rsid w:val="0091492D"/>
    <w:rsid w:val="009157D6"/>
    <w:rsid w:val="009164C5"/>
    <w:rsid w:val="0091742E"/>
    <w:rsid w:val="00917C81"/>
    <w:rsid w:val="00922169"/>
    <w:rsid w:val="00922891"/>
    <w:rsid w:val="0092401F"/>
    <w:rsid w:val="0092439E"/>
    <w:rsid w:val="00924604"/>
    <w:rsid w:val="00926CE1"/>
    <w:rsid w:val="00927F90"/>
    <w:rsid w:val="00930F96"/>
    <w:rsid w:val="009314B3"/>
    <w:rsid w:val="00931B84"/>
    <w:rsid w:val="00933E09"/>
    <w:rsid w:val="00934ABD"/>
    <w:rsid w:val="00934CEB"/>
    <w:rsid w:val="00935461"/>
    <w:rsid w:val="00937F50"/>
    <w:rsid w:val="00940C0A"/>
    <w:rsid w:val="00940ECF"/>
    <w:rsid w:val="00942519"/>
    <w:rsid w:val="00942B35"/>
    <w:rsid w:val="009438D9"/>
    <w:rsid w:val="00946020"/>
    <w:rsid w:val="0094684D"/>
    <w:rsid w:val="00946AE3"/>
    <w:rsid w:val="0094793C"/>
    <w:rsid w:val="0095089D"/>
    <w:rsid w:val="009509C5"/>
    <w:rsid w:val="00952DF2"/>
    <w:rsid w:val="009537D4"/>
    <w:rsid w:val="00953CF7"/>
    <w:rsid w:val="00954079"/>
    <w:rsid w:val="00954504"/>
    <w:rsid w:val="0095478E"/>
    <w:rsid w:val="00954EB0"/>
    <w:rsid w:val="009557C6"/>
    <w:rsid w:val="00955FEE"/>
    <w:rsid w:val="00957C2D"/>
    <w:rsid w:val="00960655"/>
    <w:rsid w:val="00960C99"/>
    <w:rsid w:val="00962B73"/>
    <w:rsid w:val="0096314E"/>
    <w:rsid w:val="009644D8"/>
    <w:rsid w:val="00964A19"/>
    <w:rsid w:val="00964C26"/>
    <w:rsid w:val="00965491"/>
    <w:rsid w:val="0096629E"/>
    <w:rsid w:val="00970D2B"/>
    <w:rsid w:val="00972D8C"/>
    <w:rsid w:val="009739A2"/>
    <w:rsid w:val="00973B32"/>
    <w:rsid w:val="0097481C"/>
    <w:rsid w:val="00974F38"/>
    <w:rsid w:val="00977632"/>
    <w:rsid w:val="0097798A"/>
    <w:rsid w:val="00981C83"/>
    <w:rsid w:val="00981F22"/>
    <w:rsid w:val="00983524"/>
    <w:rsid w:val="009849CD"/>
    <w:rsid w:val="009870D1"/>
    <w:rsid w:val="009875D4"/>
    <w:rsid w:val="009879E0"/>
    <w:rsid w:val="0099016A"/>
    <w:rsid w:val="00995DDC"/>
    <w:rsid w:val="00996F73"/>
    <w:rsid w:val="00997C61"/>
    <w:rsid w:val="009A10E2"/>
    <w:rsid w:val="009A168F"/>
    <w:rsid w:val="009A1B9D"/>
    <w:rsid w:val="009A27A5"/>
    <w:rsid w:val="009A2AE4"/>
    <w:rsid w:val="009A4B26"/>
    <w:rsid w:val="009A5A4D"/>
    <w:rsid w:val="009A64B5"/>
    <w:rsid w:val="009A7151"/>
    <w:rsid w:val="009B08C8"/>
    <w:rsid w:val="009B0B85"/>
    <w:rsid w:val="009B0D18"/>
    <w:rsid w:val="009B1F02"/>
    <w:rsid w:val="009B53D1"/>
    <w:rsid w:val="009B56A4"/>
    <w:rsid w:val="009B6AD6"/>
    <w:rsid w:val="009B76C9"/>
    <w:rsid w:val="009C1114"/>
    <w:rsid w:val="009C2579"/>
    <w:rsid w:val="009C33B1"/>
    <w:rsid w:val="009C56B5"/>
    <w:rsid w:val="009C6041"/>
    <w:rsid w:val="009C6262"/>
    <w:rsid w:val="009D079F"/>
    <w:rsid w:val="009D2F56"/>
    <w:rsid w:val="009D3414"/>
    <w:rsid w:val="009D39D7"/>
    <w:rsid w:val="009D5D93"/>
    <w:rsid w:val="009D64D3"/>
    <w:rsid w:val="009D7E85"/>
    <w:rsid w:val="009E010E"/>
    <w:rsid w:val="009E0570"/>
    <w:rsid w:val="009E2156"/>
    <w:rsid w:val="009E7BB5"/>
    <w:rsid w:val="009E7C80"/>
    <w:rsid w:val="009E7F86"/>
    <w:rsid w:val="009F017E"/>
    <w:rsid w:val="009F2E2F"/>
    <w:rsid w:val="009F3FCC"/>
    <w:rsid w:val="009F6C75"/>
    <w:rsid w:val="00A00599"/>
    <w:rsid w:val="00A0097E"/>
    <w:rsid w:val="00A03033"/>
    <w:rsid w:val="00A05A58"/>
    <w:rsid w:val="00A074C3"/>
    <w:rsid w:val="00A12113"/>
    <w:rsid w:val="00A1225A"/>
    <w:rsid w:val="00A12BB0"/>
    <w:rsid w:val="00A13332"/>
    <w:rsid w:val="00A143E3"/>
    <w:rsid w:val="00A1472B"/>
    <w:rsid w:val="00A15D71"/>
    <w:rsid w:val="00A165F2"/>
    <w:rsid w:val="00A17D88"/>
    <w:rsid w:val="00A20787"/>
    <w:rsid w:val="00A22D18"/>
    <w:rsid w:val="00A23F73"/>
    <w:rsid w:val="00A259E3"/>
    <w:rsid w:val="00A2603C"/>
    <w:rsid w:val="00A26547"/>
    <w:rsid w:val="00A26D9E"/>
    <w:rsid w:val="00A329B2"/>
    <w:rsid w:val="00A3321D"/>
    <w:rsid w:val="00A33696"/>
    <w:rsid w:val="00A33A71"/>
    <w:rsid w:val="00A352A2"/>
    <w:rsid w:val="00A374C2"/>
    <w:rsid w:val="00A41EE4"/>
    <w:rsid w:val="00A4369C"/>
    <w:rsid w:val="00A43A0A"/>
    <w:rsid w:val="00A43F55"/>
    <w:rsid w:val="00A44857"/>
    <w:rsid w:val="00A456BA"/>
    <w:rsid w:val="00A464C8"/>
    <w:rsid w:val="00A5216B"/>
    <w:rsid w:val="00A52748"/>
    <w:rsid w:val="00A52B77"/>
    <w:rsid w:val="00A537E4"/>
    <w:rsid w:val="00A53BC1"/>
    <w:rsid w:val="00A5409D"/>
    <w:rsid w:val="00A54485"/>
    <w:rsid w:val="00A54DEB"/>
    <w:rsid w:val="00A54FA0"/>
    <w:rsid w:val="00A550C1"/>
    <w:rsid w:val="00A555FE"/>
    <w:rsid w:val="00A56BF8"/>
    <w:rsid w:val="00A60319"/>
    <w:rsid w:val="00A6189D"/>
    <w:rsid w:val="00A61FA5"/>
    <w:rsid w:val="00A62E5C"/>
    <w:rsid w:val="00A64A1C"/>
    <w:rsid w:val="00A64E9E"/>
    <w:rsid w:val="00A65258"/>
    <w:rsid w:val="00A65A14"/>
    <w:rsid w:val="00A66312"/>
    <w:rsid w:val="00A677BC"/>
    <w:rsid w:val="00A70D8D"/>
    <w:rsid w:val="00A70DAF"/>
    <w:rsid w:val="00A735CC"/>
    <w:rsid w:val="00A759C8"/>
    <w:rsid w:val="00A820E6"/>
    <w:rsid w:val="00A82957"/>
    <w:rsid w:val="00A842A1"/>
    <w:rsid w:val="00A842AF"/>
    <w:rsid w:val="00A85A46"/>
    <w:rsid w:val="00A867FE"/>
    <w:rsid w:val="00A86B3E"/>
    <w:rsid w:val="00A86D06"/>
    <w:rsid w:val="00A873BA"/>
    <w:rsid w:val="00A87687"/>
    <w:rsid w:val="00A90803"/>
    <w:rsid w:val="00A91F4E"/>
    <w:rsid w:val="00A93384"/>
    <w:rsid w:val="00A96B21"/>
    <w:rsid w:val="00A9728C"/>
    <w:rsid w:val="00AA2914"/>
    <w:rsid w:val="00AA2AA3"/>
    <w:rsid w:val="00AA3F1E"/>
    <w:rsid w:val="00AA57AA"/>
    <w:rsid w:val="00AA5AB4"/>
    <w:rsid w:val="00AA5E5B"/>
    <w:rsid w:val="00AA6406"/>
    <w:rsid w:val="00AA789F"/>
    <w:rsid w:val="00AA7F58"/>
    <w:rsid w:val="00AB0A48"/>
    <w:rsid w:val="00AB0C3B"/>
    <w:rsid w:val="00AB32E4"/>
    <w:rsid w:val="00AB36C6"/>
    <w:rsid w:val="00AB3EAA"/>
    <w:rsid w:val="00AB4900"/>
    <w:rsid w:val="00AB5119"/>
    <w:rsid w:val="00AB5182"/>
    <w:rsid w:val="00AB5223"/>
    <w:rsid w:val="00AB585E"/>
    <w:rsid w:val="00AB6F51"/>
    <w:rsid w:val="00AB7BA6"/>
    <w:rsid w:val="00AC2429"/>
    <w:rsid w:val="00AC372F"/>
    <w:rsid w:val="00AC5516"/>
    <w:rsid w:val="00AD0355"/>
    <w:rsid w:val="00AD1EA5"/>
    <w:rsid w:val="00AD60EA"/>
    <w:rsid w:val="00AD6FFF"/>
    <w:rsid w:val="00AD73C0"/>
    <w:rsid w:val="00AE1647"/>
    <w:rsid w:val="00AE1A95"/>
    <w:rsid w:val="00AE477A"/>
    <w:rsid w:val="00AE47E1"/>
    <w:rsid w:val="00AE5428"/>
    <w:rsid w:val="00AE5E10"/>
    <w:rsid w:val="00AE7867"/>
    <w:rsid w:val="00AF1B66"/>
    <w:rsid w:val="00AF2369"/>
    <w:rsid w:val="00AF33AE"/>
    <w:rsid w:val="00AF60A1"/>
    <w:rsid w:val="00AF7AFD"/>
    <w:rsid w:val="00B00CE9"/>
    <w:rsid w:val="00B019AD"/>
    <w:rsid w:val="00B04174"/>
    <w:rsid w:val="00B048A2"/>
    <w:rsid w:val="00B04D84"/>
    <w:rsid w:val="00B05799"/>
    <w:rsid w:val="00B07EB0"/>
    <w:rsid w:val="00B10A5A"/>
    <w:rsid w:val="00B124D7"/>
    <w:rsid w:val="00B12576"/>
    <w:rsid w:val="00B128F8"/>
    <w:rsid w:val="00B12C60"/>
    <w:rsid w:val="00B12DE4"/>
    <w:rsid w:val="00B12FB0"/>
    <w:rsid w:val="00B13474"/>
    <w:rsid w:val="00B13D59"/>
    <w:rsid w:val="00B15596"/>
    <w:rsid w:val="00B169C3"/>
    <w:rsid w:val="00B16F4F"/>
    <w:rsid w:val="00B20E48"/>
    <w:rsid w:val="00B21566"/>
    <w:rsid w:val="00B229A1"/>
    <w:rsid w:val="00B24A3D"/>
    <w:rsid w:val="00B2580B"/>
    <w:rsid w:val="00B26558"/>
    <w:rsid w:val="00B267DD"/>
    <w:rsid w:val="00B26F34"/>
    <w:rsid w:val="00B27C5D"/>
    <w:rsid w:val="00B30C3D"/>
    <w:rsid w:val="00B32D5A"/>
    <w:rsid w:val="00B34288"/>
    <w:rsid w:val="00B34EEB"/>
    <w:rsid w:val="00B353C4"/>
    <w:rsid w:val="00B35688"/>
    <w:rsid w:val="00B367B2"/>
    <w:rsid w:val="00B367E1"/>
    <w:rsid w:val="00B36EA9"/>
    <w:rsid w:val="00B3790D"/>
    <w:rsid w:val="00B405BF"/>
    <w:rsid w:val="00B41FDA"/>
    <w:rsid w:val="00B4221E"/>
    <w:rsid w:val="00B42B89"/>
    <w:rsid w:val="00B438DF"/>
    <w:rsid w:val="00B439B6"/>
    <w:rsid w:val="00B44898"/>
    <w:rsid w:val="00B45A5F"/>
    <w:rsid w:val="00B463E2"/>
    <w:rsid w:val="00B46B93"/>
    <w:rsid w:val="00B5133A"/>
    <w:rsid w:val="00B51825"/>
    <w:rsid w:val="00B52CA9"/>
    <w:rsid w:val="00B53F2C"/>
    <w:rsid w:val="00B55904"/>
    <w:rsid w:val="00B568E3"/>
    <w:rsid w:val="00B57611"/>
    <w:rsid w:val="00B608F6"/>
    <w:rsid w:val="00B60E2D"/>
    <w:rsid w:val="00B60E75"/>
    <w:rsid w:val="00B620FC"/>
    <w:rsid w:val="00B6308A"/>
    <w:rsid w:val="00B63190"/>
    <w:rsid w:val="00B643E2"/>
    <w:rsid w:val="00B6473F"/>
    <w:rsid w:val="00B64B4C"/>
    <w:rsid w:val="00B6543C"/>
    <w:rsid w:val="00B65AB8"/>
    <w:rsid w:val="00B66D88"/>
    <w:rsid w:val="00B66DFE"/>
    <w:rsid w:val="00B673F1"/>
    <w:rsid w:val="00B6765C"/>
    <w:rsid w:val="00B67E1E"/>
    <w:rsid w:val="00B70153"/>
    <w:rsid w:val="00B70578"/>
    <w:rsid w:val="00B7338B"/>
    <w:rsid w:val="00B741AA"/>
    <w:rsid w:val="00B74D74"/>
    <w:rsid w:val="00B753A6"/>
    <w:rsid w:val="00B75A7C"/>
    <w:rsid w:val="00B804B8"/>
    <w:rsid w:val="00B8337C"/>
    <w:rsid w:val="00B83A09"/>
    <w:rsid w:val="00B83FC6"/>
    <w:rsid w:val="00B84C55"/>
    <w:rsid w:val="00B84C6B"/>
    <w:rsid w:val="00B85478"/>
    <w:rsid w:val="00B858B5"/>
    <w:rsid w:val="00B869B6"/>
    <w:rsid w:val="00B87C37"/>
    <w:rsid w:val="00B9006C"/>
    <w:rsid w:val="00B906A6"/>
    <w:rsid w:val="00B91D87"/>
    <w:rsid w:val="00B92819"/>
    <w:rsid w:val="00B94C35"/>
    <w:rsid w:val="00B9504B"/>
    <w:rsid w:val="00B9548F"/>
    <w:rsid w:val="00BA0E31"/>
    <w:rsid w:val="00BA105B"/>
    <w:rsid w:val="00BA3C68"/>
    <w:rsid w:val="00BA584C"/>
    <w:rsid w:val="00BB0E55"/>
    <w:rsid w:val="00BB38A6"/>
    <w:rsid w:val="00BB3A5C"/>
    <w:rsid w:val="00BB7300"/>
    <w:rsid w:val="00BB7FA7"/>
    <w:rsid w:val="00BC10E0"/>
    <w:rsid w:val="00BC1816"/>
    <w:rsid w:val="00BC3193"/>
    <w:rsid w:val="00BC4158"/>
    <w:rsid w:val="00BC43D1"/>
    <w:rsid w:val="00BC5C36"/>
    <w:rsid w:val="00BC5C50"/>
    <w:rsid w:val="00BC7F2E"/>
    <w:rsid w:val="00BD144C"/>
    <w:rsid w:val="00BD2511"/>
    <w:rsid w:val="00BD31D7"/>
    <w:rsid w:val="00BD43B8"/>
    <w:rsid w:val="00BD5840"/>
    <w:rsid w:val="00BD5F51"/>
    <w:rsid w:val="00BD6537"/>
    <w:rsid w:val="00BD73EF"/>
    <w:rsid w:val="00BE3548"/>
    <w:rsid w:val="00BE4598"/>
    <w:rsid w:val="00BE49CC"/>
    <w:rsid w:val="00BF02A7"/>
    <w:rsid w:val="00BF0DE6"/>
    <w:rsid w:val="00BF1508"/>
    <w:rsid w:val="00BF3DE0"/>
    <w:rsid w:val="00BF41EC"/>
    <w:rsid w:val="00BF4925"/>
    <w:rsid w:val="00BF4DD4"/>
    <w:rsid w:val="00BF5350"/>
    <w:rsid w:val="00BF63EE"/>
    <w:rsid w:val="00BF7990"/>
    <w:rsid w:val="00C01CE6"/>
    <w:rsid w:val="00C064C7"/>
    <w:rsid w:val="00C0659A"/>
    <w:rsid w:val="00C20A40"/>
    <w:rsid w:val="00C213D8"/>
    <w:rsid w:val="00C231C4"/>
    <w:rsid w:val="00C23447"/>
    <w:rsid w:val="00C2354A"/>
    <w:rsid w:val="00C23A34"/>
    <w:rsid w:val="00C25137"/>
    <w:rsid w:val="00C25818"/>
    <w:rsid w:val="00C264A2"/>
    <w:rsid w:val="00C302B4"/>
    <w:rsid w:val="00C30FF9"/>
    <w:rsid w:val="00C31799"/>
    <w:rsid w:val="00C31BBB"/>
    <w:rsid w:val="00C33861"/>
    <w:rsid w:val="00C34BDF"/>
    <w:rsid w:val="00C356F4"/>
    <w:rsid w:val="00C36E93"/>
    <w:rsid w:val="00C41857"/>
    <w:rsid w:val="00C42A60"/>
    <w:rsid w:val="00C4612B"/>
    <w:rsid w:val="00C46A67"/>
    <w:rsid w:val="00C46A7F"/>
    <w:rsid w:val="00C508B9"/>
    <w:rsid w:val="00C50BA4"/>
    <w:rsid w:val="00C5198F"/>
    <w:rsid w:val="00C538EF"/>
    <w:rsid w:val="00C54235"/>
    <w:rsid w:val="00C55B11"/>
    <w:rsid w:val="00C56552"/>
    <w:rsid w:val="00C62FCE"/>
    <w:rsid w:val="00C65E57"/>
    <w:rsid w:val="00C66349"/>
    <w:rsid w:val="00C66B5A"/>
    <w:rsid w:val="00C66B96"/>
    <w:rsid w:val="00C72EE6"/>
    <w:rsid w:val="00C73F70"/>
    <w:rsid w:val="00C74D09"/>
    <w:rsid w:val="00C75DAA"/>
    <w:rsid w:val="00C7748A"/>
    <w:rsid w:val="00C77D82"/>
    <w:rsid w:val="00C80B74"/>
    <w:rsid w:val="00C8196A"/>
    <w:rsid w:val="00C81C45"/>
    <w:rsid w:val="00C827FA"/>
    <w:rsid w:val="00C83196"/>
    <w:rsid w:val="00C84213"/>
    <w:rsid w:val="00C85382"/>
    <w:rsid w:val="00C8570D"/>
    <w:rsid w:val="00C85B60"/>
    <w:rsid w:val="00C866E9"/>
    <w:rsid w:val="00C90C34"/>
    <w:rsid w:val="00C91B46"/>
    <w:rsid w:val="00C922A7"/>
    <w:rsid w:val="00C94E84"/>
    <w:rsid w:val="00C9510F"/>
    <w:rsid w:val="00C96023"/>
    <w:rsid w:val="00C964F0"/>
    <w:rsid w:val="00C968A8"/>
    <w:rsid w:val="00CA15EB"/>
    <w:rsid w:val="00CA2AD4"/>
    <w:rsid w:val="00CA737D"/>
    <w:rsid w:val="00CA73BD"/>
    <w:rsid w:val="00CA768C"/>
    <w:rsid w:val="00CB132F"/>
    <w:rsid w:val="00CB1EEF"/>
    <w:rsid w:val="00CB447C"/>
    <w:rsid w:val="00CB4C53"/>
    <w:rsid w:val="00CB5FF7"/>
    <w:rsid w:val="00CB6616"/>
    <w:rsid w:val="00CB69DC"/>
    <w:rsid w:val="00CC1928"/>
    <w:rsid w:val="00CC1CA6"/>
    <w:rsid w:val="00CC1D18"/>
    <w:rsid w:val="00CC25C2"/>
    <w:rsid w:val="00CC2F11"/>
    <w:rsid w:val="00CC3183"/>
    <w:rsid w:val="00CC47DF"/>
    <w:rsid w:val="00CC535F"/>
    <w:rsid w:val="00CC6695"/>
    <w:rsid w:val="00CC6E66"/>
    <w:rsid w:val="00CC776E"/>
    <w:rsid w:val="00CC79F3"/>
    <w:rsid w:val="00CC7C81"/>
    <w:rsid w:val="00CD1025"/>
    <w:rsid w:val="00CD2AB7"/>
    <w:rsid w:val="00CD3237"/>
    <w:rsid w:val="00CD3C24"/>
    <w:rsid w:val="00CD439E"/>
    <w:rsid w:val="00CD5250"/>
    <w:rsid w:val="00CD53A0"/>
    <w:rsid w:val="00CD6408"/>
    <w:rsid w:val="00CD75C7"/>
    <w:rsid w:val="00CE01CA"/>
    <w:rsid w:val="00CE30E4"/>
    <w:rsid w:val="00CE370F"/>
    <w:rsid w:val="00CE4EC2"/>
    <w:rsid w:val="00CE6F05"/>
    <w:rsid w:val="00CE705A"/>
    <w:rsid w:val="00CE7616"/>
    <w:rsid w:val="00CF1304"/>
    <w:rsid w:val="00CF148A"/>
    <w:rsid w:val="00CF25FF"/>
    <w:rsid w:val="00CF3FFA"/>
    <w:rsid w:val="00CF55C8"/>
    <w:rsid w:val="00CF56BA"/>
    <w:rsid w:val="00CF6E79"/>
    <w:rsid w:val="00CF6F2B"/>
    <w:rsid w:val="00CF70AB"/>
    <w:rsid w:val="00CF7AB9"/>
    <w:rsid w:val="00D0364F"/>
    <w:rsid w:val="00D039AD"/>
    <w:rsid w:val="00D03DF6"/>
    <w:rsid w:val="00D03FEA"/>
    <w:rsid w:val="00D04A75"/>
    <w:rsid w:val="00D070B5"/>
    <w:rsid w:val="00D078D9"/>
    <w:rsid w:val="00D1072B"/>
    <w:rsid w:val="00D111A6"/>
    <w:rsid w:val="00D1360E"/>
    <w:rsid w:val="00D143EC"/>
    <w:rsid w:val="00D146FA"/>
    <w:rsid w:val="00D14F22"/>
    <w:rsid w:val="00D15104"/>
    <w:rsid w:val="00D15DD8"/>
    <w:rsid w:val="00D17C80"/>
    <w:rsid w:val="00D20B33"/>
    <w:rsid w:val="00D21469"/>
    <w:rsid w:val="00D2231B"/>
    <w:rsid w:val="00D22BBD"/>
    <w:rsid w:val="00D22BEF"/>
    <w:rsid w:val="00D276A0"/>
    <w:rsid w:val="00D3059B"/>
    <w:rsid w:val="00D316E8"/>
    <w:rsid w:val="00D338D7"/>
    <w:rsid w:val="00D35B4F"/>
    <w:rsid w:val="00D3696B"/>
    <w:rsid w:val="00D37C32"/>
    <w:rsid w:val="00D37D9F"/>
    <w:rsid w:val="00D43372"/>
    <w:rsid w:val="00D43467"/>
    <w:rsid w:val="00D439B8"/>
    <w:rsid w:val="00D44016"/>
    <w:rsid w:val="00D4498E"/>
    <w:rsid w:val="00D45F32"/>
    <w:rsid w:val="00D4690D"/>
    <w:rsid w:val="00D469AC"/>
    <w:rsid w:val="00D477C8"/>
    <w:rsid w:val="00D50929"/>
    <w:rsid w:val="00D510CB"/>
    <w:rsid w:val="00D514A5"/>
    <w:rsid w:val="00D523DB"/>
    <w:rsid w:val="00D528A2"/>
    <w:rsid w:val="00D52C5C"/>
    <w:rsid w:val="00D54741"/>
    <w:rsid w:val="00D550B5"/>
    <w:rsid w:val="00D55373"/>
    <w:rsid w:val="00D5661A"/>
    <w:rsid w:val="00D57AE6"/>
    <w:rsid w:val="00D60046"/>
    <w:rsid w:val="00D607F9"/>
    <w:rsid w:val="00D609C2"/>
    <w:rsid w:val="00D60CDB"/>
    <w:rsid w:val="00D60E39"/>
    <w:rsid w:val="00D61033"/>
    <w:rsid w:val="00D620C2"/>
    <w:rsid w:val="00D626B5"/>
    <w:rsid w:val="00D62941"/>
    <w:rsid w:val="00D63125"/>
    <w:rsid w:val="00D63563"/>
    <w:rsid w:val="00D6534D"/>
    <w:rsid w:val="00D65663"/>
    <w:rsid w:val="00D667D2"/>
    <w:rsid w:val="00D66FEF"/>
    <w:rsid w:val="00D679FE"/>
    <w:rsid w:val="00D70D74"/>
    <w:rsid w:val="00D71646"/>
    <w:rsid w:val="00D71E4E"/>
    <w:rsid w:val="00D71FFB"/>
    <w:rsid w:val="00D73769"/>
    <w:rsid w:val="00D73C11"/>
    <w:rsid w:val="00D74D99"/>
    <w:rsid w:val="00D8214F"/>
    <w:rsid w:val="00D823D8"/>
    <w:rsid w:val="00D82C21"/>
    <w:rsid w:val="00D83622"/>
    <w:rsid w:val="00D83656"/>
    <w:rsid w:val="00D8661D"/>
    <w:rsid w:val="00D86758"/>
    <w:rsid w:val="00D91627"/>
    <w:rsid w:val="00D9251E"/>
    <w:rsid w:val="00D925D5"/>
    <w:rsid w:val="00D92701"/>
    <w:rsid w:val="00D92CF1"/>
    <w:rsid w:val="00D94554"/>
    <w:rsid w:val="00D96B76"/>
    <w:rsid w:val="00D97727"/>
    <w:rsid w:val="00DA0668"/>
    <w:rsid w:val="00DA187C"/>
    <w:rsid w:val="00DA1C84"/>
    <w:rsid w:val="00DA313D"/>
    <w:rsid w:val="00DA48CF"/>
    <w:rsid w:val="00DA4B0E"/>
    <w:rsid w:val="00DA4D33"/>
    <w:rsid w:val="00DA6B5A"/>
    <w:rsid w:val="00DA72A1"/>
    <w:rsid w:val="00DA7CD8"/>
    <w:rsid w:val="00DB02D1"/>
    <w:rsid w:val="00DB0586"/>
    <w:rsid w:val="00DB0950"/>
    <w:rsid w:val="00DB15D8"/>
    <w:rsid w:val="00DB208F"/>
    <w:rsid w:val="00DB2D79"/>
    <w:rsid w:val="00DB59B9"/>
    <w:rsid w:val="00DB59F3"/>
    <w:rsid w:val="00DB5AC2"/>
    <w:rsid w:val="00DB7C19"/>
    <w:rsid w:val="00DC1457"/>
    <w:rsid w:val="00DC237A"/>
    <w:rsid w:val="00DC2B6E"/>
    <w:rsid w:val="00DC350A"/>
    <w:rsid w:val="00DC3E0E"/>
    <w:rsid w:val="00DC41CB"/>
    <w:rsid w:val="00DC6D9C"/>
    <w:rsid w:val="00DC73CC"/>
    <w:rsid w:val="00DD0828"/>
    <w:rsid w:val="00DD0F3E"/>
    <w:rsid w:val="00DD1502"/>
    <w:rsid w:val="00DD3AF8"/>
    <w:rsid w:val="00DD6539"/>
    <w:rsid w:val="00DD6A8F"/>
    <w:rsid w:val="00DD7085"/>
    <w:rsid w:val="00DD7987"/>
    <w:rsid w:val="00DE0474"/>
    <w:rsid w:val="00DE1888"/>
    <w:rsid w:val="00DE221A"/>
    <w:rsid w:val="00DE23F6"/>
    <w:rsid w:val="00DE4A14"/>
    <w:rsid w:val="00DE4E6E"/>
    <w:rsid w:val="00DE569A"/>
    <w:rsid w:val="00DE6D82"/>
    <w:rsid w:val="00DE751A"/>
    <w:rsid w:val="00DE7AB7"/>
    <w:rsid w:val="00DF03D5"/>
    <w:rsid w:val="00DF1449"/>
    <w:rsid w:val="00DF1A06"/>
    <w:rsid w:val="00DF29BB"/>
    <w:rsid w:val="00DF2E4A"/>
    <w:rsid w:val="00DF3D2D"/>
    <w:rsid w:val="00DF4866"/>
    <w:rsid w:val="00DF7606"/>
    <w:rsid w:val="00E019A4"/>
    <w:rsid w:val="00E01B10"/>
    <w:rsid w:val="00E02334"/>
    <w:rsid w:val="00E02B99"/>
    <w:rsid w:val="00E02C3F"/>
    <w:rsid w:val="00E04D78"/>
    <w:rsid w:val="00E057B6"/>
    <w:rsid w:val="00E05AD0"/>
    <w:rsid w:val="00E06B28"/>
    <w:rsid w:val="00E127CF"/>
    <w:rsid w:val="00E13F51"/>
    <w:rsid w:val="00E1597C"/>
    <w:rsid w:val="00E15BA3"/>
    <w:rsid w:val="00E167A2"/>
    <w:rsid w:val="00E2021A"/>
    <w:rsid w:val="00E21976"/>
    <w:rsid w:val="00E21B79"/>
    <w:rsid w:val="00E21BCD"/>
    <w:rsid w:val="00E23065"/>
    <w:rsid w:val="00E25B15"/>
    <w:rsid w:val="00E267E4"/>
    <w:rsid w:val="00E26816"/>
    <w:rsid w:val="00E30B23"/>
    <w:rsid w:val="00E32684"/>
    <w:rsid w:val="00E3585E"/>
    <w:rsid w:val="00E35905"/>
    <w:rsid w:val="00E42065"/>
    <w:rsid w:val="00E42CCC"/>
    <w:rsid w:val="00E433CF"/>
    <w:rsid w:val="00E44474"/>
    <w:rsid w:val="00E444A4"/>
    <w:rsid w:val="00E46449"/>
    <w:rsid w:val="00E469CA"/>
    <w:rsid w:val="00E47D79"/>
    <w:rsid w:val="00E524BD"/>
    <w:rsid w:val="00E54BFA"/>
    <w:rsid w:val="00E5537A"/>
    <w:rsid w:val="00E60807"/>
    <w:rsid w:val="00E62170"/>
    <w:rsid w:val="00E622E3"/>
    <w:rsid w:val="00E627F9"/>
    <w:rsid w:val="00E62F8A"/>
    <w:rsid w:val="00E63582"/>
    <w:rsid w:val="00E6658B"/>
    <w:rsid w:val="00E66E75"/>
    <w:rsid w:val="00E710EB"/>
    <w:rsid w:val="00E716AE"/>
    <w:rsid w:val="00E73E6B"/>
    <w:rsid w:val="00E758E0"/>
    <w:rsid w:val="00E77287"/>
    <w:rsid w:val="00E77FCF"/>
    <w:rsid w:val="00E8033F"/>
    <w:rsid w:val="00E82193"/>
    <w:rsid w:val="00E83291"/>
    <w:rsid w:val="00E83AA4"/>
    <w:rsid w:val="00E83E32"/>
    <w:rsid w:val="00E84D98"/>
    <w:rsid w:val="00E86338"/>
    <w:rsid w:val="00E87A5A"/>
    <w:rsid w:val="00E950C4"/>
    <w:rsid w:val="00EA4157"/>
    <w:rsid w:val="00EA62C3"/>
    <w:rsid w:val="00EA7061"/>
    <w:rsid w:val="00EA73B9"/>
    <w:rsid w:val="00EA7A30"/>
    <w:rsid w:val="00EB0250"/>
    <w:rsid w:val="00EB0597"/>
    <w:rsid w:val="00EB19EF"/>
    <w:rsid w:val="00EB226D"/>
    <w:rsid w:val="00EB426D"/>
    <w:rsid w:val="00EB471D"/>
    <w:rsid w:val="00EB5AD3"/>
    <w:rsid w:val="00EB62DE"/>
    <w:rsid w:val="00EB712D"/>
    <w:rsid w:val="00EB7E3F"/>
    <w:rsid w:val="00EC0D1A"/>
    <w:rsid w:val="00EC1014"/>
    <w:rsid w:val="00EC104B"/>
    <w:rsid w:val="00EC14B9"/>
    <w:rsid w:val="00EC2843"/>
    <w:rsid w:val="00EC3082"/>
    <w:rsid w:val="00EC35E5"/>
    <w:rsid w:val="00EC3EAD"/>
    <w:rsid w:val="00EC40E9"/>
    <w:rsid w:val="00EC52F6"/>
    <w:rsid w:val="00EC56D9"/>
    <w:rsid w:val="00EC57BE"/>
    <w:rsid w:val="00ED3041"/>
    <w:rsid w:val="00ED32E8"/>
    <w:rsid w:val="00ED3849"/>
    <w:rsid w:val="00ED4438"/>
    <w:rsid w:val="00ED768F"/>
    <w:rsid w:val="00ED7FE4"/>
    <w:rsid w:val="00EE1AD9"/>
    <w:rsid w:val="00EE42F7"/>
    <w:rsid w:val="00EE6BFD"/>
    <w:rsid w:val="00EE7161"/>
    <w:rsid w:val="00EF08EB"/>
    <w:rsid w:val="00EF3FCD"/>
    <w:rsid w:val="00EF455E"/>
    <w:rsid w:val="00EF694C"/>
    <w:rsid w:val="00EF79E3"/>
    <w:rsid w:val="00F01000"/>
    <w:rsid w:val="00F02E1E"/>
    <w:rsid w:val="00F03B99"/>
    <w:rsid w:val="00F040C1"/>
    <w:rsid w:val="00F0529E"/>
    <w:rsid w:val="00F05313"/>
    <w:rsid w:val="00F11007"/>
    <w:rsid w:val="00F126B6"/>
    <w:rsid w:val="00F12722"/>
    <w:rsid w:val="00F128D4"/>
    <w:rsid w:val="00F13137"/>
    <w:rsid w:val="00F1388C"/>
    <w:rsid w:val="00F13BF4"/>
    <w:rsid w:val="00F13D0E"/>
    <w:rsid w:val="00F1604B"/>
    <w:rsid w:val="00F171D0"/>
    <w:rsid w:val="00F17C95"/>
    <w:rsid w:val="00F21497"/>
    <w:rsid w:val="00F21AA1"/>
    <w:rsid w:val="00F220F3"/>
    <w:rsid w:val="00F22FCB"/>
    <w:rsid w:val="00F22FFB"/>
    <w:rsid w:val="00F24203"/>
    <w:rsid w:val="00F245DB"/>
    <w:rsid w:val="00F24717"/>
    <w:rsid w:val="00F24A69"/>
    <w:rsid w:val="00F24CB7"/>
    <w:rsid w:val="00F258FB"/>
    <w:rsid w:val="00F25CE2"/>
    <w:rsid w:val="00F27BF7"/>
    <w:rsid w:val="00F321D2"/>
    <w:rsid w:val="00F322E6"/>
    <w:rsid w:val="00F327BF"/>
    <w:rsid w:val="00F33F41"/>
    <w:rsid w:val="00F34434"/>
    <w:rsid w:val="00F35441"/>
    <w:rsid w:val="00F40789"/>
    <w:rsid w:val="00F40FED"/>
    <w:rsid w:val="00F41A06"/>
    <w:rsid w:val="00F420C2"/>
    <w:rsid w:val="00F434A5"/>
    <w:rsid w:val="00F43AD8"/>
    <w:rsid w:val="00F44951"/>
    <w:rsid w:val="00F44F74"/>
    <w:rsid w:val="00F46D9E"/>
    <w:rsid w:val="00F46E2B"/>
    <w:rsid w:val="00F5015C"/>
    <w:rsid w:val="00F51798"/>
    <w:rsid w:val="00F525DB"/>
    <w:rsid w:val="00F52FEF"/>
    <w:rsid w:val="00F532E9"/>
    <w:rsid w:val="00F533EE"/>
    <w:rsid w:val="00F5440F"/>
    <w:rsid w:val="00F553BC"/>
    <w:rsid w:val="00F554E4"/>
    <w:rsid w:val="00F558A5"/>
    <w:rsid w:val="00F559DB"/>
    <w:rsid w:val="00F56630"/>
    <w:rsid w:val="00F56D8A"/>
    <w:rsid w:val="00F57EA1"/>
    <w:rsid w:val="00F60389"/>
    <w:rsid w:val="00F61612"/>
    <w:rsid w:val="00F62426"/>
    <w:rsid w:val="00F6319F"/>
    <w:rsid w:val="00F64A66"/>
    <w:rsid w:val="00F65E70"/>
    <w:rsid w:val="00F6693C"/>
    <w:rsid w:val="00F6706C"/>
    <w:rsid w:val="00F7058B"/>
    <w:rsid w:val="00F72B37"/>
    <w:rsid w:val="00F7311F"/>
    <w:rsid w:val="00F75B83"/>
    <w:rsid w:val="00F75E41"/>
    <w:rsid w:val="00F76D93"/>
    <w:rsid w:val="00F77CAA"/>
    <w:rsid w:val="00F80CE9"/>
    <w:rsid w:val="00F81CD8"/>
    <w:rsid w:val="00F824AC"/>
    <w:rsid w:val="00F836F4"/>
    <w:rsid w:val="00F83766"/>
    <w:rsid w:val="00F84B5C"/>
    <w:rsid w:val="00F85120"/>
    <w:rsid w:val="00F85C7F"/>
    <w:rsid w:val="00F86D68"/>
    <w:rsid w:val="00F87C20"/>
    <w:rsid w:val="00F90DA7"/>
    <w:rsid w:val="00F9353A"/>
    <w:rsid w:val="00F94534"/>
    <w:rsid w:val="00F96572"/>
    <w:rsid w:val="00F967A9"/>
    <w:rsid w:val="00F96B0E"/>
    <w:rsid w:val="00FA1445"/>
    <w:rsid w:val="00FA18C9"/>
    <w:rsid w:val="00FA1EBD"/>
    <w:rsid w:val="00FA214B"/>
    <w:rsid w:val="00FA4A26"/>
    <w:rsid w:val="00FA594A"/>
    <w:rsid w:val="00FA6032"/>
    <w:rsid w:val="00FA6BE8"/>
    <w:rsid w:val="00FA7CF9"/>
    <w:rsid w:val="00FB0823"/>
    <w:rsid w:val="00FB0B44"/>
    <w:rsid w:val="00FB2F4A"/>
    <w:rsid w:val="00FB2FC5"/>
    <w:rsid w:val="00FB31FB"/>
    <w:rsid w:val="00FB3E0F"/>
    <w:rsid w:val="00FB3E2F"/>
    <w:rsid w:val="00FB5259"/>
    <w:rsid w:val="00FB6C8B"/>
    <w:rsid w:val="00FB6DEE"/>
    <w:rsid w:val="00FB7813"/>
    <w:rsid w:val="00FB7A79"/>
    <w:rsid w:val="00FC0BBF"/>
    <w:rsid w:val="00FC12B1"/>
    <w:rsid w:val="00FC22B1"/>
    <w:rsid w:val="00FC2962"/>
    <w:rsid w:val="00FC3B5F"/>
    <w:rsid w:val="00FC5E43"/>
    <w:rsid w:val="00FC7724"/>
    <w:rsid w:val="00FD110E"/>
    <w:rsid w:val="00FD1FFE"/>
    <w:rsid w:val="00FD2674"/>
    <w:rsid w:val="00FD268B"/>
    <w:rsid w:val="00FD28C6"/>
    <w:rsid w:val="00FD2B19"/>
    <w:rsid w:val="00FD3D6C"/>
    <w:rsid w:val="00FD4EAC"/>
    <w:rsid w:val="00FD590D"/>
    <w:rsid w:val="00FD65E9"/>
    <w:rsid w:val="00FD6B42"/>
    <w:rsid w:val="00FE0C2F"/>
    <w:rsid w:val="00FE3216"/>
    <w:rsid w:val="00FE48B3"/>
    <w:rsid w:val="00FE4ACE"/>
    <w:rsid w:val="00FE5C4E"/>
    <w:rsid w:val="00FE5F5A"/>
    <w:rsid w:val="00FE6074"/>
    <w:rsid w:val="00FE6284"/>
    <w:rsid w:val="00FE6547"/>
    <w:rsid w:val="00FE740B"/>
    <w:rsid w:val="00FE7756"/>
    <w:rsid w:val="00FE7BA1"/>
    <w:rsid w:val="00FF0EA2"/>
    <w:rsid w:val="00FF317F"/>
    <w:rsid w:val="00FF35F2"/>
    <w:rsid w:val="00FF3AB1"/>
    <w:rsid w:val="00FF3CBE"/>
    <w:rsid w:val="00FF43A6"/>
    <w:rsid w:val="00FF4E7A"/>
    <w:rsid w:val="00FF4EAA"/>
    <w:rsid w:val="00FF663F"/>
    <w:rsid w:val="00FF7F98"/>
    <w:rsid w:val="0218D188"/>
    <w:rsid w:val="03AA676E"/>
    <w:rsid w:val="04B626DE"/>
    <w:rsid w:val="0C1748B8"/>
    <w:rsid w:val="0C8DB671"/>
    <w:rsid w:val="0EF9915F"/>
    <w:rsid w:val="19F9E50F"/>
    <w:rsid w:val="1DDA18F2"/>
    <w:rsid w:val="1E4B58B1"/>
    <w:rsid w:val="1EF15363"/>
    <w:rsid w:val="22F83767"/>
    <w:rsid w:val="2C6C27B7"/>
    <w:rsid w:val="2DE4DE98"/>
    <w:rsid w:val="304F4F66"/>
    <w:rsid w:val="374F3611"/>
    <w:rsid w:val="3822DD20"/>
    <w:rsid w:val="3EB467F5"/>
    <w:rsid w:val="41312AD6"/>
    <w:rsid w:val="439D2DDA"/>
    <w:rsid w:val="45CBE54D"/>
    <w:rsid w:val="48499959"/>
    <w:rsid w:val="48EB63D0"/>
    <w:rsid w:val="4964A8BB"/>
    <w:rsid w:val="4E30DC51"/>
    <w:rsid w:val="522B53B1"/>
    <w:rsid w:val="56800356"/>
    <w:rsid w:val="6E63A123"/>
    <w:rsid w:val="6F4EC7DB"/>
    <w:rsid w:val="79A12EBD"/>
    <w:rsid w:val="7CC785D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7FE1A"/>
  <w15:chartTrackingRefBased/>
  <w15:docId w15:val="{A36B4165-AD9D-4B0B-9A46-E9684D8B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basedOn w:val="DefaultParagraphFont"/>
    <w:link w:val="BVIfnrChar"/>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C2354A"/>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nhideWhenUsed/>
    <w:rsid w:val="002B559C"/>
    <w:pPr>
      <w:tabs>
        <w:tab w:val="center" w:pos="4680"/>
        <w:tab w:val="right" w:pos="9360"/>
      </w:tabs>
    </w:pPr>
  </w:style>
  <w:style w:type="character" w:customStyle="1" w:styleId="FooterChar">
    <w:name w:val="Footer Char"/>
    <w:basedOn w:val="DefaultParagraphFont"/>
    <w:link w:val="Footer"/>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4"/>
      </w:num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5"/>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semiHidden/>
    <w:unhideWhenUsed/>
    <w:rsid w:val="00CF70AB"/>
    <w:rPr>
      <w:sz w:val="16"/>
      <w:szCs w:val="16"/>
    </w:rPr>
  </w:style>
  <w:style w:type="paragraph" w:styleId="CommentText">
    <w:name w:val="annotation text"/>
    <w:basedOn w:val="Normal"/>
    <w:link w:val="CommentTextChar"/>
    <w:unhideWhenUsed/>
    <w:rsid w:val="00CF70AB"/>
    <w:rPr>
      <w:sz w:val="20"/>
      <w:szCs w:val="20"/>
    </w:rPr>
  </w:style>
  <w:style w:type="character" w:customStyle="1" w:styleId="CommentTextChar">
    <w:name w:val="Comment Text Char"/>
    <w:basedOn w:val="DefaultParagraphFont"/>
    <w:link w:val="CommentTex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rsid w:val="0031031A"/>
    <w:rPr>
      <w:color w:val="0000FF"/>
      <w:u w:val="singl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31031A"/>
    <w:pPr>
      <w:spacing w:after="160" w:line="240" w:lineRule="exact"/>
      <w:jc w:val="left"/>
    </w:pPr>
    <w:rPr>
      <w:rFonts w:asciiTheme="minorHAnsi" w:eastAsiaTheme="minorHAnsi" w:hAnsiTheme="minorHAnsi" w:cstheme="minorBidi"/>
      <w:kern w:val="2"/>
      <w:szCs w:val="22"/>
      <w:vertAlign w:val="superscript"/>
      <w:lang w:val="en-CA"/>
      <w14:ligatures w14:val="standardContextual"/>
    </w:rPr>
  </w:style>
  <w:style w:type="paragraph" w:customStyle="1" w:styleId="Para1">
    <w:name w:val="Para1"/>
    <w:basedOn w:val="Normal"/>
    <w:link w:val="Para1Char"/>
    <w:rsid w:val="008406B7"/>
    <w:pPr>
      <w:numPr>
        <w:numId w:val="7"/>
      </w:numPr>
      <w:spacing w:before="120" w:after="120"/>
      <w:jc w:val="left"/>
    </w:pPr>
    <w:rPr>
      <w:snapToGrid w:val="0"/>
      <w:sz w:val="24"/>
      <w:szCs w:val="18"/>
      <w:lang w:val="en-CA" w:eastAsia="ja-JP"/>
    </w:rPr>
  </w:style>
  <w:style w:type="paragraph" w:customStyle="1" w:styleId="Para3">
    <w:name w:val="Para3"/>
    <w:basedOn w:val="Normal"/>
    <w:rsid w:val="008406B7"/>
    <w:pPr>
      <w:numPr>
        <w:ilvl w:val="2"/>
        <w:numId w:val="7"/>
      </w:numPr>
      <w:tabs>
        <w:tab w:val="left" w:pos="1980"/>
      </w:tabs>
      <w:spacing w:before="80" w:after="80"/>
      <w:jc w:val="left"/>
    </w:pPr>
    <w:rPr>
      <w:sz w:val="24"/>
      <w:szCs w:val="20"/>
      <w:lang w:val="en-CA" w:eastAsia="ja-JP"/>
    </w:rPr>
  </w:style>
  <w:style w:type="character" w:customStyle="1" w:styleId="Para1Char">
    <w:name w:val="Para1 Char"/>
    <w:link w:val="Para1"/>
    <w:rsid w:val="008406B7"/>
    <w:rPr>
      <w:rFonts w:ascii="Times New Roman" w:eastAsia="Times New Roman" w:hAnsi="Times New Roman" w:cs="Times New Roman"/>
      <w:snapToGrid w:val="0"/>
      <w:kern w:val="0"/>
      <w:sz w:val="24"/>
      <w:szCs w:val="18"/>
      <w:lang w:eastAsia="ja-JP"/>
      <w14:ligatures w14:val="none"/>
    </w:rPr>
  </w:style>
  <w:style w:type="paragraph" w:styleId="ListParagraph">
    <w:name w:val="List Paragraph"/>
    <w:basedOn w:val="Normal"/>
    <w:uiPriority w:val="34"/>
    <w:qFormat/>
    <w:rsid w:val="002B50FE"/>
    <w:pPr>
      <w:ind w:left="720"/>
      <w:contextualSpacing/>
      <w:jc w:val="left"/>
    </w:pPr>
    <w:rPr>
      <w:sz w:val="24"/>
      <w:lang w:val="en-CA" w:eastAsia="ja-JP"/>
    </w:rPr>
  </w:style>
  <w:style w:type="paragraph" w:styleId="Revision">
    <w:name w:val="Revision"/>
    <w:hidden/>
    <w:uiPriority w:val="99"/>
    <w:semiHidden/>
    <w:rsid w:val="0006086F"/>
    <w:pPr>
      <w:spacing w:after="0" w:line="240" w:lineRule="auto"/>
    </w:pPr>
    <w:rPr>
      <w:rFonts w:ascii="Times New Roman" w:eastAsia="Times New Roman" w:hAnsi="Times New Roman" w:cs="Times New Roman"/>
      <w:kern w:val="0"/>
      <w:szCs w:val="24"/>
      <w:lang w:val="en-GB"/>
      <w14:ligatures w14:val="none"/>
    </w:rPr>
  </w:style>
  <w:style w:type="character" w:customStyle="1" w:styleId="cf01">
    <w:name w:val="cf01"/>
    <w:basedOn w:val="DefaultParagraphFont"/>
    <w:rsid w:val="00A60319"/>
    <w:rPr>
      <w:rFonts w:ascii="Segoe UI" w:hAnsi="Segoe UI" w:cs="Segoe UI" w:hint="default"/>
      <w:sz w:val="18"/>
      <w:szCs w:val="18"/>
      <w:u w:val="single"/>
    </w:rPr>
  </w:style>
  <w:style w:type="character" w:styleId="PageNumber">
    <w:name w:val="page number"/>
    <w:rsid w:val="00D609C2"/>
    <w:rPr>
      <w:rFonts w:ascii="Times New Roman" w:hAnsi="Times New Roman"/>
      <w:sz w:val="22"/>
    </w:rPr>
  </w:style>
  <w:style w:type="character" w:styleId="UnresolvedMention">
    <w:name w:val="Unresolved Mention"/>
    <w:basedOn w:val="DefaultParagraphFont"/>
    <w:uiPriority w:val="99"/>
    <w:semiHidden/>
    <w:unhideWhenUsed/>
    <w:rsid w:val="00624185"/>
    <w:rPr>
      <w:color w:val="605E5C"/>
      <w:shd w:val="clear" w:color="auto" w:fill="E1DFDD"/>
    </w:rPr>
  </w:style>
  <w:style w:type="character" w:styleId="FollowedHyperlink">
    <w:name w:val="FollowedHyperlink"/>
    <w:basedOn w:val="DefaultParagraphFont"/>
    <w:uiPriority w:val="99"/>
    <w:semiHidden/>
    <w:unhideWhenUsed/>
    <w:rsid w:val="00624185"/>
    <w:rPr>
      <w:color w:val="954F72" w:themeColor="followedHyperlink"/>
      <w:u w:val="single"/>
    </w:rPr>
  </w:style>
  <w:style w:type="paragraph" w:customStyle="1" w:styleId="Decision">
    <w:name w:val="Decision"/>
    <w:basedOn w:val="Heading2"/>
    <w:link w:val="DecisionChar"/>
    <w:rsid w:val="00996F73"/>
    <w:pPr>
      <w:keepLines w:val="0"/>
      <w:tabs>
        <w:tab w:val="left" w:pos="720"/>
      </w:tabs>
      <w:ind w:left="0" w:firstLine="0"/>
      <w:jc w:val="center"/>
    </w:pPr>
    <w:rPr>
      <w:rFonts w:eastAsia="Times New Roman" w:cs="Times New Roman"/>
      <w:bCs/>
      <w:i/>
      <w:iCs/>
      <w:sz w:val="22"/>
      <w:szCs w:val="24"/>
    </w:rPr>
  </w:style>
  <w:style w:type="character" w:customStyle="1" w:styleId="DecisionChar">
    <w:name w:val="Decision Char"/>
    <w:link w:val="Decision"/>
    <w:rsid w:val="00996F73"/>
    <w:rPr>
      <w:rFonts w:ascii="Times New Roman" w:eastAsia="Times New Roman" w:hAnsi="Times New Roman" w:cs="Times New Roman"/>
      <w:b/>
      <w:bCs/>
      <w:i/>
      <w:iCs/>
      <w:kern w:val="0"/>
      <w:szCs w:val="24"/>
      <w:lang w:val="en-GB"/>
      <w14:ligatures w14:val="none"/>
    </w:rPr>
  </w:style>
  <w:style w:type="character" w:styleId="Mention">
    <w:name w:val="Mention"/>
    <w:basedOn w:val="DefaultParagraphFont"/>
    <w:uiPriority w:val="99"/>
    <w:unhideWhenUsed/>
    <w:rsid w:val="0086703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91604">
      <w:bodyDiv w:val="1"/>
      <w:marLeft w:val="0"/>
      <w:marRight w:val="0"/>
      <w:marTop w:val="0"/>
      <w:marBottom w:val="0"/>
      <w:divBdr>
        <w:top w:val="none" w:sz="0" w:space="0" w:color="auto"/>
        <w:left w:val="none" w:sz="0" w:space="0" w:color="auto"/>
        <w:bottom w:val="none" w:sz="0" w:space="0" w:color="auto"/>
        <w:right w:val="none" w:sz="0" w:space="0" w:color="auto"/>
      </w:divBdr>
    </w:div>
    <w:div w:id="1454053140">
      <w:bodyDiv w:val="1"/>
      <w:marLeft w:val="0"/>
      <w:marRight w:val="0"/>
      <w:marTop w:val="0"/>
      <w:marBottom w:val="0"/>
      <w:divBdr>
        <w:top w:val="none" w:sz="0" w:space="0" w:color="auto"/>
        <w:left w:val="none" w:sz="0" w:space="0" w:color="auto"/>
        <w:bottom w:val="none" w:sz="0" w:space="0" w:color="auto"/>
        <w:right w:val="none" w:sz="0" w:space="0" w:color="auto"/>
      </w:divBdr>
    </w:div>
    <w:div w:id="1637105936">
      <w:bodyDiv w:val="1"/>
      <w:marLeft w:val="0"/>
      <w:marRight w:val="0"/>
      <w:marTop w:val="0"/>
      <w:marBottom w:val="0"/>
      <w:divBdr>
        <w:top w:val="none" w:sz="0" w:space="0" w:color="auto"/>
        <w:left w:val="none" w:sz="0" w:space="0" w:color="auto"/>
        <w:bottom w:val="none" w:sz="0" w:space="0" w:color="auto"/>
        <w:right w:val="none" w:sz="0" w:space="0" w:color="auto"/>
      </w:divBdr>
    </w:div>
    <w:div w:id="1933203305">
      <w:bodyDiv w:val="1"/>
      <w:marLeft w:val="0"/>
      <w:marRight w:val="0"/>
      <w:marTop w:val="0"/>
      <w:marBottom w:val="0"/>
      <w:divBdr>
        <w:top w:val="none" w:sz="0" w:space="0" w:color="auto"/>
        <w:left w:val="none" w:sz="0" w:space="0" w:color="auto"/>
        <w:bottom w:val="none" w:sz="0" w:space="0" w:color="auto"/>
        <w:right w:val="none" w:sz="0" w:space="0" w:color="auto"/>
      </w:divBdr>
    </w:div>
    <w:div w:id="20795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c/1c53/e130/e9d623fd7d64077391388c9a/cp-mop-10-01-add5-en.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doc/decisions/cop-15/cop-15-dec-04-en.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ecision/mop/?id=12314"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decisions/cp-mop-10/cp-mop-10-dec-09-en.pdf" TargetMode="External"/><Relationship Id="rId20" Type="http://schemas.openxmlformats.org/officeDocument/2006/relationships/hyperlink" Target="https://www.cbd.int/doc/decisions/cp-mop-10/cp-mop-10-dec-03-en.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bd.int/decision/cop/?id=7080"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oc/decisions/cop-15/cop-15-dec-15-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mop/?id=8284" TargetMode="External"/><Relationship Id="rId22" Type="http://schemas.openxmlformats.org/officeDocument/2006/relationships/hyperlink" Target="https://www.cbd.int/doc/decisions/cop-15/cop-15-dec-08-en.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1c53/e130/e9d623fd7d64077391388c9a/cp-mop-10-01-add5-en.pdf" TargetMode="External"/><Relationship Id="rId2" Type="http://schemas.openxmlformats.org/officeDocument/2006/relationships/hyperlink" Target="https://www.cbd.int/doc/c/9b5a/d807/73139b653aaac756881600de/cp-mop-10-04-en.pdf" TargetMode="External"/><Relationship Id="rId1" Type="http://schemas.openxmlformats.org/officeDocument/2006/relationships/hyperlink" Target="https://www.cbd.int/doc/c/8106/304b/b8898db3b0280732cf4ab444/cp-mop-10-02-en.pdf" TargetMode="External"/><Relationship Id="rId5" Type="http://schemas.openxmlformats.org/officeDocument/2006/relationships/hyperlink" Target="https://www.cbd.int/doc/notifications/2020/ntf-2020-075-bs-en.pdf" TargetMode="External"/><Relationship Id="rId4" Type="http://schemas.openxmlformats.org/officeDocument/2006/relationships/hyperlink" Target="https://www.cbd.int/doc/decisions/cop-15/cop-15-dec-15-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template-general%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CC1EF6EA74C1FA69465BB67D46B85"/>
        <w:category>
          <w:name w:val="General"/>
          <w:gallery w:val="placeholder"/>
        </w:category>
        <w:types>
          <w:type w:val="bbPlcHdr"/>
        </w:types>
        <w:behaviors>
          <w:behavior w:val="content"/>
        </w:behaviors>
        <w:guid w:val="{EC330558-AAC6-437E-BB84-B79DA46E542C}"/>
      </w:docPartPr>
      <w:docPartBody>
        <w:p w:rsidR="00893BCE" w:rsidRDefault="00074BA4" w:rsidP="00074BA4">
          <w:pPr>
            <w:pStyle w:val="79CCC1EF6EA74C1FA69465BB67D46B85"/>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A4"/>
    <w:rsid w:val="00074BA4"/>
    <w:rsid w:val="001826E1"/>
    <w:rsid w:val="00195BB2"/>
    <w:rsid w:val="00240FDE"/>
    <w:rsid w:val="00345937"/>
    <w:rsid w:val="0039193F"/>
    <w:rsid w:val="005C6E4F"/>
    <w:rsid w:val="00676DD9"/>
    <w:rsid w:val="0083354C"/>
    <w:rsid w:val="00844718"/>
    <w:rsid w:val="00893BCE"/>
    <w:rsid w:val="00920BFF"/>
    <w:rsid w:val="00922850"/>
    <w:rsid w:val="00A270AD"/>
    <w:rsid w:val="00C2724C"/>
    <w:rsid w:val="00C850B1"/>
    <w:rsid w:val="00D82C50"/>
    <w:rsid w:val="00DF6C82"/>
    <w:rsid w:val="00E167A4"/>
    <w:rsid w:val="00E776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BA4"/>
    <w:rPr>
      <w:color w:val="808080"/>
    </w:rPr>
  </w:style>
  <w:style w:type="paragraph" w:customStyle="1" w:styleId="79CCC1EF6EA74C1FA69465BB67D46B85">
    <w:name w:val="79CCC1EF6EA74C1FA69465BB67D46B85"/>
    <w:rsid w:val="00074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2.xml><?xml version="1.0" encoding="utf-8"?>
<ds:datastoreItem xmlns:ds="http://schemas.openxmlformats.org/officeDocument/2006/customXml" ds:itemID="{3C9185FB-4D4E-4FC2-8814-761E17E385A0}">
  <ds:schemaRefs>
    <ds:schemaRef ds:uri="http://schemas.microsoft.com/office/2006/metadata/properties"/>
    <ds:schemaRef ds:uri="http://schemas.microsoft.com/office/infopath/2007/PartnerControls"/>
    <ds:schemaRef ds:uri="985ec44e-1bab-4c0b-9df0-6ba128686fc9"/>
    <ds:schemaRef ds:uri="2b17de70-292b-4cdd-ad12-91d4f3f90ca7"/>
    <ds:schemaRef ds:uri="358298e0-1b7e-4ebe-8695-94439b74f0d1"/>
  </ds:schemaRefs>
</ds:datastoreItem>
</file>

<file path=customXml/itemProps3.xml><?xml version="1.0" encoding="utf-8"?>
<ds:datastoreItem xmlns:ds="http://schemas.openxmlformats.org/officeDocument/2006/customXml" ds:itemID="{8D470AC4-3943-401B-A81A-43D9113A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template-general (2).dotm</Template>
  <TotalTime>11</TotalTime>
  <Pages>16</Pages>
  <Words>6256</Words>
  <Characters>35180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O</vt:lpstr>
    </vt:vector>
  </TitlesOfParts>
  <Company/>
  <LinksUpToDate>false</LinksUpToDate>
  <CharactersWithSpaces>41354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of the tenth meeting of the Conference of the Parties serving as the meeting of the Parties to the Cartagena Protocol on Biosafety regarding items relevant to compliance</dc:title>
  <dc:subject>CBD/CP/CC/18/2</dc:subject>
  <dc:creator>scbd</dc:creator>
  <cp:keywords/>
  <dc:description/>
  <cp:lastModifiedBy>Veronique Lefebvre</cp:lastModifiedBy>
  <cp:revision>12</cp:revision>
  <dcterms:created xsi:type="dcterms:W3CDTF">2023-09-15T19:51:00Z</dcterms:created>
  <dcterms:modified xsi:type="dcterms:W3CDTF">2023-09-15T20:02:00Z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