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E600F" w14:paraId="211C3E9A" w14:textId="77777777" w:rsidTr="00CF1848">
        <w:trPr>
          <w:trHeight w:val="709"/>
        </w:trPr>
        <w:tc>
          <w:tcPr>
            <w:tcW w:w="976" w:type="dxa"/>
            <w:tcBorders>
              <w:bottom w:val="single" w:sz="12" w:space="0" w:color="auto"/>
            </w:tcBorders>
          </w:tcPr>
          <w:p w14:paraId="71CFBF29" w14:textId="77777777" w:rsidR="00C9161D" w:rsidRPr="008E600F" w:rsidRDefault="00C9161D" w:rsidP="001C6487">
            <w:pPr>
              <w:suppressLineNumbers/>
              <w:suppressAutoHyphens/>
              <w:kinsoku w:val="0"/>
              <w:overflowPunct w:val="0"/>
              <w:autoSpaceDE w:val="0"/>
              <w:autoSpaceDN w:val="0"/>
              <w:adjustRightInd w:val="0"/>
              <w:snapToGrid w:val="0"/>
              <w:rPr>
                <w:kern w:val="22"/>
              </w:rPr>
            </w:pPr>
            <w:r w:rsidRPr="008E600F">
              <w:rPr>
                <w:noProof/>
                <w:kern w:val="22"/>
                <w:lang w:val="es-ES" w:eastAsia="es-ES"/>
              </w:rPr>
              <w:drawing>
                <wp:inline distT="0" distB="0" distL="0" distR="0" wp14:anchorId="349E830F" wp14:editId="40169D6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9E5719F" w14:textId="6F8364A4" w:rsidR="00C9161D" w:rsidRPr="008E600F" w:rsidRDefault="006D5448" w:rsidP="001C6487">
            <w:pPr>
              <w:suppressLineNumbers/>
              <w:suppressAutoHyphens/>
              <w:kinsoku w:val="0"/>
              <w:overflowPunct w:val="0"/>
              <w:autoSpaceDE w:val="0"/>
              <w:autoSpaceDN w:val="0"/>
              <w:adjustRightInd w:val="0"/>
              <w:snapToGrid w:val="0"/>
              <w:rPr>
                <w:kern w:val="22"/>
              </w:rPr>
            </w:pPr>
            <w:r w:rsidRPr="00B518E4">
              <w:rPr>
                <w:noProof/>
                <w:lang w:val="es-ES" w:eastAsia="es-ES"/>
              </w:rPr>
              <w:drawing>
                <wp:inline distT="0" distB="0" distL="0" distR="0" wp14:anchorId="1EB8D101" wp14:editId="3336DCB8">
                  <wp:extent cx="866775" cy="371475"/>
                  <wp:effectExtent l="0" t="0" r="9525" b="9525"/>
                  <wp:docPr id="23"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90" w:type="dxa"/>
            <w:tcBorders>
              <w:bottom w:val="single" w:sz="12" w:space="0" w:color="auto"/>
            </w:tcBorders>
          </w:tcPr>
          <w:p w14:paraId="0244B68F" w14:textId="77777777" w:rsidR="00C9161D" w:rsidRPr="008E600F" w:rsidRDefault="00C9161D" w:rsidP="001C6487">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8E600F">
              <w:rPr>
                <w:rFonts w:ascii="Arial" w:hAnsi="Arial" w:cs="Arial"/>
                <w:b/>
                <w:kern w:val="22"/>
                <w:sz w:val="32"/>
                <w:szCs w:val="32"/>
              </w:rPr>
              <w:t>CBD</w:t>
            </w:r>
          </w:p>
        </w:tc>
      </w:tr>
      <w:tr w:rsidR="00C9161D" w:rsidRPr="008E600F" w14:paraId="5D588668" w14:textId="77777777" w:rsidTr="00CF1848">
        <w:tc>
          <w:tcPr>
            <w:tcW w:w="6117" w:type="dxa"/>
            <w:gridSpan w:val="2"/>
            <w:tcBorders>
              <w:top w:val="single" w:sz="12" w:space="0" w:color="auto"/>
              <w:bottom w:val="single" w:sz="36" w:space="0" w:color="auto"/>
            </w:tcBorders>
            <w:vAlign w:val="center"/>
          </w:tcPr>
          <w:p w14:paraId="539A6BB2" w14:textId="084C350F" w:rsidR="00C9161D" w:rsidRPr="008E600F" w:rsidRDefault="00CA2EF4" w:rsidP="001C6487">
            <w:pPr>
              <w:suppressLineNumbers/>
              <w:suppressAutoHyphens/>
              <w:kinsoku w:val="0"/>
              <w:overflowPunct w:val="0"/>
              <w:autoSpaceDE w:val="0"/>
              <w:autoSpaceDN w:val="0"/>
              <w:adjustRightInd w:val="0"/>
              <w:snapToGrid w:val="0"/>
              <w:rPr>
                <w:kern w:val="22"/>
              </w:rPr>
            </w:pPr>
            <w:r>
              <w:rPr>
                <w:noProof/>
                <w:lang w:val="es-ES" w:eastAsia="es-ES"/>
              </w:rPr>
              <w:drawing>
                <wp:inline distT="0" distB="0" distL="0" distR="0" wp14:anchorId="6E9C344C" wp14:editId="798F3C1F">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66225CA9" w14:textId="77777777" w:rsidR="00C9161D" w:rsidRPr="00C47151" w:rsidRDefault="00C9161D" w:rsidP="001C6487">
            <w:pPr>
              <w:suppressLineNumbers/>
              <w:suppressAutoHyphens/>
              <w:kinsoku w:val="0"/>
              <w:overflowPunct w:val="0"/>
              <w:autoSpaceDE w:val="0"/>
              <w:autoSpaceDN w:val="0"/>
              <w:adjustRightInd w:val="0"/>
              <w:snapToGrid w:val="0"/>
              <w:ind w:left="1215"/>
              <w:rPr>
                <w:kern w:val="22"/>
                <w:szCs w:val="22"/>
                <w:lang w:val="en-US"/>
              </w:rPr>
            </w:pPr>
            <w:r w:rsidRPr="00C47151">
              <w:rPr>
                <w:kern w:val="22"/>
                <w:szCs w:val="22"/>
                <w:lang w:val="en-US"/>
              </w:rPr>
              <w:t>Distr.</w:t>
            </w:r>
          </w:p>
          <w:p w14:paraId="4F49A6CC" w14:textId="11E54E80" w:rsidR="00C9161D" w:rsidRPr="00C47151" w:rsidRDefault="00885EE2" w:rsidP="001C6487">
            <w:pPr>
              <w:suppressLineNumbers/>
              <w:suppressAutoHyphens/>
              <w:kinsoku w:val="0"/>
              <w:overflowPunct w:val="0"/>
              <w:autoSpaceDE w:val="0"/>
              <w:autoSpaceDN w:val="0"/>
              <w:adjustRightInd w:val="0"/>
              <w:snapToGrid w:val="0"/>
              <w:ind w:left="1215"/>
              <w:rPr>
                <w:kern w:val="22"/>
                <w:szCs w:val="22"/>
                <w:lang w:val="en-US"/>
              </w:rPr>
            </w:pPr>
            <w:sdt>
              <w:sdtPr>
                <w:rPr>
                  <w:caps/>
                  <w:kern w:val="22"/>
                  <w:szCs w:val="22"/>
                  <w:lang w:val="en-US"/>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4A3A4C">
                  <w:rPr>
                    <w:caps/>
                    <w:kern w:val="22"/>
                    <w:szCs w:val="22"/>
                    <w:lang w:val="en-US"/>
                  </w:rPr>
                  <w:t>GENERAL</w:t>
                </w:r>
              </w:sdtContent>
            </w:sdt>
          </w:p>
          <w:p w14:paraId="5790AD0F" w14:textId="77777777" w:rsidR="00C9161D" w:rsidRPr="00C47151" w:rsidRDefault="00C9161D" w:rsidP="001C6487">
            <w:pPr>
              <w:suppressLineNumbers/>
              <w:suppressAutoHyphens/>
              <w:kinsoku w:val="0"/>
              <w:overflowPunct w:val="0"/>
              <w:autoSpaceDE w:val="0"/>
              <w:autoSpaceDN w:val="0"/>
              <w:adjustRightInd w:val="0"/>
              <w:snapToGrid w:val="0"/>
              <w:ind w:left="1215"/>
              <w:rPr>
                <w:kern w:val="22"/>
                <w:szCs w:val="22"/>
                <w:lang w:val="en-US"/>
              </w:rPr>
            </w:pPr>
          </w:p>
          <w:p w14:paraId="644C0731" w14:textId="5ED65EEF" w:rsidR="00C9161D" w:rsidRPr="00C47151" w:rsidRDefault="00885EE2" w:rsidP="001C6487">
            <w:pPr>
              <w:suppressLineNumbers/>
              <w:suppressAutoHyphens/>
              <w:kinsoku w:val="0"/>
              <w:overflowPunct w:val="0"/>
              <w:autoSpaceDE w:val="0"/>
              <w:autoSpaceDN w:val="0"/>
              <w:adjustRightInd w:val="0"/>
              <w:snapToGrid w:val="0"/>
              <w:ind w:left="1215"/>
              <w:rPr>
                <w:kern w:val="22"/>
                <w:szCs w:val="22"/>
                <w:lang w:val="en-US"/>
              </w:rPr>
            </w:pPr>
            <w:sdt>
              <w:sdtPr>
                <w:rPr>
                  <w:kern w:val="22"/>
                  <w:lang w:val="en-U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4A3A4C">
                  <w:rPr>
                    <w:kern w:val="22"/>
                    <w:lang w:val="en-US"/>
                  </w:rPr>
                  <w:t>CBD/SBI/3/14</w:t>
                </w:r>
              </w:sdtContent>
            </w:sdt>
          </w:p>
          <w:p w14:paraId="58F73715" w14:textId="2ACAB0A9" w:rsidR="005E046F" w:rsidRPr="00C47151" w:rsidRDefault="005978EF" w:rsidP="001C6487">
            <w:pPr>
              <w:suppressLineNumbers/>
              <w:suppressAutoHyphens/>
              <w:kinsoku w:val="0"/>
              <w:overflowPunct w:val="0"/>
              <w:autoSpaceDE w:val="0"/>
              <w:autoSpaceDN w:val="0"/>
              <w:adjustRightInd w:val="0"/>
              <w:snapToGrid w:val="0"/>
              <w:ind w:left="1215"/>
              <w:rPr>
                <w:kern w:val="22"/>
                <w:szCs w:val="22"/>
                <w:lang w:val="en-US"/>
              </w:rPr>
            </w:pPr>
            <w:r w:rsidRPr="00C47151">
              <w:rPr>
                <w:kern w:val="22"/>
                <w:szCs w:val="22"/>
                <w:lang w:val="en-US"/>
              </w:rPr>
              <w:t>13 July</w:t>
            </w:r>
            <w:r w:rsidR="005E046F" w:rsidRPr="00C47151">
              <w:rPr>
                <w:kern w:val="22"/>
                <w:szCs w:val="22"/>
                <w:lang w:val="en-US"/>
              </w:rPr>
              <w:t xml:space="preserve"> 2020</w:t>
            </w:r>
          </w:p>
          <w:p w14:paraId="367D9F44" w14:textId="77777777" w:rsidR="005E046F" w:rsidRPr="00C47151" w:rsidRDefault="005E046F" w:rsidP="001C6487">
            <w:pPr>
              <w:suppressLineNumbers/>
              <w:suppressAutoHyphens/>
              <w:kinsoku w:val="0"/>
              <w:overflowPunct w:val="0"/>
              <w:autoSpaceDE w:val="0"/>
              <w:autoSpaceDN w:val="0"/>
              <w:adjustRightInd w:val="0"/>
              <w:snapToGrid w:val="0"/>
              <w:ind w:left="1215"/>
              <w:rPr>
                <w:kern w:val="22"/>
                <w:szCs w:val="22"/>
                <w:lang w:val="en-US"/>
              </w:rPr>
            </w:pPr>
          </w:p>
          <w:p w14:paraId="024C8CCC" w14:textId="4DC21C0B" w:rsidR="00CA2EF4" w:rsidRDefault="00CA2EF4" w:rsidP="001C6487">
            <w:pPr>
              <w:suppressLineNumbers/>
              <w:suppressAutoHyphens/>
              <w:kinsoku w:val="0"/>
              <w:overflowPunct w:val="0"/>
              <w:autoSpaceDE w:val="0"/>
              <w:autoSpaceDN w:val="0"/>
              <w:adjustRightInd w:val="0"/>
              <w:snapToGrid w:val="0"/>
              <w:ind w:left="1215"/>
              <w:rPr>
                <w:kern w:val="22"/>
                <w:szCs w:val="22"/>
              </w:rPr>
            </w:pPr>
            <w:r>
              <w:rPr>
                <w:szCs w:val="22"/>
                <w:lang w:val="en-US"/>
              </w:rPr>
              <w:t>RUSSIAN</w:t>
            </w:r>
          </w:p>
          <w:p w14:paraId="641C2F9E" w14:textId="77777777" w:rsidR="00C9161D" w:rsidRPr="008E600F" w:rsidRDefault="006B2290" w:rsidP="001C6487">
            <w:pPr>
              <w:suppressLineNumbers/>
              <w:suppressAutoHyphens/>
              <w:kinsoku w:val="0"/>
              <w:overflowPunct w:val="0"/>
              <w:autoSpaceDE w:val="0"/>
              <w:autoSpaceDN w:val="0"/>
              <w:adjustRightInd w:val="0"/>
              <w:snapToGrid w:val="0"/>
              <w:ind w:left="1215"/>
              <w:rPr>
                <w:kern w:val="22"/>
                <w:szCs w:val="22"/>
              </w:rPr>
            </w:pPr>
            <w:r w:rsidRPr="008E600F">
              <w:rPr>
                <w:kern w:val="22"/>
                <w:szCs w:val="22"/>
              </w:rPr>
              <w:t xml:space="preserve">ORIGINAL: </w:t>
            </w:r>
            <w:r w:rsidR="00C9161D" w:rsidRPr="008E600F">
              <w:rPr>
                <w:kern w:val="22"/>
                <w:szCs w:val="22"/>
              </w:rPr>
              <w:t>ENGLISH</w:t>
            </w:r>
          </w:p>
          <w:p w14:paraId="285B9B10" w14:textId="77777777" w:rsidR="00C9161D" w:rsidRPr="008E600F" w:rsidRDefault="00C9161D" w:rsidP="001C6487">
            <w:pPr>
              <w:suppressLineNumbers/>
              <w:suppressAutoHyphens/>
              <w:kinsoku w:val="0"/>
              <w:overflowPunct w:val="0"/>
              <w:autoSpaceDE w:val="0"/>
              <w:autoSpaceDN w:val="0"/>
              <w:adjustRightInd w:val="0"/>
              <w:snapToGrid w:val="0"/>
              <w:rPr>
                <w:kern w:val="22"/>
              </w:rPr>
            </w:pPr>
          </w:p>
        </w:tc>
      </w:tr>
    </w:tbl>
    <w:p w14:paraId="28293C91" w14:textId="0D8B227E" w:rsidR="00084813" w:rsidRPr="008E600F" w:rsidRDefault="00CA2EF4" w:rsidP="00CA2EF4">
      <w:pPr>
        <w:pStyle w:val="Cornernotation"/>
        <w:suppressLineNumbers/>
        <w:suppressAutoHyphens/>
        <w:kinsoku w:val="0"/>
        <w:overflowPunct w:val="0"/>
        <w:autoSpaceDE w:val="0"/>
        <w:autoSpaceDN w:val="0"/>
        <w:adjustRightInd w:val="0"/>
        <w:snapToGrid w:val="0"/>
        <w:spacing w:before="60"/>
        <w:ind w:left="0" w:right="4785" w:firstLine="0"/>
        <w:rPr>
          <w:kern w:val="22"/>
          <w:szCs w:val="22"/>
        </w:rPr>
      </w:pPr>
      <w:bookmarkStart w:id="0" w:name="Meeting"/>
      <w:r w:rsidRPr="00CA2EF4">
        <w:rPr>
          <w:kern w:val="22"/>
          <w:szCs w:val="22"/>
          <w:lang w:val="ru-RU"/>
        </w:rPr>
        <w:t>ВСПОМОГАТЕЛЬНЫЙ ОРГАН ПО ОСУЩЕСТВЛЕНИЮ</w:t>
      </w:r>
      <w:bookmarkEnd w:id="0"/>
    </w:p>
    <w:p w14:paraId="51055905" w14:textId="14F0868F" w:rsidR="00084813" w:rsidRPr="008E600F" w:rsidRDefault="00CA2EF4" w:rsidP="00CA2EF4">
      <w:pPr>
        <w:suppressLineNumbers/>
        <w:tabs>
          <w:tab w:val="left" w:pos="5954"/>
        </w:tabs>
        <w:suppressAutoHyphens/>
        <w:kinsoku w:val="0"/>
        <w:overflowPunct w:val="0"/>
        <w:autoSpaceDE w:val="0"/>
        <w:autoSpaceDN w:val="0"/>
        <w:adjustRightInd w:val="0"/>
        <w:snapToGrid w:val="0"/>
        <w:ind w:right="3406"/>
        <w:jc w:val="left"/>
        <w:rPr>
          <w:kern w:val="22"/>
          <w:szCs w:val="22"/>
        </w:rPr>
      </w:pPr>
      <w:r w:rsidRPr="00CA2EF4">
        <w:rPr>
          <w:kern w:val="22"/>
          <w:szCs w:val="22"/>
          <w:lang w:val="ru-RU"/>
        </w:rPr>
        <w:t>Третье совещание</w:t>
      </w:r>
    </w:p>
    <w:p w14:paraId="5535068E" w14:textId="2B9AD21F" w:rsidR="00084813" w:rsidRPr="00CA2EF4" w:rsidRDefault="00CA2EF4" w:rsidP="00CA2EF4">
      <w:pPr>
        <w:suppressLineNumbers/>
        <w:suppressAutoHyphens/>
        <w:kinsoku w:val="0"/>
        <w:overflowPunct w:val="0"/>
        <w:autoSpaceDE w:val="0"/>
        <w:autoSpaceDN w:val="0"/>
        <w:adjustRightInd w:val="0"/>
        <w:snapToGrid w:val="0"/>
        <w:ind w:right="2232"/>
        <w:jc w:val="left"/>
        <w:rPr>
          <w:kern w:val="22"/>
          <w:szCs w:val="22"/>
          <w:lang w:val="ru-RU"/>
        </w:rPr>
      </w:pPr>
      <w:r w:rsidRPr="00CA2EF4">
        <w:rPr>
          <w:kern w:val="22"/>
          <w:szCs w:val="22"/>
          <w:lang w:val="ru-RU"/>
        </w:rPr>
        <w:t>Квебек (будет подтверждено позднее), Канада, 9-14 ноября 2020 года</w:t>
      </w:r>
    </w:p>
    <w:p w14:paraId="6E496B72" w14:textId="161446DB" w:rsidR="00084813" w:rsidRPr="00CA2EF4" w:rsidRDefault="00CA2EF4" w:rsidP="00CA2EF4">
      <w:pPr>
        <w:suppressLineNumbers/>
        <w:suppressAutoHyphens/>
        <w:kinsoku w:val="0"/>
        <w:overflowPunct w:val="0"/>
        <w:autoSpaceDE w:val="0"/>
        <w:autoSpaceDN w:val="0"/>
        <w:adjustRightInd w:val="0"/>
        <w:snapToGrid w:val="0"/>
        <w:ind w:right="3124"/>
        <w:jc w:val="left"/>
        <w:rPr>
          <w:kern w:val="22"/>
          <w:szCs w:val="22"/>
          <w:lang w:val="ru-RU"/>
        </w:rPr>
      </w:pPr>
      <w:r>
        <w:rPr>
          <w:kern w:val="22"/>
          <w:szCs w:val="22"/>
          <w:lang w:val="ru-RU"/>
        </w:rPr>
        <w:t>Пункт</w:t>
      </w:r>
      <w:r w:rsidR="00084813" w:rsidRPr="00CA2EF4">
        <w:rPr>
          <w:kern w:val="22"/>
          <w:szCs w:val="22"/>
          <w:lang w:val="ru-RU"/>
        </w:rPr>
        <w:t xml:space="preserve"> </w:t>
      </w:r>
      <w:r w:rsidR="00C47151" w:rsidRPr="00C47151">
        <w:rPr>
          <w:kern w:val="22"/>
          <w:szCs w:val="22"/>
          <w:lang w:val="ru-RU"/>
        </w:rPr>
        <w:t>12</w:t>
      </w:r>
      <w:r w:rsidR="00084813" w:rsidRPr="00CA2EF4">
        <w:rPr>
          <w:kern w:val="22"/>
          <w:szCs w:val="22"/>
          <w:lang w:val="ru-RU"/>
        </w:rPr>
        <w:t xml:space="preserve"> </w:t>
      </w:r>
      <w:r w:rsidRPr="00CA2EF4">
        <w:rPr>
          <w:kern w:val="22"/>
          <w:szCs w:val="22"/>
          <w:lang w:val="ru-RU"/>
        </w:rPr>
        <w:t>предварительной повестки дня</w:t>
      </w:r>
      <w:r w:rsidR="00084813" w:rsidRPr="00CA2EF4">
        <w:rPr>
          <w:rStyle w:val="FootnoteReference"/>
          <w:kern w:val="22"/>
          <w:szCs w:val="22"/>
          <w:vertAlign w:val="baseline"/>
          <w:lang w:val="ru-RU"/>
        </w:rPr>
        <w:footnoteReference w:customMarkFollows="1" w:id="2"/>
        <w:t>*</w:t>
      </w:r>
    </w:p>
    <w:p w14:paraId="11ABE9E8" w14:textId="77777777" w:rsidR="00C9161D" w:rsidRPr="00CA2EF4" w:rsidRDefault="00C9161D" w:rsidP="001C6487">
      <w:pPr>
        <w:suppressLineNumbers/>
        <w:suppressAutoHyphens/>
        <w:kinsoku w:val="0"/>
        <w:overflowPunct w:val="0"/>
        <w:autoSpaceDE w:val="0"/>
        <w:autoSpaceDN w:val="0"/>
        <w:adjustRightInd w:val="0"/>
        <w:snapToGrid w:val="0"/>
        <w:rPr>
          <w:kern w:val="22"/>
          <w:szCs w:val="22"/>
          <w:lang w:val="ru-RU"/>
        </w:rPr>
      </w:pPr>
    </w:p>
    <w:p w14:paraId="0B391591" w14:textId="393205DD" w:rsidR="00C9161D" w:rsidRPr="00CA2EF4" w:rsidRDefault="00885EE2" w:rsidP="001C6487">
      <w:pPr>
        <w:suppressLineNumbers/>
        <w:suppressAutoHyphens/>
        <w:kinsoku w:val="0"/>
        <w:overflowPunct w:val="0"/>
        <w:autoSpaceDE w:val="0"/>
        <w:autoSpaceDN w:val="0"/>
        <w:adjustRightInd w:val="0"/>
        <w:snapToGrid w:val="0"/>
        <w:spacing w:before="120" w:after="120"/>
        <w:jc w:val="center"/>
        <w:rPr>
          <w:b/>
          <w:bCs/>
          <w:caps/>
          <w:kern w:val="22"/>
          <w:szCs w:val="22"/>
          <w:lang w:val="ru-RU"/>
        </w:rPr>
      </w:pPr>
      <w:sdt>
        <w:sdtPr>
          <w:rPr>
            <w:b/>
            <w:bCs/>
            <w:caps/>
            <w:kern w:val="22"/>
            <w:szCs w:val="22"/>
            <w:lang w:val="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A3A4C">
            <w:rPr>
              <w:b/>
              <w:bCs/>
              <w:caps/>
              <w:kern w:val="22"/>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sdtContent>
      </w:sdt>
    </w:p>
    <w:p w14:paraId="27FD1C91" w14:textId="0B7BB33C" w:rsidR="00084813" w:rsidRPr="00C47151" w:rsidRDefault="00CA2EF4" w:rsidP="001C6487">
      <w:pPr>
        <w:pStyle w:val="Heading2"/>
        <w:keepNext w:val="0"/>
        <w:suppressLineNumbers/>
        <w:suppressAutoHyphens/>
        <w:kinsoku w:val="0"/>
        <w:overflowPunct w:val="0"/>
        <w:autoSpaceDE w:val="0"/>
        <w:autoSpaceDN w:val="0"/>
        <w:adjustRightInd w:val="0"/>
        <w:snapToGrid w:val="0"/>
        <w:rPr>
          <w:b w:val="0"/>
          <w:bCs w:val="0"/>
          <w:i/>
          <w:iCs w:val="0"/>
          <w:kern w:val="22"/>
          <w:szCs w:val="22"/>
          <w:lang w:val="ru-RU"/>
        </w:rPr>
      </w:pPr>
      <w:r w:rsidRPr="00CA2EF4">
        <w:rPr>
          <w:b w:val="0"/>
          <w:bCs w:val="0"/>
          <w:i/>
          <w:iCs w:val="0"/>
          <w:kern w:val="22"/>
          <w:szCs w:val="22"/>
          <w:lang w:val="ru-RU"/>
        </w:rPr>
        <w:t>Записка Исполнительного секретаря</w:t>
      </w:r>
    </w:p>
    <w:p w14:paraId="343DA5B1" w14:textId="7CD8002C" w:rsidR="00084813" w:rsidRPr="00CA2EF4" w:rsidRDefault="00004C1F" w:rsidP="00304215">
      <w:pPr>
        <w:pStyle w:val="Heading1"/>
        <w:suppressLineNumbers/>
        <w:tabs>
          <w:tab w:val="clear" w:pos="720"/>
        </w:tabs>
        <w:suppressAutoHyphens/>
        <w:kinsoku w:val="0"/>
        <w:overflowPunct w:val="0"/>
        <w:autoSpaceDE w:val="0"/>
        <w:autoSpaceDN w:val="0"/>
        <w:adjustRightInd w:val="0"/>
        <w:snapToGrid w:val="0"/>
        <w:spacing w:before="120" w:line="238" w:lineRule="auto"/>
        <w:rPr>
          <w:kern w:val="22"/>
          <w:szCs w:val="22"/>
          <w:lang w:val="ru-RU"/>
        </w:rPr>
      </w:pPr>
      <w:r w:rsidRPr="008E600F">
        <w:rPr>
          <w:kern w:val="22"/>
          <w:szCs w:val="22"/>
        </w:rPr>
        <w:t>I</w:t>
      </w:r>
      <w:r w:rsidRPr="00C47151">
        <w:rPr>
          <w:kern w:val="22"/>
          <w:szCs w:val="22"/>
          <w:lang w:val="ru-RU"/>
        </w:rPr>
        <w:t>.</w:t>
      </w:r>
      <w:r w:rsidRPr="00C47151">
        <w:rPr>
          <w:kern w:val="22"/>
          <w:szCs w:val="22"/>
          <w:lang w:val="ru-RU"/>
        </w:rPr>
        <w:tab/>
      </w:r>
      <w:r w:rsidR="00CA2EF4">
        <w:rPr>
          <w:kern w:val="22"/>
          <w:szCs w:val="22"/>
          <w:lang w:val="ru-RU"/>
        </w:rPr>
        <w:t>введение</w:t>
      </w:r>
    </w:p>
    <w:p w14:paraId="0D4236E7" w14:textId="77777777" w:rsidR="00A231D7" w:rsidRDefault="00C47151" w:rsidP="00A231D7">
      <w:pPr>
        <w:pStyle w:val="Para1"/>
        <w:numPr>
          <w:ilvl w:val="0"/>
          <w:numId w:val="37"/>
        </w:numPr>
        <w:suppressLineNumbers/>
        <w:tabs>
          <w:tab w:val="num" w:pos="709"/>
        </w:tabs>
        <w:suppressAutoHyphens/>
        <w:ind w:left="0" w:firstLine="0"/>
        <w:rPr>
          <w:kern w:val="22"/>
          <w:szCs w:val="22"/>
          <w:lang w:val="ru-RU"/>
        </w:rPr>
      </w:pPr>
      <w:r w:rsidRPr="00C47151">
        <w:rPr>
          <w:lang w:val="ru-RU"/>
        </w:rPr>
        <w:t>На своем втором совещании Конференция Сторон, выступающая в качестве совещания Сторон Нагойского протокола, поручила Исполнительному секретарю в контексте пункта</w:t>
      </w:r>
      <w:r>
        <w:t> </w:t>
      </w:r>
      <w:r w:rsidRPr="00C47151">
        <w:rPr>
          <w:lang w:val="ru-RU"/>
        </w:rPr>
        <w:t>4 статьи</w:t>
      </w:r>
      <w:r>
        <w:t> </w:t>
      </w:r>
      <w:r w:rsidRPr="00C47151">
        <w:rPr>
          <w:lang w:val="ru-RU"/>
        </w:rPr>
        <w:t>4 Протокола провести исследование критериев, которые можно было бы использовать для определения того, что именно является специализированным международным документом для регулирования доступа к генетическим ресурсам и совместного использования выгод (ДГРСИВ) и каким может быть возможный процесс признания такого документа (пункт</w:t>
      </w:r>
      <w:r>
        <w:t> </w:t>
      </w:r>
      <w:r w:rsidRPr="00C47151">
        <w:rPr>
          <w:lang w:val="ru-RU"/>
        </w:rPr>
        <w:t xml:space="preserve">3 решения </w:t>
      </w:r>
      <w:r>
        <w:t>NP</w:t>
      </w:r>
      <w:r w:rsidRPr="00C47151">
        <w:rPr>
          <w:lang w:val="ru-RU"/>
        </w:rPr>
        <w:t>-2/5).</w:t>
      </w:r>
    </w:p>
    <w:p w14:paraId="3A9C25C5" w14:textId="0C851E0F" w:rsidR="00C47151" w:rsidRPr="00A231D7" w:rsidRDefault="00C47151" w:rsidP="00A231D7">
      <w:pPr>
        <w:pStyle w:val="Para1"/>
        <w:numPr>
          <w:ilvl w:val="0"/>
          <w:numId w:val="37"/>
        </w:numPr>
        <w:suppressLineNumbers/>
        <w:tabs>
          <w:tab w:val="num" w:pos="709"/>
        </w:tabs>
        <w:suppressAutoHyphens/>
        <w:ind w:left="0" w:firstLine="0"/>
        <w:rPr>
          <w:kern w:val="22"/>
          <w:szCs w:val="22"/>
          <w:lang w:val="ru-RU"/>
        </w:rPr>
      </w:pPr>
      <w:r w:rsidRPr="00A231D7">
        <w:rPr>
          <w:lang w:val="ru-RU"/>
        </w:rPr>
        <w:t xml:space="preserve">На своем третьем совещании в пункте 1 решения </w:t>
      </w:r>
      <w:hyperlink r:id="rId15" w:history="1">
        <w:r w:rsidRPr="00A231D7">
          <w:rPr>
            <w:rStyle w:val="Hyperlink"/>
            <w:szCs w:val="22"/>
          </w:rPr>
          <w:t>NP</w:t>
        </w:r>
        <w:r w:rsidRPr="00A231D7">
          <w:rPr>
            <w:rStyle w:val="Hyperlink"/>
            <w:szCs w:val="22"/>
            <w:lang w:val="ru-RU"/>
          </w:rPr>
          <w:t>-3/14</w:t>
        </w:r>
      </w:hyperlink>
      <w:r w:rsidRPr="00A231D7">
        <w:rPr>
          <w:lang w:val="ru-RU"/>
        </w:rPr>
        <w:t xml:space="preserve"> совещание Стор</w:t>
      </w:r>
      <w:r w:rsidR="00A231D7">
        <w:rPr>
          <w:lang w:val="ru-RU"/>
        </w:rPr>
        <w:t>он Протокола приняло к сведению исследование</w:t>
      </w:r>
      <w:r w:rsidR="00A231D7" w:rsidRPr="00961A9F">
        <w:rPr>
          <w:kern w:val="22"/>
          <w:szCs w:val="22"/>
          <w:vertAlign w:val="superscript"/>
        </w:rPr>
        <w:footnoteReference w:id="3"/>
      </w:r>
      <w:r w:rsidR="00A231D7">
        <w:rPr>
          <w:lang w:val="ru-RU"/>
        </w:rPr>
        <w:t xml:space="preserve"> </w:t>
      </w:r>
      <w:r w:rsidRPr="00A231D7">
        <w:rPr>
          <w:lang w:val="ru-RU"/>
        </w:rPr>
        <w:t xml:space="preserve">и возможные критерии признания специализированных международных документов для регулирования ДГРСИВ в контексте пункта 4 статьи 4 Нагойского протокола и постановило пересмотреть эти возможные критерии на своем четвертом совещании. В пункте 2 решения Сторонам и другим правительствам было предложено представлять: </w:t>
      </w:r>
      <w:r>
        <w:t>a</w:t>
      </w:r>
      <w:r w:rsidRPr="00A231D7">
        <w:rPr>
          <w:lang w:val="ru-RU"/>
        </w:rPr>
        <w:t xml:space="preserve">) </w:t>
      </w:r>
      <w:bookmarkStart w:id="1" w:name="_Hlk43457174"/>
      <w:r w:rsidRPr="00A231D7">
        <w:rPr>
          <w:lang w:val="ru-RU"/>
        </w:rPr>
        <w:t xml:space="preserve">информацию о том, каким образом специализированные международные документы для регулирования доступа к генетическим ресурсам и совместного использования выгод отражаются в национальных мерах; и </w:t>
      </w:r>
      <w:r>
        <w:t>b</w:t>
      </w:r>
      <w:r w:rsidRPr="00A231D7">
        <w:rPr>
          <w:lang w:val="ru-RU"/>
        </w:rPr>
        <w:t>) мнения о возможных критериях, содержащихся в исследовании</w:t>
      </w:r>
      <w:bookmarkEnd w:id="1"/>
      <w:r w:rsidRPr="00A231D7">
        <w:rPr>
          <w:lang w:val="ru-RU"/>
        </w:rPr>
        <w:t>, с учетом пунктов 1-3 статьи 4 Протокола.</w:t>
      </w:r>
    </w:p>
    <w:p w14:paraId="1361C0E6" w14:textId="483320A2"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Исполнительному секретарю было поручено и далее отслеживать события на соответствующих междунаро</w:t>
      </w:r>
      <w:r w:rsidR="009304D6">
        <w:rPr>
          <w:lang w:val="ru-RU"/>
        </w:rPr>
        <w:t>дных форумах (пункт 3 решения),</w:t>
      </w:r>
      <w:r w:rsidRPr="00C47151">
        <w:rPr>
          <w:lang w:val="ru-RU"/>
        </w:rPr>
        <w:t xml:space="preserve"> обобщить представленную информацию и мнения, включая информацию о событиях в рамках соответствующих международных форумов, и представить ее для рассмотрения Вспомогательному органу по осуществлению на его третьем совещании, с тем чтобы он вынес рекомендацию для Сторон Протокола на их четвертом совещании (пункт</w:t>
      </w:r>
      <w:r>
        <w:t> </w:t>
      </w:r>
      <w:r w:rsidRPr="00C47151">
        <w:rPr>
          <w:lang w:val="ru-RU"/>
        </w:rPr>
        <w:t>4).</w:t>
      </w:r>
    </w:p>
    <w:p w14:paraId="2831F23A" w14:textId="36130672"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В уведомлении 2019-25 от 25 февраля 2019</w:t>
      </w:r>
      <w:r>
        <w:t> </w:t>
      </w:r>
      <w:r w:rsidRPr="00C47151">
        <w:rPr>
          <w:lang w:val="ru-RU"/>
        </w:rPr>
        <w:t>г.</w:t>
      </w:r>
      <w:r w:rsidRPr="00961A9F">
        <w:rPr>
          <w:kern w:val="22"/>
          <w:szCs w:val="22"/>
          <w:vertAlign w:val="superscript"/>
        </w:rPr>
        <w:footnoteReference w:id="4"/>
      </w:r>
      <w:r w:rsidRPr="00C47151">
        <w:rPr>
          <w:lang w:val="ru-RU"/>
        </w:rPr>
        <w:t xml:space="preserve"> Исполнительный секретарь предложила представить информацию и мнения в соответствии с пунктом 2 решения </w:t>
      </w:r>
      <w:r>
        <w:t>NP</w:t>
      </w:r>
      <w:r w:rsidRPr="00C47151">
        <w:rPr>
          <w:lang w:val="ru-RU"/>
        </w:rPr>
        <w:t xml:space="preserve">-3/14. Материалы поступили от четырех Сторон Протокола: Европейского союза и его государств-членов; Норвегии; </w:t>
      </w:r>
      <w:r w:rsidRPr="00C47151">
        <w:rPr>
          <w:lang w:val="ru-RU"/>
        </w:rPr>
        <w:lastRenderedPageBreak/>
        <w:t xml:space="preserve">Швейцарии и Японии. Кроме того, были получены материалы от двух </w:t>
      </w:r>
      <w:r w:rsidR="00DE4978">
        <w:rPr>
          <w:lang w:val="ru-RU"/>
        </w:rPr>
        <w:t>стран</w:t>
      </w:r>
      <w:r w:rsidRPr="00C47151">
        <w:rPr>
          <w:lang w:val="ru-RU"/>
        </w:rPr>
        <w:t>, не являющихся Сторонами, а именно от Канады и Новой Зеландии. Дополнительно были получены материалы от одной международной организации — Африканского союза. С полным текстом представленных материалов можно ознакомиться онлайн</w:t>
      </w:r>
      <w:r w:rsidRPr="00961A9F">
        <w:rPr>
          <w:kern w:val="22"/>
          <w:szCs w:val="22"/>
          <w:vertAlign w:val="superscript"/>
        </w:rPr>
        <w:footnoteReference w:id="5"/>
      </w:r>
      <w:r w:rsidRPr="00C47151">
        <w:rPr>
          <w:lang w:val="ru-RU"/>
        </w:rPr>
        <w:t>.</w:t>
      </w:r>
    </w:p>
    <w:p w14:paraId="1F26572A"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 xml:space="preserve">В разделе </w:t>
      </w:r>
      <w:r>
        <w:t>II</w:t>
      </w:r>
      <w:r w:rsidRPr="00C47151">
        <w:rPr>
          <w:lang w:val="ru-RU"/>
        </w:rPr>
        <w:t xml:space="preserve"> приводится краткое изложение критериев, которые были выявлены в исследовании, упомянутом в сноске </w:t>
      </w:r>
      <w:r>
        <w:rPr>
          <w:szCs w:val="22"/>
        </w:rPr>
        <w:fldChar w:fldCharType="begin"/>
      </w:r>
      <w:r w:rsidRPr="00C47151">
        <w:rPr>
          <w:szCs w:val="22"/>
          <w:lang w:val="ru-RU"/>
        </w:rPr>
        <w:instrText xml:space="preserve"> </w:instrText>
      </w:r>
      <w:r>
        <w:rPr>
          <w:szCs w:val="22"/>
        </w:rPr>
        <w:instrText>NOTEREF</w:instrText>
      </w:r>
      <w:r w:rsidRPr="00C47151">
        <w:rPr>
          <w:szCs w:val="22"/>
          <w:lang w:val="ru-RU"/>
        </w:rPr>
        <w:instrText xml:space="preserve"> _</w:instrText>
      </w:r>
      <w:r>
        <w:rPr>
          <w:szCs w:val="22"/>
        </w:rPr>
        <w:instrText>Ref</w:instrText>
      </w:r>
      <w:r w:rsidRPr="00C47151">
        <w:rPr>
          <w:szCs w:val="22"/>
          <w:lang w:val="ru-RU"/>
        </w:rPr>
        <w:instrText>48071198 \</w:instrText>
      </w:r>
      <w:r>
        <w:rPr>
          <w:szCs w:val="22"/>
        </w:rPr>
        <w:instrText>h</w:instrText>
      </w:r>
      <w:r w:rsidRPr="00C47151">
        <w:rPr>
          <w:szCs w:val="22"/>
          <w:lang w:val="ru-RU"/>
        </w:rPr>
        <w:instrText xml:space="preserve"> </w:instrText>
      </w:r>
      <w:r>
        <w:rPr>
          <w:szCs w:val="22"/>
        </w:rPr>
      </w:r>
      <w:r>
        <w:rPr>
          <w:szCs w:val="22"/>
        </w:rPr>
        <w:fldChar w:fldCharType="separate"/>
      </w:r>
      <w:r w:rsidRPr="00C47151">
        <w:rPr>
          <w:szCs w:val="22"/>
          <w:lang w:val="ru-RU"/>
        </w:rPr>
        <w:t>1</w:t>
      </w:r>
      <w:r>
        <w:rPr>
          <w:szCs w:val="22"/>
        </w:rPr>
        <w:fldChar w:fldCharType="end"/>
      </w:r>
      <w:r w:rsidRPr="00C47151">
        <w:rPr>
          <w:lang w:val="ru-RU"/>
        </w:rPr>
        <w:t xml:space="preserve"> к настоящему документу, и разработанных в нем сценариев. В разделе </w:t>
      </w:r>
      <w:r>
        <w:t>III</w:t>
      </w:r>
      <w:r w:rsidRPr="00C47151">
        <w:rPr>
          <w:lang w:val="ru-RU"/>
        </w:rPr>
        <w:t xml:space="preserve"> обобщается представленная информация об опыте, касающемся того, каким образом специализированные международные документы для регулирования доступа к генетическим ресурсам и совместного использования выгод отражаются в национальных мерах, принимаемых Сторонами и другими правительствами. В разделе </w:t>
      </w:r>
      <w:r>
        <w:t>IV</w:t>
      </w:r>
      <w:r w:rsidRPr="00C47151">
        <w:rPr>
          <w:lang w:val="ru-RU"/>
        </w:rPr>
        <w:t xml:space="preserve"> обобщаются представленные мнения о возможных критериях, содержащихся в исследовании, с учетом пунктов 1-3 статьи 4 Протокола. В разделе </w:t>
      </w:r>
      <w:r>
        <w:t>V</w:t>
      </w:r>
      <w:r w:rsidRPr="00C47151">
        <w:rPr>
          <w:lang w:val="ru-RU"/>
        </w:rPr>
        <w:t xml:space="preserve"> содержится информация о событиях, произошедших на соответствующих международных форумах. Наконец, в разделе </w:t>
      </w:r>
      <w:r>
        <w:t>VI</w:t>
      </w:r>
      <w:r w:rsidRPr="00C47151">
        <w:rPr>
          <w:lang w:val="ru-RU"/>
        </w:rPr>
        <w:t xml:space="preserve"> представлены предлагаемые элементы проекта рекомендации для рассмотрения Вспомогательным органом по осуществлению.</w:t>
      </w:r>
    </w:p>
    <w:p w14:paraId="1CEAB3A9" w14:textId="77777777" w:rsidR="00C47151" w:rsidRPr="00C47151" w:rsidRDefault="00C47151" w:rsidP="00815221">
      <w:pPr>
        <w:pStyle w:val="Heading1"/>
        <w:numPr>
          <w:ilvl w:val="0"/>
          <w:numId w:val="43"/>
        </w:numPr>
        <w:suppressLineNumbers/>
        <w:tabs>
          <w:tab w:val="clear" w:pos="720"/>
          <w:tab w:val="left" w:pos="426"/>
        </w:tabs>
        <w:suppressAutoHyphens/>
        <w:spacing w:before="120"/>
        <w:rPr>
          <w:rFonts w:ascii="Times New Roman Bold" w:hAnsi="Times New Roman Bold"/>
          <w:b w:val="0"/>
          <w:caps w:val="0"/>
          <w:kern w:val="22"/>
          <w:szCs w:val="22"/>
          <w:lang w:val="ru-RU"/>
        </w:rPr>
      </w:pPr>
      <w:r w:rsidRPr="00C47151">
        <w:rPr>
          <w:rFonts w:ascii="Times New Roman Bold" w:hAnsi="Times New Roman Bold"/>
          <w:caps w:val="0"/>
          <w:szCs w:val="22"/>
          <w:lang w:val="ru-RU"/>
        </w:rPr>
        <w:t>КРИТЕРИИ, ВЫЯВЛЕННЫЕ В ИССЛЕДОВАНИИ, И РАЗРАБОТАННЫЕ В НЕМ СЦЕНАРИИ</w:t>
      </w:r>
    </w:p>
    <w:p w14:paraId="72FB2638"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 xml:space="preserve">Как указано в приложении к решению </w:t>
      </w:r>
      <w:r>
        <w:t>NP</w:t>
      </w:r>
      <w:r w:rsidRPr="00C47151">
        <w:rPr>
          <w:lang w:val="ru-RU"/>
        </w:rPr>
        <w:t>-3/14, возможные критерии признания специализированных международных документов для регулирования ДГРСИВ в контексте пункта 4 статьи 4 Протокола заключаются в следующем:</w:t>
      </w:r>
    </w:p>
    <w:p w14:paraId="27F62BA8" w14:textId="77777777" w:rsidR="00C47151" w:rsidRPr="00C47151" w:rsidRDefault="00C47151" w:rsidP="00C47151">
      <w:pPr>
        <w:suppressLineNumbers/>
        <w:suppressAutoHyphens/>
        <w:spacing w:after="120"/>
        <w:ind w:firstLine="720"/>
        <w:rPr>
          <w:kern w:val="22"/>
          <w:szCs w:val="22"/>
          <w:lang w:val="ru-RU"/>
        </w:rPr>
      </w:pPr>
      <w:r w:rsidRPr="00C47151">
        <w:rPr>
          <w:lang w:val="ru-RU"/>
        </w:rPr>
        <w:t>1.</w:t>
      </w:r>
      <w:r w:rsidRPr="00C47151">
        <w:rPr>
          <w:lang w:val="ru-RU"/>
        </w:rPr>
        <w:tab/>
      </w:r>
      <w:r w:rsidRPr="00C47151">
        <w:rPr>
          <w:i/>
          <w:iCs/>
          <w:lang w:val="ru-RU"/>
        </w:rPr>
        <w:t>Согласованность на межправительственном уровне</w:t>
      </w:r>
      <w:r w:rsidRPr="00C47151">
        <w:rPr>
          <w:lang w:val="ru-RU"/>
        </w:rPr>
        <w:t xml:space="preserve"> — Документ разрабатывается и согласовывается в рамках межправительственного процесса. Документ может иметь или не иметь обязательную силу.</w:t>
      </w:r>
    </w:p>
    <w:p w14:paraId="29F58281" w14:textId="77777777" w:rsidR="00C47151" w:rsidRPr="00C47151" w:rsidRDefault="00C47151" w:rsidP="00C47151">
      <w:pPr>
        <w:suppressLineNumbers/>
        <w:suppressAutoHyphens/>
        <w:spacing w:after="120"/>
        <w:ind w:firstLine="720"/>
        <w:rPr>
          <w:kern w:val="22"/>
          <w:szCs w:val="22"/>
          <w:lang w:val="ru-RU"/>
        </w:rPr>
      </w:pPr>
      <w:r w:rsidRPr="00C47151">
        <w:rPr>
          <w:lang w:val="ru-RU"/>
        </w:rPr>
        <w:t>2.</w:t>
      </w:r>
      <w:r w:rsidRPr="00C47151">
        <w:rPr>
          <w:lang w:val="ru-RU"/>
        </w:rPr>
        <w:tab/>
      </w:r>
      <w:r w:rsidRPr="00C47151">
        <w:rPr>
          <w:i/>
          <w:iCs/>
          <w:lang w:val="ru-RU"/>
        </w:rPr>
        <w:t>Специализированный характер</w:t>
      </w:r>
      <w:r w:rsidRPr="00C47151">
        <w:rPr>
          <w:lang w:val="ru-RU"/>
        </w:rPr>
        <w:t xml:space="preserve"> — Документ:</w:t>
      </w:r>
    </w:p>
    <w:p w14:paraId="4A9C6ABA" w14:textId="77777777" w:rsidR="00C47151" w:rsidRPr="00C47151" w:rsidRDefault="00C47151" w:rsidP="00C47151">
      <w:pPr>
        <w:suppressLineNumbers/>
        <w:suppressAutoHyphens/>
        <w:spacing w:after="120"/>
        <w:ind w:firstLine="720"/>
        <w:rPr>
          <w:kern w:val="22"/>
          <w:szCs w:val="22"/>
          <w:lang w:val="ru-RU"/>
        </w:rPr>
      </w:pPr>
      <w:r>
        <w:t>a</w:t>
      </w:r>
      <w:r w:rsidRPr="00C47151">
        <w:rPr>
          <w:lang w:val="ru-RU"/>
        </w:rPr>
        <w:t>)</w:t>
      </w:r>
      <w:bookmarkStart w:id="2" w:name="_Hlk43376914"/>
      <w:r w:rsidRPr="00C47151">
        <w:rPr>
          <w:lang w:val="ru-RU"/>
        </w:rPr>
        <w:tab/>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w:t>
      </w:r>
      <w:bookmarkEnd w:id="2"/>
      <w:r w:rsidRPr="00C47151">
        <w:rPr>
          <w:lang w:val="ru-RU"/>
        </w:rPr>
        <w:t>;</w:t>
      </w:r>
    </w:p>
    <w:p w14:paraId="6DB72F91" w14:textId="77777777" w:rsidR="00C47151" w:rsidRPr="00C47151" w:rsidRDefault="00C47151" w:rsidP="00C47151">
      <w:pPr>
        <w:suppressLineNumbers/>
        <w:suppressAutoHyphens/>
        <w:spacing w:after="120"/>
        <w:ind w:firstLine="720"/>
        <w:rPr>
          <w:kern w:val="22"/>
          <w:szCs w:val="22"/>
          <w:lang w:val="ru-RU"/>
        </w:rPr>
      </w:pPr>
      <w:bookmarkStart w:id="3" w:name="_Hlk43376749"/>
      <w:r>
        <w:t>b</w:t>
      </w:r>
      <w:r w:rsidRPr="00C47151">
        <w:rPr>
          <w:lang w:val="ru-RU"/>
        </w:rPr>
        <w:t>)</w:t>
      </w:r>
      <w:r w:rsidRPr="00C47151">
        <w:rPr>
          <w:lang w:val="ru-RU"/>
        </w:rPr>
        <w:tab/>
        <w:t>применяется в отношении определенных видов использования генетических ресурсов и/или традиционных знаний, связанных с генетическими ресурсами, что предполагает дифференцированный и, следовательно, специализированный подход</w:t>
      </w:r>
      <w:bookmarkEnd w:id="3"/>
      <w:r w:rsidRPr="00C47151">
        <w:rPr>
          <w:lang w:val="ru-RU"/>
        </w:rPr>
        <w:t>.</w:t>
      </w:r>
    </w:p>
    <w:p w14:paraId="27A8D140" w14:textId="77777777" w:rsidR="00C47151" w:rsidRPr="00C47151" w:rsidRDefault="00C47151" w:rsidP="00C47151">
      <w:pPr>
        <w:suppressLineNumbers/>
        <w:suppressAutoHyphens/>
        <w:spacing w:after="120"/>
        <w:ind w:firstLine="720"/>
        <w:rPr>
          <w:kern w:val="22"/>
          <w:szCs w:val="22"/>
          <w:lang w:val="ru-RU"/>
        </w:rPr>
      </w:pPr>
      <w:r w:rsidRPr="00C47151">
        <w:rPr>
          <w:lang w:val="ru-RU"/>
        </w:rPr>
        <w:t>3.</w:t>
      </w:r>
      <w:r w:rsidRPr="00C47151">
        <w:rPr>
          <w:lang w:val="ru-RU"/>
        </w:rPr>
        <w:tab/>
      </w:r>
      <w:r w:rsidRPr="00C47151">
        <w:rPr>
          <w:i/>
          <w:iCs/>
          <w:lang w:val="ru-RU"/>
        </w:rPr>
        <w:t>Взаимодополняемость</w:t>
      </w:r>
      <w:r w:rsidRPr="00C47151">
        <w:rPr>
          <w:lang w:val="ru-RU"/>
        </w:rPr>
        <w:t xml:space="preserve"> — Документ соответствует целям Конвенции о биологическом разнообразии и Нагойского протокола, поддерживает их и не противоречит этим целям, в том числе применительно к следующим аспектам:</w:t>
      </w:r>
    </w:p>
    <w:p w14:paraId="12705C98" w14:textId="77777777" w:rsidR="00C47151" w:rsidRPr="00C47151" w:rsidRDefault="00C47151" w:rsidP="00C47151">
      <w:pPr>
        <w:suppressLineNumbers/>
        <w:suppressAutoHyphens/>
        <w:spacing w:before="120" w:after="120"/>
        <w:ind w:left="284" w:firstLine="437"/>
        <w:rPr>
          <w:kern w:val="22"/>
          <w:szCs w:val="22"/>
          <w:lang w:val="ru-RU"/>
        </w:rPr>
      </w:pPr>
      <w:bookmarkStart w:id="4" w:name="_Hlk43377115"/>
      <w:r>
        <w:t>a</w:t>
      </w:r>
      <w:r w:rsidRPr="00C47151">
        <w:rPr>
          <w:lang w:val="ru-RU"/>
        </w:rPr>
        <w:t>)</w:t>
      </w:r>
      <w:r w:rsidRPr="00C47151">
        <w:rPr>
          <w:lang w:val="ru-RU"/>
        </w:rPr>
        <w:tab/>
        <w:t>соответствие целям сохранения и устойчивого использования биоразнообразия;</w:t>
      </w:r>
    </w:p>
    <w:p w14:paraId="7B9CEC9C" w14:textId="77777777" w:rsidR="00C47151" w:rsidRPr="00C47151" w:rsidRDefault="00C47151" w:rsidP="00C47151">
      <w:pPr>
        <w:suppressLineNumbers/>
        <w:suppressAutoHyphens/>
        <w:spacing w:before="120" w:after="120"/>
        <w:ind w:left="284" w:firstLine="437"/>
        <w:rPr>
          <w:kern w:val="22"/>
          <w:szCs w:val="22"/>
          <w:lang w:val="ru-RU"/>
        </w:rPr>
      </w:pPr>
      <w:r>
        <w:t>b</w:t>
      </w:r>
      <w:r w:rsidRPr="00C47151">
        <w:rPr>
          <w:lang w:val="ru-RU"/>
        </w:rPr>
        <w:t>)</w:t>
      </w:r>
      <w:r w:rsidRPr="00C47151">
        <w:rPr>
          <w:lang w:val="ru-RU"/>
        </w:rPr>
        <w:tab/>
        <w:t>справедливость и равенство при совместном использовании выгод;</w:t>
      </w:r>
    </w:p>
    <w:p w14:paraId="4E2E221E" w14:textId="77777777" w:rsidR="00C47151" w:rsidRPr="00C47151" w:rsidRDefault="00C47151" w:rsidP="00C47151">
      <w:pPr>
        <w:suppressLineNumbers/>
        <w:suppressAutoHyphens/>
        <w:spacing w:before="120" w:after="120"/>
        <w:ind w:left="284" w:firstLine="437"/>
        <w:rPr>
          <w:kern w:val="22"/>
          <w:szCs w:val="22"/>
          <w:lang w:val="ru-RU"/>
        </w:rPr>
      </w:pPr>
      <w:r>
        <w:t>c</w:t>
      </w:r>
      <w:r w:rsidRPr="00C47151">
        <w:rPr>
          <w:lang w:val="ru-RU"/>
        </w:rPr>
        <w:t>)</w:t>
      </w:r>
      <w:r w:rsidRPr="00C47151">
        <w:rPr>
          <w:lang w:val="ru-RU"/>
        </w:rPr>
        <w:tab/>
        <w:t>правовая определенность в отношении доступа к генетическим ресурсам или традиционным знаниям и совместного использования выгод;</w:t>
      </w:r>
    </w:p>
    <w:p w14:paraId="5ADFC611" w14:textId="77777777" w:rsidR="00C47151" w:rsidRPr="00C47151" w:rsidRDefault="00C47151" w:rsidP="00C47151">
      <w:pPr>
        <w:suppressLineNumbers/>
        <w:suppressAutoHyphens/>
        <w:spacing w:before="120" w:after="120"/>
        <w:ind w:left="284" w:firstLine="437"/>
        <w:rPr>
          <w:kern w:val="22"/>
          <w:szCs w:val="22"/>
          <w:lang w:val="ru-RU"/>
        </w:rPr>
      </w:pPr>
      <w:r>
        <w:t>d</w:t>
      </w:r>
      <w:r w:rsidRPr="00C47151">
        <w:rPr>
          <w:lang w:val="ru-RU"/>
        </w:rPr>
        <w:t>)</w:t>
      </w:r>
      <w:r w:rsidRPr="00C47151">
        <w:rPr>
          <w:lang w:val="ru-RU"/>
        </w:rPr>
        <w:tab/>
        <w:t>вклад в устойчивое развитие, воплощенный согласованными на международном уровне целями;</w:t>
      </w:r>
    </w:p>
    <w:p w14:paraId="55BE6CF7" w14:textId="77777777" w:rsidR="00C47151" w:rsidRPr="00C47151" w:rsidRDefault="00C47151" w:rsidP="00C47151">
      <w:pPr>
        <w:suppressLineNumbers/>
        <w:suppressAutoHyphens/>
        <w:spacing w:before="120" w:after="120"/>
        <w:ind w:left="284" w:firstLine="437"/>
        <w:rPr>
          <w:kern w:val="22"/>
          <w:szCs w:val="22"/>
          <w:lang w:val="ru-RU"/>
        </w:rPr>
      </w:pPr>
      <w:r>
        <w:t>e</w:t>
      </w:r>
      <w:r w:rsidRPr="00C47151">
        <w:rPr>
          <w:lang w:val="ru-RU"/>
        </w:rPr>
        <w:t>)</w:t>
      </w:r>
      <w:r w:rsidRPr="00C47151">
        <w:rPr>
          <w:lang w:val="ru-RU"/>
        </w:rPr>
        <w:tab/>
        <w:t>другие общие принципы права, включая добросовестность, эффективность и законные ожидания.</w:t>
      </w:r>
    </w:p>
    <w:bookmarkEnd w:id="4"/>
    <w:p w14:paraId="05672410"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 xml:space="preserve">В полном тексте исследования содержится дополнительная информация относительно понимания и применения этих критериев. Кроме того, в нем выявлены следующие сценарии признания специализированных документов для регулирования ДГРСИВ: </w:t>
      </w:r>
      <w:r>
        <w:t>a</w:t>
      </w:r>
      <w:r w:rsidRPr="00C47151">
        <w:rPr>
          <w:lang w:val="ru-RU"/>
        </w:rPr>
        <w:t xml:space="preserve">) признание Конференцией Сторон, выступающей в качестве совещания Сторон Нагойского протокола; </w:t>
      </w:r>
      <w:r>
        <w:t>b</w:t>
      </w:r>
      <w:r w:rsidRPr="00C47151">
        <w:rPr>
          <w:lang w:val="ru-RU"/>
        </w:rPr>
        <w:t xml:space="preserve">) </w:t>
      </w:r>
      <w:r w:rsidRPr="00C47151">
        <w:rPr>
          <w:lang w:val="ru-RU"/>
        </w:rPr>
        <w:lastRenderedPageBreak/>
        <w:t xml:space="preserve">признание другим международным форумом; либо </w:t>
      </w:r>
      <w:r>
        <w:t>c</w:t>
      </w:r>
      <w:r w:rsidRPr="00C47151">
        <w:rPr>
          <w:lang w:val="ru-RU"/>
        </w:rPr>
        <w:t>) инициатива Стороны или группы Сторон Нагойского протокола.</w:t>
      </w:r>
    </w:p>
    <w:p w14:paraId="60DF359B" w14:textId="77777777" w:rsidR="00C47151" w:rsidRPr="00C47151" w:rsidRDefault="00C47151" w:rsidP="00815221">
      <w:pPr>
        <w:pStyle w:val="Heading1longmultiline"/>
        <w:numPr>
          <w:ilvl w:val="0"/>
          <w:numId w:val="43"/>
        </w:numPr>
        <w:suppressLineNumbers/>
        <w:tabs>
          <w:tab w:val="clear" w:pos="720"/>
        </w:tabs>
        <w:suppressAutoHyphens/>
        <w:spacing w:before="120"/>
        <w:ind w:left="1134" w:hanging="567"/>
        <w:rPr>
          <w:rFonts w:ascii="Times New Roman Bold" w:hAnsi="Times New Roman Bold"/>
          <w:caps w:val="0"/>
          <w:kern w:val="22"/>
          <w:szCs w:val="22"/>
          <w:lang w:val="ru-RU"/>
        </w:rPr>
      </w:pPr>
      <w:r w:rsidRPr="00C47151">
        <w:rPr>
          <w:rFonts w:ascii="Times New Roman Bold" w:hAnsi="Times New Roman Bold"/>
          <w:caps w:val="0"/>
          <w:szCs w:val="22"/>
          <w:lang w:val="ru-RU"/>
        </w:rPr>
        <w:t>ИНФОРМАЦИЯ О ТОМ, КАКИМ ОБРАЗОМ СПЕЦИАЛИЗИРОВАННЫЕ МЕЖДУНАРОДНЫЕ ДОКУМЕНТЫ ДЛЯ РЕГУЛИРОВАНИЯ ДОСТУПА К ГЕНЕТИЧЕСКИМ РЕСУРСАМ И СОВМЕСТНОГО ИСПОЛЬЗОВАНИЯ ВЫГОД ОТРАЖАЮТСЯ В НАЦИОНАЛЬНЫХ МЕРАХ, ПРИНИМАЕМЫХ СТОРОНАМИ И ДРУГИМИ ПРАВИТЕЛЬСТВАМИ</w:t>
      </w:r>
    </w:p>
    <w:p w14:paraId="6E185332"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 xml:space="preserve">В этом разделе обобщается информация, предоставленная Сторонами, а также другими правительствами и организациями в ответ на предложение, сформулированное в пункте 2 а) решения </w:t>
      </w:r>
      <w:r>
        <w:t>NP</w:t>
      </w:r>
      <w:r w:rsidRPr="00C47151">
        <w:rPr>
          <w:lang w:val="ru-RU"/>
        </w:rPr>
        <w:t>-3/14.</w:t>
      </w:r>
    </w:p>
    <w:p w14:paraId="363CA7D7"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F148F0">
        <w:rPr>
          <w:i/>
          <w:lang w:val="ru-RU"/>
        </w:rPr>
        <w:t>Европейский союз и его государства-члены</w:t>
      </w:r>
      <w:r w:rsidRPr="00C47151">
        <w:rPr>
          <w:lang w:val="ru-RU"/>
        </w:rPr>
        <w:t xml:space="preserve"> сослались на постановление (ЕС) № 511/2014 о мерах по обеспечению соблюдения для пользователей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в Европейском союзе. Это постановление признает два специализированных международных документа, регулирующих ДГРСИВ: </w:t>
      </w:r>
      <w:r>
        <w:t>a</w:t>
      </w:r>
      <w:r w:rsidRPr="00C47151">
        <w:rPr>
          <w:lang w:val="ru-RU"/>
        </w:rPr>
        <w:t xml:space="preserve">) Международный договор о генетических ресурсах растений для производства продовольствия и ведения сельского хозяйства (Международный договор) (пункт 12 Преамбулы); и </w:t>
      </w:r>
      <w:r>
        <w:t>b</w:t>
      </w:r>
      <w:r w:rsidRPr="00C47151">
        <w:rPr>
          <w:lang w:val="ru-RU"/>
        </w:rPr>
        <w:t>) Механизм обеспечения готовности к пандемическому гриппу для обмена вирусами гриппа и доступа к вакцинам и другим преимуществам (Механизм ГПГ) (пункт 16 Преамбулы).</w:t>
      </w:r>
    </w:p>
    <w:p w14:paraId="4FFFB48D"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Пункт 2 статьи 2 постановления предусматривает, что оно не применяется к генетическим ресурсам, на которые распространяется действие специализированных международных документов для регулирования ДГРСИВ, соответствующих и не противоречащих целям Конвенции и Нагойского протокола. Следовательно, это постановление не применяется к генетическим ресурсам, на которые распространяется действие Международного договора и Механизма ГПГ, за исключением тех случаев, когда доступ к таким ресурсам осуществляется в стране, не являющейся Стороной этих документов, но являющейся Стороной Нагойского протокола с принятым законодательством для регулирования доступа, применимым к этим генетическим ресурсам. Кроме того, это постановление применимо в тех случаях, когда генетические ресурсы, на которые распространяется действие этих документов, используются для иных целей, чем цели соответствующего специализированного документа (например, если сельскохозяйственный ресурс, регулируемый Международным договором, используется в фармацевтических целях).</w:t>
      </w:r>
    </w:p>
    <w:p w14:paraId="1FBE7013" w14:textId="5A5301B2"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i/>
          <w:iCs/>
          <w:lang w:val="ru-RU"/>
        </w:rPr>
        <w:t>Испания</w:t>
      </w:r>
      <w:r w:rsidRPr="00C47151">
        <w:rPr>
          <w:lang w:val="ru-RU"/>
        </w:rPr>
        <w:t xml:space="preserve"> представила описание своего национального законодательства, касающегося Международного договора. Испания сообщила, что доступ к генетическим ресурсам из диких таксонов, </w:t>
      </w:r>
      <w:r>
        <w:t>in</w:t>
      </w:r>
      <w:r w:rsidRPr="00C47151">
        <w:rPr>
          <w:lang w:val="ru-RU"/>
        </w:rPr>
        <w:t xml:space="preserve"> </w:t>
      </w:r>
      <w:r>
        <w:t>situ</w:t>
      </w:r>
      <w:r w:rsidRPr="00C47151">
        <w:rPr>
          <w:lang w:val="ru-RU"/>
        </w:rPr>
        <w:t xml:space="preserve"> и </w:t>
      </w:r>
      <w:r>
        <w:t>ex</w:t>
      </w:r>
      <w:r w:rsidRPr="00C47151">
        <w:rPr>
          <w:lang w:val="ru-RU"/>
        </w:rPr>
        <w:t xml:space="preserve"> </w:t>
      </w:r>
      <w:r>
        <w:t>situ</w:t>
      </w:r>
      <w:r w:rsidRPr="00C47151">
        <w:rPr>
          <w:lang w:val="ru-RU"/>
        </w:rPr>
        <w:t>, для их использования регулируется декретом 124/2017, вст</w:t>
      </w:r>
      <w:r w:rsidR="00F57273">
        <w:rPr>
          <w:lang w:val="ru-RU"/>
        </w:rPr>
        <w:t>упившим в силу 15 марта 2017 г.</w:t>
      </w:r>
      <w:r w:rsidRPr="00C47151">
        <w:rPr>
          <w:lang w:val="ru-RU"/>
        </w:rPr>
        <w:t xml:space="preserve"> Доступ к генетическим ресурсам растений для производства продовольствия и ведения сельского хозяйства регулируется законом 30/2006 о семенах и растениях из питомников и генетических ресурсах растений. Испания указала, что находится на последнем этапе разработки нового законодательства, направленного на регулирование доступа к генетическим ресурсам растений для производства продовольствия и веден</w:t>
      </w:r>
      <w:r w:rsidR="00F57273">
        <w:rPr>
          <w:lang w:val="ru-RU"/>
        </w:rPr>
        <w:t>ия сельского хозяйства, учитывающего</w:t>
      </w:r>
      <w:r w:rsidRPr="00C47151">
        <w:rPr>
          <w:lang w:val="ru-RU"/>
        </w:rPr>
        <w:t xml:space="preserve"> положения как Международного договора, так и Нагойского протокола. Это новое законодательство проводит различие между ресурсами, доступными через Многостороннюю систему Международного договора (включенными в Приложение </w:t>
      </w:r>
      <w:r>
        <w:t>I</w:t>
      </w:r>
      <w:r w:rsidRPr="00C47151">
        <w:rPr>
          <w:lang w:val="ru-RU"/>
        </w:rPr>
        <w:t xml:space="preserve"> к законодательству), и ресурсами, не включенными в Многостороннюю систему, или же такими ресурсами, доступ к которым осуществляется для иной цели, чем цели, установленные Многосторонней системой, и которые подпадают под действие Нагойского протокола, при условии, что доступ осуществляется для «использования» в соответствии с определением, сформулированным в Протоколе. Наконец, ресурсы, на которые не распространяется ни действие Международного договора, ни действие Нагойского протокола, останутся в сфере действия закона 30/2006.</w:t>
      </w:r>
    </w:p>
    <w:p w14:paraId="67DE3D20"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i/>
          <w:iCs/>
          <w:lang w:val="ru-RU"/>
        </w:rPr>
        <w:t>Швеция</w:t>
      </w:r>
      <w:r w:rsidRPr="00C47151">
        <w:rPr>
          <w:lang w:val="ru-RU"/>
        </w:rPr>
        <w:t xml:space="preserve"> сообщила, что в соответствии со шведским постановлением об упрощенном доступе к генетическим ресурсам растений (2011:474) государственный орган, владеющий такими </w:t>
      </w:r>
      <w:r w:rsidRPr="00C47151">
        <w:rPr>
          <w:lang w:val="ru-RU"/>
        </w:rPr>
        <w:lastRenderedPageBreak/>
        <w:t xml:space="preserve">генетическими ресурсами растений, как те, о которых упоминается в Приложении </w:t>
      </w:r>
      <w:r>
        <w:t>I</w:t>
      </w:r>
      <w:r w:rsidRPr="00C47151">
        <w:rPr>
          <w:lang w:val="ru-RU"/>
        </w:rPr>
        <w:t xml:space="preserve"> к Международному договору, может заключать соглашения с физическими или юридическими лицами об упрощенном доступе к таким ресурсам в соответствии с пунктом 4 статьи 12 Договора.</w:t>
      </w:r>
    </w:p>
    <w:p w14:paraId="53DBE59E"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i/>
          <w:iCs/>
          <w:lang w:val="ru-RU"/>
        </w:rPr>
        <w:t>Япония</w:t>
      </w:r>
      <w:r w:rsidRPr="00C47151">
        <w:rPr>
          <w:lang w:val="ru-RU"/>
        </w:rPr>
        <w:t xml:space="preserve"> отметила, что Международный договор и Механизм ГПГ рассматриваются как специализированные международные документы, регулирующие ДГРСИВ. В этой связи Нагойский протокол не применяется для осуществления Механизма или использования генетических ресурсов растений сельскохозяйственных культур, перечисленных в Приложении </w:t>
      </w:r>
      <w:r>
        <w:t>I</w:t>
      </w:r>
      <w:r w:rsidRPr="00C47151">
        <w:rPr>
          <w:lang w:val="ru-RU"/>
        </w:rPr>
        <w:t xml:space="preserve"> к Международному договору, и аналогичных видов, при условии, что такое использование соответствует и не противоречит целям Конвенции о биологическом разнообразии и Нагойского протокола. Далее Япония отметила, что 72-я сессия Всемирной ассамблеи здравоохранения, состоявшаяся в мае 2019</w:t>
      </w:r>
      <w:r>
        <w:t> </w:t>
      </w:r>
      <w:r w:rsidRPr="00C47151">
        <w:rPr>
          <w:lang w:val="ru-RU"/>
        </w:rPr>
        <w:t xml:space="preserve">года, приняла резолюцию </w:t>
      </w:r>
      <w:r>
        <w:t>WHA</w:t>
      </w:r>
      <w:r w:rsidRPr="00C47151">
        <w:rPr>
          <w:lang w:val="ru-RU"/>
        </w:rPr>
        <w:t>72(13) «Возможные последствия осуществления Нагойского протокола для общественного здравоохранения», которую необходимо учитывать, поскольку значимость Протокола для общественного здравоохранения весьма высока.</w:t>
      </w:r>
    </w:p>
    <w:p w14:paraId="3604B4F1"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i/>
          <w:iCs/>
          <w:lang w:val="ru-RU"/>
        </w:rPr>
        <w:t>Норвегия</w:t>
      </w:r>
      <w:r w:rsidRPr="00C47151">
        <w:rPr>
          <w:lang w:val="ru-RU"/>
        </w:rPr>
        <w:t xml:space="preserve"> сослалась на раздел 58 закона о природном разнообразии, в соответствии с которым король обладает полномочиями для того, чтобы определять, требуется ли разрешение министерства для сбора генетического материала в естественной среде. Требование о наличии разрешения не распространяется на извлечение материала из государственных коллекций и коллекций, предназначенных для использования, дальнейшего разведения и культивирования в сельском и лесном хозяйстве. Норвегия указала, что осуществление Международного договора поддерживается рядом специальных постановлений и мер политики, включая разделы 60 и 61 закона о природном разнообразии. Норвегия отмечает, что страны Северной Европы тесно сотрудничают в области управления генетическими ресурсами, в том числе через совместный Северный генный банк (</w:t>
      </w:r>
      <w:proofErr w:type="spellStart"/>
      <w:r>
        <w:t>NordGen</w:t>
      </w:r>
      <w:proofErr w:type="spellEnd"/>
      <w:r w:rsidRPr="00C47151">
        <w:rPr>
          <w:lang w:val="ru-RU"/>
        </w:rPr>
        <w:t xml:space="preserve">). Основные принципы подхода стран Северной Европы к доступу к генетическим ресурсам и совместному использованию выгод отражены в Кальмарской декларации 2003 г., а генный банк </w:t>
      </w:r>
      <w:proofErr w:type="spellStart"/>
      <w:r>
        <w:t>NordGen</w:t>
      </w:r>
      <w:proofErr w:type="spellEnd"/>
      <w:r w:rsidRPr="00C47151">
        <w:rPr>
          <w:lang w:val="ru-RU"/>
        </w:rPr>
        <w:t xml:space="preserve"> пользуется стандартным соглашением о передаче материала, установленным в рамках Международного договора применительно ко всем материалам, на которые распространяется действие этого Договора, и в целях облегчения доступа к другим материалам и для других целей с применением аналогичных условий.</w:t>
      </w:r>
    </w:p>
    <w:p w14:paraId="6D9E5385" w14:textId="31314DF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i/>
          <w:iCs/>
          <w:lang w:val="ru-RU"/>
        </w:rPr>
        <w:t>Швейцария</w:t>
      </w:r>
      <w:r w:rsidRPr="00C47151">
        <w:rPr>
          <w:lang w:val="ru-RU"/>
        </w:rPr>
        <w:t xml:space="preserve"> указала, что национальные меры обязывают пользователей проявлять должное усердие </w:t>
      </w:r>
      <w:r w:rsidR="00F21C7D">
        <w:rPr>
          <w:lang w:val="ru-RU"/>
        </w:rPr>
        <w:t>во время использования</w:t>
      </w:r>
      <w:r w:rsidRPr="00C47151">
        <w:rPr>
          <w:lang w:val="ru-RU"/>
        </w:rPr>
        <w:t xml:space="preserve"> генетических ресурсов других Сторон Нагойского протокола при условии, что доступ к этим ресурсам осуществляется после вступления в силу Нагойского протокола и у таких Сторон имеются действующие нормативные положения, регулирующие доступ. Тем не менее, в соответствии с пунктом 4 статьи 4 Протокола, пункт 2</w:t>
      </w:r>
      <w:r>
        <w:t>d</w:t>
      </w:r>
      <w:r w:rsidRPr="00C47151">
        <w:rPr>
          <w:lang w:val="ru-RU"/>
        </w:rPr>
        <w:t xml:space="preserve"> статьи 23</w:t>
      </w:r>
      <w:r>
        <w:t>n</w:t>
      </w:r>
      <w:r w:rsidRPr="00C47151">
        <w:rPr>
          <w:lang w:val="ru-RU"/>
        </w:rPr>
        <w:t xml:space="preserve"> федерального закона об охране природы и культурного наследия предусматривает, что требование проявлять должное усердие не распространяется на генетические ресурсы, если на их конкретное использование распространяется действие одного из специализированных международных документов, регулирующих ДГРСИВ в рамках статьи 4 Нагойского протокола. Швейцария признает Многостороннюю систему Международного договора и Механизм ГПГ в качестве специализированных международных документов для регулирования ДГРСИВ. Швейцария полагает, что применение таких специализированных документов может обеспечить более специализированный, эффективный и избегающий дублирования подход к регулированию доступа к генетическим ресурсам и совместного использования выгод от их применения. Швейцария внедрила положения Нагойского протокола в качестве «механизма по умолчанию», который применяется к генетическим ресурсам и связанными с ними традиционным знаниям при условии, что к ним не применимы никакие другие специализированные международные документы, регулирующие ДГРСИВ. Национальные нормативные положения, касающиеся Международного договора, представлены в специальном постановлении (</w:t>
      </w:r>
      <w:r>
        <w:t>ORPGAA</w:t>
      </w:r>
      <w:r w:rsidRPr="00C47151">
        <w:rPr>
          <w:lang w:val="ru-RU"/>
        </w:rPr>
        <w:t xml:space="preserve">, </w:t>
      </w:r>
      <w:r>
        <w:t>SR</w:t>
      </w:r>
      <w:r w:rsidRPr="00C47151">
        <w:rPr>
          <w:lang w:val="ru-RU"/>
        </w:rPr>
        <w:t xml:space="preserve"> 916.181), в то время как нормативные положения, касающиеся Механизма ГПГ, подпадают под действие общего положения, сформулированного в пункте 2</w:t>
      </w:r>
      <w:r>
        <w:t>d</w:t>
      </w:r>
      <w:r w:rsidRPr="00C47151">
        <w:rPr>
          <w:lang w:val="ru-RU"/>
        </w:rPr>
        <w:t xml:space="preserve"> статьи 23</w:t>
      </w:r>
      <w:r>
        <w:t>n</w:t>
      </w:r>
      <w:r w:rsidRPr="00C47151">
        <w:rPr>
          <w:lang w:val="ru-RU"/>
        </w:rPr>
        <w:t xml:space="preserve"> федерального закона об охране природы и культурного наследия.</w:t>
      </w:r>
    </w:p>
    <w:p w14:paraId="6DF70A94" w14:textId="28D4EFDA"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i/>
          <w:iCs/>
          <w:lang w:val="ru-RU"/>
        </w:rPr>
        <w:lastRenderedPageBreak/>
        <w:t>Канада</w:t>
      </w:r>
      <w:r w:rsidRPr="00C47151">
        <w:rPr>
          <w:lang w:val="ru-RU"/>
        </w:rPr>
        <w:t xml:space="preserve"> пояснила, что является Стороной целого ряда специализированных международных документов, регулирующих ДГРСИВ, и участвует в согласовании вопросов, касающихся ДГРСИВ, которые рассматриваются в рамках различных международных форумов. Канада осуществляет меры по регулированию ДГРСИВ, предусмотренные Международным договором, в основном посредством деятельности министерства сельского хозяйства и продовольствия Канады (</w:t>
      </w:r>
      <w:r>
        <w:t>AAFC</w:t>
      </w:r>
      <w:r w:rsidRPr="00C47151">
        <w:rPr>
          <w:lang w:val="ru-RU"/>
        </w:rPr>
        <w:t>). Министерство сельского хозяйства и продовольствия Канады управляет Растительными генетическими ресурсами Канады (</w:t>
      </w:r>
      <w:r>
        <w:t>PGRC</w:t>
      </w:r>
      <w:r w:rsidRPr="00C47151">
        <w:rPr>
          <w:lang w:val="ru-RU"/>
        </w:rPr>
        <w:t>) и участвует в Глобальной информационной системе Международного договора. Признавая, что существующие методы регулирования ДГРСИВ для производства продовольствия и ведения сельского хозяйства значительно различаются в разных подсекторах, министерство сельского хозяйства и продовольствия Канады участвует в том числе в разработке других международных документов по регулированию ДГРСИВ, таких как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 Комиссии по генетическим ресурсам для производства продовольствия и ведения сельского хозяйства Продовольственной и сельскохозяйственной организации Объединенных Наций (ФАО), и прилагает усилия к тому, чтобы сообразно обстоятельствам применять их на национальном уровне. Кроме того, Министерство сельского хозяйства и продовольствия Канады принимает участие в разработке передовых методов для осуществления биологического контроля. Министерство сельского хозяйства и продовольствия Канады внес</w:t>
      </w:r>
      <w:r w:rsidR="005F5094">
        <w:rPr>
          <w:lang w:val="ru-RU"/>
        </w:rPr>
        <w:t>ло вклад в подготовку публикаций</w:t>
      </w:r>
      <w:r w:rsidRPr="00C47151">
        <w:rPr>
          <w:lang w:val="ru-RU"/>
        </w:rPr>
        <w:t xml:space="preserve"> «Применение классического биологического контроля для регулирования уже выявленных чужеродных инвазивных видов, оказывающих отрицательное воздействие на окружающую среду»</w:t>
      </w:r>
      <w:r>
        <w:rPr>
          <w:rStyle w:val="FootnoteReference"/>
          <w:i/>
          <w:iCs/>
          <w:kern w:val="22"/>
        </w:rPr>
        <w:footnoteReference w:id="6"/>
      </w:r>
      <w:r w:rsidRPr="00C47151">
        <w:rPr>
          <w:lang w:val="ru-RU"/>
        </w:rPr>
        <w:t xml:space="preserve"> и «Передовы</w:t>
      </w:r>
      <w:r w:rsidR="005F5094">
        <w:rPr>
          <w:lang w:val="ru-RU"/>
        </w:rPr>
        <w:t>е</w:t>
      </w:r>
      <w:r w:rsidRPr="00C47151">
        <w:rPr>
          <w:lang w:val="ru-RU"/>
        </w:rPr>
        <w:t xml:space="preserve"> метод</w:t>
      </w:r>
      <w:r w:rsidR="005F5094">
        <w:rPr>
          <w:lang w:val="ru-RU"/>
        </w:rPr>
        <w:t>ы</w:t>
      </w:r>
      <w:r w:rsidRPr="00C47151">
        <w:rPr>
          <w:lang w:val="ru-RU"/>
        </w:rPr>
        <w:t xml:space="preserve"> использования генетически</w:t>
      </w:r>
      <w:r w:rsidR="00C01C36">
        <w:rPr>
          <w:lang w:val="ru-RU"/>
        </w:rPr>
        <w:t>х</w:t>
      </w:r>
      <w:r w:rsidRPr="00C47151">
        <w:rPr>
          <w:lang w:val="ru-RU"/>
        </w:rPr>
        <w:t xml:space="preserve"> ресурс</w:t>
      </w:r>
      <w:r w:rsidR="00C01C36">
        <w:rPr>
          <w:lang w:val="ru-RU"/>
        </w:rPr>
        <w:t>ов</w:t>
      </w:r>
      <w:r w:rsidRPr="00C47151">
        <w:rPr>
          <w:lang w:val="ru-RU"/>
        </w:rPr>
        <w:t xml:space="preserve"> беспозвоночных</w:t>
      </w:r>
      <w:r w:rsidR="00C01C36">
        <w:rPr>
          <w:lang w:val="ru-RU"/>
        </w:rPr>
        <w:t xml:space="preserve"> для биологического контроля</w:t>
      </w:r>
      <w:r w:rsidRPr="00C47151">
        <w:rPr>
          <w:lang w:val="ru-RU"/>
        </w:rPr>
        <w:t>, значимы</w:t>
      </w:r>
      <w:r w:rsidR="00C01C36">
        <w:rPr>
          <w:lang w:val="ru-RU"/>
        </w:rPr>
        <w:t>х</w:t>
      </w:r>
      <w:r w:rsidRPr="00C47151">
        <w:rPr>
          <w:lang w:val="ru-RU"/>
        </w:rPr>
        <w:t xml:space="preserve"> для производства продовольствия и ведения сельского хозяйства</w:t>
      </w:r>
      <w:r w:rsidR="00C01C36">
        <w:rPr>
          <w:lang w:val="ru-RU"/>
        </w:rPr>
        <w:t>, и обмена ими</w:t>
      </w:r>
      <w:r w:rsidRPr="00C47151">
        <w:rPr>
          <w:lang w:val="ru-RU"/>
        </w:rPr>
        <w:t>» Международной организации по биологическому контролю</w:t>
      </w:r>
      <w:r>
        <w:rPr>
          <w:rStyle w:val="FootnoteReference"/>
          <w:kern w:val="22"/>
        </w:rPr>
        <w:footnoteReference w:id="7"/>
      </w:r>
      <w:r w:rsidRPr="00C47151">
        <w:rPr>
          <w:lang w:val="ru-RU"/>
        </w:rPr>
        <w:t>. Министерство сельского хозяйства и продовольствия Канады использует эти передовые методы в своих собственных исследованиях, направленных на борьбу с инвазивными чужеродными видами в Канаде. Наконец, Канада осуществляет и меры по регулированию ДГРСИВ в рамках Механизма ГПГ.</w:t>
      </w:r>
    </w:p>
    <w:p w14:paraId="395DB3F2" w14:textId="4BC53ED2" w:rsidR="00C47151" w:rsidRPr="00C47151" w:rsidRDefault="00C47151" w:rsidP="00815221">
      <w:pPr>
        <w:pStyle w:val="Heading1longmultiline"/>
        <w:numPr>
          <w:ilvl w:val="0"/>
          <w:numId w:val="43"/>
        </w:numPr>
        <w:suppressLineNumbers/>
        <w:tabs>
          <w:tab w:val="clear" w:pos="720"/>
        </w:tabs>
        <w:suppressAutoHyphens/>
        <w:spacing w:before="120"/>
        <w:ind w:left="1134" w:hanging="567"/>
        <w:rPr>
          <w:b w:val="0"/>
          <w:caps w:val="0"/>
          <w:snapToGrid w:val="0"/>
          <w:kern w:val="22"/>
          <w:szCs w:val="22"/>
          <w:lang w:val="ru-RU"/>
        </w:rPr>
      </w:pPr>
      <w:r w:rsidRPr="00C47151">
        <w:rPr>
          <w:rFonts w:ascii="Times New Roman Bold" w:hAnsi="Times New Roman Bold"/>
          <w:caps w:val="0"/>
          <w:szCs w:val="22"/>
          <w:lang w:val="ru-RU"/>
        </w:rPr>
        <w:t xml:space="preserve">ОБОБЩЕНИЕ МНЕНИЙ О ВОЗМОЖНЫХ КРИТЕРИЯХ, </w:t>
      </w:r>
      <w:r w:rsidR="00C01C36">
        <w:rPr>
          <w:rFonts w:ascii="Times New Roman Bold" w:hAnsi="Times New Roman Bold"/>
          <w:caps w:val="0"/>
          <w:szCs w:val="22"/>
          <w:lang w:val="ru-RU"/>
        </w:rPr>
        <w:t>ПРИВЕДЕННЫХ</w:t>
      </w:r>
      <w:r w:rsidRPr="00C47151">
        <w:rPr>
          <w:rFonts w:ascii="Times New Roman Bold" w:hAnsi="Times New Roman Bold"/>
          <w:caps w:val="0"/>
          <w:szCs w:val="22"/>
          <w:lang w:val="ru-RU"/>
        </w:rPr>
        <w:t xml:space="preserve"> В ИССЛЕДОВАНИИ, С УЧЕТОМ ПУНКТОВ 1-3 СТАТЬИ 4 ПРОТОКОЛА</w:t>
      </w:r>
    </w:p>
    <w:p w14:paraId="5ACD1F35" w14:textId="79EC402D"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 xml:space="preserve">В этом разделе обобщаются представленные мнения о возможных критериях, </w:t>
      </w:r>
      <w:r w:rsidR="00FE77F4">
        <w:rPr>
          <w:lang w:val="ru-RU"/>
        </w:rPr>
        <w:t>приведенных</w:t>
      </w:r>
      <w:r w:rsidRPr="00C47151">
        <w:rPr>
          <w:lang w:val="ru-RU"/>
        </w:rPr>
        <w:t xml:space="preserve"> в исследовании (</w:t>
      </w:r>
      <w:r w:rsidRPr="00FE77F4">
        <w:rPr>
          <w:rStyle w:val="Hyperlink"/>
          <w:szCs w:val="22"/>
        </w:rPr>
        <w:t>CBD</w:t>
      </w:r>
      <w:r w:rsidRPr="00FE77F4">
        <w:rPr>
          <w:rStyle w:val="Hyperlink"/>
          <w:szCs w:val="22"/>
          <w:lang w:val="ru-RU"/>
        </w:rPr>
        <w:t>/</w:t>
      </w:r>
      <w:r w:rsidRPr="00FE77F4">
        <w:rPr>
          <w:rStyle w:val="Hyperlink"/>
          <w:szCs w:val="22"/>
        </w:rPr>
        <w:t>SBI</w:t>
      </w:r>
      <w:r w:rsidRPr="00FE77F4">
        <w:rPr>
          <w:rStyle w:val="Hyperlink"/>
          <w:szCs w:val="22"/>
          <w:lang w:val="ru-RU"/>
        </w:rPr>
        <w:t>/2/</w:t>
      </w:r>
      <w:r w:rsidRPr="00FE77F4">
        <w:rPr>
          <w:rStyle w:val="Hyperlink"/>
          <w:szCs w:val="22"/>
        </w:rPr>
        <w:t>INF</w:t>
      </w:r>
      <w:r w:rsidRPr="00FE77F4">
        <w:rPr>
          <w:rStyle w:val="Hyperlink"/>
          <w:szCs w:val="22"/>
          <w:lang w:val="ru-RU"/>
        </w:rPr>
        <w:t>/17</w:t>
      </w:r>
      <w:r w:rsidRPr="00C47151">
        <w:rPr>
          <w:lang w:val="ru-RU"/>
        </w:rPr>
        <w:t>), с учетом пунктов 1-3 статьи 4 Протокола, в соответствии с решением 3/14. В общей сложности от Сторон, государств, не являющихся Сторонами, и организаций поступило шесть материалов по данному вопросу</w:t>
      </w:r>
      <w:r w:rsidRPr="003F5590">
        <w:rPr>
          <w:rStyle w:val="FootnoteReference"/>
          <w:kern w:val="22"/>
          <w:szCs w:val="22"/>
        </w:rPr>
        <w:footnoteReference w:id="8"/>
      </w:r>
      <w:r w:rsidRPr="00C47151">
        <w:rPr>
          <w:lang w:val="ru-RU"/>
        </w:rPr>
        <w:t xml:space="preserve">. Хотя в содержании различных поступивших материалов имеются некоторые отличия, в то же время в них наблюдается определенное сближение мнений по ряду вопросов, затронутых в рамках решения </w:t>
      </w:r>
      <w:r>
        <w:t>NP</w:t>
      </w:r>
      <w:r w:rsidRPr="00C47151">
        <w:rPr>
          <w:lang w:val="ru-RU"/>
        </w:rPr>
        <w:t>-3/14. В следующих подразделах сделана попытка выявить эти вопросы. Их формулировки приведены курсивом. Далее кратко излагаются пояснения или аргументация в поддержку приведенных соображений. В примечаниях указываются источники, в которых изложены соответствующие точки зрения, с тем чтобы облегчить обращение к оригиналам представленных материалов для дальнейшей информации.</w:t>
      </w:r>
    </w:p>
    <w:p w14:paraId="0A331B5C" w14:textId="77777777" w:rsidR="00C47151" w:rsidRPr="00C47151" w:rsidRDefault="00C47151" w:rsidP="00C47151">
      <w:pPr>
        <w:pStyle w:val="Heading2"/>
        <w:numPr>
          <w:ilvl w:val="0"/>
          <w:numId w:val="42"/>
        </w:numPr>
        <w:suppressLineNumbers/>
        <w:tabs>
          <w:tab w:val="clear" w:pos="720"/>
          <w:tab w:val="left" w:pos="426"/>
        </w:tabs>
        <w:suppressAutoHyphens/>
        <w:ind w:left="0" w:firstLine="0"/>
        <w:rPr>
          <w:kern w:val="22"/>
          <w:szCs w:val="22"/>
          <w:lang w:val="ru-RU"/>
        </w:rPr>
      </w:pPr>
      <w:r w:rsidRPr="00C47151">
        <w:rPr>
          <w:lang w:val="ru-RU"/>
        </w:rPr>
        <w:lastRenderedPageBreak/>
        <w:t>Общие мнения о критериях и их использовании</w:t>
      </w:r>
    </w:p>
    <w:p w14:paraId="65AD497F"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В то время как в некоторых полученных материалах полезность критериев и необходимость в них ставились под сомнение</w:t>
      </w:r>
      <w:r w:rsidRPr="00961A9F">
        <w:rPr>
          <w:rStyle w:val="FootnoteReference"/>
          <w:kern w:val="22"/>
          <w:szCs w:val="22"/>
        </w:rPr>
        <w:footnoteReference w:id="9"/>
      </w:r>
      <w:r w:rsidRPr="00C47151">
        <w:rPr>
          <w:lang w:val="ru-RU"/>
        </w:rPr>
        <w:t>, в одном сообщении, поданном от имени ряда Сторон, было признано, что эти критерии представляют собой удачные контрольные ориентиры применительно к элементам, которые необходимо учитывать в процессе разработки или признания специализированных международных документов, регулирующих ДГРСИВ</w:t>
      </w:r>
      <w:r w:rsidRPr="00961A9F">
        <w:rPr>
          <w:rStyle w:val="FootnoteReference"/>
          <w:kern w:val="22"/>
          <w:szCs w:val="22"/>
        </w:rPr>
        <w:footnoteReference w:id="10"/>
      </w:r>
      <w:r w:rsidRPr="00C47151">
        <w:rPr>
          <w:lang w:val="ru-RU"/>
        </w:rPr>
        <w:t>.</w:t>
      </w:r>
    </w:p>
    <w:p w14:paraId="43E98C5D" w14:textId="77777777" w:rsidR="00C47151" w:rsidRPr="00C47151" w:rsidRDefault="00C47151" w:rsidP="00C47151">
      <w:pPr>
        <w:pStyle w:val="Para1"/>
        <w:numPr>
          <w:ilvl w:val="0"/>
          <w:numId w:val="37"/>
        </w:numPr>
        <w:suppressLineNumbers/>
        <w:tabs>
          <w:tab w:val="num" w:pos="709"/>
        </w:tabs>
        <w:suppressAutoHyphens/>
        <w:ind w:left="0" w:firstLine="0"/>
        <w:rPr>
          <w:kern w:val="22"/>
          <w:szCs w:val="22"/>
          <w:lang w:val="ru-RU"/>
        </w:rPr>
      </w:pPr>
      <w:r w:rsidRPr="00C47151">
        <w:rPr>
          <w:lang w:val="ru-RU"/>
        </w:rPr>
        <w:t>В полученных материалах неоднократно подчеркивалось, что в любых разработанных критериях должны учитываться следующие условия:</w:t>
      </w:r>
    </w:p>
    <w:p w14:paraId="71BAB5F5" w14:textId="77777777" w:rsidR="00C47151" w:rsidRPr="00C47151" w:rsidRDefault="00C47151" w:rsidP="00C47151">
      <w:pPr>
        <w:pStyle w:val="Para1"/>
        <w:numPr>
          <w:ilvl w:val="0"/>
          <w:numId w:val="36"/>
        </w:numPr>
        <w:suppressLineNumbers/>
        <w:suppressAutoHyphens/>
        <w:spacing w:before="0"/>
        <w:ind w:left="0" w:firstLine="720"/>
        <w:rPr>
          <w:kern w:val="22"/>
          <w:szCs w:val="22"/>
          <w:lang w:val="ru-RU"/>
        </w:rPr>
      </w:pPr>
      <w:r w:rsidRPr="00C47151">
        <w:rPr>
          <w:i/>
          <w:iCs/>
          <w:lang w:val="ru-RU"/>
        </w:rPr>
        <w:t>Критерии не должны быть более строгими, чем пункт 4 статьи 4 как таковой:</w:t>
      </w:r>
      <w:r w:rsidRPr="00C47151">
        <w:rPr>
          <w:lang w:val="ru-RU"/>
        </w:rPr>
        <w:t xml:space="preserve"> В ряде полученных материалов, судя по всему, наблюдается согласие по вопросу о том, что любые разработанные критерии не должны сужать охват пункта 4 статьи 4 или носить более ограничительный характер по сравнению с элементами, предусмотренными в этом положении</w:t>
      </w:r>
      <w:r w:rsidRPr="00F80246">
        <w:rPr>
          <w:rStyle w:val="FootnoteReference"/>
          <w:kern w:val="22"/>
          <w:szCs w:val="22"/>
        </w:rPr>
        <w:footnoteReference w:id="11"/>
      </w:r>
      <w:r w:rsidRPr="00C47151">
        <w:rPr>
          <w:lang w:val="ru-RU"/>
        </w:rPr>
        <w:t xml:space="preserve">. Во всех полученных материалах высказано мнение, согласно которому основной критерий, заданный в пункте 4 статьи 4, заключается в том, что </w:t>
      </w:r>
      <w:bookmarkStart w:id="5" w:name="_Hlk36097996"/>
      <w:r w:rsidRPr="00C47151">
        <w:rPr>
          <w:lang w:val="ru-RU"/>
        </w:rPr>
        <w:t>специализированные международные документы, регулирующие ДГРСИВ, должны соответствовать и не должны противоречить целям Конвенции и Протокола, в частности совместному использованию на справедливой и равной основе выгод от применения генетических ресурсов</w:t>
      </w:r>
      <w:bookmarkEnd w:id="5"/>
      <w:r w:rsidRPr="00C47151">
        <w:rPr>
          <w:lang w:val="ru-RU"/>
        </w:rPr>
        <w:t>. Требование, заключающееся в том, что Протокол и любые специализированные международные документы, регулирующие ДГРСИВ, должны быть взаимодополняемыми, специально рассматривается в трех поступивших предложениях</w:t>
      </w:r>
      <w:r w:rsidRPr="00961A9F">
        <w:rPr>
          <w:kern w:val="22"/>
          <w:szCs w:val="22"/>
          <w:vertAlign w:val="superscript"/>
        </w:rPr>
        <w:footnoteReference w:id="12"/>
      </w:r>
      <w:r w:rsidRPr="00C47151">
        <w:rPr>
          <w:lang w:val="ru-RU"/>
        </w:rPr>
        <w:t>;</w:t>
      </w:r>
    </w:p>
    <w:p w14:paraId="22E3609B" w14:textId="77777777" w:rsidR="00C47151" w:rsidRPr="00C47151" w:rsidRDefault="00C47151" w:rsidP="00C47151">
      <w:pPr>
        <w:pStyle w:val="Para1"/>
        <w:numPr>
          <w:ilvl w:val="0"/>
          <w:numId w:val="36"/>
        </w:numPr>
        <w:suppressLineNumbers/>
        <w:suppressAutoHyphens/>
        <w:spacing w:before="0"/>
        <w:ind w:left="0" w:firstLine="720"/>
        <w:rPr>
          <w:kern w:val="22"/>
          <w:szCs w:val="22"/>
          <w:lang w:val="ru-RU"/>
        </w:rPr>
      </w:pPr>
      <w:r w:rsidRPr="00C47151">
        <w:rPr>
          <w:i/>
          <w:iCs/>
          <w:lang w:val="ru-RU"/>
        </w:rPr>
        <w:t>Не создавать никаких иерархических отношений между Протоколом и другими специализированными международными документами, регулирующими ДГРСИВ:</w:t>
      </w:r>
      <w:r w:rsidRPr="00C47151">
        <w:rPr>
          <w:lang w:val="ru-RU"/>
        </w:rPr>
        <w:t xml:space="preserve"> В трех полученных материалах подчеркивалось, что необходимо обеспечить отсутствие иерархических отношений между Протоколом и любыми другими специализированными международными документами, регулирующими ДГРСИВ, вне зависимости от того, как будут идентифицироваться эти документы</w:t>
      </w:r>
      <w:r w:rsidRPr="00961A9F">
        <w:rPr>
          <w:kern w:val="22"/>
          <w:szCs w:val="22"/>
          <w:vertAlign w:val="superscript"/>
        </w:rPr>
        <w:footnoteReference w:id="13"/>
      </w:r>
      <w:r w:rsidRPr="00C47151">
        <w:rPr>
          <w:lang w:val="ru-RU"/>
        </w:rPr>
        <w:t>;</w:t>
      </w:r>
    </w:p>
    <w:p w14:paraId="07FDE3AB" w14:textId="77777777" w:rsidR="00C47151" w:rsidRPr="00C47151" w:rsidRDefault="00C47151" w:rsidP="00C47151">
      <w:pPr>
        <w:pStyle w:val="Para1"/>
        <w:numPr>
          <w:ilvl w:val="0"/>
          <w:numId w:val="36"/>
        </w:numPr>
        <w:suppressLineNumbers/>
        <w:suppressAutoHyphens/>
        <w:spacing w:before="0"/>
        <w:ind w:left="0" w:firstLine="720"/>
        <w:rPr>
          <w:kern w:val="22"/>
          <w:szCs w:val="22"/>
          <w:lang w:val="ru-RU"/>
        </w:rPr>
      </w:pPr>
      <w:r w:rsidRPr="00C47151">
        <w:rPr>
          <w:i/>
          <w:iCs/>
          <w:lang w:val="ru-RU"/>
        </w:rPr>
        <w:t>Обеспечивать гибкость</w:t>
      </w:r>
      <w:r w:rsidRPr="00C47151">
        <w:rPr>
          <w:lang w:val="ru-RU"/>
        </w:rPr>
        <w:t>: В пяти полученных материалах</w:t>
      </w:r>
      <w:r w:rsidRPr="00961A9F">
        <w:rPr>
          <w:rStyle w:val="FootnoteReference"/>
          <w:kern w:val="22"/>
          <w:szCs w:val="22"/>
        </w:rPr>
        <w:footnoteReference w:id="14"/>
      </w:r>
      <w:r w:rsidRPr="00C47151">
        <w:rPr>
          <w:lang w:val="ru-RU"/>
        </w:rPr>
        <w:t xml:space="preserve"> было выражено мнение, согласно которому любые разработанные критерии: </w:t>
      </w:r>
      <w:proofErr w:type="spellStart"/>
      <w:r>
        <w:t>i</w:t>
      </w:r>
      <w:proofErr w:type="spellEnd"/>
      <w:r w:rsidRPr="00C47151">
        <w:rPr>
          <w:lang w:val="ru-RU"/>
        </w:rPr>
        <w:t xml:space="preserve">) должны поощрять гибкость и специализацию; </w:t>
      </w:r>
      <w:r>
        <w:t>ii</w:t>
      </w:r>
      <w:r w:rsidRPr="00C47151">
        <w:rPr>
          <w:lang w:val="ru-RU"/>
        </w:rPr>
        <w:t xml:space="preserve">) не должны препятствовать ценным инициативам Сторон; и </w:t>
      </w:r>
      <w:r>
        <w:t>iii</w:t>
      </w:r>
      <w:r w:rsidRPr="00C47151">
        <w:rPr>
          <w:lang w:val="ru-RU"/>
        </w:rPr>
        <w:t>) не должны подрывать права Сторон на разработку надлежащих специализированных режимов. С другой стороны, было отмечено, что такие критерии не должны ослаблять юридически обязывающие положения Нагойского протокола</w:t>
      </w:r>
      <w:r w:rsidRPr="00C20F6C">
        <w:rPr>
          <w:rStyle w:val="FootnoteReference"/>
          <w:kern w:val="22"/>
          <w:szCs w:val="22"/>
        </w:rPr>
        <w:footnoteReference w:id="15"/>
      </w:r>
      <w:r w:rsidRPr="00C47151">
        <w:rPr>
          <w:lang w:val="ru-RU"/>
        </w:rPr>
        <w:t>. Одна из Сторон высказала точку зрения, согласно которой критерии должны быть скорректированы таким образом, чтобы обеспечить подпадание под эти критерии Механизма ГПГ Всемирной организации здравоохранения</w:t>
      </w:r>
      <w:r w:rsidRPr="00C20F6C">
        <w:rPr>
          <w:rStyle w:val="FootnoteReference"/>
          <w:kern w:val="22"/>
          <w:szCs w:val="22"/>
        </w:rPr>
        <w:footnoteReference w:id="16"/>
      </w:r>
      <w:r w:rsidRPr="00C47151">
        <w:rPr>
          <w:lang w:val="ru-RU"/>
        </w:rPr>
        <w:t>;</w:t>
      </w:r>
    </w:p>
    <w:p w14:paraId="3213C3EE" w14:textId="160EBAE1" w:rsidR="00C47151" w:rsidRPr="00C47151" w:rsidRDefault="00C47151" w:rsidP="00C47151">
      <w:pPr>
        <w:pStyle w:val="Para1"/>
        <w:numPr>
          <w:ilvl w:val="0"/>
          <w:numId w:val="36"/>
        </w:numPr>
        <w:suppressLineNumbers/>
        <w:suppressAutoHyphens/>
        <w:spacing w:before="0"/>
        <w:ind w:left="0" w:firstLine="720"/>
        <w:rPr>
          <w:kern w:val="22"/>
          <w:szCs w:val="22"/>
          <w:lang w:val="ru-RU"/>
        </w:rPr>
      </w:pPr>
      <w:r w:rsidRPr="00C47151">
        <w:rPr>
          <w:i/>
          <w:iCs/>
          <w:lang w:val="ru-RU"/>
        </w:rPr>
        <w:t xml:space="preserve">Учитывать общие принципы права и концепцию </w:t>
      </w:r>
      <w:proofErr w:type="spellStart"/>
      <w:r>
        <w:rPr>
          <w:i/>
          <w:iCs/>
        </w:rPr>
        <w:t>lex</w:t>
      </w:r>
      <w:proofErr w:type="spellEnd"/>
      <w:r w:rsidRPr="00C47151">
        <w:rPr>
          <w:i/>
          <w:iCs/>
          <w:lang w:val="ru-RU"/>
        </w:rPr>
        <w:t xml:space="preserve"> </w:t>
      </w:r>
      <w:proofErr w:type="spellStart"/>
      <w:r>
        <w:rPr>
          <w:i/>
          <w:iCs/>
        </w:rPr>
        <w:t>specialis</w:t>
      </w:r>
      <w:proofErr w:type="spellEnd"/>
      <w:r w:rsidRPr="00C20F6C">
        <w:rPr>
          <w:rStyle w:val="FootnoteReference"/>
          <w:kern w:val="22"/>
          <w:szCs w:val="22"/>
        </w:rPr>
        <w:footnoteReference w:id="17"/>
      </w:r>
      <w:r w:rsidR="00AE7A69">
        <w:rPr>
          <w:i/>
          <w:iCs/>
          <w:lang w:val="ru-RU"/>
        </w:rPr>
        <w:t xml:space="preserve">: </w:t>
      </w:r>
      <w:r w:rsidRPr="00C47151">
        <w:rPr>
          <w:lang w:val="ru-RU"/>
        </w:rPr>
        <w:t>С другой стороны, в одном из поступивших материалов</w:t>
      </w:r>
      <w:r w:rsidRPr="00C20F6C">
        <w:rPr>
          <w:rStyle w:val="FootnoteReference"/>
          <w:kern w:val="22"/>
          <w:szCs w:val="22"/>
        </w:rPr>
        <w:footnoteReference w:id="18"/>
      </w:r>
      <w:r w:rsidRPr="00C47151">
        <w:rPr>
          <w:lang w:val="ru-RU"/>
        </w:rPr>
        <w:t xml:space="preserve"> содержится предостережение против потенциальной фрагментации международных документов, регулирующих ДГРСИВ, и о том, что чрезмерное </w:t>
      </w:r>
      <w:r w:rsidRPr="00C47151">
        <w:rPr>
          <w:lang w:val="ru-RU"/>
        </w:rPr>
        <w:lastRenderedPageBreak/>
        <w:t>количество международных документов, регулирующих ДГРСИВ, может оказать пагубное воздействие на осуществление, координацию и подотчетность на национальном уровне.</w:t>
      </w:r>
    </w:p>
    <w:p w14:paraId="3B504CC4" w14:textId="77777777" w:rsidR="00C47151" w:rsidRPr="00C47151" w:rsidRDefault="00C47151" w:rsidP="00C47151">
      <w:pPr>
        <w:pStyle w:val="Heading2"/>
        <w:numPr>
          <w:ilvl w:val="0"/>
          <w:numId w:val="42"/>
        </w:numPr>
        <w:suppressLineNumbers/>
        <w:tabs>
          <w:tab w:val="clear" w:pos="720"/>
        </w:tabs>
        <w:suppressAutoHyphens/>
        <w:ind w:left="1418" w:hanging="567"/>
        <w:jc w:val="left"/>
        <w:rPr>
          <w:kern w:val="22"/>
          <w:szCs w:val="22"/>
          <w:lang w:val="ru-RU"/>
        </w:rPr>
      </w:pPr>
      <w:r w:rsidRPr="00C47151">
        <w:rPr>
          <w:lang w:val="ru-RU"/>
        </w:rPr>
        <w:t>Мнения о возможном процессе признания специализированных международных документов для регулирования ДГРСИВ</w:t>
      </w:r>
    </w:p>
    <w:p w14:paraId="129DC3BD" w14:textId="72425E52" w:rsidR="00C47151" w:rsidRPr="00AE7A69"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В целом ряде полученных материалов высказываются с</w:t>
      </w:r>
      <w:r w:rsidR="00A45B66">
        <w:rPr>
          <w:lang w:val="ru-RU"/>
        </w:rPr>
        <w:t>ходные мнения, согласно которым необходимость</w:t>
      </w:r>
      <w:r w:rsidRPr="00C47151">
        <w:rPr>
          <w:lang w:val="ru-RU"/>
        </w:rPr>
        <w:t xml:space="preserve"> в официально учрежденном процессе признания специализированных международных документов для регулирования ДГРСИВ</w:t>
      </w:r>
      <w:r w:rsidR="00A45B66">
        <w:rPr>
          <w:lang w:val="ru-RU"/>
        </w:rPr>
        <w:t xml:space="preserve"> отсутствует</w:t>
      </w:r>
      <w:r w:rsidRPr="00AE7A69">
        <w:rPr>
          <w:lang w:val="ru-RU"/>
        </w:rPr>
        <w:t>. Приведенные в этой связи аргументы заключаются в следующем:</w:t>
      </w:r>
    </w:p>
    <w:p w14:paraId="496AD68B" w14:textId="77777777" w:rsidR="00C47151" w:rsidRPr="00C47151" w:rsidRDefault="00C47151" w:rsidP="00C47151">
      <w:pPr>
        <w:pStyle w:val="Para1"/>
        <w:numPr>
          <w:ilvl w:val="0"/>
          <w:numId w:val="41"/>
        </w:numPr>
        <w:suppressLineNumbers/>
        <w:suppressAutoHyphens/>
        <w:spacing w:before="0"/>
        <w:ind w:left="0" w:firstLine="720"/>
        <w:rPr>
          <w:bCs/>
          <w:kern w:val="22"/>
          <w:szCs w:val="22"/>
          <w:lang w:val="ru-RU"/>
        </w:rPr>
      </w:pPr>
      <w:r w:rsidRPr="00C47151">
        <w:rPr>
          <w:lang w:val="ru-RU"/>
        </w:rPr>
        <w:t xml:space="preserve">признание того или иного специализированного международного документа, регулирующего ДГРСИВ, считается суверенным решением каждого государства </w:t>
      </w:r>
      <w:r w:rsidRPr="00C20F6C">
        <w:rPr>
          <w:rStyle w:val="FootnoteReference"/>
          <w:rFonts w:eastAsiaTheme="minorHAnsi"/>
          <w:snapToGrid/>
          <w:kern w:val="22"/>
          <w:szCs w:val="22"/>
        </w:rPr>
        <w:footnoteReference w:id="19"/>
      </w:r>
      <w:r w:rsidRPr="00C47151">
        <w:rPr>
          <w:lang w:val="ru-RU"/>
        </w:rPr>
        <w:t>;</w:t>
      </w:r>
    </w:p>
    <w:p w14:paraId="22B564C5" w14:textId="77777777" w:rsidR="00C47151" w:rsidRPr="00C47151" w:rsidRDefault="00C47151" w:rsidP="00C47151">
      <w:pPr>
        <w:pStyle w:val="Para1"/>
        <w:numPr>
          <w:ilvl w:val="0"/>
          <w:numId w:val="41"/>
        </w:numPr>
        <w:suppressLineNumbers/>
        <w:suppressAutoHyphens/>
        <w:spacing w:before="0"/>
        <w:ind w:left="0" w:firstLine="720"/>
        <w:rPr>
          <w:bCs/>
          <w:kern w:val="22"/>
          <w:szCs w:val="22"/>
          <w:lang w:val="ru-RU"/>
        </w:rPr>
      </w:pPr>
      <w:r w:rsidRPr="00C47151">
        <w:rPr>
          <w:lang w:val="ru-RU"/>
        </w:rPr>
        <w:t>пункт 4 статьи 4 не требует официального процесса признания</w:t>
      </w:r>
      <w:r w:rsidRPr="00F80246">
        <w:rPr>
          <w:rStyle w:val="FootnoteReference"/>
          <w:rFonts w:eastAsiaTheme="minorHAnsi"/>
          <w:snapToGrid/>
          <w:kern w:val="22"/>
          <w:szCs w:val="22"/>
        </w:rPr>
        <w:footnoteReference w:id="20"/>
      </w:r>
      <w:r w:rsidRPr="00C47151">
        <w:rPr>
          <w:lang w:val="ru-RU"/>
        </w:rPr>
        <w:t>, и среди Сторон отсутствует консенсус касательно необходимости подобного процесса</w:t>
      </w:r>
      <w:r w:rsidRPr="00C20F6C">
        <w:rPr>
          <w:rStyle w:val="FootnoteReference"/>
          <w:bCs/>
          <w:kern w:val="22"/>
          <w:szCs w:val="22"/>
        </w:rPr>
        <w:footnoteReference w:id="21"/>
      </w:r>
      <w:r w:rsidRPr="00C47151">
        <w:rPr>
          <w:lang w:val="ru-RU"/>
        </w:rPr>
        <w:t>;</w:t>
      </w:r>
    </w:p>
    <w:p w14:paraId="23E79DFA" w14:textId="77777777" w:rsidR="00C47151" w:rsidRPr="00C47151" w:rsidRDefault="00C47151" w:rsidP="00C47151">
      <w:pPr>
        <w:pStyle w:val="Para1"/>
        <w:numPr>
          <w:ilvl w:val="0"/>
          <w:numId w:val="41"/>
        </w:numPr>
        <w:suppressLineNumbers/>
        <w:suppressAutoHyphens/>
        <w:spacing w:before="0"/>
        <w:ind w:left="0" w:firstLine="720"/>
        <w:rPr>
          <w:bCs/>
          <w:kern w:val="22"/>
          <w:szCs w:val="22"/>
          <w:lang w:val="ru-RU"/>
        </w:rPr>
      </w:pPr>
      <w:r w:rsidRPr="00C47151">
        <w:rPr>
          <w:lang w:val="ru-RU"/>
        </w:rPr>
        <w:t>Конвенция и Нагойский протокол не располагают компетенцией для принятия решений в отношении других международных документов</w:t>
      </w:r>
      <w:r w:rsidRPr="00C20F6C">
        <w:rPr>
          <w:rStyle w:val="FootnoteReference"/>
          <w:bCs/>
          <w:kern w:val="22"/>
          <w:szCs w:val="22"/>
        </w:rPr>
        <w:footnoteReference w:id="22"/>
      </w:r>
      <w:r w:rsidRPr="00C47151">
        <w:rPr>
          <w:lang w:val="ru-RU"/>
        </w:rPr>
        <w:t>;</w:t>
      </w:r>
    </w:p>
    <w:p w14:paraId="07A45372" w14:textId="77777777" w:rsidR="00C47151" w:rsidRPr="00C47151" w:rsidRDefault="00C47151" w:rsidP="00C47151">
      <w:pPr>
        <w:pStyle w:val="Para1"/>
        <w:numPr>
          <w:ilvl w:val="0"/>
          <w:numId w:val="41"/>
        </w:numPr>
        <w:suppressLineNumbers/>
        <w:suppressAutoHyphens/>
        <w:spacing w:before="0"/>
        <w:ind w:left="0" w:firstLine="720"/>
        <w:rPr>
          <w:bCs/>
          <w:kern w:val="22"/>
          <w:szCs w:val="22"/>
          <w:lang w:val="ru-RU"/>
        </w:rPr>
      </w:pPr>
      <w:r w:rsidRPr="00C47151">
        <w:rPr>
          <w:lang w:val="ru-RU"/>
        </w:rPr>
        <w:t>разработка критериев, выступающих в качестве характеристик того или иного специализированного международного документа для регулирования ДГРСИВ, будет зависеть от того, о каком генетическом ресурсе идет речь, и от цели соответствующего документа</w:t>
      </w:r>
      <w:r w:rsidRPr="00C47151">
        <w:rPr>
          <w:rStyle w:val="FootnoteReference"/>
          <w:snapToGrid/>
          <w:szCs w:val="22"/>
          <w:lang w:val="ru-RU"/>
        </w:rPr>
        <w:t>.</w:t>
      </w:r>
      <w:r w:rsidRPr="00C20F6C">
        <w:rPr>
          <w:rStyle w:val="FootnoteReference"/>
          <w:rFonts w:eastAsiaTheme="minorHAnsi"/>
          <w:snapToGrid/>
          <w:kern w:val="22"/>
          <w:szCs w:val="22"/>
        </w:rPr>
        <w:footnoteReference w:id="23"/>
      </w:r>
    </w:p>
    <w:p w14:paraId="4621E4CD" w14:textId="77777777" w:rsidR="00C47151" w:rsidRPr="00C47151" w:rsidRDefault="00C47151" w:rsidP="00C47151">
      <w:pPr>
        <w:pStyle w:val="Para1"/>
        <w:numPr>
          <w:ilvl w:val="0"/>
          <w:numId w:val="37"/>
        </w:numPr>
        <w:suppressLineNumbers/>
        <w:tabs>
          <w:tab w:val="num" w:pos="709"/>
        </w:tabs>
        <w:suppressAutoHyphens/>
        <w:ind w:left="0" w:firstLine="0"/>
        <w:rPr>
          <w:spacing w:val="-2"/>
          <w:kern w:val="22"/>
          <w:szCs w:val="22"/>
          <w:lang w:val="ru-RU"/>
        </w:rPr>
      </w:pPr>
      <w:r w:rsidRPr="00C47151">
        <w:rPr>
          <w:lang w:val="ru-RU"/>
        </w:rPr>
        <w:t>В целом, судя по всему, может считаться полезным наличие критериев, выступающих в качестве контрольных ориентиров или элементов, рассматриваемых как руководящие указания в процессе разработки или признания специализированных международных документов для регулирования ДГРСИВ, однако нет необходимости в создании официального набора правил для признания специализированных международных документов, регулирующих ДГРСИВ.</w:t>
      </w:r>
    </w:p>
    <w:p w14:paraId="1D5362A5" w14:textId="77777777" w:rsidR="00C47151" w:rsidRPr="00A45B66" w:rsidRDefault="00C47151" w:rsidP="00C47151">
      <w:pPr>
        <w:pStyle w:val="Heading2"/>
        <w:numPr>
          <w:ilvl w:val="0"/>
          <w:numId w:val="42"/>
        </w:numPr>
        <w:suppressLineNumbers/>
        <w:suppressAutoHyphens/>
        <w:rPr>
          <w:kern w:val="22"/>
          <w:szCs w:val="22"/>
          <w:lang w:val="ru-RU"/>
        </w:rPr>
      </w:pPr>
      <w:r w:rsidRPr="00A45B66">
        <w:rPr>
          <w:lang w:val="ru-RU"/>
        </w:rPr>
        <w:t>Мнения о критериях как таковых</w:t>
      </w:r>
    </w:p>
    <w:p w14:paraId="22FC0313" w14:textId="77777777" w:rsidR="00C47151" w:rsidRPr="00C47151" w:rsidRDefault="00C47151" w:rsidP="00C47151">
      <w:pPr>
        <w:pStyle w:val="ListParagraph"/>
        <w:keepNext/>
        <w:numPr>
          <w:ilvl w:val="0"/>
          <w:numId w:val="38"/>
        </w:numPr>
        <w:suppressLineNumbers/>
        <w:tabs>
          <w:tab w:val="left" w:pos="284"/>
        </w:tabs>
        <w:suppressAutoHyphens/>
        <w:spacing w:before="120" w:after="120"/>
        <w:ind w:left="0" w:firstLine="0"/>
        <w:contextualSpacing w:val="0"/>
        <w:jc w:val="center"/>
        <w:rPr>
          <w:i/>
          <w:kern w:val="22"/>
          <w:szCs w:val="22"/>
          <w:lang w:val="ru-RU"/>
        </w:rPr>
      </w:pPr>
      <w:r w:rsidRPr="00C47151">
        <w:rPr>
          <w:i/>
          <w:szCs w:val="22"/>
          <w:lang w:val="ru-RU"/>
        </w:rPr>
        <w:t>Критерий 1: Специализированные международные документы для регулирования ДГРСИВ должны быть согласованы на межправительственном уровне</w:t>
      </w:r>
    </w:p>
    <w:p w14:paraId="390EAD0B" w14:textId="77777777"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В двух полученных материалах</w:t>
      </w:r>
      <w:r w:rsidRPr="00C20F6C">
        <w:rPr>
          <w:bCs/>
          <w:kern w:val="22"/>
          <w:szCs w:val="22"/>
          <w:vertAlign w:val="superscript"/>
        </w:rPr>
        <w:footnoteReference w:id="24"/>
      </w:r>
      <w:r w:rsidRPr="00C47151">
        <w:rPr>
          <w:lang w:val="ru-RU"/>
        </w:rPr>
        <w:t xml:space="preserve"> было высказано мнение о том, что специализированные международные документы для регулирования ДГРСИВ должны быть согласованы на межправительственном или международном уровне.</w:t>
      </w:r>
    </w:p>
    <w:p w14:paraId="0311613B" w14:textId="46F69837"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В одном из полученных материалов</w:t>
      </w:r>
      <w:r w:rsidRPr="009F665A">
        <w:rPr>
          <w:rStyle w:val="FootnoteReference"/>
          <w:kern w:val="22"/>
          <w:szCs w:val="22"/>
        </w:rPr>
        <w:footnoteReference w:id="25"/>
      </w:r>
      <w:r w:rsidRPr="00C47151">
        <w:rPr>
          <w:lang w:val="ru-RU"/>
        </w:rPr>
        <w:t xml:space="preserve"> было </w:t>
      </w:r>
      <w:r w:rsidR="002809C0">
        <w:rPr>
          <w:lang w:val="ru-RU"/>
        </w:rPr>
        <w:t xml:space="preserve">в том числе </w:t>
      </w:r>
      <w:r w:rsidRPr="00C47151">
        <w:rPr>
          <w:lang w:val="ru-RU"/>
        </w:rPr>
        <w:t>заявлено, что они должны разрабатываться в рамках межправительственного процесса, тогда как в других поступивших материалах</w:t>
      </w:r>
      <w:r w:rsidRPr="00C20F6C">
        <w:rPr>
          <w:rStyle w:val="FootnoteReference"/>
          <w:bCs/>
          <w:kern w:val="22"/>
          <w:szCs w:val="22"/>
        </w:rPr>
        <w:footnoteReference w:id="26"/>
      </w:r>
      <w:r w:rsidRPr="00C47151">
        <w:rPr>
          <w:lang w:val="ru-RU"/>
        </w:rPr>
        <w:t xml:space="preserve"> высказывались мнения, согласно которым то, каким образом разрабатывается то</w:t>
      </w:r>
      <w:r w:rsidR="002809C0">
        <w:rPr>
          <w:lang w:val="ru-RU"/>
        </w:rPr>
        <w:t>т</w:t>
      </w:r>
      <w:r w:rsidRPr="00C47151">
        <w:rPr>
          <w:lang w:val="ru-RU"/>
        </w:rPr>
        <w:t xml:space="preserve"> или иной документ, может быть несущественно. В одном из поступивших материалов</w:t>
      </w:r>
      <w:r w:rsidRPr="00C20F6C">
        <w:rPr>
          <w:bCs/>
          <w:kern w:val="22"/>
          <w:szCs w:val="22"/>
          <w:vertAlign w:val="superscript"/>
        </w:rPr>
        <w:footnoteReference w:id="27"/>
      </w:r>
      <w:r w:rsidRPr="00C47151">
        <w:rPr>
          <w:lang w:val="ru-RU"/>
        </w:rPr>
        <w:t xml:space="preserve"> было отмечено, что не всегда имеет значение, был ли документ разработан в рамках межправительственного процесса, но действительно важно и целесообразно, чтобы такие документы были одобрены государствами или правительствами. Например, как заявлено в этом материале, тот или иной международный документ может возникнуть в результате официального процесса в рамках </w:t>
      </w:r>
      <w:r w:rsidRPr="00C47151">
        <w:rPr>
          <w:lang w:val="ru-RU"/>
        </w:rPr>
        <w:lastRenderedPageBreak/>
        <w:t>определенной международной организации, а затем быть принятым в соответствии с ее правилами и процедурами. Кроме того, специализированный международный документ может сформироваться в результате существующей практики, а затем получить одобрение одной из международных организаций, либо в результате неофициального сотрудничества, например, той или иной инициативы регионального сотрудничества</w:t>
      </w:r>
      <w:r w:rsidRPr="00C20F6C">
        <w:rPr>
          <w:bCs/>
          <w:kern w:val="22"/>
          <w:szCs w:val="22"/>
          <w:vertAlign w:val="superscript"/>
        </w:rPr>
        <w:footnoteReference w:id="28"/>
      </w:r>
      <w:r w:rsidRPr="00C47151">
        <w:rPr>
          <w:lang w:val="ru-RU"/>
        </w:rPr>
        <w:t>.</w:t>
      </w:r>
    </w:p>
    <w:p w14:paraId="4CCBCCEE" w14:textId="3F99DFE9"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 xml:space="preserve">В двух полученных материалах были высказаны сходные мнения о том, что такой документ </w:t>
      </w:r>
      <w:r w:rsidR="002809C0">
        <w:rPr>
          <w:lang w:val="ru-RU"/>
        </w:rPr>
        <w:t>необязательно должен</w:t>
      </w:r>
      <w:r w:rsidRPr="00C47151">
        <w:rPr>
          <w:lang w:val="ru-RU"/>
        </w:rPr>
        <w:t xml:space="preserve"> быть юридически обязывающим</w:t>
      </w:r>
      <w:r w:rsidRPr="00C20F6C">
        <w:rPr>
          <w:rStyle w:val="FootnoteReference"/>
          <w:bCs/>
          <w:kern w:val="22"/>
          <w:szCs w:val="22"/>
        </w:rPr>
        <w:footnoteReference w:id="29"/>
      </w:r>
      <w:r w:rsidRPr="00C47151">
        <w:rPr>
          <w:lang w:val="ru-RU"/>
        </w:rPr>
        <w:t>.</w:t>
      </w:r>
    </w:p>
    <w:p w14:paraId="41819EA7" w14:textId="77777777" w:rsidR="00C47151" w:rsidRPr="00C47151" w:rsidRDefault="00C47151" w:rsidP="00C47151">
      <w:pPr>
        <w:pStyle w:val="ListParagraph"/>
        <w:keepNext/>
        <w:numPr>
          <w:ilvl w:val="0"/>
          <w:numId w:val="38"/>
        </w:numPr>
        <w:suppressLineNumbers/>
        <w:tabs>
          <w:tab w:val="left" w:pos="284"/>
        </w:tabs>
        <w:suppressAutoHyphens/>
        <w:ind w:left="0" w:firstLine="0"/>
        <w:contextualSpacing w:val="0"/>
        <w:jc w:val="center"/>
        <w:rPr>
          <w:i/>
          <w:kern w:val="22"/>
          <w:szCs w:val="22"/>
          <w:lang w:val="ru-RU"/>
        </w:rPr>
      </w:pPr>
      <w:r w:rsidRPr="00C47151">
        <w:rPr>
          <w:i/>
          <w:szCs w:val="22"/>
          <w:lang w:val="ru-RU"/>
        </w:rPr>
        <w:t>Критерий 2: Специализированные международные документы, регулирующие ДГРСИВ, должны носить специализированный характер</w:t>
      </w:r>
    </w:p>
    <w:p w14:paraId="24B0557F" w14:textId="0DDFA1E1"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 xml:space="preserve">В одном из полученных материалов отмечалось, что «требование» дифференцированного подхода в подкритерии </w:t>
      </w:r>
      <w:r>
        <w:t>b</w:t>
      </w:r>
      <w:r w:rsidRPr="00C47151">
        <w:rPr>
          <w:lang w:val="ru-RU"/>
        </w:rPr>
        <w:t>), т. е. «документ применяется в отношении определенных видов использования генетических ресурсов и/или традиционных знаний, связанных с генетическими ресурсами, что предполагает дифференцированный и, следовательно, специализированный подход», может представлять трудности для анализа на практике, и могут существовать определенные наборы или определенные виды использования генетических ресурсов, в отношении которых специализированный подход может быть более удобным, но при этом не носить обязательного характера</w:t>
      </w:r>
      <w:r w:rsidRPr="00C20F6C">
        <w:rPr>
          <w:bCs/>
          <w:kern w:val="22"/>
          <w:szCs w:val="22"/>
          <w:vertAlign w:val="superscript"/>
        </w:rPr>
        <w:footnoteReference w:id="30"/>
      </w:r>
      <w:r w:rsidRPr="00C47151">
        <w:rPr>
          <w:lang w:val="ru-RU"/>
        </w:rPr>
        <w:t>.</w:t>
      </w:r>
    </w:p>
    <w:p w14:paraId="1BCCA109" w14:textId="35A97D66"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В других полученных материалах, в которых содержатся замечания по этому критерию, было выска</w:t>
      </w:r>
      <w:r w:rsidR="005116AD">
        <w:rPr>
          <w:lang w:val="ru-RU"/>
        </w:rPr>
        <w:t>зано мнение, что подкритерии</w:t>
      </w:r>
      <w:r w:rsidRPr="00C47151">
        <w:rPr>
          <w:lang w:val="ru-RU"/>
        </w:rPr>
        <w:t xml:space="preserve"> </w:t>
      </w:r>
      <w:r>
        <w:t>a</w:t>
      </w:r>
      <w:r w:rsidRPr="00C47151">
        <w:rPr>
          <w:lang w:val="ru-RU"/>
        </w:rPr>
        <w:t xml:space="preserve">), т.е. «документ 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 и </w:t>
      </w:r>
      <w:r>
        <w:t>b</w:t>
      </w:r>
      <w:r w:rsidRPr="00C47151">
        <w:rPr>
          <w:lang w:val="ru-RU"/>
        </w:rPr>
        <w:t>) не должны носить кумулятивного характера</w:t>
      </w:r>
      <w:r w:rsidRPr="00C20F6C">
        <w:rPr>
          <w:bCs/>
          <w:kern w:val="22"/>
          <w:szCs w:val="22"/>
          <w:vertAlign w:val="superscript"/>
        </w:rPr>
        <w:footnoteReference w:id="31"/>
      </w:r>
      <w:r w:rsidRPr="00C47151">
        <w:rPr>
          <w:lang w:val="ru-RU"/>
        </w:rPr>
        <w:t>.</w:t>
      </w:r>
    </w:p>
    <w:p w14:paraId="144A9D14" w14:textId="77777777" w:rsidR="00C47151" w:rsidRPr="00C47151" w:rsidRDefault="00C47151" w:rsidP="00C47151">
      <w:pPr>
        <w:pStyle w:val="ListParagraph"/>
        <w:numPr>
          <w:ilvl w:val="0"/>
          <w:numId w:val="38"/>
        </w:numPr>
        <w:suppressLineNumbers/>
        <w:tabs>
          <w:tab w:val="left" w:pos="284"/>
        </w:tabs>
        <w:suppressAutoHyphens/>
        <w:ind w:left="0" w:firstLine="0"/>
        <w:contextualSpacing w:val="0"/>
        <w:jc w:val="center"/>
        <w:rPr>
          <w:i/>
          <w:kern w:val="22"/>
          <w:szCs w:val="22"/>
          <w:lang w:val="ru-RU"/>
        </w:rPr>
      </w:pPr>
      <w:r w:rsidRPr="00C47151">
        <w:rPr>
          <w:i/>
          <w:szCs w:val="22"/>
          <w:lang w:val="ru-RU"/>
        </w:rPr>
        <w:t>Критерий 3: Специализированные международные документы, регулирующие ДГРСИВ, должны быть взаимодополняемыми</w:t>
      </w:r>
    </w:p>
    <w:p w14:paraId="0D78D4B2" w14:textId="77777777"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Ни в одном из полученных материалов не ставился под сомнение критерий, согласно которому Протокол и любой специализированный международный документ для регулирования ДГРСИВ должны быть взаимодополняемыми.</w:t>
      </w:r>
    </w:p>
    <w:p w14:paraId="6F846EA1" w14:textId="0AD3A162"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В то время как одна из Сторон высказалась за соблюдение всех подкритериев, предложенных в рамках критерия 3</w:t>
      </w:r>
      <w:r w:rsidRPr="00C20F6C">
        <w:rPr>
          <w:bCs/>
          <w:kern w:val="22"/>
          <w:szCs w:val="22"/>
          <w:vertAlign w:val="superscript"/>
        </w:rPr>
        <w:footnoteReference w:id="32"/>
      </w:r>
      <w:r w:rsidRPr="00C47151">
        <w:rPr>
          <w:lang w:val="ru-RU"/>
        </w:rPr>
        <w:t>, в других полученных материалах были выражены мнения, согласно которым эти подкритерии</w:t>
      </w:r>
      <w:r w:rsidRPr="00C20F6C">
        <w:rPr>
          <w:rStyle w:val="FootnoteReference"/>
          <w:bCs/>
          <w:kern w:val="22"/>
          <w:szCs w:val="22"/>
        </w:rPr>
        <w:footnoteReference w:id="33"/>
      </w:r>
      <w:r w:rsidRPr="00C47151">
        <w:rPr>
          <w:lang w:val="ru-RU"/>
        </w:rPr>
        <w:t xml:space="preserve"> носят слишком общий характер или даже недостаточно ясно сформулированы, а потому</w:t>
      </w:r>
      <w:r w:rsidR="00742ABB">
        <w:rPr>
          <w:lang w:val="ru-RU"/>
        </w:rPr>
        <w:t xml:space="preserve"> будет</w:t>
      </w:r>
      <w:r w:rsidRPr="00C47151">
        <w:rPr>
          <w:lang w:val="ru-RU"/>
        </w:rPr>
        <w:t xml:space="preserve"> очень трудно обеспечить их полное соблюдение, а также применение и оценку</w:t>
      </w:r>
      <w:r w:rsidRPr="00C20F6C">
        <w:rPr>
          <w:bCs/>
          <w:kern w:val="22"/>
          <w:szCs w:val="22"/>
          <w:vertAlign w:val="superscript"/>
        </w:rPr>
        <w:footnoteReference w:id="34"/>
      </w:r>
      <w:r w:rsidRPr="00C47151">
        <w:rPr>
          <w:lang w:val="ru-RU"/>
        </w:rPr>
        <w:t>. Далее было указано, что отсутствует ясность в том, носят ли эти подкритерии кумулятивный характер</w:t>
      </w:r>
      <w:r w:rsidRPr="00C20F6C">
        <w:rPr>
          <w:bCs/>
          <w:kern w:val="22"/>
          <w:szCs w:val="22"/>
          <w:vertAlign w:val="superscript"/>
        </w:rPr>
        <w:footnoteReference w:id="35"/>
      </w:r>
      <w:r w:rsidRPr="00C47151">
        <w:rPr>
          <w:lang w:val="ru-RU"/>
        </w:rPr>
        <w:t xml:space="preserve">. Одна из Сторон отметила, что подкритерий </w:t>
      </w:r>
      <w:r>
        <w:t>a</w:t>
      </w:r>
      <w:r w:rsidRPr="00C47151">
        <w:rPr>
          <w:lang w:val="ru-RU"/>
        </w:rPr>
        <w:t>), «соответствие целям сохранения и устойчивого использования биоразнообразия», неприменим к патогенам, которые подлежат искоренению.</w:t>
      </w:r>
    </w:p>
    <w:p w14:paraId="4694F8A5" w14:textId="58D3BE6A" w:rsidR="00C47151" w:rsidRPr="00F80246" w:rsidRDefault="00C47151" w:rsidP="00C47151">
      <w:pPr>
        <w:pStyle w:val="Para1"/>
        <w:numPr>
          <w:ilvl w:val="0"/>
          <w:numId w:val="37"/>
        </w:numPr>
        <w:suppressLineNumbers/>
        <w:tabs>
          <w:tab w:val="num" w:pos="709"/>
        </w:tabs>
        <w:suppressAutoHyphens/>
        <w:ind w:left="0" w:firstLine="0"/>
        <w:rPr>
          <w:kern w:val="22"/>
          <w:szCs w:val="22"/>
        </w:rPr>
      </w:pPr>
      <w:r w:rsidRPr="00C47151">
        <w:rPr>
          <w:lang w:val="ru-RU"/>
        </w:rPr>
        <w:lastRenderedPageBreak/>
        <w:t xml:space="preserve">В одном из полученных материалов было предложено, чтобы этот критерий был сформулирован следующим образом: «документ соответствует </w:t>
      </w:r>
      <w:r w:rsidR="00742ABB">
        <w:rPr>
          <w:lang w:val="ru-RU"/>
        </w:rPr>
        <w:t>(</w:t>
      </w:r>
      <w:r w:rsidRPr="00C47151">
        <w:rPr>
          <w:lang w:val="ru-RU"/>
        </w:rPr>
        <w:t>целям</w:t>
      </w:r>
      <w:r w:rsidR="00742ABB">
        <w:rPr>
          <w:lang w:val="ru-RU"/>
        </w:rPr>
        <w:t>)</w:t>
      </w:r>
      <w:r w:rsidRPr="00C47151">
        <w:rPr>
          <w:lang w:val="ru-RU"/>
        </w:rPr>
        <w:t>» (“</w:t>
      </w:r>
      <w:r>
        <w:t>the</w:t>
      </w:r>
      <w:r w:rsidRPr="00C47151">
        <w:rPr>
          <w:lang w:val="ru-RU"/>
        </w:rPr>
        <w:t xml:space="preserve"> </w:t>
      </w:r>
      <w:r>
        <w:t>instrument</w:t>
      </w:r>
      <w:r w:rsidRPr="00C47151">
        <w:rPr>
          <w:lang w:val="ru-RU"/>
        </w:rPr>
        <w:t xml:space="preserve"> </w:t>
      </w:r>
      <w:r>
        <w:t>is</w:t>
      </w:r>
      <w:r w:rsidRPr="00C47151">
        <w:rPr>
          <w:lang w:val="ru-RU"/>
        </w:rPr>
        <w:t xml:space="preserve"> </w:t>
      </w:r>
      <w:r>
        <w:t>consistent</w:t>
      </w:r>
      <w:r w:rsidRPr="00C47151">
        <w:rPr>
          <w:lang w:val="ru-RU"/>
        </w:rPr>
        <w:t xml:space="preserve"> </w:t>
      </w:r>
      <w:r>
        <w:t>with</w:t>
      </w:r>
      <w:r w:rsidRPr="00C47151">
        <w:rPr>
          <w:lang w:val="ru-RU"/>
        </w:rPr>
        <w:t xml:space="preserve">”), как указано в пункте 4 статьи 4, а не «документ должен соответствовать </w:t>
      </w:r>
      <w:r w:rsidR="00742ABB">
        <w:rPr>
          <w:lang w:val="ru-RU"/>
        </w:rPr>
        <w:t>(</w:t>
      </w:r>
      <w:r w:rsidRPr="00C47151">
        <w:rPr>
          <w:lang w:val="ru-RU"/>
        </w:rPr>
        <w:t>целям</w:t>
      </w:r>
      <w:r w:rsidR="00742ABB">
        <w:rPr>
          <w:lang w:val="ru-RU"/>
        </w:rPr>
        <w:t>)</w:t>
      </w:r>
      <w:r w:rsidRPr="00C47151">
        <w:rPr>
          <w:lang w:val="ru-RU"/>
        </w:rPr>
        <w:t>» (“</w:t>
      </w:r>
      <w:r>
        <w:t>this</w:t>
      </w:r>
      <w:r w:rsidRPr="00C47151">
        <w:rPr>
          <w:lang w:val="ru-RU"/>
        </w:rPr>
        <w:t xml:space="preserve"> </w:t>
      </w:r>
      <w:r>
        <w:t>instrument</w:t>
      </w:r>
      <w:r w:rsidRPr="00C47151">
        <w:rPr>
          <w:lang w:val="ru-RU"/>
        </w:rPr>
        <w:t xml:space="preserve"> </w:t>
      </w:r>
      <w:r>
        <w:t>would</w:t>
      </w:r>
      <w:r w:rsidRPr="00C47151">
        <w:rPr>
          <w:lang w:val="ru-RU"/>
        </w:rPr>
        <w:t xml:space="preserve"> </w:t>
      </w:r>
      <w:r>
        <w:t>be</w:t>
      </w:r>
      <w:r w:rsidRPr="00C47151">
        <w:rPr>
          <w:lang w:val="ru-RU"/>
        </w:rPr>
        <w:t xml:space="preserve"> </w:t>
      </w:r>
      <w:r>
        <w:t>consistent</w:t>
      </w:r>
      <w:r w:rsidRPr="00C47151">
        <w:rPr>
          <w:lang w:val="ru-RU"/>
        </w:rPr>
        <w:t xml:space="preserve"> </w:t>
      </w:r>
      <w:r>
        <w:t>with</w:t>
      </w:r>
      <w:r w:rsidRPr="00C47151">
        <w:rPr>
          <w:lang w:val="ru-RU"/>
        </w:rPr>
        <w:t xml:space="preserve">”), как указано в приложении к решению </w:t>
      </w:r>
      <w:r>
        <w:t>NP-3/14</w:t>
      </w:r>
      <w:r w:rsidRPr="009F665A">
        <w:rPr>
          <w:kern w:val="22"/>
          <w:szCs w:val="22"/>
          <w:vertAlign w:val="superscript"/>
        </w:rPr>
        <w:footnoteReference w:id="36"/>
      </w:r>
      <w:r>
        <w:t>.</w:t>
      </w:r>
    </w:p>
    <w:p w14:paraId="5C13A9FB" w14:textId="77777777"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Судя по всему, в отношении критериев 1 и 2 мнения совпадают, хотя следует отметить, что существуют мнения, согласно которым подкритерии в рамках критерия 2 не должны носить кумулятивного характера. Хотя, судя по всему, мнения сходятся в том, что Нагойский протокол и любые специализированные международные документы для регулирования ДГРСИВ должны быть взаимодополняемыми, наблюдаются небольшие расхождения в оценке степени ясности и применимости одного или более подкритериев.</w:t>
      </w:r>
    </w:p>
    <w:p w14:paraId="796CEC6E" w14:textId="77777777" w:rsidR="00C47151" w:rsidRPr="00C47151" w:rsidRDefault="00C47151" w:rsidP="00815221">
      <w:pPr>
        <w:pStyle w:val="Heading1"/>
        <w:numPr>
          <w:ilvl w:val="0"/>
          <w:numId w:val="43"/>
        </w:numPr>
        <w:suppressLineNumbers/>
        <w:tabs>
          <w:tab w:val="clear" w:pos="720"/>
          <w:tab w:val="left" w:pos="426"/>
        </w:tabs>
        <w:suppressAutoHyphens/>
        <w:spacing w:before="120"/>
        <w:ind w:left="0" w:firstLine="0"/>
        <w:rPr>
          <w:rFonts w:ascii="Times New Roman Bold" w:hAnsi="Times New Roman Bold"/>
          <w:b w:val="0"/>
          <w:caps w:val="0"/>
          <w:kern w:val="22"/>
          <w:szCs w:val="22"/>
          <w:lang w:val="ru-RU"/>
        </w:rPr>
      </w:pPr>
      <w:r w:rsidRPr="00C47151">
        <w:rPr>
          <w:rFonts w:ascii="Times New Roman Bold" w:hAnsi="Times New Roman Bold"/>
          <w:caps w:val="0"/>
          <w:szCs w:val="22"/>
          <w:lang w:val="ru-RU"/>
        </w:rPr>
        <w:t>ОСНОВНЫЕ СОБЫТИЯ НА СООТВЕТСТВУЮЩИХ МЕЖДУНАРОДНЫХ ФОРУМАХ</w:t>
      </w:r>
    </w:p>
    <w:p w14:paraId="62B72787" w14:textId="274BDEE4" w:rsidR="00C47151" w:rsidRPr="00C47151" w:rsidRDefault="00C47151" w:rsidP="00C47151">
      <w:pPr>
        <w:pStyle w:val="Para1"/>
        <w:numPr>
          <w:ilvl w:val="0"/>
          <w:numId w:val="37"/>
        </w:numPr>
        <w:suppressLineNumbers/>
        <w:suppressAutoHyphens/>
        <w:ind w:left="0" w:firstLine="0"/>
        <w:rPr>
          <w:bCs/>
          <w:kern w:val="22"/>
          <w:szCs w:val="22"/>
          <w:lang w:val="ru-RU"/>
        </w:rPr>
      </w:pPr>
      <w:r w:rsidRPr="00C47151">
        <w:rPr>
          <w:lang w:val="ru-RU"/>
        </w:rPr>
        <w:t xml:space="preserve">Вопросы, связанные с доступом к генетическим ресурсам и совместным использованием выгод и Нагойским протоколом, рассматриваются в рамках ряда других международных форумов, помимо Конвенции о биологическом разнообразии и Нагойского протокола. Секретариат Конвенции сотрудничает с межправительственными организациями, работающими в этой области, с тем чтобы быть в курсе событий, происходящих в рамках этих процессов, и предоставлять информацию о событиях, имеющих отношение к Нагойскому протоколу, в первую очередь, как указано в решениях Сторон Протокола или в соответствии с сообщениями каждой из Сторон Протокола. Многие из этих организаций также участвуют в процессах в рамках Нагойского </w:t>
      </w:r>
      <w:r w:rsidR="005E3A27">
        <w:rPr>
          <w:lang w:val="ru-RU"/>
        </w:rPr>
        <w:t>протокола. В соответствии с требованием, сформулированным в решении</w:t>
      </w:r>
      <w:r w:rsidRPr="005E3A27">
        <w:rPr>
          <w:szCs w:val="22"/>
          <w:lang w:val="ru-RU"/>
        </w:rPr>
        <w:t xml:space="preserve"> </w:t>
      </w:r>
      <w:hyperlink r:id="rId16" w:history="1">
        <w:r w:rsidRPr="005E3A27">
          <w:rPr>
            <w:rStyle w:val="Hyperlink"/>
            <w:bCs/>
            <w:sz w:val="22"/>
            <w:szCs w:val="22"/>
          </w:rPr>
          <w:t>NP</w:t>
        </w:r>
        <w:r w:rsidRPr="005E3A27">
          <w:rPr>
            <w:rStyle w:val="Hyperlink"/>
            <w:bCs/>
            <w:sz w:val="22"/>
            <w:szCs w:val="22"/>
            <w:lang w:val="ru-RU"/>
          </w:rPr>
          <w:t>-3/7</w:t>
        </w:r>
      </w:hyperlink>
      <w:r w:rsidRPr="005E3A27">
        <w:rPr>
          <w:szCs w:val="22"/>
          <w:lang w:val="ru-RU"/>
        </w:rPr>
        <w:t>, Исполнитель</w:t>
      </w:r>
      <w:r w:rsidRPr="00C47151">
        <w:rPr>
          <w:lang w:val="ru-RU"/>
        </w:rPr>
        <w:t>ный секретарь подготовит доклад о проведенных совместных мероприятиях, в том числе об основных событиях в рамках международных соглашений и документов, имеющих отношение к осуществлению Нагойского протокола, для их рассмотрения Конференцией Сторон, выступающей в качестве совещания Сторон Нагойского протокола, на ее четвертом совещании. Предварительный вариант этого доклада будет подготовлен для Вспомогательного органа в качестве информационного документа.</w:t>
      </w:r>
    </w:p>
    <w:p w14:paraId="277451B7" w14:textId="2D9DD634" w:rsidR="00C47151" w:rsidRPr="00C47151" w:rsidRDefault="00C47151" w:rsidP="00C47151">
      <w:pPr>
        <w:pStyle w:val="Para1"/>
        <w:numPr>
          <w:ilvl w:val="0"/>
          <w:numId w:val="37"/>
        </w:numPr>
        <w:suppressLineNumbers/>
        <w:suppressAutoHyphens/>
        <w:ind w:left="0" w:firstLine="0"/>
        <w:rPr>
          <w:bCs/>
          <w:kern w:val="22"/>
          <w:szCs w:val="22"/>
          <w:lang w:val="ru-RU"/>
        </w:rPr>
      </w:pPr>
      <w:r w:rsidRPr="00C47151">
        <w:rPr>
          <w:lang w:val="ru-RU"/>
        </w:rPr>
        <w:t xml:space="preserve">В этом разделе обобщается информация о международных форумах и процессах, имеющих отношение к вопросу о доступе к генетическим ресурсам и совместном использовании выгод, и описывается ситуация с основными событиями, касающимися доступа к генетическим ресурсам и </w:t>
      </w:r>
      <w:r w:rsidR="003A2570">
        <w:rPr>
          <w:lang w:val="ru-RU"/>
        </w:rPr>
        <w:t>совместного использования выгод</w:t>
      </w:r>
      <w:r w:rsidRPr="00C47151">
        <w:rPr>
          <w:lang w:val="ru-RU"/>
        </w:rPr>
        <w:t>, в рамках этих форумов и процессов.</w:t>
      </w:r>
    </w:p>
    <w:p w14:paraId="346FB3FF" w14:textId="77777777" w:rsidR="00C47151" w:rsidRPr="00C47151" w:rsidRDefault="00C47151" w:rsidP="00C47151">
      <w:pPr>
        <w:keepNext/>
        <w:numPr>
          <w:ilvl w:val="0"/>
          <w:numId w:val="39"/>
        </w:numPr>
        <w:suppressLineNumbers/>
        <w:tabs>
          <w:tab w:val="left" w:pos="426"/>
        </w:tabs>
        <w:suppressAutoHyphens/>
        <w:spacing w:before="120" w:after="120"/>
        <w:ind w:left="0" w:firstLine="0"/>
        <w:jc w:val="center"/>
        <w:outlineLvl w:val="1"/>
        <w:rPr>
          <w:b/>
          <w:bCs/>
          <w:iCs/>
          <w:snapToGrid w:val="0"/>
          <w:kern w:val="22"/>
          <w:szCs w:val="22"/>
          <w:lang w:val="ru-RU"/>
        </w:rPr>
      </w:pPr>
      <w:r w:rsidRPr="00C47151">
        <w:rPr>
          <w:b/>
          <w:bCs/>
          <w:iCs/>
          <w:snapToGrid w:val="0"/>
          <w:szCs w:val="22"/>
          <w:lang w:val="ru-RU"/>
        </w:rPr>
        <w:t>Комиссия по генетическим ресурсам для производства продовольствия и ведения сельского хозяйства</w:t>
      </w:r>
    </w:p>
    <w:p w14:paraId="3C59014C" w14:textId="77777777"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Комиссия по генетическим ресурсам для производства продовольствия и ведения сельского хозяйства Продовольственной и сельскохозяйственной организации Объединенных Наций была основана в 1983 г. Первоначальные функции Комиссии, которые заключались в работе с генетическими ресурсами растений, были расширены в 1995 г. и стали охватывать все компоненты биоразнообразия, значимые для производства продовольствия и ведения сельского хозяйства.</w:t>
      </w:r>
    </w:p>
    <w:p w14:paraId="3D939B46" w14:textId="3A23F651" w:rsidR="00C47151" w:rsidRPr="00D74B7C"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 xml:space="preserve">В период с 1994 по 2001 гг. Комиссия вела переговоры по Международному договору о генетических ресурсах растений для производства продовольствия и ведения сельского хозяйства. В 2007 г. Комиссия согласилась с важностью рассмотрения доступа к генетическим ресурсам и совместного использования выгод в отношении всех компонентов биоразнообразия для производства продовольствия и ведения сельского хозяйства и приняла решение о том, что работа в этой области должна вестись в рамках ее многолетней программы работы. С тех пор Комиссия возвращалась к вопросу о доступе к генетическим ресурсам и совместном использовании выгод применительно к генетическим ресурсам для производства продовольствия и ведения сельского хозяйства на каждой из своих очередных сессий. В 2013 г. Группа технических и юридических экспертов по обеспечению доступа к генетическим ресурсам и совместного использования выгод </w:t>
      </w:r>
      <w:r w:rsidRPr="00C47151">
        <w:rPr>
          <w:lang w:val="ru-RU"/>
        </w:rPr>
        <w:lastRenderedPageBreak/>
        <w:t>подготовила «Элементы в помощь национальному осуществлению доступа к генетическим ресурсам и совместного использования выгод для различных подсекторов генетических ресурсов для производства продовольствия и ведения сельского хозяйства» («Элементы ДГРСИВ»)</w:t>
      </w:r>
      <w:r w:rsidRPr="00C20F6C">
        <w:rPr>
          <w:rStyle w:val="FootnoteReference"/>
          <w:bCs/>
          <w:kern w:val="22"/>
          <w:szCs w:val="22"/>
        </w:rPr>
        <w:footnoteReference w:id="37"/>
      </w:r>
      <w:r w:rsidRPr="00C47151">
        <w:rPr>
          <w:lang w:val="ru-RU"/>
        </w:rPr>
        <w:t>. Комиссия приветствовала «Элемент</w:t>
      </w:r>
      <w:r w:rsidR="00D74B7C">
        <w:rPr>
          <w:lang w:val="ru-RU"/>
        </w:rPr>
        <w:t xml:space="preserve">ы ДГРСИВ» в 2015 г. </w:t>
      </w:r>
      <w:r w:rsidRPr="00C47151">
        <w:rPr>
          <w:lang w:val="ru-RU"/>
        </w:rPr>
        <w:t xml:space="preserve">В 2016 г. Конференция Сторон Конвенции предложила Сторонам и другим правительствам учитывать и в соответствующих случаях применять «Элементы ДГРСИВ» (см. </w:t>
      </w:r>
      <w:r w:rsidRPr="00D74B7C">
        <w:rPr>
          <w:lang w:val="ru-RU"/>
        </w:rPr>
        <w:t xml:space="preserve">Пункт 28 </w:t>
      </w:r>
      <w:hyperlink r:id="rId17" w:history="1">
        <w:r w:rsidRPr="00D74B7C">
          <w:rPr>
            <w:rStyle w:val="Hyperlink"/>
            <w:bCs/>
            <w:sz w:val="22"/>
            <w:szCs w:val="22"/>
            <w:lang w:val="ru-RU"/>
          </w:rPr>
          <w:t xml:space="preserve">решения </w:t>
        </w:r>
        <w:r w:rsidRPr="00D74B7C">
          <w:rPr>
            <w:rStyle w:val="Hyperlink"/>
            <w:bCs/>
            <w:sz w:val="22"/>
            <w:szCs w:val="22"/>
          </w:rPr>
          <w:t>XIII</w:t>
        </w:r>
        <w:r w:rsidRPr="00D74B7C">
          <w:rPr>
            <w:rStyle w:val="Hyperlink"/>
            <w:bCs/>
            <w:sz w:val="22"/>
            <w:szCs w:val="22"/>
            <w:lang w:val="ru-RU"/>
          </w:rPr>
          <w:t>/1</w:t>
        </w:r>
      </w:hyperlink>
      <w:r w:rsidRPr="00D74B7C">
        <w:rPr>
          <w:lang w:val="ru-RU"/>
        </w:rPr>
        <w:t>).</w:t>
      </w:r>
    </w:p>
    <w:p w14:paraId="62B89E06" w14:textId="2AA2F433" w:rsidR="00C47151" w:rsidRPr="00C47151" w:rsidRDefault="00D74B7C" w:rsidP="00C47151">
      <w:pPr>
        <w:pStyle w:val="Para1"/>
        <w:numPr>
          <w:ilvl w:val="0"/>
          <w:numId w:val="37"/>
        </w:numPr>
        <w:suppressLineNumbers/>
        <w:tabs>
          <w:tab w:val="num" w:pos="709"/>
        </w:tabs>
        <w:suppressAutoHyphens/>
        <w:ind w:left="0" w:firstLine="0"/>
        <w:rPr>
          <w:bCs/>
          <w:kern w:val="22"/>
          <w:szCs w:val="22"/>
          <w:lang w:val="ru-RU"/>
        </w:rPr>
      </w:pPr>
      <w:r>
        <w:rPr>
          <w:lang w:val="ru-RU"/>
        </w:rPr>
        <w:t>В</w:t>
      </w:r>
      <w:r w:rsidRPr="00C47151">
        <w:rPr>
          <w:lang w:val="ru-RU"/>
        </w:rPr>
        <w:t xml:space="preserve"> 2019</w:t>
      </w:r>
      <w:r>
        <w:t> </w:t>
      </w:r>
      <w:r>
        <w:rPr>
          <w:lang w:val="ru-RU"/>
        </w:rPr>
        <w:t>г.</w:t>
      </w:r>
      <w:r w:rsidRPr="00C47151">
        <w:rPr>
          <w:lang w:val="ru-RU"/>
        </w:rPr>
        <w:t xml:space="preserve"> </w:t>
      </w:r>
      <w:r>
        <w:rPr>
          <w:lang w:val="ru-RU"/>
        </w:rPr>
        <w:t>н</w:t>
      </w:r>
      <w:r w:rsidR="00C47151" w:rsidRPr="00C47151">
        <w:rPr>
          <w:lang w:val="ru-RU"/>
        </w:rPr>
        <w:t>а своей семнадцатой очередной сессии Комиссия приветствовала пояснительные замечания, дополняющие «Элементы ДГРСИВ», которые были подготовлены Группо</w:t>
      </w:r>
      <w:r>
        <w:rPr>
          <w:lang w:val="ru-RU"/>
        </w:rPr>
        <w:t>й экспертов в сотрудничестве с Р</w:t>
      </w:r>
      <w:r w:rsidR="00C47151" w:rsidRPr="00C47151">
        <w:rPr>
          <w:lang w:val="ru-RU"/>
        </w:rPr>
        <w:t>абочими группами Комиссии. В пояснительных замечаниях содержится описание отличительных особенностей и конкретных методов, характерных для различных подсекторов генетических ресурсов для производства продовольствия и ведения сельского хозяйства, в контексте «Элементов ДГРСИВ»</w:t>
      </w:r>
      <w:r w:rsidR="00C47151" w:rsidRPr="00C20F6C">
        <w:rPr>
          <w:bCs/>
          <w:kern w:val="22"/>
          <w:szCs w:val="22"/>
          <w:vertAlign w:val="superscript"/>
        </w:rPr>
        <w:footnoteReference w:id="38"/>
      </w:r>
      <w:r w:rsidR="00C47151" w:rsidRPr="00C47151">
        <w:rPr>
          <w:lang w:val="ru-RU"/>
        </w:rPr>
        <w:t>. Дополнительно Комиссия инициировала обследование имеющихся законодательных, административных и политических подходов, включая передовые методы, в отношении ДГРСИВ применительно к различным подсекторам генетических ресурсов для производства продовольствия и ведения сельского хозяйства и традиционным знаниям, связанным с генетическими ресурсами для производства продовольствия и ведения сельского хозяйства, носителями которых являются коренные народы и местные общины, в целях выявления типичных подходов и полезных выводов</w:t>
      </w:r>
      <w:r w:rsidR="00C47151" w:rsidRPr="00C20F6C">
        <w:rPr>
          <w:rStyle w:val="FootnoteReference"/>
          <w:bCs/>
          <w:kern w:val="22"/>
          <w:szCs w:val="22"/>
        </w:rPr>
        <w:footnoteReference w:id="39"/>
      </w:r>
      <w:r w:rsidR="00C47151" w:rsidRPr="00C47151">
        <w:rPr>
          <w:lang w:val="ru-RU"/>
        </w:rPr>
        <w:t>.</w:t>
      </w:r>
    </w:p>
    <w:p w14:paraId="5F9344F6" w14:textId="77777777" w:rsidR="00C47151" w:rsidRPr="00C47151" w:rsidRDefault="00C47151" w:rsidP="00C47151">
      <w:pPr>
        <w:keepNext/>
        <w:numPr>
          <w:ilvl w:val="0"/>
          <w:numId w:val="39"/>
        </w:numPr>
        <w:suppressLineNumbers/>
        <w:tabs>
          <w:tab w:val="left" w:pos="426"/>
        </w:tabs>
        <w:suppressAutoHyphens/>
        <w:spacing w:before="120" w:after="120"/>
        <w:ind w:left="0" w:firstLine="0"/>
        <w:jc w:val="center"/>
        <w:outlineLvl w:val="1"/>
        <w:rPr>
          <w:b/>
          <w:bCs/>
          <w:iCs/>
          <w:snapToGrid w:val="0"/>
          <w:kern w:val="22"/>
          <w:szCs w:val="22"/>
          <w:lang w:val="ru-RU"/>
        </w:rPr>
      </w:pPr>
      <w:r w:rsidRPr="00C47151">
        <w:rPr>
          <w:b/>
          <w:bCs/>
          <w:iCs/>
          <w:snapToGrid w:val="0"/>
          <w:szCs w:val="22"/>
          <w:lang w:val="ru-RU"/>
        </w:rPr>
        <w:t>Международный договор о генетических ресурсах растений для производства продовольствия и ведения сельского хозяйства</w:t>
      </w:r>
    </w:p>
    <w:p w14:paraId="2FC98A14" w14:textId="09B79057" w:rsidR="00C47151" w:rsidRPr="00C47151" w:rsidRDefault="00C47151" w:rsidP="00C47151">
      <w:pPr>
        <w:pStyle w:val="Para1"/>
        <w:numPr>
          <w:ilvl w:val="0"/>
          <w:numId w:val="37"/>
        </w:numPr>
        <w:suppressLineNumbers/>
        <w:tabs>
          <w:tab w:val="num" w:pos="709"/>
        </w:tabs>
        <w:suppressAutoHyphens/>
        <w:ind w:left="0" w:firstLine="0"/>
        <w:rPr>
          <w:bCs/>
          <w:kern w:val="22"/>
          <w:szCs w:val="22"/>
          <w:lang w:val="ru-RU"/>
        </w:rPr>
      </w:pPr>
      <w:r w:rsidRPr="00C47151">
        <w:rPr>
          <w:lang w:val="ru-RU"/>
        </w:rPr>
        <w:t>Международный договор о генетических ресурсах растений для производства продовольствия и ведения сельского хозяйства был принят в 2001</w:t>
      </w:r>
      <w:r>
        <w:t> </w:t>
      </w:r>
      <w:r w:rsidR="009136C0">
        <w:rPr>
          <w:lang w:val="ru-RU"/>
        </w:rPr>
        <w:t>г. и вступил в силу в 2004 г.</w:t>
      </w:r>
      <w:r w:rsidRPr="00C47151">
        <w:rPr>
          <w:lang w:val="ru-RU"/>
        </w:rPr>
        <w:t xml:space="preserve"> В соответствии со статьей 1 Международного договора, его цели заключаются в «сохранении и устойчивом использовании генетических ресурсов растений для производства продовольствия и ведения сельского хозяйства и справедливом и равноправном распределении выгод, получаемых от их использования, в соответствии с положениями Конвенции о биологическом разнообразии для оказания содействия устойчивому ведению сельского хозяйства и созданию продовольственной обеспеченности»</w:t>
      </w:r>
      <w:r w:rsidRPr="00C20F6C">
        <w:rPr>
          <w:rStyle w:val="FootnoteReference"/>
          <w:bCs/>
          <w:kern w:val="22"/>
          <w:szCs w:val="22"/>
        </w:rPr>
        <w:footnoteReference w:id="40"/>
      </w:r>
      <w:r w:rsidRPr="00C47151">
        <w:rPr>
          <w:lang w:val="ru-RU"/>
        </w:rPr>
        <w:t>.</w:t>
      </w:r>
    </w:p>
    <w:p w14:paraId="61C2ECA4" w14:textId="77777777" w:rsidR="00C47151" w:rsidRPr="00C47151" w:rsidRDefault="00C47151" w:rsidP="00C47151">
      <w:pPr>
        <w:pStyle w:val="Para1"/>
        <w:numPr>
          <w:ilvl w:val="0"/>
          <w:numId w:val="37"/>
        </w:numPr>
        <w:suppressLineNumbers/>
        <w:suppressAutoHyphens/>
        <w:ind w:left="0" w:firstLine="0"/>
        <w:rPr>
          <w:bCs/>
          <w:kern w:val="22"/>
          <w:szCs w:val="22"/>
          <w:lang w:val="ru-RU"/>
        </w:rPr>
      </w:pPr>
      <w:r w:rsidRPr="00C47151">
        <w:rPr>
          <w:lang w:val="ru-RU"/>
        </w:rPr>
        <w:t>В соответствии с пунктом 2 статьи 10, Международный договор учреждает Многостороннюю систему доступа к генетическим ресурсам растений и распределения выгод, «эффективную, действенную и прозрачную многостороннюю систему в целях как облегчения доступа к генетическим ресурсам растений для производства продовольствия и ведения сельского хозяйства, так и совместного использования справедливым и равноправным образом выгод, получаемых от применения этих ресурсов, на взаимодополняющей и взаимоукрепляющей основе»</w:t>
      </w:r>
      <w:r w:rsidRPr="00C20F6C">
        <w:rPr>
          <w:rStyle w:val="FootnoteReference"/>
          <w:bCs/>
          <w:kern w:val="22"/>
          <w:szCs w:val="22"/>
        </w:rPr>
        <w:footnoteReference w:id="41"/>
      </w:r>
      <w:r w:rsidRPr="00C47151">
        <w:rPr>
          <w:lang w:val="ru-RU"/>
        </w:rPr>
        <w:t>.</w:t>
      </w:r>
    </w:p>
    <w:p w14:paraId="0DFD4572" w14:textId="77777777" w:rsidR="00C47151" w:rsidRPr="00C47151" w:rsidRDefault="00C47151" w:rsidP="00C47151">
      <w:pPr>
        <w:pStyle w:val="Para1"/>
        <w:numPr>
          <w:ilvl w:val="0"/>
          <w:numId w:val="37"/>
        </w:numPr>
        <w:suppressLineNumbers/>
        <w:suppressAutoHyphens/>
        <w:ind w:left="0" w:firstLine="0"/>
        <w:rPr>
          <w:bCs/>
          <w:kern w:val="22"/>
          <w:szCs w:val="22"/>
          <w:lang w:val="ru-RU"/>
        </w:rPr>
      </w:pPr>
      <w:r w:rsidRPr="00C47151">
        <w:rPr>
          <w:lang w:val="ru-RU"/>
        </w:rPr>
        <w:t xml:space="preserve">В 2013 г. Управляющий орган Международного договора инициировал процесс совершенствования функционирования Многосторонней системы доступа к генетическим ресурсам растений и распределения выгод путем создания Специальной рабочей группы открытого состава, которой, среди прочего, было получено разработать меры для увеличения пользовательских платежей и взносов в Фонд совместного использования выгод на устойчивой и предсказуемой долгосрочной основе. Рабочая группа рассмотрела в том числе поправки к стандартному соглашению о передаче материала, а также возможные изменения, касающиеся сферы охвата Многосторонней системы. Поскольку взаимозависимость стран в том, что касается генетических ресурсов растений, </w:t>
      </w:r>
      <w:r w:rsidRPr="00C47151">
        <w:rPr>
          <w:lang w:val="ru-RU"/>
        </w:rPr>
        <w:lastRenderedPageBreak/>
        <w:t>является одним из основных аргументов в пользу Многосторонней системы Международного договора о генетических ресурсах растений, основа для рассмотрения вопроса о совершенствовании ее функционирования включала в себя полностью актуализированную оценку такой взаимозависимости, приведенную в одном из недавних исследований</w:t>
      </w:r>
      <w:r w:rsidRPr="00C20F6C">
        <w:rPr>
          <w:rStyle w:val="FootnoteReference"/>
          <w:kern w:val="22"/>
          <w:szCs w:val="22"/>
        </w:rPr>
        <w:footnoteReference w:id="42"/>
      </w:r>
      <w:r w:rsidRPr="00C47151">
        <w:rPr>
          <w:lang w:val="ru-RU"/>
        </w:rPr>
        <w:t>.</w:t>
      </w:r>
    </w:p>
    <w:p w14:paraId="485DCF2D" w14:textId="03BBA63F" w:rsidR="00C47151" w:rsidRPr="00C47151" w:rsidRDefault="00C47151" w:rsidP="00C47151">
      <w:pPr>
        <w:pStyle w:val="Para1"/>
        <w:numPr>
          <w:ilvl w:val="0"/>
          <w:numId w:val="37"/>
        </w:numPr>
        <w:suppressLineNumbers/>
        <w:suppressAutoHyphens/>
        <w:ind w:left="0" w:firstLine="0"/>
        <w:rPr>
          <w:bCs/>
          <w:kern w:val="22"/>
          <w:szCs w:val="22"/>
          <w:lang w:val="ru-RU"/>
        </w:rPr>
      </w:pPr>
      <w:r w:rsidRPr="00C47151">
        <w:rPr>
          <w:lang w:val="ru-RU"/>
        </w:rPr>
        <w:t>В течение двухлетнего периода 2018-2019</w:t>
      </w:r>
      <w:r>
        <w:t> </w:t>
      </w:r>
      <w:r w:rsidRPr="00C47151">
        <w:rPr>
          <w:lang w:val="ru-RU"/>
        </w:rPr>
        <w:t>гг. Рабочая группа рассмотрела, среди прочего, критерии и варианты изменения охвата Многосторонней системы и вспомогательные меры, направленные на содействие возможному расширению охвата Многосторонней системы. Рабочая группа рассмотрела возможный процесс пересмотра статуса рат</w:t>
      </w:r>
      <w:r w:rsidR="00080CFA">
        <w:rPr>
          <w:lang w:val="ru-RU"/>
        </w:rPr>
        <w:t>ификаций измененного Приложения </w:t>
      </w:r>
      <w:r>
        <w:t>I</w:t>
      </w:r>
      <w:r w:rsidRPr="00C47151">
        <w:rPr>
          <w:lang w:val="ru-RU"/>
        </w:rPr>
        <w:t xml:space="preserve"> к Международному договору (т. е. продовольственных и кормовых культур, на которые распространяется действие Многосторонней системы); уровня накопившихся п</w:t>
      </w:r>
      <w:r w:rsidR="00080CFA">
        <w:rPr>
          <w:lang w:val="ru-RU"/>
        </w:rPr>
        <w:t>оступлений</w:t>
      </w:r>
      <w:r w:rsidRPr="00C47151">
        <w:rPr>
          <w:lang w:val="ru-RU"/>
        </w:rPr>
        <w:t xml:space="preserve"> от пользователей в Фонд совместного использования выгод; наличия материала и доступа к нему в рамках Многосторонней системы.</w:t>
      </w:r>
    </w:p>
    <w:p w14:paraId="51E1C3FE" w14:textId="57C13E74" w:rsidR="00C47151" w:rsidRPr="003F2182" w:rsidRDefault="00C47151" w:rsidP="00C47151">
      <w:pPr>
        <w:pStyle w:val="Para1"/>
        <w:numPr>
          <w:ilvl w:val="0"/>
          <w:numId w:val="37"/>
        </w:numPr>
        <w:suppressLineNumbers/>
        <w:suppressAutoHyphens/>
        <w:ind w:left="0" w:firstLine="0"/>
        <w:rPr>
          <w:bCs/>
          <w:kern w:val="22"/>
          <w:szCs w:val="22"/>
          <w:lang w:val="ru-RU"/>
        </w:rPr>
      </w:pPr>
      <w:r w:rsidRPr="00C47151">
        <w:rPr>
          <w:lang w:val="ru-RU"/>
        </w:rPr>
        <w:t>В 2019 г. Управляющий орган Международного договора на своей восьмой сессии преследовал цель достичь консенсуса в отношении мер, направленных на совершенствование функционирования Многосторонней системы доступа к генетическим ресурсам растений и распределен</w:t>
      </w:r>
      <w:r w:rsidR="00CD21A6">
        <w:rPr>
          <w:lang w:val="ru-RU"/>
        </w:rPr>
        <w:t>ия выгод, — вопроса, переговоры</w:t>
      </w:r>
      <w:r w:rsidRPr="00C47151">
        <w:rPr>
          <w:lang w:val="ru-RU"/>
        </w:rPr>
        <w:t xml:space="preserve"> по которому ведутся уже шесть лет. </w:t>
      </w:r>
      <w:r w:rsidRPr="003F2182">
        <w:rPr>
          <w:lang w:val="ru-RU"/>
        </w:rPr>
        <w:t>Несмотря на интенсивные переговоры, Управляющему органу не удалось достичь консенсуса по вопросу о совершенствовании функционирования Многосторонней системы, и он принял резолюцию 2/2019</w:t>
      </w:r>
      <w:r w:rsidRPr="00C20F6C">
        <w:rPr>
          <w:bCs/>
          <w:kern w:val="22"/>
          <w:szCs w:val="22"/>
          <w:vertAlign w:val="superscript"/>
        </w:rPr>
        <w:footnoteReference w:id="43"/>
      </w:r>
      <w:r w:rsidRPr="003F2182">
        <w:rPr>
          <w:lang w:val="ru-RU"/>
        </w:rPr>
        <w:t>. Он призвал провести неофициальные консультации среди Договаривающихся сторон и особенно национальные консультации с участием разных секторов и соответствующих субъектов деятельности. Некоторые Договаривающиеся стороны пожелали, чтобы Управляющий орган на его будущей девятой сессии, запланированной на декабрь 2021</w:t>
      </w:r>
      <w:r>
        <w:t> </w:t>
      </w:r>
      <w:r w:rsidRPr="003F2182">
        <w:rPr>
          <w:lang w:val="ru-RU"/>
        </w:rPr>
        <w:t>г., рассмотрел, каким образом следует осуществлять в будущем работу по совершенствованию функционирован</w:t>
      </w:r>
      <w:r w:rsidR="00CD21A6">
        <w:rPr>
          <w:lang w:val="ru-RU"/>
        </w:rPr>
        <w:t>ия Многосторонней системы, отмет</w:t>
      </w:r>
      <w:r w:rsidRPr="003F2182">
        <w:rPr>
          <w:lang w:val="ru-RU"/>
        </w:rPr>
        <w:t xml:space="preserve">ив необходимость </w:t>
      </w:r>
      <w:r w:rsidR="00CD21A6">
        <w:rPr>
          <w:lang w:val="ru-RU"/>
        </w:rPr>
        <w:t>рассмотрения результатов</w:t>
      </w:r>
      <w:r w:rsidRPr="003F2182">
        <w:rPr>
          <w:lang w:val="ru-RU"/>
        </w:rPr>
        <w:t xml:space="preserve"> соответствующих дискуссий в рамках Конвенции о биологическом разнообразии.</w:t>
      </w:r>
    </w:p>
    <w:p w14:paraId="5D28CE86" w14:textId="77777777" w:rsidR="00C47151" w:rsidRPr="003F2182" w:rsidRDefault="00C47151" w:rsidP="00C47151">
      <w:pPr>
        <w:keepNext/>
        <w:numPr>
          <w:ilvl w:val="0"/>
          <w:numId w:val="39"/>
        </w:numPr>
        <w:suppressLineNumbers/>
        <w:tabs>
          <w:tab w:val="left" w:pos="426"/>
        </w:tabs>
        <w:suppressAutoHyphens/>
        <w:spacing w:before="120" w:after="120"/>
        <w:ind w:left="0" w:firstLine="0"/>
        <w:jc w:val="center"/>
        <w:outlineLvl w:val="1"/>
        <w:rPr>
          <w:b/>
          <w:bCs/>
          <w:iCs/>
          <w:snapToGrid w:val="0"/>
          <w:kern w:val="22"/>
          <w:szCs w:val="22"/>
          <w:lang w:val="ru-RU"/>
        </w:rPr>
      </w:pPr>
      <w:r w:rsidRPr="003F2182">
        <w:rPr>
          <w:b/>
          <w:bCs/>
          <w:iCs/>
          <w:snapToGrid w:val="0"/>
          <w:szCs w:val="22"/>
          <w:lang w:val="ru-RU"/>
        </w:rPr>
        <w:t>Конвенция Организации Объединенных Наций по морскому праву</w:t>
      </w:r>
    </w:p>
    <w:p w14:paraId="0187D010" w14:textId="77777777" w:rsidR="00C47151" w:rsidRPr="003F2182" w:rsidRDefault="00C47151" w:rsidP="00C47151">
      <w:pPr>
        <w:pStyle w:val="Para1"/>
        <w:numPr>
          <w:ilvl w:val="0"/>
          <w:numId w:val="37"/>
        </w:numPr>
        <w:suppressLineNumbers/>
        <w:suppressAutoHyphens/>
        <w:ind w:left="0" w:firstLine="0"/>
        <w:rPr>
          <w:bCs/>
          <w:kern w:val="22"/>
          <w:szCs w:val="22"/>
          <w:lang w:val="ru-RU"/>
        </w:rPr>
      </w:pPr>
      <w:r w:rsidRPr="003F2182">
        <w:rPr>
          <w:lang w:val="ru-RU"/>
        </w:rPr>
        <w:t>Конвенция Организации Объединенных Наций по морскому праву была принята в декабре 1982 г. и вступила в силу в ноябре 1994 г., и ее цели заключаются в том числе в содействии справедливому и эффективному использованию ресурсов океанов, защите и сохранении морской среды.</w:t>
      </w:r>
    </w:p>
    <w:p w14:paraId="5245A012"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Генеральная Ассамблея Организации Объединенных Наций в своей резолюции 72/249 от 24 декабря 2017 г. постановила созвать под эгидой Организации Объединенных Наций межправительственную конференцию о сохранении и устойчивом использовании морского биологического разнообразия в районах за пределами действия национальной юрисдикции с целью рассмотреть рекомендации подготовительного комитета, учрежденного резолюцией 69/292 от 19 июня 2015 г., касательно элементов и выработать текст международного юридически обязательного документа на базе Конвенция Организации Объединенных Наций по морскому праву, с тем чтобы как можно скорее подготовить такой документ.</w:t>
      </w:r>
    </w:p>
    <w:p w14:paraId="541ABD76" w14:textId="3B0B46F5"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 xml:space="preserve">В соответствии с резолюцией 72/249, межправительственная конференция рассматривает следующие вопросы: сохранение и устойчивое использование морского биологического разнообразия в районах за пределами действия национальной юрисдикции, в частности морских генетических ресурсов (в их совокупности и как единое целое), </w:t>
      </w:r>
      <w:r w:rsidR="008E1C7C">
        <w:rPr>
          <w:lang w:val="ru-RU"/>
        </w:rPr>
        <w:t>включая</w:t>
      </w:r>
      <w:r w:rsidRPr="003F2182">
        <w:rPr>
          <w:lang w:val="ru-RU"/>
        </w:rPr>
        <w:t xml:space="preserve"> вопросы совместного использования выгод, такие меры, как зонально привязанные инструменты хозяйствования, </w:t>
      </w:r>
      <w:r w:rsidR="008E1C7C">
        <w:rPr>
          <w:lang w:val="ru-RU"/>
        </w:rPr>
        <w:t>в том числе</w:t>
      </w:r>
      <w:r w:rsidRPr="003F2182">
        <w:rPr>
          <w:lang w:val="ru-RU"/>
        </w:rPr>
        <w:t xml:space="preserve"> морские охраняемые районы, оценки экологического воздействия, а также н</w:t>
      </w:r>
      <w:r w:rsidR="008E1C7C">
        <w:rPr>
          <w:lang w:val="ru-RU"/>
        </w:rPr>
        <w:t>аращивание потенциала и передачу</w:t>
      </w:r>
      <w:r w:rsidRPr="003F2182">
        <w:rPr>
          <w:lang w:val="ru-RU"/>
        </w:rPr>
        <w:t xml:space="preserve"> морской технологии.</w:t>
      </w:r>
    </w:p>
    <w:p w14:paraId="20E344E4"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lastRenderedPageBreak/>
        <w:t>В период с сентября 2018</w:t>
      </w:r>
      <w:r>
        <w:t> </w:t>
      </w:r>
      <w:r w:rsidRPr="003F2182">
        <w:rPr>
          <w:lang w:val="ru-RU"/>
        </w:rPr>
        <w:t>г. по август 2019</w:t>
      </w:r>
      <w:r>
        <w:t> </w:t>
      </w:r>
      <w:r w:rsidRPr="003F2182">
        <w:rPr>
          <w:lang w:val="ru-RU"/>
        </w:rPr>
        <w:t>г. были проведены три сессии межправительственной конференции, посвященные международному юридически обязательному документу. Делегаты третьей сессии конференции впервые приступили к переговорам о тексте документа на основе «нулевого» проекта документа, содержащего текст договора, подготовленный Председателем конференции.</w:t>
      </w:r>
    </w:p>
    <w:p w14:paraId="49D69D51"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Пересмотренный проект текста</w:t>
      </w:r>
      <w:r w:rsidRPr="00C20F6C">
        <w:rPr>
          <w:bCs/>
          <w:kern w:val="22"/>
          <w:szCs w:val="22"/>
          <w:vertAlign w:val="superscript"/>
        </w:rPr>
        <w:footnoteReference w:id="44"/>
      </w:r>
      <w:r w:rsidRPr="003F2182">
        <w:rPr>
          <w:lang w:val="ru-RU"/>
        </w:rPr>
        <w:t xml:space="preserve"> соглашения в рамках Конвенции Организации Объединенных Наций по морскому праву был подготовлен Председателем для рассмотрения на четвертой сессии. Пересмотренный проект текста включает в себя раздел, посвященный доступу к генетическим ресурсам и совместному использованию выгод применительно к морским генетическим ресурсам, а также принимает во внимание традиционные знания коренных народов и местных общин, связанные с морскими генетическими ресурсами (Раздел </w:t>
      </w:r>
      <w:r>
        <w:t>II</w:t>
      </w:r>
      <w:r w:rsidRPr="003F2182">
        <w:rPr>
          <w:lang w:val="ru-RU"/>
        </w:rPr>
        <w:t xml:space="preserve"> пересмотренного проекта текста).</w:t>
      </w:r>
    </w:p>
    <w:p w14:paraId="495E18FF" w14:textId="77777777" w:rsidR="00C47151" w:rsidRPr="008E1C7C" w:rsidRDefault="00C47151" w:rsidP="00C47151">
      <w:pPr>
        <w:keepNext/>
        <w:numPr>
          <w:ilvl w:val="0"/>
          <w:numId w:val="39"/>
        </w:numPr>
        <w:suppressLineNumbers/>
        <w:tabs>
          <w:tab w:val="left" w:pos="426"/>
        </w:tabs>
        <w:suppressAutoHyphens/>
        <w:spacing w:before="120" w:after="120"/>
        <w:ind w:left="0" w:firstLine="0"/>
        <w:jc w:val="center"/>
        <w:outlineLvl w:val="1"/>
        <w:rPr>
          <w:b/>
          <w:bCs/>
          <w:iCs/>
          <w:snapToGrid w:val="0"/>
          <w:kern w:val="22"/>
          <w:szCs w:val="22"/>
          <w:lang w:val="ru-RU"/>
        </w:rPr>
      </w:pPr>
      <w:r w:rsidRPr="008E1C7C">
        <w:rPr>
          <w:b/>
          <w:bCs/>
          <w:iCs/>
          <w:snapToGrid w:val="0"/>
          <w:szCs w:val="22"/>
          <w:lang w:val="ru-RU"/>
        </w:rPr>
        <w:t>Всемирная организация здравоохранения</w:t>
      </w:r>
    </w:p>
    <w:p w14:paraId="39F1D00B" w14:textId="77777777" w:rsidR="00C47151" w:rsidRPr="003F2182" w:rsidRDefault="00C47151" w:rsidP="00C47151">
      <w:pPr>
        <w:pStyle w:val="Para1"/>
        <w:numPr>
          <w:ilvl w:val="0"/>
          <w:numId w:val="37"/>
        </w:numPr>
        <w:suppressLineNumbers/>
        <w:suppressAutoHyphens/>
        <w:ind w:left="0" w:firstLine="0"/>
        <w:rPr>
          <w:bCs/>
          <w:kern w:val="22"/>
          <w:szCs w:val="22"/>
          <w:lang w:val="ru-RU"/>
        </w:rPr>
      </w:pPr>
      <w:r w:rsidRPr="003F2182">
        <w:rPr>
          <w:lang w:val="ru-RU"/>
        </w:rPr>
        <w:t>В 2011 г. Руководящий орган Всемирной организации здравоохранения (ВОЗ), Всемирная ассамблея здравоохранения приняла Механизм обеспечения готовности к пандемическому гриппу для обмена вирусами гриппа и доступа к вакцинам и другим преимуществам (Механизм ГПГ). Механизм ГПГ представляет собой документ в области общественного здравоохранения, направленный на улучшение подготовленности международного сообщества к реагированию на пандемический грипп. Его основные цели заключаются в том, чтобы улучшать и укреплять обмен вирусами гриппа, обладающими пандемическим потенциалом для людей; и в том, чтобы расширять доступ развивающихся стран к вакцинам и другим поставкам, имеющим отношение к пандемии.</w:t>
      </w:r>
    </w:p>
    <w:p w14:paraId="0CC714EF" w14:textId="16B3F5D2" w:rsidR="00C47151" w:rsidRPr="003F2182" w:rsidRDefault="00C47151" w:rsidP="00C47151">
      <w:pPr>
        <w:pStyle w:val="Para1"/>
        <w:numPr>
          <w:ilvl w:val="0"/>
          <w:numId w:val="37"/>
        </w:numPr>
        <w:suppressLineNumbers/>
        <w:suppressAutoHyphens/>
        <w:ind w:left="0" w:firstLine="0"/>
        <w:rPr>
          <w:bCs/>
          <w:kern w:val="22"/>
          <w:szCs w:val="22"/>
          <w:lang w:val="ru-RU"/>
        </w:rPr>
      </w:pPr>
      <w:r w:rsidRPr="003F2182">
        <w:rPr>
          <w:lang w:val="ru-RU"/>
        </w:rPr>
        <w:t xml:space="preserve">ВОЗ координирует обмен вирусами гриппа с помощью международной сети государственных медицинских лабораторий — «Глобальной системы по эпиднадзору за гриппом и принятию ответных мер» (ГСЭГО). Механизм ГПГ утвердил круг полномочий для лабораторий ГСЭГО применительно к их работе с вирусами гриппа, обладающими пандемическим потенциалом </w:t>
      </w:r>
      <w:r w:rsidR="008E1C7C">
        <w:rPr>
          <w:lang w:val="ru-RU"/>
        </w:rPr>
        <w:t>для</w:t>
      </w:r>
      <w:r w:rsidRPr="003F2182">
        <w:rPr>
          <w:lang w:val="ru-RU"/>
        </w:rPr>
        <w:t xml:space="preserve"> людей. Лаборатории, входящие в ГСЭГО, обмениваются вирусами, пользуясь стандартными соглашениями о передаче материала, юридически обязывающими договорами, которые устанавливают условия и обязательства по совместному использованию выгод.</w:t>
      </w:r>
    </w:p>
    <w:p w14:paraId="4C7ACD9F"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На своей 72-й сессии в мае 2019 г. Всемирная ассамблея здравоохранения рассмотрела два вопроса, имеющие непосредственное отношение к доступу к генетическим ресурсам и совместному использованию выгод: Механизм ГПГ и последствия для здравоохранения, связанные с осуществлением Нагойского протокола.</w:t>
      </w:r>
    </w:p>
    <w:p w14:paraId="1E2F1A77" w14:textId="1BA06BD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 xml:space="preserve">В том, что касается Механизма ГПГ, решение </w:t>
      </w:r>
      <w:r>
        <w:t>WHA</w:t>
      </w:r>
      <w:r w:rsidRPr="003F2182">
        <w:rPr>
          <w:lang w:val="ru-RU"/>
        </w:rPr>
        <w:t>72(12)</w:t>
      </w:r>
      <w:r w:rsidRPr="00C20F6C">
        <w:rPr>
          <w:bCs/>
          <w:kern w:val="22"/>
          <w:szCs w:val="22"/>
          <w:vertAlign w:val="superscript"/>
        </w:rPr>
        <w:footnoteReference w:id="45"/>
      </w:r>
      <w:r w:rsidRPr="003F2182">
        <w:rPr>
          <w:lang w:val="ru-RU"/>
        </w:rPr>
        <w:t xml:space="preserve"> включает в себя пункты, в которых Генеральному директору поручается </w:t>
      </w:r>
      <w:r>
        <w:t>a</w:t>
      </w:r>
      <w:r w:rsidRPr="003F2182">
        <w:rPr>
          <w:lang w:val="ru-RU"/>
        </w:rPr>
        <w:t>) в неотложном порядке в сотрудничестве с ГСЭГО и другими партнерами приступить к выявлению и устранению проблем и неопределенностей, касающихся обмена вирусами сезонного гриппа, которые возникли в ходе выполнения странами Нагойского п</w:t>
      </w:r>
      <w:r w:rsidR="00D87372">
        <w:rPr>
          <w:lang w:val="ru-RU"/>
        </w:rPr>
        <w:t xml:space="preserve">ротокола; </w:t>
      </w:r>
      <w:r>
        <w:t>b</w:t>
      </w:r>
      <w:r w:rsidRPr="003F2182">
        <w:rPr>
          <w:lang w:val="ru-RU"/>
        </w:rPr>
        <w:t xml:space="preserve">) подготовить доклад по вопросам, касающимся обмена вирусами гриппа, и связанным с ними соображениям общественного здравоохранения в рамках действующего законодательства и мер регулирования в этой области, включая меры по осуществлению Нагойского протокола, в консультации с секретариатом Конвенции о биологическом разнообразии; и </w:t>
      </w:r>
      <w:r>
        <w:t>c</w:t>
      </w:r>
      <w:r w:rsidRPr="003F2182">
        <w:rPr>
          <w:lang w:val="ru-RU"/>
        </w:rPr>
        <w:t>) на основе сотрудничества работать в масштабах всей ВОЗ над повышением осведомленности государств-членов о последствиях выполнения Нагойского протокола для общественного здравоохранения, особенно уч</w:t>
      </w:r>
      <w:r w:rsidR="00D87372">
        <w:rPr>
          <w:lang w:val="ru-RU"/>
        </w:rPr>
        <w:t>итывая межсекторальный характер</w:t>
      </w:r>
      <w:r w:rsidRPr="003F2182">
        <w:rPr>
          <w:lang w:val="ru-RU"/>
        </w:rPr>
        <w:t xml:space="preserve"> соответствующих вопросов.</w:t>
      </w:r>
    </w:p>
    <w:p w14:paraId="10170892"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lastRenderedPageBreak/>
        <w:t xml:space="preserve">ВАЗ приняла решение </w:t>
      </w:r>
      <w:r>
        <w:t>WHA</w:t>
      </w:r>
      <w:r w:rsidRPr="003F2182">
        <w:rPr>
          <w:lang w:val="ru-RU"/>
        </w:rPr>
        <w:t>72(13) о возможных последствиях осуществления Нагойского протокола для общественного здравоохранения</w:t>
      </w:r>
      <w:r w:rsidRPr="00C20F6C">
        <w:rPr>
          <w:bCs/>
          <w:kern w:val="22"/>
          <w:szCs w:val="22"/>
          <w:vertAlign w:val="superscript"/>
        </w:rPr>
        <w:footnoteReference w:id="46"/>
      </w:r>
      <w:r w:rsidRPr="003F2182">
        <w:rPr>
          <w:lang w:val="ru-RU"/>
        </w:rPr>
        <w:t xml:space="preserve">, в котором Генеральному директору было поручено расширить взаимодействие с государствами-членами, Секретариатом Конвенции о биологическом разнообразии и другими соответствующими международными организациями и заинтересованными сторонами с целью: </w:t>
      </w:r>
      <w:r>
        <w:t>a</w:t>
      </w:r>
      <w:r w:rsidRPr="003F2182">
        <w:rPr>
          <w:lang w:val="ru-RU"/>
        </w:rPr>
        <w:t xml:space="preserve">) предоставить информацию о текущей практике и механизмах обмена патогенами, о ходе осуществления мер в отношении доступа и совместного пользования преимуществами, а также о возможных последствиях для общественного здравоохранения и других последствиях; и </w:t>
      </w:r>
      <w:r>
        <w:t>b</w:t>
      </w:r>
      <w:r w:rsidRPr="003F2182">
        <w:rPr>
          <w:lang w:val="ru-RU"/>
        </w:rPr>
        <w:t>) представить доклад семьдесят четвертой сессии Всемирной ассамблеи здравоохранения через 148-ю сессию Исполнительного комитета, а также среднесрочный доклад 146-й сессии Исполнительного комитета.</w:t>
      </w:r>
    </w:p>
    <w:p w14:paraId="5EB08B80"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 xml:space="preserve">В контексте осуществления решения </w:t>
      </w:r>
      <w:r>
        <w:t>WHA</w:t>
      </w:r>
      <w:r w:rsidRPr="003F2182">
        <w:rPr>
          <w:lang w:val="ru-RU"/>
        </w:rPr>
        <w:t xml:space="preserve">72(13) ВОЗ в консультации с Секретариатом Конвенции подготовила обследование для сбора информации по следующим вопросам: </w:t>
      </w:r>
      <w:r>
        <w:t>a</w:t>
      </w:r>
      <w:r w:rsidRPr="003F2182">
        <w:rPr>
          <w:lang w:val="ru-RU"/>
        </w:rPr>
        <w:t xml:space="preserve">) текущая практика и механизмы обмена патогенами; и </w:t>
      </w:r>
      <w:r>
        <w:t>b</w:t>
      </w:r>
      <w:r w:rsidRPr="003F2182">
        <w:rPr>
          <w:lang w:val="ru-RU"/>
        </w:rPr>
        <w:t>) ход осуществления мер в отношении доступа и совместного пользования преимуществами. Кроме того, обследование было призвано обеспечить сбор мнений о возможных последствиях для общественного здравоохранения и других последствиях, в соответствии с требованием, сформулированном в решении. Посредством уведомления</w:t>
      </w:r>
      <w:r w:rsidRPr="00C20F6C">
        <w:rPr>
          <w:bCs/>
          <w:kern w:val="22"/>
          <w:szCs w:val="22"/>
          <w:vertAlign w:val="superscript"/>
        </w:rPr>
        <w:footnoteReference w:id="47"/>
      </w:r>
      <w:r w:rsidRPr="003F2182">
        <w:rPr>
          <w:lang w:val="ru-RU"/>
        </w:rPr>
        <w:t xml:space="preserve"> национальным координационным центрам КБР и ДГРСИВ было предложено принять участие в обследовании наряду с государствами-членами ВОЗ, международными и национальными учреждениями, Сотрудничающими центрами ВОЗ, негосударственными структурами, состоящими в официальных отношениях с ВОЗ, частным сектором и другими соответствующими субъектами деятельности.</w:t>
      </w:r>
    </w:p>
    <w:p w14:paraId="35E48BC3" w14:textId="501811BF" w:rsidR="00C47151" w:rsidRPr="003F2182" w:rsidRDefault="00C47151" w:rsidP="00C47151">
      <w:pPr>
        <w:pStyle w:val="Para1"/>
        <w:numPr>
          <w:ilvl w:val="0"/>
          <w:numId w:val="37"/>
        </w:numPr>
        <w:suppressLineNumbers/>
        <w:tabs>
          <w:tab w:val="num" w:pos="709"/>
        </w:tabs>
        <w:suppressAutoHyphens/>
        <w:ind w:left="0" w:firstLine="0"/>
        <w:rPr>
          <w:bCs/>
          <w:spacing w:val="-2"/>
          <w:kern w:val="22"/>
          <w:szCs w:val="22"/>
          <w:lang w:val="ru-RU"/>
        </w:rPr>
      </w:pPr>
      <w:r w:rsidRPr="003F2182">
        <w:rPr>
          <w:lang w:val="ru-RU"/>
        </w:rPr>
        <w:t>ВАЗ провела первую часть своей 73-й сессии в виртуальном режиме 18 и 19 мая 2020</w:t>
      </w:r>
      <w:r>
        <w:t> </w:t>
      </w:r>
      <w:r w:rsidRPr="003F2182">
        <w:rPr>
          <w:lang w:val="ru-RU"/>
        </w:rPr>
        <w:t xml:space="preserve">г.  В рамках пункта 3 повестки дня «Борьба с </w:t>
      </w:r>
      <w:r>
        <w:t>COVID</w:t>
      </w:r>
      <w:r w:rsidRPr="003F2182">
        <w:rPr>
          <w:lang w:val="ru-RU"/>
        </w:rPr>
        <w:t xml:space="preserve">-19» ВАЗ признала, среди прочего, необходимость обеспечения всеми странами беспрепятственного и своевременного доступа к качественным, безопасным, эффективным и недорогостоящим средствам диагностики и лечения, лекарственным препаратам и вакцинам, основным технологиям здравоохранения и их компонентам, а также техническим средствам для организации противодействия </w:t>
      </w:r>
      <w:r>
        <w:t>COVID</w:t>
      </w:r>
      <w:r w:rsidRPr="003F2182">
        <w:rPr>
          <w:lang w:val="ru-RU"/>
        </w:rPr>
        <w:noBreakHyphen/>
        <w:t xml:space="preserve">19 (пункт 13 преамбулы). Кроме того, она признала роль широкомасштабной иммунизации от </w:t>
      </w:r>
      <w:r>
        <w:t>COVID</w:t>
      </w:r>
      <w:r w:rsidRPr="003F2182">
        <w:rPr>
          <w:lang w:val="ru-RU"/>
        </w:rPr>
        <w:t>-19 в целях предотвращения, сдерживания и прекращения передачи инфекции как глобального общественного блага для здоровья, которое позволит положить конец этой пандемии после появления безопасных, качественных, эффективных, действенных, доступных и недорогостоящих вакцин (пункт</w:t>
      </w:r>
      <w:r>
        <w:t> </w:t>
      </w:r>
      <w:r w:rsidRPr="003F2182">
        <w:rPr>
          <w:lang w:val="ru-RU"/>
        </w:rPr>
        <w:t>6 постановляющей части)</w:t>
      </w:r>
      <w:r w:rsidRPr="00C20F6C">
        <w:rPr>
          <w:rStyle w:val="FootnoteReference"/>
          <w:bCs/>
          <w:spacing w:val="-2"/>
          <w:kern w:val="22"/>
          <w:szCs w:val="22"/>
        </w:rPr>
        <w:footnoteReference w:id="48"/>
      </w:r>
      <w:r w:rsidR="00FD1110">
        <w:rPr>
          <w:lang w:val="ru-RU"/>
        </w:rPr>
        <w:t>.</w:t>
      </w:r>
    </w:p>
    <w:p w14:paraId="1BD27EA6" w14:textId="77777777" w:rsidR="00C47151" w:rsidRPr="00FD1110" w:rsidRDefault="00C47151" w:rsidP="00C47151">
      <w:pPr>
        <w:keepNext/>
        <w:numPr>
          <w:ilvl w:val="0"/>
          <w:numId w:val="39"/>
        </w:numPr>
        <w:suppressLineNumbers/>
        <w:tabs>
          <w:tab w:val="left" w:pos="426"/>
        </w:tabs>
        <w:suppressAutoHyphens/>
        <w:spacing w:before="120" w:after="120"/>
        <w:ind w:left="0" w:firstLine="0"/>
        <w:jc w:val="center"/>
        <w:outlineLvl w:val="1"/>
        <w:rPr>
          <w:b/>
          <w:bCs/>
          <w:iCs/>
          <w:snapToGrid w:val="0"/>
          <w:kern w:val="22"/>
          <w:szCs w:val="22"/>
          <w:lang w:val="ru-RU"/>
        </w:rPr>
      </w:pPr>
      <w:r w:rsidRPr="00FD1110">
        <w:rPr>
          <w:b/>
          <w:bCs/>
          <w:iCs/>
          <w:snapToGrid w:val="0"/>
          <w:szCs w:val="22"/>
          <w:lang w:val="ru-RU"/>
        </w:rPr>
        <w:t>Всемирная организация интеллектуальной собственности</w:t>
      </w:r>
    </w:p>
    <w:p w14:paraId="755172BB"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Межправительственный комитет по интеллектуальной собственности, генетическим ресурсам, традиционным знаниям и фольклору был учрежден Генеральной Ассамблеей Всемирной организации интеллектуальной собственности (ВОИС) в 2000 г. в качестве форума для обсуждения государствами-членами и проведения переговоров на основе подготовленного текста с целью достижения соглашения в отношении международного юридического документа (документов), который сможет обеспечить эффективную охрану традиционных знаний, выражений традиционной культуры/фольклора и генетических ресурсов.</w:t>
      </w:r>
    </w:p>
    <w:p w14:paraId="50AB5443" w14:textId="77777777" w:rsidR="00C47151" w:rsidRPr="003F2182" w:rsidRDefault="00C47151" w:rsidP="00C47151">
      <w:pPr>
        <w:pStyle w:val="Para1"/>
        <w:numPr>
          <w:ilvl w:val="0"/>
          <w:numId w:val="37"/>
        </w:numPr>
        <w:suppressLineNumbers/>
        <w:tabs>
          <w:tab w:val="num" w:pos="709"/>
        </w:tabs>
        <w:suppressAutoHyphens/>
        <w:ind w:left="0" w:firstLine="0"/>
        <w:rPr>
          <w:bCs/>
          <w:spacing w:val="-2"/>
          <w:kern w:val="22"/>
          <w:szCs w:val="22"/>
          <w:lang w:val="ru-RU"/>
        </w:rPr>
      </w:pPr>
      <w:r w:rsidRPr="003F2182">
        <w:rPr>
          <w:lang w:val="ru-RU"/>
        </w:rPr>
        <w:t xml:space="preserve">На своей шестой и последней сессии в рамках текущего мандата на 2018-2019 гг. Межправительственный комитет рассмотрел вопросы традиционных знаний и традиционных выражений культуры, отметил прогресс, достигнутый за двухлетний период 2018-2019 гг., и сформулировал рекомендации для Генеральной Ассамблеи ВОИС. Среди прочего, Комитет постановил представить проекты статей о генетических ресурсах, традиционных знаниях и </w:t>
      </w:r>
      <w:r w:rsidRPr="003F2182">
        <w:rPr>
          <w:lang w:val="ru-RU"/>
        </w:rPr>
        <w:lastRenderedPageBreak/>
        <w:t>традиционных выражениях культуры</w:t>
      </w:r>
      <w:r w:rsidRPr="00C20F6C">
        <w:rPr>
          <w:rStyle w:val="FootnoteReference"/>
          <w:bCs/>
          <w:spacing w:val="-2"/>
          <w:kern w:val="22"/>
          <w:szCs w:val="22"/>
        </w:rPr>
        <w:footnoteReference w:id="49"/>
      </w:r>
      <w:r w:rsidRPr="003F2182">
        <w:rPr>
          <w:lang w:val="ru-RU"/>
        </w:rPr>
        <w:t>, а также подготовленный Председателем текст Проекта международно-правового документа в области интеллектуальной собственности, генетических ресурсов и традиционных знаний, связанных с генетическими ресурсами</w:t>
      </w:r>
      <w:r w:rsidRPr="00C20F6C">
        <w:rPr>
          <w:rStyle w:val="FootnoteReference"/>
          <w:bCs/>
          <w:spacing w:val="-2"/>
          <w:kern w:val="22"/>
          <w:szCs w:val="22"/>
        </w:rPr>
        <w:footnoteReference w:id="50"/>
      </w:r>
      <w:r w:rsidRPr="003F2182">
        <w:rPr>
          <w:lang w:val="ru-RU"/>
        </w:rPr>
        <w:t xml:space="preserve"> Генеральной Ассамблее ВОИС в 2019 г. Кроме того, он постановил рекомендовать Генеральной Ассамблее ВОИС 2019 г. продлить мандат Комитета на двухлетний период 2020-2021</w:t>
      </w:r>
      <w:r>
        <w:t> </w:t>
      </w:r>
      <w:r w:rsidRPr="003F2182">
        <w:rPr>
          <w:lang w:val="ru-RU"/>
        </w:rPr>
        <w:t>гг.</w:t>
      </w:r>
    </w:p>
    <w:p w14:paraId="57CC7092"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t>D</w:t>
      </w:r>
      <w:r w:rsidRPr="003F2182">
        <w:rPr>
          <w:lang w:val="ru-RU"/>
        </w:rPr>
        <w:t xml:space="preserve"> 2019 г. Генеральная Ассамблея ВОИС на своей 51-й сессии постановила продлить срок действия мандата Межправительственного комитета ВОИС по вопросам прав интеллектуальной собственности и генетических ресурсов, традиционных знаний и фольклора, на двухлетний период 2020-2021 гг., а также согласовала план работы на этот двухлетний период. В соответствии с предоставленным мандатом, Межправительственный комитет, не предвосхищая характер результата, будет продолжать свою деятельность с целью доработки соглашения по международному правовому документу (документам) в области интеллектуальной собственности, которые обеспечат сбалансированную и эффективную охрану генетических ресурсов, традиционных знаний и традиционных выражений культуры</w:t>
      </w:r>
      <w:r w:rsidRPr="00C20F6C">
        <w:rPr>
          <w:rStyle w:val="FootnoteReference"/>
          <w:bCs/>
          <w:kern w:val="22"/>
          <w:szCs w:val="22"/>
        </w:rPr>
        <w:footnoteReference w:id="51"/>
      </w:r>
      <w:r w:rsidRPr="003F2182">
        <w:rPr>
          <w:lang w:val="ru-RU"/>
        </w:rPr>
        <w:t>.</w:t>
      </w:r>
    </w:p>
    <w:p w14:paraId="59076FE6" w14:textId="77777777" w:rsidR="00C47151" w:rsidRPr="00C20F6C" w:rsidRDefault="00C47151" w:rsidP="00815221">
      <w:pPr>
        <w:pStyle w:val="Heading1"/>
        <w:numPr>
          <w:ilvl w:val="0"/>
          <w:numId w:val="43"/>
        </w:numPr>
        <w:suppressLineNumbers/>
        <w:tabs>
          <w:tab w:val="clear" w:pos="720"/>
          <w:tab w:val="left" w:pos="567"/>
        </w:tabs>
        <w:suppressAutoHyphens/>
        <w:spacing w:before="120"/>
        <w:ind w:left="0" w:firstLine="0"/>
        <w:rPr>
          <w:rFonts w:ascii="Times New Roman Bold" w:hAnsi="Times New Roman Bold"/>
          <w:b w:val="0"/>
          <w:bCs/>
          <w:caps w:val="0"/>
          <w:kern w:val="22"/>
          <w:szCs w:val="22"/>
        </w:rPr>
      </w:pPr>
      <w:r>
        <w:rPr>
          <w:rFonts w:ascii="Times New Roman Bold" w:hAnsi="Times New Roman Bold"/>
          <w:bCs/>
          <w:caps w:val="0"/>
          <w:szCs w:val="22"/>
        </w:rPr>
        <w:t>ПРЕДЛАГАЕМЫЕ ЭЛЕМЕНТЫ ПРОЕКТА РЕКОМЕНДАЦИИ</w:t>
      </w:r>
    </w:p>
    <w:p w14:paraId="0D5CA2C0" w14:textId="77777777" w:rsidR="00C47151" w:rsidRPr="003F2182" w:rsidRDefault="00C47151" w:rsidP="00C47151">
      <w:pPr>
        <w:pStyle w:val="Para1"/>
        <w:numPr>
          <w:ilvl w:val="0"/>
          <w:numId w:val="37"/>
        </w:numPr>
        <w:suppressLineNumbers/>
        <w:tabs>
          <w:tab w:val="num" w:pos="709"/>
        </w:tabs>
        <w:suppressAutoHyphens/>
        <w:ind w:left="0" w:firstLine="0"/>
        <w:rPr>
          <w:bCs/>
          <w:kern w:val="22"/>
          <w:szCs w:val="22"/>
          <w:lang w:val="ru-RU"/>
        </w:rPr>
      </w:pPr>
      <w:r w:rsidRPr="003F2182">
        <w:rPr>
          <w:lang w:val="ru-RU"/>
        </w:rPr>
        <w:t>С учетом обобщения мнений и совпадающих точек зрения по различным пунктам, выявленным в результате приведенного выше анализа, Вспомогательному органу по осуществлению предлагается рассмотреть возможность вынести рекомендацию Конференции Сторон, выступающей в качестве совещания Сторон Нагойского протокола, принять на ее четвертой сессии решение следующего содержания:</w:t>
      </w:r>
    </w:p>
    <w:p w14:paraId="35DC4B36" w14:textId="708C2EB1" w:rsidR="00C47151" w:rsidRPr="003F2182" w:rsidRDefault="00C47151" w:rsidP="00C47151">
      <w:pPr>
        <w:suppressLineNumbers/>
        <w:suppressAutoHyphens/>
        <w:spacing w:before="120" w:after="120"/>
        <w:ind w:firstLine="720"/>
        <w:jc w:val="left"/>
        <w:rPr>
          <w:bCs/>
          <w:i/>
          <w:iCs/>
          <w:kern w:val="22"/>
          <w:szCs w:val="22"/>
          <w:lang w:val="ru-RU"/>
        </w:rPr>
      </w:pPr>
      <w:r w:rsidRPr="003F2182">
        <w:rPr>
          <w:bCs/>
          <w:i/>
          <w:iCs/>
          <w:szCs w:val="22"/>
          <w:lang w:val="ru-RU"/>
        </w:rPr>
        <w:t>Конференция Сторон, выступающая в качестве совещания Сторон Нагойского протокола регулирования доступа к генетическим ресурсам и совместного использования выгод</w:t>
      </w:r>
      <w:r w:rsidR="00FD1110">
        <w:rPr>
          <w:bCs/>
          <w:i/>
          <w:iCs/>
          <w:szCs w:val="22"/>
          <w:lang w:val="ru-RU"/>
        </w:rPr>
        <w:t>,</w:t>
      </w:r>
    </w:p>
    <w:p w14:paraId="5F3E1794" w14:textId="77777777" w:rsidR="00C47151" w:rsidRPr="003F2182" w:rsidRDefault="00C47151" w:rsidP="00C47151">
      <w:pPr>
        <w:suppressLineNumbers/>
        <w:suppressAutoHyphens/>
        <w:spacing w:before="120" w:after="120"/>
        <w:ind w:firstLine="720"/>
        <w:rPr>
          <w:bCs/>
          <w:kern w:val="22"/>
          <w:szCs w:val="22"/>
          <w:lang w:val="ru-RU"/>
        </w:rPr>
      </w:pPr>
      <w:r w:rsidRPr="003F2182">
        <w:rPr>
          <w:i/>
          <w:iCs/>
          <w:lang w:val="ru-RU"/>
        </w:rPr>
        <w:t>принимая к сведению</w:t>
      </w:r>
      <w:r w:rsidRPr="003F2182">
        <w:rPr>
          <w:lang w:val="ru-RU"/>
        </w:rPr>
        <w:t xml:space="preserve"> информацию и мнения, представленные в соответствии с пунктом 2 решения </w:t>
      </w:r>
      <w:r>
        <w:t>NP</w:t>
      </w:r>
      <w:r w:rsidRPr="003F2182">
        <w:rPr>
          <w:lang w:val="ru-RU"/>
        </w:rPr>
        <w:t>-3/14,</w:t>
      </w:r>
    </w:p>
    <w:p w14:paraId="6C1B751C" w14:textId="77777777" w:rsidR="00C47151" w:rsidRPr="003F2182" w:rsidRDefault="00C47151" w:rsidP="00C47151">
      <w:pPr>
        <w:suppressLineNumbers/>
        <w:suppressAutoHyphens/>
        <w:spacing w:before="120" w:after="120"/>
        <w:ind w:firstLine="720"/>
        <w:rPr>
          <w:bCs/>
          <w:kern w:val="22"/>
          <w:szCs w:val="22"/>
          <w:lang w:val="ru-RU"/>
        </w:rPr>
      </w:pPr>
      <w:r w:rsidRPr="003F2182">
        <w:rPr>
          <w:i/>
          <w:iCs/>
          <w:lang w:val="ru-RU"/>
        </w:rPr>
        <w:t>ссылаясь</w:t>
      </w:r>
      <w:r w:rsidRPr="003F2182">
        <w:rPr>
          <w:lang w:val="ru-RU"/>
        </w:rPr>
        <w:t xml:space="preserve"> на пункт 4 статьи 4 Протокола,</w:t>
      </w:r>
    </w:p>
    <w:p w14:paraId="7468A609" w14:textId="77777777" w:rsidR="00C47151" w:rsidRPr="003F2182" w:rsidRDefault="00C47151" w:rsidP="00C47151">
      <w:pPr>
        <w:suppressLineNumbers/>
        <w:suppressAutoHyphens/>
        <w:spacing w:before="120" w:after="120"/>
        <w:ind w:firstLine="720"/>
        <w:rPr>
          <w:bCs/>
          <w:kern w:val="22"/>
          <w:szCs w:val="22"/>
          <w:lang w:val="ru-RU"/>
        </w:rPr>
      </w:pPr>
      <w:r w:rsidRPr="003F2182">
        <w:rPr>
          <w:lang w:val="ru-RU"/>
        </w:rPr>
        <w:t>1.</w:t>
      </w:r>
      <w:r w:rsidRPr="003F2182">
        <w:rPr>
          <w:lang w:val="ru-RU"/>
        </w:rPr>
        <w:tab/>
      </w:r>
      <w:r w:rsidRPr="003F2182">
        <w:rPr>
          <w:i/>
          <w:iCs/>
          <w:lang w:val="ru-RU"/>
        </w:rPr>
        <w:t>приветствует</w:t>
      </w:r>
      <w:r w:rsidRPr="003F2182">
        <w:rPr>
          <w:lang w:val="ru-RU"/>
        </w:rPr>
        <w:t xml:space="preserve"> ориентировочные критерии для специализированных международных документов, регулирующих доступ к генетическим ресурсам и совместное использование выгод в контексте пункта 4 статьи 4 Нагойского протокола, приведенные в приложении к настоящему проекту решения, отмечая, что они призваны способствовать укреплению координации и взаимодополняемости между Нагойским протоколом и другими международными документами, регулирующими доступ к генетическим ресурсам и совместное использование выгод, не создавая никаких иерархических отношений между ними;</w:t>
      </w:r>
    </w:p>
    <w:p w14:paraId="6DB692A4" w14:textId="77777777" w:rsidR="00C47151" w:rsidRPr="003F2182" w:rsidRDefault="00C47151" w:rsidP="00C47151">
      <w:pPr>
        <w:suppressLineNumbers/>
        <w:suppressAutoHyphens/>
        <w:spacing w:before="120" w:after="120"/>
        <w:ind w:firstLine="720"/>
        <w:rPr>
          <w:kern w:val="22"/>
          <w:szCs w:val="22"/>
          <w:lang w:val="ru-RU"/>
        </w:rPr>
      </w:pPr>
      <w:r w:rsidRPr="003F2182">
        <w:rPr>
          <w:lang w:val="ru-RU"/>
        </w:rPr>
        <w:t>2.</w:t>
      </w:r>
      <w:r w:rsidRPr="003F2182">
        <w:rPr>
          <w:lang w:val="ru-RU"/>
        </w:rPr>
        <w:tab/>
      </w:r>
      <w:r w:rsidRPr="003F2182">
        <w:rPr>
          <w:i/>
          <w:iCs/>
          <w:lang w:val="ru-RU"/>
        </w:rPr>
        <w:t>предлагает</w:t>
      </w:r>
      <w:r w:rsidRPr="003F2182">
        <w:rPr>
          <w:lang w:val="ru-RU"/>
        </w:rPr>
        <w:t xml:space="preserve"> Сторонам и другим правительствам учитывать эти ориентировочные критерии в ходе разработки и/или применения мер по обеспечению доступа к генетическим ресурсам и совместному использованию выгод;</w:t>
      </w:r>
    </w:p>
    <w:p w14:paraId="102482A9" w14:textId="77777777" w:rsidR="00C47151" w:rsidRPr="003F2182" w:rsidRDefault="00C47151" w:rsidP="00C47151">
      <w:pPr>
        <w:suppressLineNumbers/>
        <w:suppressAutoHyphens/>
        <w:spacing w:before="120" w:after="120"/>
        <w:ind w:firstLine="720"/>
        <w:rPr>
          <w:kern w:val="22"/>
          <w:szCs w:val="22"/>
          <w:lang w:val="ru-RU"/>
        </w:rPr>
      </w:pPr>
      <w:r w:rsidRPr="003F2182">
        <w:rPr>
          <w:lang w:val="ru-RU"/>
        </w:rPr>
        <w:t>3.</w:t>
      </w:r>
      <w:r w:rsidRPr="003F2182">
        <w:rPr>
          <w:lang w:val="ru-RU"/>
        </w:rPr>
        <w:tab/>
      </w:r>
      <w:r w:rsidRPr="003F2182">
        <w:rPr>
          <w:i/>
          <w:iCs/>
          <w:lang w:val="ru-RU"/>
        </w:rPr>
        <w:t>предлагает</w:t>
      </w:r>
      <w:r w:rsidRPr="003F2182">
        <w:rPr>
          <w:lang w:val="ru-RU"/>
        </w:rPr>
        <w:t xml:space="preserve"> соответствующим международным организациям и межправительственным процессам учитывать эти ориентировочные критерии в своей деятельности, направленной на разработку международных документов, включающих положения, касающиеся доступа к генетическим ресурсам и совместного использования выгод;</w:t>
      </w:r>
    </w:p>
    <w:p w14:paraId="63B54238" w14:textId="00F65A30" w:rsidR="00C47151" w:rsidRPr="003F2182" w:rsidRDefault="00C47151" w:rsidP="00C47151">
      <w:pPr>
        <w:suppressLineNumbers/>
        <w:suppressAutoHyphens/>
        <w:spacing w:before="120" w:after="120"/>
        <w:ind w:firstLine="720"/>
        <w:rPr>
          <w:kern w:val="22"/>
          <w:szCs w:val="22"/>
          <w:lang w:val="ru-RU"/>
        </w:rPr>
      </w:pPr>
      <w:r w:rsidRPr="003F2182">
        <w:rPr>
          <w:lang w:val="ru-RU"/>
        </w:rPr>
        <w:lastRenderedPageBreak/>
        <w:t>4.</w:t>
      </w:r>
      <w:r w:rsidRPr="003F2182">
        <w:rPr>
          <w:lang w:val="ru-RU"/>
        </w:rPr>
        <w:tab/>
      </w:r>
      <w:r w:rsidRPr="003F2182">
        <w:rPr>
          <w:i/>
          <w:iCs/>
          <w:lang w:val="ru-RU"/>
        </w:rPr>
        <w:t>просит</w:t>
      </w:r>
      <w:r w:rsidRPr="003F2182">
        <w:rPr>
          <w:lang w:val="ru-RU"/>
        </w:rPr>
        <w:t xml:space="preserve"> Стороны включить в их национальные доклады информацию и предлагает другим правительствам и соответствующим международным организациям обмениваться информацией о любых шагах, предпринимаемых ими в целях разработки и/или признания специализированного международного доку</w:t>
      </w:r>
      <w:r w:rsidR="00FD1110">
        <w:rPr>
          <w:lang w:val="ru-RU"/>
        </w:rPr>
        <w:t>мента для регулирования доступа</w:t>
      </w:r>
      <w:r w:rsidRPr="003F2182">
        <w:rPr>
          <w:lang w:val="ru-RU"/>
        </w:rPr>
        <w:t xml:space="preserve"> к генетическим ресурсам и совместного использования выгод, соответствующего целям Конвенции и Протокола, включая информацию о конкретном генетическом ресурсе, регулируемом специализированным документом и используемом для его целей.</w:t>
      </w:r>
    </w:p>
    <w:p w14:paraId="3BBA3A5B" w14:textId="77777777" w:rsidR="00C47151" w:rsidRPr="003F2182" w:rsidRDefault="00C47151" w:rsidP="00C47151">
      <w:pPr>
        <w:suppressLineNumbers/>
        <w:suppressAutoHyphens/>
        <w:spacing w:before="120" w:after="120"/>
        <w:ind w:firstLine="720"/>
        <w:rPr>
          <w:kern w:val="22"/>
          <w:szCs w:val="22"/>
          <w:lang w:val="ru-RU"/>
        </w:rPr>
      </w:pPr>
      <w:r w:rsidRPr="003F2182">
        <w:rPr>
          <w:lang w:val="ru-RU"/>
        </w:rPr>
        <w:t>5.</w:t>
      </w:r>
      <w:r w:rsidRPr="003F2182">
        <w:rPr>
          <w:lang w:val="ru-RU"/>
        </w:rPr>
        <w:tab/>
      </w:r>
      <w:r w:rsidRPr="003F2182">
        <w:rPr>
          <w:i/>
          <w:iCs/>
          <w:lang w:val="ru-RU"/>
        </w:rPr>
        <w:t>постановляет</w:t>
      </w:r>
      <w:r w:rsidRPr="003F2182">
        <w:rPr>
          <w:lang w:val="ru-RU"/>
        </w:rPr>
        <w:t xml:space="preserve"> провести обзор этого решения в рамках процесса оценки и обзора, предусмотренного в статье 31 Протокола, с учетом значимых событий и с тем чтобы предпринимать любые шаги, необходимые для содействия согласованности в международном режиме регулирования доступа к генетическим ресурсам и совместного использования выгод.</w:t>
      </w:r>
    </w:p>
    <w:p w14:paraId="725D90FE" w14:textId="77777777" w:rsidR="00C47151" w:rsidRPr="003F2182" w:rsidRDefault="00C47151" w:rsidP="00C47151">
      <w:pPr>
        <w:pStyle w:val="Para1"/>
        <w:numPr>
          <w:ilvl w:val="0"/>
          <w:numId w:val="0"/>
        </w:numPr>
        <w:suppressLineNumbers/>
        <w:suppressAutoHyphens/>
        <w:rPr>
          <w:kern w:val="22"/>
          <w:szCs w:val="22"/>
          <w:lang w:val="ru-RU"/>
        </w:rPr>
      </w:pPr>
    </w:p>
    <w:p w14:paraId="0A905B9C" w14:textId="77777777" w:rsidR="00C47151" w:rsidRPr="003F2182" w:rsidRDefault="00C47151" w:rsidP="00C47151">
      <w:pPr>
        <w:suppressLineNumbers/>
        <w:suppressAutoHyphens/>
        <w:spacing w:after="200" w:line="276" w:lineRule="auto"/>
        <w:jc w:val="left"/>
        <w:rPr>
          <w:i/>
          <w:iCs/>
          <w:snapToGrid w:val="0"/>
          <w:kern w:val="22"/>
          <w:szCs w:val="22"/>
          <w:lang w:val="ru-RU"/>
        </w:rPr>
      </w:pPr>
      <w:r w:rsidRPr="003F2182">
        <w:rPr>
          <w:lang w:val="ru-RU"/>
        </w:rPr>
        <w:br w:type="page"/>
      </w:r>
    </w:p>
    <w:p w14:paraId="5F17228C" w14:textId="77777777" w:rsidR="00C47151" w:rsidRPr="003F2182" w:rsidRDefault="00C47151" w:rsidP="00C47151">
      <w:pPr>
        <w:pStyle w:val="Para1"/>
        <w:numPr>
          <w:ilvl w:val="0"/>
          <w:numId w:val="0"/>
        </w:numPr>
        <w:suppressLineNumbers/>
        <w:suppressAutoHyphens/>
        <w:spacing w:before="0"/>
        <w:jc w:val="center"/>
        <w:rPr>
          <w:i/>
          <w:iCs/>
          <w:kern w:val="22"/>
          <w:szCs w:val="22"/>
          <w:lang w:val="ru-RU"/>
        </w:rPr>
      </w:pPr>
      <w:r w:rsidRPr="003F2182">
        <w:rPr>
          <w:i/>
          <w:iCs/>
          <w:szCs w:val="22"/>
          <w:lang w:val="ru-RU"/>
        </w:rPr>
        <w:lastRenderedPageBreak/>
        <w:t>Приложение</w:t>
      </w:r>
    </w:p>
    <w:p w14:paraId="15953B84" w14:textId="1B0013F8" w:rsidR="00C47151" w:rsidRPr="003F2182" w:rsidRDefault="00C47151" w:rsidP="00C47151">
      <w:pPr>
        <w:pStyle w:val="Heading1"/>
        <w:suppressLineNumbers/>
        <w:tabs>
          <w:tab w:val="clear" w:pos="720"/>
        </w:tabs>
        <w:suppressAutoHyphens/>
        <w:spacing w:before="120"/>
        <w:rPr>
          <w:caps w:val="0"/>
          <w:kern w:val="22"/>
          <w:szCs w:val="22"/>
          <w:lang w:val="ru-RU"/>
        </w:rPr>
      </w:pPr>
      <w:r w:rsidRPr="003F2182">
        <w:rPr>
          <w:caps w:val="0"/>
          <w:szCs w:val="22"/>
          <w:lang w:val="ru-RU"/>
        </w:rPr>
        <w:t>ОРИЕНТИРОВОЧНЫЕ КРИТЕРИИ ДЛЯ СПЕЦИАЛИЗИРОВАННЫХ МЕЖДУНАРОДНЫХ ДОКУМ</w:t>
      </w:r>
      <w:r w:rsidR="00F818FE">
        <w:rPr>
          <w:caps w:val="0"/>
          <w:szCs w:val="22"/>
          <w:lang w:val="ru-RU"/>
        </w:rPr>
        <w:t>ЕНТОВ ДЛЯ РЕГУЛИРОВАНИЯ ДОСТУПА</w:t>
      </w:r>
      <w:r w:rsidRPr="003F2182">
        <w:rPr>
          <w:caps w:val="0"/>
          <w:szCs w:val="22"/>
          <w:lang w:val="ru-RU"/>
        </w:rPr>
        <w:t xml:space="preserve"> К ГЕНЕТИЧЕСКИМ РЕСУРСАМ И СОВМЕСТНОГО ИСПОЛЬЗОВАНИЯ ВЫГОД В КОНТЕКСТЕ ПУНКТА 4 СТАТЬИ 4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1918E496" w14:textId="77777777" w:rsidR="00C47151" w:rsidRPr="003F2182" w:rsidRDefault="00C47151" w:rsidP="00C47151">
      <w:pPr>
        <w:pStyle w:val="Para1"/>
        <w:suppressLineNumbers/>
        <w:tabs>
          <w:tab w:val="clear" w:pos="360"/>
        </w:tabs>
        <w:suppressAutoHyphens/>
        <w:rPr>
          <w:kern w:val="22"/>
          <w:szCs w:val="22"/>
          <w:lang w:val="ru-RU"/>
        </w:rPr>
      </w:pPr>
      <w:r w:rsidRPr="003F2182">
        <w:rPr>
          <w:lang w:val="ru-RU"/>
        </w:rPr>
        <w:t>Эти ориентировочные критерии представляют собой контрольные ориентиры или элементы, которые необходимо учитывать в качестве руководящих указаний при разработке или признании специализированных международных документов для регулирования доступа к генетическим ресурсам и совместного использования выгод. Они призваны способствовать укреплению координации и взаимодополняемости между Нагойским протоколом и другими международными документами, регулирующими доступ к генетическим ресурсам и совместное использование выгод, не создавая никаких иерархических отношений между ними.</w:t>
      </w:r>
    </w:p>
    <w:p w14:paraId="6B0619B8" w14:textId="77777777" w:rsidR="00C47151" w:rsidRPr="00F818FE" w:rsidRDefault="00C47151" w:rsidP="00C47151">
      <w:pPr>
        <w:pStyle w:val="Para1"/>
        <w:suppressLineNumbers/>
        <w:tabs>
          <w:tab w:val="clear" w:pos="360"/>
        </w:tabs>
        <w:suppressAutoHyphens/>
        <w:rPr>
          <w:kern w:val="22"/>
          <w:szCs w:val="22"/>
          <w:lang w:val="ru-RU"/>
        </w:rPr>
      </w:pPr>
      <w:r w:rsidRPr="003F2182">
        <w:rPr>
          <w:i/>
          <w:iCs/>
          <w:lang w:val="ru-RU"/>
        </w:rPr>
        <w:t>Согласованность на межправительственном или международном уровне</w:t>
      </w:r>
      <w:r w:rsidRPr="003F2182">
        <w:rPr>
          <w:lang w:val="ru-RU"/>
        </w:rPr>
        <w:t xml:space="preserve"> — Документ разрабатывается и согласовывается в рамках межправительственного процесса и/или подлежит одобрению со стороны государств и/или правительств</w:t>
      </w:r>
      <w:r w:rsidRPr="00F818FE">
        <w:rPr>
          <w:lang w:val="ru-RU"/>
        </w:rPr>
        <w:t>. Документ может иметь или не иметь обязательную силу.</w:t>
      </w:r>
    </w:p>
    <w:p w14:paraId="64158FC4" w14:textId="77777777" w:rsidR="00C47151" w:rsidRPr="00F818FE" w:rsidRDefault="00C47151" w:rsidP="00C47151">
      <w:pPr>
        <w:pStyle w:val="Para1"/>
        <w:suppressLineNumbers/>
        <w:tabs>
          <w:tab w:val="clear" w:pos="360"/>
        </w:tabs>
        <w:suppressAutoHyphens/>
        <w:rPr>
          <w:kern w:val="22"/>
          <w:szCs w:val="22"/>
          <w:lang w:val="ru-RU"/>
        </w:rPr>
      </w:pPr>
      <w:r w:rsidRPr="00F818FE">
        <w:rPr>
          <w:i/>
          <w:iCs/>
          <w:lang w:val="ru-RU"/>
        </w:rPr>
        <w:t>Специализированный характер</w:t>
      </w:r>
      <w:r w:rsidRPr="00F818FE">
        <w:rPr>
          <w:lang w:val="ru-RU"/>
        </w:rPr>
        <w:t xml:space="preserve"> — Документ:</w:t>
      </w:r>
    </w:p>
    <w:p w14:paraId="2A395002" w14:textId="77777777" w:rsidR="00C47151" w:rsidRPr="003F2182" w:rsidRDefault="00C47151" w:rsidP="00C47151">
      <w:pPr>
        <w:pStyle w:val="Para1"/>
        <w:numPr>
          <w:ilvl w:val="0"/>
          <w:numId w:val="0"/>
        </w:numPr>
        <w:suppressLineNumbers/>
        <w:suppressAutoHyphens/>
        <w:spacing w:before="0"/>
        <w:ind w:firstLine="720"/>
        <w:rPr>
          <w:kern w:val="22"/>
          <w:szCs w:val="22"/>
          <w:lang w:val="ru-RU"/>
        </w:rPr>
      </w:pPr>
      <w:r>
        <w:t>a</w:t>
      </w:r>
      <w:r w:rsidRPr="003F2182">
        <w:rPr>
          <w:lang w:val="ru-RU"/>
        </w:rPr>
        <w:t>)</w:t>
      </w:r>
      <w:r w:rsidRPr="003F2182">
        <w:rPr>
          <w:lang w:val="ru-RU"/>
        </w:rPr>
        <w:tab/>
        <w:t>применяется в отношении определенного набора генетических ресурсов и/или традиционных знаний, связанных с генетическими ресурсами, которые в противном случае подпадают под действие Нагойского протокола; либо</w:t>
      </w:r>
    </w:p>
    <w:p w14:paraId="73BF3597" w14:textId="77777777" w:rsidR="00C47151" w:rsidRPr="00C47151" w:rsidRDefault="00C47151" w:rsidP="00C47151">
      <w:pPr>
        <w:pStyle w:val="Para1"/>
        <w:numPr>
          <w:ilvl w:val="0"/>
          <w:numId w:val="0"/>
        </w:numPr>
        <w:suppressLineNumbers/>
        <w:suppressAutoHyphens/>
        <w:spacing w:before="0"/>
        <w:ind w:firstLine="720"/>
        <w:rPr>
          <w:kern w:val="22"/>
          <w:szCs w:val="22"/>
          <w:lang w:val="ru-RU"/>
        </w:rPr>
      </w:pPr>
      <w:r>
        <w:t>b</w:t>
      </w:r>
      <w:r w:rsidRPr="00C47151">
        <w:rPr>
          <w:lang w:val="ru-RU"/>
        </w:rPr>
        <w:t>)</w:t>
      </w:r>
      <w:r w:rsidRPr="00C47151">
        <w:rPr>
          <w:lang w:val="ru-RU"/>
        </w:rPr>
        <w:tab/>
        <w:t>применяется в отношении определенных видов использования генетических ресурсов и/или традиционных знаний, связанных с генетическими ресурсами, что предполагает дифференцированный и, следовательно, специализированный подход.</w:t>
      </w:r>
    </w:p>
    <w:p w14:paraId="0977CC08" w14:textId="77777777" w:rsidR="00C47151" w:rsidRPr="00C47151" w:rsidRDefault="00C47151" w:rsidP="00C47151">
      <w:pPr>
        <w:pStyle w:val="Para1"/>
        <w:suppressLineNumbers/>
        <w:tabs>
          <w:tab w:val="clear" w:pos="360"/>
        </w:tabs>
        <w:suppressAutoHyphens/>
        <w:rPr>
          <w:kern w:val="22"/>
          <w:szCs w:val="22"/>
          <w:lang w:val="ru-RU"/>
        </w:rPr>
      </w:pPr>
      <w:r w:rsidRPr="00C47151">
        <w:rPr>
          <w:i/>
          <w:iCs/>
          <w:lang w:val="ru-RU"/>
        </w:rPr>
        <w:t>Взаимодополняемость</w:t>
      </w:r>
      <w:r w:rsidRPr="00C47151">
        <w:rPr>
          <w:lang w:val="ru-RU"/>
        </w:rPr>
        <w:t xml:space="preserve"> — Документ соответствует целям Конвенции о биологическом разнообразии и Нагойского протокола, поддерживает их и не противоречит этим целям, в том числе применительно к следующим аспектам:</w:t>
      </w:r>
    </w:p>
    <w:p w14:paraId="53DB1138" w14:textId="77777777" w:rsidR="00C47151" w:rsidRPr="00C47151" w:rsidRDefault="00C47151" w:rsidP="00C47151">
      <w:pPr>
        <w:pStyle w:val="Para1"/>
        <w:numPr>
          <w:ilvl w:val="0"/>
          <w:numId w:val="0"/>
        </w:numPr>
        <w:suppressLineNumbers/>
        <w:suppressAutoHyphens/>
        <w:spacing w:before="0"/>
        <w:ind w:firstLine="720"/>
        <w:rPr>
          <w:kern w:val="22"/>
          <w:szCs w:val="22"/>
          <w:lang w:val="ru-RU"/>
        </w:rPr>
      </w:pPr>
      <w:r>
        <w:t>a</w:t>
      </w:r>
      <w:r w:rsidRPr="00C47151">
        <w:rPr>
          <w:lang w:val="ru-RU"/>
        </w:rPr>
        <w:t>)</w:t>
      </w:r>
      <w:r w:rsidRPr="00C47151">
        <w:rPr>
          <w:lang w:val="ru-RU"/>
        </w:rPr>
        <w:tab/>
        <w:t>соответствие целям сохранения и устойчивого использования биоразнообразия;</w:t>
      </w:r>
    </w:p>
    <w:p w14:paraId="163061AB" w14:textId="77777777" w:rsidR="00C47151" w:rsidRPr="00C47151" w:rsidRDefault="00C47151" w:rsidP="00C47151">
      <w:pPr>
        <w:pStyle w:val="Para1"/>
        <w:numPr>
          <w:ilvl w:val="0"/>
          <w:numId w:val="0"/>
        </w:numPr>
        <w:suppressLineNumbers/>
        <w:suppressAutoHyphens/>
        <w:spacing w:before="0"/>
        <w:ind w:firstLine="720"/>
        <w:rPr>
          <w:kern w:val="22"/>
          <w:szCs w:val="22"/>
          <w:lang w:val="ru-RU"/>
        </w:rPr>
      </w:pPr>
      <w:r>
        <w:t>b</w:t>
      </w:r>
      <w:r w:rsidRPr="00C47151">
        <w:rPr>
          <w:lang w:val="ru-RU"/>
        </w:rPr>
        <w:t>)</w:t>
      </w:r>
      <w:r w:rsidRPr="00C47151">
        <w:rPr>
          <w:lang w:val="ru-RU"/>
        </w:rPr>
        <w:tab/>
        <w:t>справедливость и равенство при совместном использовании выгод;</w:t>
      </w:r>
    </w:p>
    <w:p w14:paraId="591FAC2B" w14:textId="77777777" w:rsidR="00C47151" w:rsidRPr="00C47151" w:rsidRDefault="00C47151" w:rsidP="00C47151">
      <w:pPr>
        <w:pStyle w:val="Para1"/>
        <w:numPr>
          <w:ilvl w:val="0"/>
          <w:numId w:val="0"/>
        </w:numPr>
        <w:suppressLineNumbers/>
        <w:suppressAutoHyphens/>
        <w:spacing w:before="0"/>
        <w:ind w:firstLine="720"/>
        <w:rPr>
          <w:kern w:val="22"/>
          <w:szCs w:val="22"/>
          <w:lang w:val="ru-RU"/>
        </w:rPr>
      </w:pPr>
      <w:r>
        <w:t>c</w:t>
      </w:r>
      <w:r w:rsidRPr="00C47151">
        <w:rPr>
          <w:lang w:val="ru-RU"/>
        </w:rPr>
        <w:t>)</w:t>
      </w:r>
      <w:r w:rsidRPr="00C47151">
        <w:rPr>
          <w:lang w:val="ru-RU"/>
        </w:rPr>
        <w:tab/>
        <w:t>правовая определенность в отношении доступа к генетическим ресурсам или традиционным знаниям и совместного использования выгод;</w:t>
      </w:r>
    </w:p>
    <w:p w14:paraId="2F1CDFAA" w14:textId="77777777" w:rsidR="00C47151" w:rsidRPr="00C47151" w:rsidRDefault="00C47151" w:rsidP="00C47151">
      <w:pPr>
        <w:pStyle w:val="Para1"/>
        <w:numPr>
          <w:ilvl w:val="0"/>
          <w:numId w:val="0"/>
        </w:numPr>
        <w:suppressLineNumbers/>
        <w:suppressAutoHyphens/>
        <w:spacing w:before="0"/>
        <w:ind w:firstLine="720"/>
        <w:rPr>
          <w:kern w:val="22"/>
          <w:szCs w:val="22"/>
          <w:lang w:val="ru-RU"/>
        </w:rPr>
      </w:pPr>
      <w:r>
        <w:t>d</w:t>
      </w:r>
      <w:r w:rsidRPr="00C47151">
        <w:rPr>
          <w:lang w:val="ru-RU"/>
        </w:rPr>
        <w:t>)</w:t>
      </w:r>
      <w:r w:rsidRPr="00C47151">
        <w:rPr>
          <w:lang w:val="ru-RU"/>
        </w:rPr>
        <w:tab/>
        <w:t>вклад в устойчивое развитие, воплощенный согласованными на международном уровне целями;</w:t>
      </w:r>
    </w:p>
    <w:p w14:paraId="01BD41C5" w14:textId="77777777" w:rsidR="00C47151" w:rsidRPr="00C47151" w:rsidRDefault="00C47151" w:rsidP="00C47151">
      <w:pPr>
        <w:pStyle w:val="Para1"/>
        <w:numPr>
          <w:ilvl w:val="0"/>
          <w:numId w:val="0"/>
        </w:numPr>
        <w:suppressLineNumbers/>
        <w:suppressAutoHyphens/>
        <w:spacing w:before="0"/>
        <w:ind w:firstLine="720"/>
        <w:rPr>
          <w:kern w:val="22"/>
          <w:szCs w:val="22"/>
          <w:lang w:val="ru-RU"/>
        </w:rPr>
      </w:pPr>
      <w:r>
        <w:t>e</w:t>
      </w:r>
      <w:r w:rsidRPr="00C47151">
        <w:rPr>
          <w:lang w:val="ru-RU"/>
        </w:rPr>
        <w:t>)</w:t>
      </w:r>
      <w:r w:rsidRPr="00C47151">
        <w:rPr>
          <w:lang w:val="ru-RU"/>
        </w:rPr>
        <w:tab/>
        <w:t>другие общие принципы права, включая добросовестность, эффективность и законные ожидания.</w:t>
      </w:r>
    </w:p>
    <w:p w14:paraId="7546B519" w14:textId="77777777" w:rsidR="00B3369F" w:rsidRPr="001C6487" w:rsidRDefault="00084813" w:rsidP="00323613">
      <w:pPr>
        <w:suppressLineNumbers/>
        <w:suppressAutoHyphens/>
        <w:kinsoku w:val="0"/>
        <w:overflowPunct w:val="0"/>
        <w:autoSpaceDE w:val="0"/>
        <w:autoSpaceDN w:val="0"/>
        <w:adjustRightInd w:val="0"/>
        <w:snapToGrid w:val="0"/>
        <w:spacing w:line="235" w:lineRule="auto"/>
        <w:jc w:val="center"/>
        <w:rPr>
          <w:kern w:val="22"/>
          <w:szCs w:val="22"/>
        </w:rPr>
      </w:pPr>
      <w:r w:rsidRPr="008E600F">
        <w:rPr>
          <w:kern w:val="22"/>
          <w:szCs w:val="22"/>
        </w:rPr>
        <w:t>____</w:t>
      </w:r>
      <w:r w:rsidR="00B840DD" w:rsidRPr="008E600F">
        <w:rPr>
          <w:kern w:val="22"/>
          <w:szCs w:val="22"/>
        </w:rPr>
        <w:t>_______</w:t>
      </w:r>
    </w:p>
    <w:sectPr w:rsidR="00B3369F" w:rsidRPr="001C6487" w:rsidSect="00C47151">
      <w:headerReference w:type="even" r:id="rId18"/>
      <w:headerReference w:type="default" r:id="rId19"/>
      <w:footerReference w:type="even" r:id="rId20"/>
      <w:footerReference w:type="default" r:id="rId21"/>
      <w:footerReference w:type="first" r:id="rId22"/>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55175" w14:textId="77777777" w:rsidR="00872A4D" w:rsidRDefault="00872A4D" w:rsidP="00CF1848">
      <w:r>
        <w:separator/>
      </w:r>
    </w:p>
  </w:endnote>
  <w:endnote w:type="continuationSeparator" w:id="0">
    <w:p w14:paraId="0984C4AE" w14:textId="77777777" w:rsidR="00872A4D" w:rsidRDefault="00872A4D" w:rsidP="00CF1848">
      <w:r>
        <w:continuationSeparator/>
      </w:r>
    </w:p>
  </w:endnote>
  <w:endnote w:type="continuationNotice" w:id="1">
    <w:p w14:paraId="75592F2C" w14:textId="77777777" w:rsidR="00872A4D" w:rsidRDefault="00872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BB2D" w14:textId="77777777" w:rsidR="00A45B66" w:rsidRDefault="00A45B66" w:rsidP="001C6487">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F1EAB" w14:textId="77777777" w:rsidR="00A45B66" w:rsidRDefault="00A45B66" w:rsidP="001C6487">
    <w:pPr>
      <w:pStyle w:val="Footer"/>
      <w:tabs>
        <w:tab w:val="clear" w:pos="4320"/>
        <w:tab w:val="clear" w:pos="8640"/>
      </w:tabs>
      <w:kinsoku w:val="0"/>
      <w:overflowPunct w:val="0"/>
      <w:autoSpaceDE w:val="0"/>
      <w:autoSpaceDN w:val="0"/>
      <w:adjustRightInd w:val="0"/>
      <w:snapToGrid w:val="0"/>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54595" w14:textId="77777777" w:rsidR="00A45B66" w:rsidRDefault="00A45B66" w:rsidP="001C6487">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CBAC" w14:textId="77777777" w:rsidR="00872A4D" w:rsidRDefault="00872A4D" w:rsidP="00CF1848">
      <w:r>
        <w:separator/>
      </w:r>
    </w:p>
  </w:footnote>
  <w:footnote w:type="continuationSeparator" w:id="0">
    <w:p w14:paraId="2CE5CE4F" w14:textId="77777777" w:rsidR="00872A4D" w:rsidRDefault="00872A4D" w:rsidP="00CF1848">
      <w:r>
        <w:continuationSeparator/>
      </w:r>
    </w:p>
  </w:footnote>
  <w:footnote w:type="continuationNotice" w:id="1">
    <w:p w14:paraId="33B667BE" w14:textId="77777777" w:rsidR="00872A4D" w:rsidRDefault="00872A4D"/>
  </w:footnote>
  <w:footnote w:id="2">
    <w:p w14:paraId="651A0808" w14:textId="77777777" w:rsidR="00A45B66" w:rsidRPr="00773534" w:rsidRDefault="00A45B66" w:rsidP="001C6487">
      <w:pPr>
        <w:pStyle w:val="FootnoteText"/>
        <w:suppressLineNumbers/>
        <w:suppressAutoHyphens/>
        <w:kinsoku w:val="0"/>
        <w:overflowPunct w:val="0"/>
        <w:autoSpaceDE w:val="0"/>
        <w:autoSpaceDN w:val="0"/>
        <w:ind w:firstLine="0"/>
        <w:jc w:val="left"/>
        <w:rPr>
          <w:noProof/>
          <w:snapToGrid w:val="0"/>
          <w:kern w:val="18"/>
          <w:szCs w:val="18"/>
          <w:lang w:val="ru-RU"/>
        </w:rPr>
      </w:pPr>
      <w:r w:rsidRPr="00773534">
        <w:rPr>
          <w:rStyle w:val="FootnoteReference"/>
          <w:noProof/>
          <w:snapToGrid w:val="0"/>
          <w:kern w:val="18"/>
          <w:sz w:val="18"/>
          <w:szCs w:val="18"/>
          <w:vertAlign w:val="baseline"/>
          <w:lang w:val="ru-RU"/>
        </w:rPr>
        <w:t>*</w:t>
      </w:r>
      <w:r w:rsidRPr="00773534">
        <w:rPr>
          <w:noProof/>
          <w:snapToGrid w:val="0"/>
          <w:kern w:val="18"/>
          <w:szCs w:val="18"/>
          <w:lang w:val="ru-RU"/>
        </w:rPr>
        <w:t xml:space="preserve"> </w:t>
      </w:r>
      <w:r w:rsidRPr="001C6487">
        <w:rPr>
          <w:noProof/>
          <w:snapToGrid w:val="0"/>
          <w:kern w:val="18"/>
          <w:szCs w:val="18"/>
        </w:rPr>
        <w:t>CBD</w:t>
      </w:r>
      <w:r w:rsidRPr="00773534">
        <w:rPr>
          <w:noProof/>
          <w:snapToGrid w:val="0"/>
          <w:kern w:val="18"/>
          <w:szCs w:val="18"/>
          <w:lang w:val="ru-RU"/>
        </w:rPr>
        <w:t>/</w:t>
      </w:r>
      <w:r w:rsidRPr="001C6487">
        <w:rPr>
          <w:noProof/>
          <w:snapToGrid w:val="0"/>
          <w:kern w:val="18"/>
          <w:szCs w:val="18"/>
        </w:rPr>
        <w:t>SBI</w:t>
      </w:r>
      <w:r w:rsidRPr="00773534">
        <w:rPr>
          <w:noProof/>
          <w:snapToGrid w:val="0"/>
          <w:kern w:val="18"/>
          <w:szCs w:val="18"/>
          <w:lang w:val="ru-RU"/>
        </w:rPr>
        <w:t>/3/1.</w:t>
      </w:r>
    </w:p>
  </w:footnote>
  <w:footnote w:id="3">
    <w:p w14:paraId="69DEE7C2" w14:textId="77777777" w:rsidR="00A45B66" w:rsidRPr="00E56E50" w:rsidRDefault="00A45B66" w:rsidP="00A231D7">
      <w:pPr>
        <w:pStyle w:val="FootnoteText"/>
        <w:suppressLineNumbers/>
        <w:suppressAutoHyphens/>
        <w:ind w:firstLine="0"/>
        <w:jc w:val="left"/>
        <w:rPr>
          <w:kern w:val="18"/>
          <w:szCs w:val="18"/>
          <w:lang w:val="fr-FR"/>
        </w:rPr>
      </w:pPr>
      <w:r w:rsidRPr="00E56E50">
        <w:rPr>
          <w:rStyle w:val="FootnoteReference"/>
          <w:kern w:val="18"/>
          <w:szCs w:val="18"/>
        </w:rPr>
        <w:footnoteRef/>
      </w:r>
      <w:r w:rsidRPr="00E56E50">
        <w:rPr>
          <w:kern w:val="18"/>
          <w:szCs w:val="18"/>
          <w:lang w:val="fr-FR"/>
        </w:rPr>
        <w:t xml:space="preserve"> </w:t>
      </w:r>
      <w:r w:rsidRPr="009304D6">
        <w:rPr>
          <w:kern w:val="18"/>
          <w:szCs w:val="18"/>
          <w:lang w:val="fr-FR"/>
        </w:rPr>
        <w:t>CBD/SBI/2/INF/17</w:t>
      </w:r>
      <w:r w:rsidRPr="00E56E50">
        <w:rPr>
          <w:kern w:val="18"/>
          <w:szCs w:val="18"/>
          <w:lang w:val="fr-FR"/>
        </w:rPr>
        <w:t>.</w:t>
      </w:r>
    </w:p>
  </w:footnote>
  <w:footnote w:id="4">
    <w:p w14:paraId="551C8266" w14:textId="1D1A4D8B" w:rsidR="00A45B66" w:rsidRPr="00A5393D" w:rsidRDefault="00A45B66" w:rsidP="00C47151">
      <w:pPr>
        <w:pStyle w:val="FootnoteText"/>
        <w:suppressLineNumbers/>
        <w:suppressAutoHyphens/>
        <w:ind w:firstLine="0"/>
        <w:jc w:val="left"/>
        <w:rPr>
          <w:kern w:val="18"/>
          <w:szCs w:val="18"/>
          <w:lang w:val="fr-FR"/>
        </w:rPr>
      </w:pPr>
      <w:r>
        <w:rPr>
          <w:rStyle w:val="FootnoteReference"/>
          <w:kern w:val="18"/>
          <w:szCs w:val="18"/>
        </w:rPr>
        <w:footnoteRef/>
      </w:r>
      <w:r w:rsidRPr="00A5393D">
        <w:rPr>
          <w:lang w:val="fr-FR"/>
        </w:rPr>
        <w:t xml:space="preserve"> </w:t>
      </w:r>
      <w:r w:rsidRPr="009304D6">
        <w:rPr>
          <w:szCs w:val="18"/>
          <w:lang w:val="fr-FR"/>
        </w:rPr>
        <w:t>https</w:t>
      </w:r>
      <w:r w:rsidRPr="00A5393D">
        <w:rPr>
          <w:szCs w:val="18"/>
          <w:lang w:val="fr-FR"/>
        </w:rPr>
        <w:t>://</w:t>
      </w:r>
      <w:r w:rsidRPr="009304D6">
        <w:rPr>
          <w:szCs w:val="18"/>
          <w:lang w:val="fr-FR"/>
        </w:rPr>
        <w:t>www</w:t>
      </w:r>
      <w:r w:rsidRPr="00A5393D">
        <w:rPr>
          <w:szCs w:val="18"/>
          <w:lang w:val="fr-FR"/>
        </w:rPr>
        <w:t>.</w:t>
      </w:r>
      <w:r w:rsidRPr="009304D6">
        <w:rPr>
          <w:szCs w:val="18"/>
          <w:lang w:val="fr-FR"/>
        </w:rPr>
        <w:t>cbd</w:t>
      </w:r>
      <w:r w:rsidRPr="00A5393D">
        <w:rPr>
          <w:szCs w:val="18"/>
          <w:lang w:val="fr-FR"/>
        </w:rPr>
        <w:t>.</w:t>
      </w:r>
      <w:r w:rsidRPr="009304D6">
        <w:rPr>
          <w:szCs w:val="18"/>
          <w:lang w:val="fr-FR"/>
        </w:rPr>
        <w:t>int</w:t>
      </w:r>
      <w:r w:rsidRPr="00A5393D">
        <w:rPr>
          <w:szCs w:val="18"/>
          <w:lang w:val="fr-FR"/>
        </w:rPr>
        <w:t>/</w:t>
      </w:r>
      <w:r w:rsidRPr="009304D6">
        <w:rPr>
          <w:szCs w:val="18"/>
          <w:lang w:val="fr-FR"/>
        </w:rPr>
        <w:t>doc</w:t>
      </w:r>
      <w:r w:rsidRPr="00A5393D">
        <w:rPr>
          <w:szCs w:val="18"/>
          <w:lang w:val="fr-FR"/>
        </w:rPr>
        <w:t>/</w:t>
      </w:r>
      <w:r w:rsidRPr="009304D6">
        <w:rPr>
          <w:szCs w:val="18"/>
          <w:lang w:val="fr-FR"/>
        </w:rPr>
        <w:t>notifications</w:t>
      </w:r>
      <w:r w:rsidRPr="00A5393D">
        <w:rPr>
          <w:szCs w:val="18"/>
          <w:lang w:val="fr-FR"/>
        </w:rPr>
        <w:t>/2019/</w:t>
      </w:r>
      <w:r w:rsidRPr="009304D6">
        <w:rPr>
          <w:szCs w:val="18"/>
          <w:lang w:val="fr-FR"/>
        </w:rPr>
        <w:t>ntf</w:t>
      </w:r>
      <w:r w:rsidRPr="00A5393D">
        <w:rPr>
          <w:szCs w:val="18"/>
          <w:lang w:val="fr-FR"/>
        </w:rPr>
        <w:t>-2019-025-</w:t>
      </w:r>
      <w:r w:rsidRPr="009304D6">
        <w:rPr>
          <w:szCs w:val="18"/>
          <w:lang w:val="fr-FR"/>
        </w:rPr>
        <w:t>abs</w:t>
      </w:r>
      <w:r w:rsidRPr="00A5393D">
        <w:rPr>
          <w:szCs w:val="18"/>
          <w:lang w:val="fr-FR"/>
        </w:rPr>
        <w:t>-</w:t>
      </w:r>
      <w:r w:rsidRPr="009304D6">
        <w:rPr>
          <w:szCs w:val="18"/>
          <w:lang w:val="fr-FR"/>
        </w:rPr>
        <w:t>en</w:t>
      </w:r>
      <w:r w:rsidRPr="00A5393D">
        <w:rPr>
          <w:szCs w:val="18"/>
          <w:lang w:val="fr-FR"/>
        </w:rPr>
        <w:t>.</w:t>
      </w:r>
      <w:r w:rsidRPr="009304D6">
        <w:rPr>
          <w:szCs w:val="18"/>
          <w:lang w:val="fr-FR"/>
        </w:rPr>
        <w:t>pdf</w:t>
      </w:r>
      <w:r w:rsidRPr="00A5393D">
        <w:rPr>
          <w:lang w:val="fr-FR"/>
        </w:rPr>
        <w:t>.</w:t>
      </w:r>
    </w:p>
  </w:footnote>
  <w:footnote w:id="5">
    <w:p w14:paraId="41C37339" w14:textId="6645A8AC" w:rsidR="00A45B66" w:rsidRPr="003F2182" w:rsidRDefault="00A45B66" w:rsidP="00C47151">
      <w:pPr>
        <w:pStyle w:val="FootnoteText"/>
        <w:suppressLineNumbers/>
        <w:suppressAutoHyphens/>
        <w:ind w:firstLine="0"/>
        <w:jc w:val="left"/>
        <w:rPr>
          <w:kern w:val="18"/>
          <w:szCs w:val="18"/>
          <w:lang w:val="fr-FR"/>
        </w:rPr>
      </w:pPr>
      <w:r>
        <w:rPr>
          <w:rStyle w:val="FootnoteReference"/>
          <w:kern w:val="18"/>
          <w:szCs w:val="18"/>
        </w:rPr>
        <w:footnoteRef/>
      </w:r>
      <w:r w:rsidRPr="003F2182">
        <w:rPr>
          <w:lang w:val="fr-FR"/>
        </w:rPr>
        <w:t xml:space="preserve"> </w:t>
      </w:r>
      <w:r w:rsidRPr="008755B0">
        <w:rPr>
          <w:szCs w:val="18"/>
          <w:lang w:val="fr-FR"/>
        </w:rPr>
        <w:t>https://www.cbd.int/abs/specialized-instruments/2019-2020/</w:t>
      </w:r>
      <w:r w:rsidRPr="003F2182">
        <w:rPr>
          <w:lang w:val="fr-FR"/>
        </w:rPr>
        <w:t>.</w:t>
      </w:r>
    </w:p>
  </w:footnote>
  <w:footnote w:id="6">
    <w:p w14:paraId="02282854" w14:textId="77777777" w:rsidR="00A45B66" w:rsidRPr="00033210" w:rsidRDefault="00A45B66" w:rsidP="00941F76">
      <w:pPr>
        <w:pStyle w:val="FootnoteText"/>
        <w:suppressLineNumbers/>
        <w:suppressAutoHyphens/>
        <w:ind w:firstLine="0"/>
        <w:jc w:val="left"/>
        <w:rPr>
          <w:kern w:val="18"/>
          <w:lang w:val="en-US"/>
        </w:rPr>
      </w:pPr>
      <w:r>
        <w:rPr>
          <w:rStyle w:val="FootnoteReference"/>
          <w:kern w:val="18"/>
        </w:rPr>
        <w:footnoteRef/>
      </w:r>
      <w:r w:rsidRPr="00033210">
        <w:rPr>
          <w:lang w:val="en-US"/>
        </w:rPr>
        <w:t xml:space="preserve"> Sheppard AW, Paynter Q, Mason P, Murphy S, </w:t>
      </w:r>
      <w:proofErr w:type="spellStart"/>
      <w:r w:rsidRPr="00033210">
        <w:rPr>
          <w:lang w:val="en-US"/>
        </w:rPr>
        <w:t>Stoett</w:t>
      </w:r>
      <w:proofErr w:type="spellEnd"/>
      <w:r w:rsidRPr="00033210">
        <w:rPr>
          <w:lang w:val="en-US"/>
        </w:rPr>
        <w:t xml:space="preserve"> P, Cowan P, Brodeur J, Warner K, Villegas C, Shaw R, </w:t>
      </w:r>
      <w:proofErr w:type="spellStart"/>
      <w:r w:rsidRPr="00033210">
        <w:rPr>
          <w:lang w:val="en-US"/>
        </w:rPr>
        <w:t>Hinz</w:t>
      </w:r>
      <w:proofErr w:type="spellEnd"/>
      <w:r w:rsidRPr="00033210">
        <w:rPr>
          <w:lang w:val="en-US"/>
        </w:rPr>
        <w:t xml:space="preserve"> H, Hill, M and </w:t>
      </w:r>
      <w:proofErr w:type="spellStart"/>
      <w:r w:rsidRPr="00033210">
        <w:rPr>
          <w:lang w:val="en-US"/>
        </w:rPr>
        <w:t>Genovesi</w:t>
      </w:r>
      <w:proofErr w:type="spellEnd"/>
      <w:r w:rsidRPr="00033210">
        <w:rPr>
          <w:lang w:val="en-US"/>
        </w:rPr>
        <w:t xml:space="preserve"> P (2019), IUCN SSC Invasive Species Specialist Group. </w:t>
      </w:r>
      <w:r w:rsidRPr="00033210">
        <w:rPr>
          <w:i/>
          <w:iCs/>
          <w:lang w:val="en-US"/>
        </w:rPr>
        <w:t>The Application of Biological Control for the Management of Established Invasive Alien Species Causing Environmental Impacts</w:t>
      </w:r>
      <w:r w:rsidRPr="00033210">
        <w:rPr>
          <w:lang w:val="en-US"/>
        </w:rPr>
        <w:t xml:space="preserve">. Secretariat of the Convention on Biological Diversity, </w:t>
      </w:r>
      <w:r w:rsidRPr="00033210">
        <w:rPr>
          <w:i/>
          <w:iCs/>
          <w:lang w:val="en-US"/>
        </w:rPr>
        <w:t>Technical Series No. 91</w:t>
      </w:r>
      <w:r w:rsidRPr="00033210">
        <w:rPr>
          <w:lang w:val="en-US"/>
        </w:rPr>
        <w:t>. Montreal, Canada, 74 pp.</w:t>
      </w:r>
    </w:p>
  </w:footnote>
  <w:footnote w:id="7">
    <w:p w14:paraId="599FD117" w14:textId="77777777" w:rsidR="00A45B66" w:rsidRPr="003F2182" w:rsidRDefault="00A45B66" w:rsidP="00941F76">
      <w:pPr>
        <w:pStyle w:val="FootnoteText"/>
        <w:suppressLineNumbers/>
        <w:suppressAutoHyphens/>
        <w:ind w:firstLine="0"/>
        <w:jc w:val="left"/>
        <w:rPr>
          <w:kern w:val="18"/>
          <w:lang w:val="ru-RU"/>
        </w:rPr>
      </w:pPr>
      <w:r>
        <w:rPr>
          <w:rStyle w:val="FootnoteReference"/>
          <w:kern w:val="18"/>
        </w:rPr>
        <w:footnoteRef/>
      </w:r>
      <w:r w:rsidRPr="00033210">
        <w:rPr>
          <w:lang w:val="en-US"/>
        </w:rPr>
        <w:t xml:space="preserve"> Mason, P.G., Cock, M.J.W., Barratt, B.I.P. </w:t>
      </w:r>
      <w:r w:rsidRPr="00033210">
        <w:rPr>
          <w:i/>
          <w:iCs/>
          <w:lang w:val="en-US"/>
        </w:rPr>
        <w:t>et al.</w:t>
      </w:r>
      <w:r w:rsidRPr="00033210">
        <w:rPr>
          <w:lang w:val="en-US"/>
        </w:rPr>
        <w:t xml:space="preserve"> </w:t>
      </w:r>
      <w:r>
        <w:t xml:space="preserve">“Best practices for the use and exchange of invertebrate biological control genetic resources relevant for food and agriculture”. </w:t>
      </w:r>
      <w:proofErr w:type="spellStart"/>
      <w:r>
        <w:rPr>
          <w:i/>
          <w:iCs/>
        </w:rPr>
        <w:t>BioControl</w:t>
      </w:r>
      <w:proofErr w:type="spellEnd"/>
      <w:r w:rsidRPr="003F2182">
        <w:rPr>
          <w:lang w:val="ru-RU"/>
        </w:rPr>
        <w:t xml:space="preserve"> </w:t>
      </w:r>
      <w:r w:rsidRPr="003F2182">
        <w:rPr>
          <w:b/>
          <w:bCs/>
          <w:lang w:val="ru-RU"/>
        </w:rPr>
        <w:t>63</w:t>
      </w:r>
      <w:r w:rsidRPr="003F2182">
        <w:rPr>
          <w:lang w:val="ru-RU"/>
        </w:rPr>
        <w:t xml:space="preserve">, 149-154 (2018). </w:t>
      </w:r>
      <w:r>
        <w:t>https</w:t>
      </w:r>
      <w:r w:rsidRPr="003F2182">
        <w:rPr>
          <w:lang w:val="ru-RU"/>
        </w:rPr>
        <w:t>://</w:t>
      </w:r>
      <w:proofErr w:type="spellStart"/>
      <w:r>
        <w:t>doi</w:t>
      </w:r>
      <w:proofErr w:type="spellEnd"/>
      <w:r w:rsidRPr="003F2182">
        <w:rPr>
          <w:lang w:val="ru-RU"/>
        </w:rPr>
        <w:t>.</w:t>
      </w:r>
      <w:r>
        <w:t>org</w:t>
      </w:r>
      <w:r w:rsidRPr="003F2182">
        <w:rPr>
          <w:lang w:val="ru-RU"/>
        </w:rPr>
        <w:t>/10.1007/</w:t>
      </w:r>
      <w:r>
        <w:t>s</w:t>
      </w:r>
      <w:r w:rsidRPr="003F2182">
        <w:rPr>
          <w:lang w:val="ru-RU"/>
        </w:rPr>
        <w:t>10526-017-9810-3.</w:t>
      </w:r>
    </w:p>
  </w:footnote>
  <w:footnote w:id="8">
    <w:p w14:paraId="6325507F" w14:textId="59329CA1" w:rsidR="00A45B66" w:rsidRPr="003F2182" w:rsidRDefault="00A45B66" w:rsidP="00941F76">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Из шести полученных материалов один документ представляет точку зрения Европейского союза и его государств-членов и один — точку зрения Африканского союза. Два представленных материала поступили от </w:t>
      </w:r>
      <w:r>
        <w:rPr>
          <w:lang w:val="ru-RU"/>
        </w:rPr>
        <w:t>государств</w:t>
      </w:r>
      <w:r w:rsidRPr="003F2182">
        <w:rPr>
          <w:lang w:val="ru-RU"/>
        </w:rPr>
        <w:t>, не являющихся Сторонами Протокола.</w:t>
      </w:r>
    </w:p>
  </w:footnote>
  <w:footnote w:id="9">
    <w:p w14:paraId="298E139F"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Швейцария; Новая Зеландия; Норвегия.</w:t>
      </w:r>
    </w:p>
  </w:footnote>
  <w:footnote w:id="10">
    <w:p w14:paraId="4A937B6D"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w:t>
      </w:r>
    </w:p>
  </w:footnote>
  <w:footnote w:id="11">
    <w:p w14:paraId="16F2D513" w14:textId="4F73E060"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w:t>
      </w:r>
      <w:r>
        <w:rPr>
          <w:lang w:val="ru-RU"/>
        </w:rPr>
        <w:t>государства-члены, Норвегия, Швейцария, Канада,</w:t>
      </w:r>
      <w:r w:rsidRPr="003F2182">
        <w:rPr>
          <w:lang w:val="ru-RU"/>
        </w:rPr>
        <w:t xml:space="preserve"> Новая Зеландия.</w:t>
      </w:r>
    </w:p>
  </w:footnote>
  <w:footnote w:id="12">
    <w:p w14:paraId="7CE4F086" w14:textId="0BD47B3A"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w:t>
      </w:r>
      <w:r>
        <w:rPr>
          <w:lang w:val="ru-RU"/>
        </w:rPr>
        <w:t>ий союз и его государства-члены,</w:t>
      </w:r>
      <w:r w:rsidRPr="003F2182">
        <w:rPr>
          <w:lang w:val="ru-RU"/>
        </w:rPr>
        <w:t xml:space="preserve"> Канада и Африканский союз.</w:t>
      </w:r>
    </w:p>
  </w:footnote>
  <w:footnote w:id="13">
    <w:p w14:paraId="75EC2E7A" w14:textId="2521EEC6"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Pr>
          <w:lang w:val="ru-RU"/>
        </w:rPr>
        <w:t xml:space="preserve"> Швейцария, Новая Зеландия,</w:t>
      </w:r>
      <w:r w:rsidRPr="003F2182">
        <w:rPr>
          <w:lang w:val="ru-RU"/>
        </w:rPr>
        <w:t xml:space="preserve"> Африканский союз.</w:t>
      </w:r>
    </w:p>
  </w:footnote>
  <w:footnote w:id="14">
    <w:p w14:paraId="00BFEA72" w14:textId="12271BE0" w:rsidR="00A45B66" w:rsidRPr="003F2182" w:rsidRDefault="00A45B66" w:rsidP="00C47151">
      <w:pPr>
        <w:keepLines/>
        <w:suppressLineNumbers/>
        <w:suppressAutoHyphens/>
        <w:spacing w:after="60"/>
        <w:jc w:val="left"/>
        <w:rPr>
          <w:kern w:val="18"/>
          <w:sz w:val="18"/>
          <w:szCs w:val="18"/>
          <w:lang w:val="ru-RU"/>
        </w:rPr>
      </w:pPr>
      <w:r>
        <w:rPr>
          <w:rStyle w:val="FootnoteReference"/>
          <w:kern w:val="18"/>
          <w:sz w:val="18"/>
          <w:szCs w:val="18"/>
        </w:rPr>
        <w:footnoteRef/>
      </w:r>
      <w:r w:rsidRPr="003F2182">
        <w:rPr>
          <w:lang w:val="ru-RU"/>
        </w:rPr>
        <w:t xml:space="preserve"> </w:t>
      </w:r>
      <w:r w:rsidRPr="000D5B66">
        <w:rPr>
          <w:sz w:val="18"/>
          <w:szCs w:val="18"/>
          <w:lang w:val="ru-RU"/>
        </w:rPr>
        <w:t>Европейский союз и его государства-члены, Норвегия, Швейцария, Канада, Новая Зеландия.</w:t>
      </w:r>
    </w:p>
  </w:footnote>
  <w:footnote w:id="15">
    <w:p w14:paraId="5D91CF16"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Африканский союз.</w:t>
      </w:r>
    </w:p>
  </w:footnote>
  <w:footnote w:id="16">
    <w:p w14:paraId="3DC25742"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Норвегия.</w:t>
      </w:r>
    </w:p>
  </w:footnote>
  <w:footnote w:id="17">
    <w:p w14:paraId="639A633B"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w:t>
      </w:r>
    </w:p>
  </w:footnote>
  <w:footnote w:id="18">
    <w:p w14:paraId="34DDA99F"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Африканский союз.</w:t>
      </w:r>
    </w:p>
  </w:footnote>
  <w:footnote w:id="19">
    <w:p w14:paraId="36C114C6"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 Швейцария, Новая Зеландия, Африканский союз.</w:t>
      </w:r>
    </w:p>
  </w:footnote>
  <w:footnote w:id="20">
    <w:p w14:paraId="2846CBDE"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Швейцария, Новая Зеландия.</w:t>
      </w:r>
    </w:p>
  </w:footnote>
  <w:footnote w:id="21">
    <w:p w14:paraId="3F07D89E"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Норвегия, Швейцария, Новая Зеландия.</w:t>
      </w:r>
    </w:p>
  </w:footnote>
  <w:footnote w:id="22">
    <w:p w14:paraId="2B0DFE7D"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Новая Зеландия.</w:t>
      </w:r>
    </w:p>
  </w:footnote>
  <w:footnote w:id="23">
    <w:p w14:paraId="52E8DA20"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Норвегия.</w:t>
      </w:r>
    </w:p>
  </w:footnote>
  <w:footnote w:id="24">
    <w:p w14:paraId="4A04D9DD"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Норвегия, Швейцария.</w:t>
      </w:r>
    </w:p>
  </w:footnote>
  <w:footnote w:id="25">
    <w:p w14:paraId="3726BDC4"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Новая Зеландия.</w:t>
      </w:r>
    </w:p>
  </w:footnote>
  <w:footnote w:id="26">
    <w:p w14:paraId="644AD0CF"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 Швейцария.</w:t>
      </w:r>
    </w:p>
  </w:footnote>
  <w:footnote w:id="27">
    <w:p w14:paraId="25396F6A"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w:t>
      </w:r>
    </w:p>
  </w:footnote>
  <w:footnote w:id="28">
    <w:p w14:paraId="277403A9"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w:t>
      </w:r>
    </w:p>
  </w:footnote>
  <w:footnote w:id="29">
    <w:p w14:paraId="28BD2F2E"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Норвегия, Швейцария.</w:t>
      </w:r>
    </w:p>
  </w:footnote>
  <w:footnote w:id="30">
    <w:p w14:paraId="7CC7C7CE"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Швейцария.</w:t>
      </w:r>
    </w:p>
  </w:footnote>
  <w:footnote w:id="31">
    <w:p w14:paraId="174930B6"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 Новая Зеландия.</w:t>
      </w:r>
    </w:p>
  </w:footnote>
  <w:footnote w:id="32">
    <w:p w14:paraId="6DDE67CB"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Европейский союз и его государства-члены.</w:t>
      </w:r>
    </w:p>
  </w:footnote>
  <w:footnote w:id="33">
    <w:p w14:paraId="0840C100" w14:textId="63333D53" w:rsidR="00A45B66" w:rsidRPr="003F2182" w:rsidRDefault="00A45B66" w:rsidP="00B1445F">
      <w:pPr>
        <w:pStyle w:val="FootnoteText"/>
        <w:suppressLineNumbers/>
        <w:suppressAutoHyphens/>
        <w:ind w:firstLine="0"/>
        <w:rPr>
          <w:kern w:val="18"/>
          <w:szCs w:val="18"/>
          <w:lang w:val="ru-RU"/>
        </w:rPr>
      </w:pPr>
      <w:r>
        <w:rPr>
          <w:rStyle w:val="FootnoteReference"/>
          <w:kern w:val="18"/>
          <w:szCs w:val="18"/>
        </w:rPr>
        <w:footnoteRef/>
      </w:r>
      <w:r w:rsidRPr="003F2182">
        <w:rPr>
          <w:lang w:val="ru-RU"/>
        </w:rPr>
        <w:t xml:space="preserve"> </w:t>
      </w:r>
      <w:r>
        <w:t>a</w:t>
      </w:r>
      <w:r w:rsidR="00B1445F">
        <w:rPr>
          <w:lang w:val="ru-RU"/>
        </w:rPr>
        <w:t>) С</w:t>
      </w:r>
      <w:r w:rsidRPr="003F2182">
        <w:rPr>
          <w:lang w:val="ru-RU"/>
        </w:rPr>
        <w:t xml:space="preserve">оответствие целям сохранения и устойчивого использования биоразнообразия; </w:t>
      </w:r>
      <w:r>
        <w:t>b</w:t>
      </w:r>
      <w:r w:rsidRPr="003F2182">
        <w:rPr>
          <w:lang w:val="ru-RU"/>
        </w:rPr>
        <w:t xml:space="preserve">) справедливость и равенство при совместном использовании выгод; </w:t>
      </w:r>
      <w:r>
        <w:t>c</w:t>
      </w:r>
      <w:r w:rsidRPr="003F2182">
        <w:rPr>
          <w:lang w:val="ru-RU"/>
        </w:rPr>
        <w:t xml:space="preserve">) правовая определенность в отношении доступа к генетическим ресурсам или традиционным знаниям и совместного использования выгод; </w:t>
      </w:r>
      <w:r>
        <w:t>d</w:t>
      </w:r>
      <w:r w:rsidRPr="003F2182">
        <w:rPr>
          <w:lang w:val="ru-RU"/>
        </w:rPr>
        <w:t xml:space="preserve">) вклад в устойчивое развитие, воплощенный согласованными на международном уровне целями; </w:t>
      </w:r>
      <w:r>
        <w:t>e</w:t>
      </w:r>
      <w:r w:rsidRPr="003F2182">
        <w:rPr>
          <w:lang w:val="ru-RU"/>
        </w:rPr>
        <w:t>) другие общие принципы права, включая добросовестность, эффективность и законные ожидания.</w:t>
      </w:r>
    </w:p>
  </w:footnote>
  <w:footnote w:id="34">
    <w:p w14:paraId="3738BFFE"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Швейцария, Канада, Новая Зеландия.</w:t>
      </w:r>
    </w:p>
  </w:footnote>
  <w:footnote w:id="35">
    <w:p w14:paraId="172A4672"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Швейцария.</w:t>
      </w:r>
    </w:p>
  </w:footnote>
  <w:footnote w:id="36">
    <w:p w14:paraId="4BDD4EB7"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Норвегия.</w:t>
      </w:r>
    </w:p>
  </w:footnote>
  <w:footnote w:id="37">
    <w:p w14:paraId="0421B161"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hyperlink r:id="rId1" w:history="1">
        <w:r>
          <w:rPr>
            <w:rStyle w:val="Hyperlink"/>
          </w:rPr>
          <w:t>http</w:t>
        </w:r>
        <w:r w:rsidRPr="003F2182">
          <w:rPr>
            <w:rStyle w:val="Hyperlink"/>
            <w:lang w:val="ru-RU"/>
          </w:rPr>
          <w:t>://</w:t>
        </w:r>
        <w:r>
          <w:rPr>
            <w:rStyle w:val="Hyperlink"/>
          </w:rPr>
          <w:t>www</w:t>
        </w:r>
        <w:r w:rsidRPr="003F2182">
          <w:rPr>
            <w:rStyle w:val="Hyperlink"/>
            <w:lang w:val="ru-RU"/>
          </w:rPr>
          <w:t>.</w:t>
        </w:r>
        <w:proofErr w:type="spellStart"/>
        <w:r>
          <w:rPr>
            <w:rStyle w:val="Hyperlink"/>
          </w:rPr>
          <w:t>fao</w:t>
        </w:r>
        <w:proofErr w:type="spellEnd"/>
        <w:r w:rsidRPr="003F2182">
          <w:rPr>
            <w:rStyle w:val="Hyperlink"/>
            <w:lang w:val="ru-RU"/>
          </w:rPr>
          <w:t>.</w:t>
        </w:r>
        <w:r>
          <w:rPr>
            <w:rStyle w:val="Hyperlink"/>
          </w:rPr>
          <w:t>org</w:t>
        </w:r>
        <w:r w:rsidRPr="003F2182">
          <w:rPr>
            <w:rStyle w:val="Hyperlink"/>
            <w:lang w:val="ru-RU"/>
          </w:rPr>
          <w:t>/3/</w:t>
        </w:r>
        <w:r>
          <w:rPr>
            <w:rStyle w:val="Hyperlink"/>
          </w:rPr>
          <w:t>a</w:t>
        </w:r>
        <w:r w:rsidRPr="003F2182">
          <w:rPr>
            <w:rStyle w:val="Hyperlink"/>
            <w:lang w:val="ru-RU"/>
          </w:rPr>
          <w:t>-</w:t>
        </w:r>
        <w:proofErr w:type="spellStart"/>
        <w:r>
          <w:rPr>
            <w:rStyle w:val="Hyperlink"/>
          </w:rPr>
          <w:t>i</w:t>
        </w:r>
        <w:proofErr w:type="spellEnd"/>
        <w:r w:rsidRPr="003F2182">
          <w:rPr>
            <w:rStyle w:val="Hyperlink"/>
            <w:lang w:val="ru-RU"/>
          </w:rPr>
          <w:t>5033</w:t>
        </w:r>
        <w:r>
          <w:rPr>
            <w:rStyle w:val="Hyperlink"/>
          </w:rPr>
          <w:t>r</w:t>
        </w:r>
        <w:r w:rsidRPr="003F2182">
          <w:rPr>
            <w:rStyle w:val="Hyperlink"/>
            <w:lang w:val="ru-RU"/>
          </w:rPr>
          <w:t>.</w:t>
        </w:r>
        <w:r>
          <w:rPr>
            <w:rStyle w:val="Hyperlink"/>
          </w:rPr>
          <w:t>pdf</w:t>
        </w:r>
      </w:hyperlink>
      <w:r w:rsidRPr="003F2182">
        <w:rPr>
          <w:lang w:val="ru-RU"/>
        </w:rPr>
        <w:t>.</w:t>
      </w:r>
    </w:p>
  </w:footnote>
  <w:footnote w:id="38">
    <w:p w14:paraId="1B9E831F"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hyperlink r:id="rId2" w:history="1">
        <w:r>
          <w:rPr>
            <w:rStyle w:val="Hyperlink"/>
          </w:rPr>
          <w:t>http</w:t>
        </w:r>
        <w:r w:rsidRPr="003F2182">
          <w:rPr>
            <w:rStyle w:val="Hyperlink"/>
            <w:lang w:val="ru-RU"/>
          </w:rPr>
          <w:t>://</w:t>
        </w:r>
        <w:r>
          <w:rPr>
            <w:rStyle w:val="Hyperlink"/>
          </w:rPr>
          <w:t>www</w:t>
        </w:r>
        <w:r w:rsidRPr="003F2182">
          <w:rPr>
            <w:rStyle w:val="Hyperlink"/>
            <w:lang w:val="ru-RU"/>
          </w:rPr>
          <w:t>.</w:t>
        </w:r>
        <w:proofErr w:type="spellStart"/>
        <w:r>
          <w:rPr>
            <w:rStyle w:val="Hyperlink"/>
          </w:rPr>
          <w:t>fao</w:t>
        </w:r>
        <w:proofErr w:type="spellEnd"/>
        <w:r w:rsidRPr="003F2182">
          <w:rPr>
            <w:rStyle w:val="Hyperlink"/>
            <w:lang w:val="ru-RU"/>
          </w:rPr>
          <w:t>.</w:t>
        </w:r>
        <w:r>
          <w:rPr>
            <w:rStyle w:val="Hyperlink"/>
          </w:rPr>
          <w:t>org</w:t>
        </w:r>
        <w:r w:rsidRPr="003F2182">
          <w:rPr>
            <w:rStyle w:val="Hyperlink"/>
            <w:lang w:val="ru-RU"/>
          </w:rPr>
          <w:t>/3/</w:t>
        </w:r>
        <w:r>
          <w:rPr>
            <w:rStyle w:val="Hyperlink"/>
          </w:rPr>
          <w:t>ca</w:t>
        </w:r>
        <w:r w:rsidRPr="003F2182">
          <w:rPr>
            <w:rStyle w:val="Hyperlink"/>
            <w:lang w:val="ru-RU"/>
          </w:rPr>
          <w:t>5088</w:t>
        </w:r>
        <w:proofErr w:type="spellStart"/>
        <w:r>
          <w:rPr>
            <w:rStyle w:val="Hyperlink"/>
          </w:rPr>
          <w:t>ru</w:t>
        </w:r>
        <w:proofErr w:type="spellEnd"/>
        <w:r w:rsidRPr="003F2182">
          <w:rPr>
            <w:rStyle w:val="Hyperlink"/>
            <w:lang w:val="ru-RU"/>
          </w:rPr>
          <w:t>/</w:t>
        </w:r>
        <w:r>
          <w:rPr>
            <w:rStyle w:val="Hyperlink"/>
          </w:rPr>
          <w:t>CA</w:t>
        </w:r>
        <w:r w:rsidRPr="003F2182">
          <w:rPr>
            <w:rStyle w:val="Hyperlink"/>
            <w:lang w:val="ru-RU"/>
          </w:rPr>
          <w:t>5088</w:t>
        </w:r>
        <w:r>
          <w:rPr>
            <w:rStyle w:val="Hyperlink"/>
          </w:rPr>
          <w:t>RU</w:t>
        </w:r>
        <w:r w:rsidRPr="003F2182">
          <w:rPr>
            <w:rStyle w:val="Hyperlink"/>
            <w:lang w:val="ru-RU"/>
          </w:rPr>
          <w:t>.</w:t>
        </w:r>
        <w:r>
          <w:rPr>
            <w:rStyle w:val="Hyperlink"/>
          </w:rPr>
          <w:t>pdf</w:t>
        </w:r>
      </w:hyperlink>
      <w:r w:rsidRPr="003F2182">
        <w:rPr>
          <w:lang w:val="ru-RU"/>
        </w:rPr>
        <w:t>.</w:t>
      </w:r>
    </w:p>
  </w:footnote>
  <w:footnote w:id="39">
    <w:p w14:paraId="2B190E89" w14:textId="77777777" w:rsidR="00A45B66" w:rsidRPr="003F2182" w:rsidRDefault="00A45B66" w:rsidP="009136C0">
      <w:pPr>
        <w:pStyle w:val="FootnoteText"/>
        <w:suppressLineNumbers/>
        <w:suppressAutoHyphens/>
        <w:ind w:firstLine="0"/>
        <w:rPr>
          <w:kern w:val="18"/>
          <w:szCs w:val="18"/>
          <w:lang w:val="ru-RU"/>
        </w:rPr>
      </w:pPr>
      <w:r>
        <w:rPr>
          <w:rStyle w:val="FootnoteReference"/>
          <w:kern w:val="18"/>
          <w:szCs w:val="18"/>
        </w:rPr>
        <w:footnoteRef/>
      </w:r>
      <w:r w:rsidRPr="003F2182">
        <w:rPr>
          <w:lang w:val="ru-RU"/>
        </w:rPr>
        <w:t xml:space="preserve"> Более подробная информация о сотрудничестве с ФАО и Комиссией по генетическим ресурсам для производства продовольствия и ведения сельского хозяйства представлена в документе </w:t>
      </w:r>
      <w:bookmarkStart w:id="6" w:name="_GoBack"/>
      <w:bookmarkEnd w:id="6"/>
      <w:r w:rsidRPr="00885EE2">
        <w:t>CBD</w:t>
      </w:r>
      <w:r w:rsidRPr="00885EE2">
        <w:rPr>
          <w:lang w:val="ru-RU"/>
        </w:rPr>
        <w:t>/</w:t>
      </w:r>
      <w:r w:rsidRPr="00885EE2">
        <w:t>SBI</w:t>
      </w:r>
      <w:r w:rsidRPr="00885EE2">
        <w:rPr>
          <w:lang w:val="ru-RU"/>
        </w:rPr>
        <w:t>/3/</w:t>
      </w:r>
      <w:r w:rsidRPr="00885EE2">
        <w:t>INF</w:t>
      </w:r>
      <w:r w:rsidRPr="00885EE2">
        <w:rPr>
          <w:lang w:val="ru-RU"/>
        </w:rPr>
        <w:t>/6.</w:t>
      </w:r>
    </w:p>
  </w:footnote>
  <w:footnote w:id="40">
    <w:p w14:paraId="7B4F622D" w14:textId="07C49B84"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hyperlink r:id="rId3" w:history="1">
        <w:r w:rsidR="009136C0" w:rsidRPr="00A3617D">
          <w:rPr>
            <w:rStyle w:val="Hyperlink"/>
          </w:rPr>
          <w:t>http</w:t>
        </w:r>
        <w:r w:rsidR="009136C0" w:rsidRPr="00A3617D">
          <w:rPr>
            <w:rStyle w:val="Hyperlink"/>
            <w:lang w:val="ru-RU"/>
          </w:rPr>
          <w:t>://</w:t>
        </w:r>
        <w:r w:rsidR="009136C0" w:rsidRPr="00A3617D">
          <w:rPr>
            <w:rStyle w:val="Hyperlink"/>
          </w:rPr>
          <w:t>www</w:t>
        </w:r>
        <w:r w:rsidR="009136C0" w:rsidRPr="00A3617D">
          <w:rPr>
            <w:rStyle w:val="Hyperlink"/>
            <w:lang w:val="ru-RU"/>
          </w:rPr>
          <w:t>.</w:t>
        </w:r>
        <w:proofErr w:type="spellStart"/>
        <w:r w:rsidR="009136C0" w:rsidRPr="00A3617D">
          <w:rPr>
            <w:rStyle w:val="Hyperlink"/>
          </w:rPr>
          <w:t>fao</w:t>
        </w:r>
        <w:proofErr w:type="spellEnd"/>
        <w:r w:rsidR="009136C0" w:rsidRPr="00A3617D">
          <w:rPr>
            <w:rStyle w:val="Hyperlink"/>
            <w:lang w:val="ru-RU"/>
          </w:rPr>
          <w:t>.</w:t>
        </w:r>
        <w:r w:rsidR="009136C0" w:rsidRPr="00A3617D">
          <w:rPr>
            <w:rStyle w:val="Hyperlink"/>
          </w:rPr>
          <w:t>org</w:t>
        </w:r>
        <w:r w:rsidR="009136C0" w:rsidRPr="00A3617D">
          <w:rPr>
            <w:rStyle w:val="Hyperlink"/>
            <w:lang w:val="ru-RU"/>
          </w:rPr>
          <w:t>/3/</w:t>
        </w:r>
        <w:proofErr w:type="spellStart"/>
        <w:r w:rsidR="009136C0" w:rsidRPr="00A3617D">
          <w:rPr>
            <w:rStyle w:val="Hyperlink"/>
          </w:rPr>
          <w:t>i</w:t>
        </w:r>
        <w:proofErr w:type="spellEnd"/>
        <w:r w:rsidR="009136C0" w:rsidRPr="00A3617D">
          <w:rPr>
            <w:rStyle w:val="Hyperlink"/>
            <w:lang w:val="ru-RU"/>
          </w:rPr>
          <w:t>0510</w:t>
        </w:r>
        <w:r w:rsidR="009136C0" w:rsidRPr="00A3617D">
          <w:rPr>
            <w:rStyle w:val="Hyperlink"/>
          </w:rPr>
          <w:t>r</w:t>
        </w:r>
        <w:r w:rsidR="009136C0" w:rsidRPr="00A3617D">
          <w:rPr>
            <w:rStyle w:val="Hyperlink"/>
            <w:lang w:val="ru-RU"/>
          </w:rPr>
          <w:t>/</w:t>
        </w:r>
        <w:proofErr w:type="spellStart"/>
        <w:r w:rsidR="009136C0" w:rsidRPr="00A3617D">
          <w:rPr>
            <w:rStyle w:val="Hyperlink"/>
          </w:rPr>
          <w:t>i</w:t>
        </w:r>
        <w:proofErr w:type="spellEnd"/>
        <w:r w:rsidR="009136C0" w:rsidRPr="00A3617D">
          <w:rPr>
            <w:rStyle w:val="Hyperlink"/>
            <w:lang w:val="ru-RU"/>
          </w:rPr>
          <w:t>0510</w:t>
        </w:r>
        <w:r w:rsidR="009136C0" w:rsidRPr="00A3617D">
          <w:rPr>
            <w:rStyle w:val="Hyperlink"/>
          </w:rPr>
          <w:t>r</w:t>
        </w:r>
        <w:r w:rsidR="009136C0" w:rsidRPr="00A3617D">
          <w:rPr>
            <w:rStyle w:val="Hyperlink"/>
            <w:lang w:val="ru-RU"/>
          </w:rPr>
          <w:t>.</w:t>
        </w:r>
        <w:r w:rsidR="009136C0" w:rsidRPr="00A3617D">
          <w:rPr>
            <w:rStyle w:val="Hyperlink"/>
          </w:rPr>
          <w:t>pdf</w:t>
        </w:r>
      </w:hyperlink>
      <w:r w:rsidRPr="003F2182">
        <w:rPr>
          <w:lang w:val="ru-RU"/>
        </w:rPr>
        <w:t>.</w:t>
      </w:r>
    </w:p>
  </w:footnote>
  <w:footnote w:id="41">
    <w:p w14:paraId="2F765255"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Там же.</w:t>
      </w:r>
    </w:p>
  </w:footnote>
  <w:footnote w:id="42">
    <w:p w14:paraId="694155A0" w14:textId="3D58292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Это исследование размещено по адресу: </w:t>
      </w:r>
      <w:r w:rsidRPr="00A51009">
        <w:rPr>
          <w:rStyle w:val="Hyperlink"/>
        </w:rPr>
        <w:t>http</w:t>
      </w:r>
      <w:r w:rsidRPr="00A51009">
        <w:rPr>
          <w:rStyle w:val="Hyperlink"/>
          <w:lang w:val="ru-RU"/>
        </w:rPr>
        <w:t>://</w:t>
      </w:r>
      <w:r w:rsidRPr="00A51009">
        <w:rPr>
          <w:rStyle w:val="Hyperlink"/>
        </w:rPr>
        <w:t>www</w:t>
      </w:r>
      <w:r w:rsidRPr="00A51009">
        <w:rPr>
          <w:rStyle w:val="Hyperlink"/>
          <w:lang w:val="ru-RU"/>
        </w:rPr>
        <w:t>.</w:t>
      </w:r>
      <w:proofErr w:type="spellStart"/>
      <w:r w:rsidRPr="00A51009">
        <w:rPr>
          <w:rStyle w:val="Hyperlink"/>
        </w:rPr>
        <w:t>fao</w:t>
      </w:r>
      <w:proofErr w:type="spellEnd"/>
      <w:r w:rsidRPr="00A51009">
        <w:rPr>
          <w:rStyle w:val="Hyperlink"/>
          <w:lang w:val="ru-RU"/>
        </w:rPr>
        <w:t>.</w:t>
      </w:r>
      <w:r w:rsidRPr="00A51009">
        <w:rPr>
          <w:rStyle w:val="Hyperlink"/>
        </w:rPr>
        <w:t>org</w:t>
      </w:r>
      <w:r w:rsidRPr="00A51009">
        <w:rPr>
          <w:rStyle w:val="Hyperlink"/>
          <w:lang w:val="ru-RU"/>
        </w:rPr>
        <w:t>/3/</w:t>
      </w:r>
      <w:r w:rsidRPr="00A51009">
        <w:rPr>
          <w:rStyle w:val="Hyperlink"/>
        </w:rPr>
        <w:t>a</w:t>
      </w:r>
      <w:r w:rsidRPr="00A51009">
        <w:rPr>
          <w:rStyle w:val="Hyperlink"/>
          <w:lang w:val="ru-RU"/>
        </w:rPr>
        <w:t>-</w:t>
      </w:r>
      <w:proofErr w:type="spellStart"/>
      <w:r w:rsidRPr="00A51009">
        <w:rPr>
          <w:rStyle w:val="Hyperlink"/>
        </w:rPr>
        <w:t>bq</w:t>
      </w:r>
      <w:proofErr w:type="spellEnd"/>
      <w:r w:rsidRPr="00A51009">
        <w:rPr>
          <w:rStyle w:val="Hyperlink"/>
          <w:lang w:val="ru-RU"/>
        </w:rPr>
        <w:t>533</w:t>
      </w:r>
      <w:r w:rsidRPr="00A51009">
        <w:rPr>
          <w:rStyle w:val="Hyperlink"/>
        </w:rPr>
        <w:t>e</w:t>
      </w:r>
      <w:r w:rsidRPr="00A51009">
        <w:rPr>
          <w:rStyle w:val="Hyperlink"/>
          <w:lang w:val="ru-RU"/>
        </w:rPr>
        <w:t>.</w:t>
      </w:r>
      <w:r w:rsidRPr="00A51009">
        <w:rPr>
          <w:rStyle w:val="Hyperlink"/>
        </w:rPr>
        <w:t>pdf</w:t>
      </w:r>
      <w:r w:rsidRPr="003F2182">
        <w:rPr>
          <w:lang w:val="ru-RU"/>
        </w:rPr>
        <w:t>.</w:t>
      </w:r>
    </w:p>
  </w:footnote>
  <w:footnote w:id="43">
    <w:p w14:paraId="0A7ED7A9"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snapToGrid w:val="0"/>
          <w:szCs w:val="18"/>
          <w:lang w:val="ru-RU"/>
        </w:rPr>
        <w:t xml:space="preserve">Резолюция 2/2019 представлена по адресу: </w:t>
      </w:r>
      <w:hyperlink r:id="rId4" w:history="1">
        <w:r>
          <w:rPr>
            <w:rStyle w:val="Hyperlink"/>
            <w:snapToGrid w:val="0"/>
            <w:szCs w:val="18"/>
          </w:rPr>
          <w:t>http</w:t>
        </w:r>
        <w:r w:rsidRPr="003F2182">
          <w:rPr>
            <w:rStyle w:val="Hyperlink"/>
            <w:snapToGrid w:val="0"/>
            <w:szCs w:val="18"/>
            <w:lang w:val="ru-RU"/>
          </w:rPr>
          <w:t>://</w:t>
        </w:r>
        <w:r>
          <w:rPr>
            <w:rStyle w:val="Hyperlink"/>
            <w:snapToGrid w:val="0"/>
            <w:szCs w:val="18"/>
          </w:rPr>
          <w:t>www</w:t>
        </w:r>
        <w:r w:rsidRPr="003F2182">
          <w:rPr>
            <w:rStyle w:val="Hyperlink"/>
            <w:snapToGrid w:val="0"/>
            <w:szCs w:val="18"/>
            <w:lang w:val="ru-RU"/>
          </w:rPr>
          <w:t>.</w:t>
        </w:r>
        <w:proofErr w:type="spellStart"/>
        <w:r>
          <w:rPr>
            <w:rStyle w:val="Hyperlink"/>
            <w:snapToGrid w:val="0"/>
            <w:szCs w:val="18"/>
          </w:rPr>
          <w:t>fao</w:t>
        </w:r>
        <w:proofErr w:type="spellEnd"/>
        <w:r w:rsidRPr="003F2182">
          <w:rPr>
            <w:rStyle w:val="Hyperlink"/>
            <w:snapToGrid w:val="0"/>
            <w:szCs w:val="18"/>
            <w:lang w:val="ru-RU"/>
          </w:rPr>
          <w:t>.</w:t>
        </w:r>
        <w:r>
          <w:rPr>
            <w:rStyle w:val="Hyperlink"/>
            <w:snapToGrid w:val="0"/>
            <w:szCs w:val="18"/>
          </w:rPr>
          <w:t>org</w:t>
        </w:r>
        <w:r w:rsidRPr="003F2182">
          <w:rPr>
            <w:rStyle w:val="Hyperlink"/>
            <w:snapToGrid w:val="0"/>
            <w:szCs w:val="18"/>
            <w:lang w:val="ru-RU"/>
          </w:rPr>
          <w:t>/3/</w:t>
        </w:r>
        <w:proofErr w:type="spellStart"/>
        <w:r>
          <w:rPr>
            <w:rStyle w:val="Hyperlink"/>
            <w:snapToGrid w:val="0"/>
            <w:szCs w:val="18"/>
          </w:rPr>
          <w:t>nb</w:t>
        </w:r>
        <w:proofErr w:type="spellEnd"/>
        <w:r w:rsidRPr="003F2182">
          <w:rPr>
            <w:rStyle w:val="Hyperlink"/>
            <w:snapToGrid w:val="0"/>
            <w:szCs w:val="18"/>
            <w:lang w:val="ru-RU"/>
          </w:rPr>
          <w:t>779</w:t>
        </w:r>
        <w:proofErr w:type="spellStart"/>
        <w:r>
          <w:rPr>
            <w:rStyle w:val="Hyperlink"/>
            <w:snapToGrid w:val="0"/>
            <w:szCs w:val="18"/>
          </w:rPr>
          <w:t>ru</w:t>
        </w:r>
        <w:proofErr w:type="spellEnd"/>
        <w:r w:rsidRPr="003F2182">
          <w:rPr>
            <w:rStyle w:val="Hyperlink"/>
            <w:snapToGrid w:val="0"/>
            <w:szCs w:val="18"/>
            <w:lang w:val="ru-RU"/>
          </w:rPr>
          <w:t>/</w:t>
        </w:r>
        <w:proofErr w:type="spellStart"/>
        <w:r>
          <w:rPr>
            <w:rStyle w:val="Hyperlink"/>
            <w:snapToGrid w:val="0"/>
            <w:szCs w:val="18"/>
          </w:rPr>
          <w:t>nb</w:t>
        </w:r>
        <w:proofErr w:type="spellEnd"/>
        <w:r w:rsidRPr="003F2182">
          <w:rPr>
            <w:rStyle w:val="Hyperlink"/>
            <w:snapToGrid w:val="0"/>
            <w:szCs w:val="18"/>
            <w:lang w:val="ru-RU"/>
          </w:rPr>
          <w:t>779</w:t>
        </w:r>
        <w:proofErr w:type="spellStart"/>
        <w:r>
          <w:rPr>
            <w:rStyle w:val="Hyperlink"/>
            <w:snapToGrid w:val="0"/>
            <w:szCs w:val="18"/>
          </w:rPr>
          <w:t>ru</w:t>
        </w:r>
        <w:proofErr w:type="spellEnd"/>
        <w:r w:rsidRPr="003F2182">
          <w:rPr>
            <w:rStyle w:val="Hyperlink"/>
            <w:snapToGrid w:val="0"/>
            <w:szCs w:val="18"/>
            <w:lang w:val="ru-RU"/>
          </w:rPr>
          <w:t>.</w:t>
        </w:r>
        <w:r>
          <w:rPr>
            <w:rStyle w:val="Hyperlink"/>
            <w:snapToGrid w:val="0"/>
            <w:szCs w:val="18"/>
          </w:rPr>
          <w:t>pdf</w:t>
        </w:r>
      </w:hyperlink>
      <w:r w:rsidRPr="003F2182">
        <w:rPr>
          <w:snapToGrid w:val="0"/>
          <w:szCs w:val="18"/>
          <w:lang w:val="ru-RU"/>
        </w:rPr>
        <w:t>.</w:t>
      </w:r>
    </w:p>
  </w:footnote>
  <w:footnote w:id="44">
    <w:p w14:paraId="3F241D86" w14:textId="7A049F7A"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Предварительный неотредактированный вариант размещен по адресу: </w:t>
      </w:r>
      <w:r w:rsidRPr="00D87372">
        <w:rPr>
          <w:rStyle w:val="Hyperlink"/>
        </w:rPr>
        <w:t>https</w:t>
      </w:r>
      <w:r w:rsidRPr="00D87372">
        <w:rPr>
          <w:rStyle w:val="Hyperlink"/>
          <w:lang w:val="ru-RU"/>
        </w:rPr>
        <w:t>://</w:t>
      </w:r>
      <w:r w:rsidRPr="00D87372">
        <w:rPr>
          <w:rStyle w:val="Hyperlink"/>
        </w:rPr>
        <w:t>www</w:t>
      </w:r>
      <w:r w:rsidRPr="00D87372">
        <w:rPr>
          <w:rStyle w:val="Hyperlink"/>
          <w:lang w:val="ru-RU"/>
        </w:rPr>
        <w:t>.</w:t>
      </w:r>
      <w:r w:rsidRPr="00D87372">
        <w:rPr>
          <w:rStyle w:val="Hyperlink"/>
        </w:rPr>
        <w:t>un</w:t>
      </w:r>
      <w:r w:rsidRPr="00D87372">
        <w:rPr>
          <w:rStyle w:val="Hyperlink"/>
          <w:lang w:val="ru-RU"/>
        </w:rPr>
        <w:t>.</w:t>
      </w:r>
      <w:r w:rsidRPr="00D87372">
        <w:rPr>
          <w:rStyle w:val="Hyperlink"/>
        </w:rPr>
        <w:t>org</w:t>
      </w:r>
      <w:r w:rsidRPr="00D87372">
        <w:rPr>
          <w:rStyle w:val="Hyperlink"/>
          <w:lang w:val="ru-RU"/>
        </w:rPr>
        <w:t>/</w:t>
      </w:r>
      <w:proofErr w:type="spellStart"/>
      <w:r w:rsidRPr="00D87372">
        <w:rPr>
          <w:rStyle w:val="Hyperlink"/>
        </w:rPr>
        <w:t>bbnj</w:t>
      </w:r>
      <w:proofErr w:type="spellEnd"/>
      <w:r w:rsidRPr="00D87372">
        <w:rPr>
          <w:rStyle w:val="Hyperlink"/>
          <w:lang w:val="ru-RU"/>
        </w:rPr>
        <w:t>/</w:t>
      </w:r>
      <w:r w:rsidRPr="00D87372">
        <w:rPr>
          <w:rStyle w:val="Hyperlink"/>
        </w:rPr>
        <w:t>sites</w:t>
      </w:r>
      <w:r w:rsidRPr="00D87372">
        <w:rPr>
          <w:rStyle w:val="Hyperlink"/>
          <w:lang w:val="ru-RU"/>
        </w:rPr>
        <w:t>/</w:t>
      </w:r>
      <w:r w:rsidRPr="00D87372">
        <w:rPr>
          <w:rStyle w:val="Hyperlink"/>
        </w:rPr>
        <w:t>www</w:t>
      </w:r>
      <w:r w:rsidRPr="00D87372">
        <w:rPr>
          <w:rStyle w:val="Hyperlink"/>
          <w:lang w:val="ru-RU"/>
        </w:rPr>
        <w:t>.</w:t>
      </w:r>
      <w:r w:rsidRPr="00D87372">
        <w:rPr>
          <w:rStyle w:val="Hyperlink"/>
        </w:rPr>
        <w:t>un</w:t>
      </w:r>
      <w:r w:rsidRPr="00D87372">
        <w:rPr>
          <w:rStyle w:val="Hyperlink"/>
          <w:lang w:val="ru-RU"/>
        </w:rPr>
        <w:t>.</w:t>
      </w:r>
      <w:r w:rsidRPr="00D87372">
        <w:rPr>
          <w:rStyle w:val="Hyperlink"/>
        </w:rPr>
        <w:t>org</w:t>
      </w:r>
      <w:r w:rsidRPr="00D87372">
        <w:rPr>
          <w:rStyle w:val="Hyperlink"/>
          <w:lang w:val="ru-RU"/>
        </w:rPr>
        <w:t>.</w:t>
      </w:r>
      <w:proofErr w:type="spellStart"/>
      <w:r w:rsidRPr="00D87372">
        <w:rPr>
          <w:rStyle w:val="Hyperlink"/>
        </w:rPr>
        <w:t>bbnj</w:t>
      </w:r>
      <w:proofErr w:type="spellEnd"/>
      <w:r w:rsidRPr="00D87372">
        <w:rPr>
          <w:rStyle w:val="Hyperlink"/>
          <w:lang w:val="ru-RU"/>
        </w:rPr>
        <w:t>/</w:t>
      </w:r>
      <w:r w:rsidRPr="00D87372">
        <w:rPr>
          <w:rStyle w:val="Hyperlink"/>
        </w:rPr>
        <w:t>files</w:t>
      </w:r>
      <w:r w:rsidRPr="00D87372">
        <w:rPr>
          <w:rStyle w:val="Hyperlink"/>
          <w:lang w:val="ru-RU"/>
        </w:rPr>
        <w:t>/</w:t>
      </w:r>
      <w:r w:rsidRPr="00D87372">
        <w:rPr>
          <w:rStyle w:val="Hyperlink"/>
        </w:rPr>
        <w:t>revised</w:t>
      </w:r>
      <w:r w:rsidRPr="00D87372">
        <w:rPr>
          <w:rStyle w:val="Hyperlink"/>
          <w:lang w:val="ru-RU"/>
        </w:rPr>
        <w:t>_</w:t>
      </w:r>
      <w:r w:rsidRPr="00D87372">
        <w:rPr>
          <w:rStyle w:val="Hyperlink"/>
        </w:rPr>
        <w:t>draft</w:t>
      </w:r>
      <w:r w:rsidRPr="00D87372">
        <w:rPr>
          <w:rStyle w:val="Hyperlink"/>
          <w:lang w:val="ru-RU"/>
        </w:rPr>
        <w:t>_</w:t>
      </w:r>
      <w:r w:rsidRPr="00D87372">
        <w:rPr>
          <w:rStyle w:val="Hyperlink"/>
        </w:rPr>
        <w:t>text</w:t>
      </w:r>
      <w:r w:rsidRPr="00D87372">
        <w:rPr>
          <w:rStyle w:val="Hyperlink"/>
          <w:lang w:val="ru-RU"/>
        </w:rPr>
        <w:t>_</w:t>
      </w:r>
      <w:r w:rsidRPr="00D87372">
        <w:rPr>
          <w:rStyle w:val="Hyperlink"/>
        </w:rPr>
        <w:t>a</w:t>
      </w:r>
      <w:r w:rsidRPr="00D87372">
        <w:rPr>
          <w:rStyle w:val="Hyperlink"/>
          <w:lang w:val="ru-RU"/>
        </w:rPr>
        <w:t>.</w:t>
      </w:r>
      <w:r w:rsidRPr="00D87372">
        <w:rPr>
          <w:rStyle w:val="Hyperlink"/>
        </w:rPr>
        <w:t>conf</w:t>
      </w:r>
      <w:r w:rsidRPr="00D87372">
        <w:rPr>
          <w:rStyle w:val="Hyperlink"/>
          <w:lang w:val="ru-RU"/>
        </w:rPr>
        <w:t>_.232.2020.11_</w:t>
      </w:r>
      <w:r w:rsidRPr="00D87372">
        <w:rPr>
          <w:rStyle w:val="Hyperlink"/>
        </w:rPr>
        <w:t>advance</w:t>
      </w:r>
      <w:r w:rsidRPr="00D87372">
        <w:rPr>
          <w:rStyle w:val="Hyperlink"/>
          <w:lang w:val="ru-RU"/>
        </w:rPr>
        <w:t>_</w:t>
      </w:r>
      <w:r w:rsidRPr="00D87372">
        <w:rPr>
          <w:rStyle w:val="Hyperlink"/>
        </w:rPr>
        <w:t>unedited</w:t>
      </w:r>
      <w:r w:rsidRPr="00D87372">
        <w:rPr>
          <w:rStyle w:val="Hyperlink"/>
          <w:lang w:val="ru-RU"/>
        </w:rPr>
        <w:t>_</w:t>
      </w:r>
      <w:r w:rsidRPr="00D87372">
        <w:rPr>
          <w:rStyle w:val="Hyperlink"/>
        </w:rPr>
        <w:t>version</w:t>
      </w:r>
      <w:r w:rsidRPr="00D87372">
        <w:rPr>
          <w:rStyle w:val="Hyperlink"/>
          <w:lang w:val="ru-RU"/>
        </w:rPr>
        <w:t>.</w:t>
      </w:r>
      <w:r w:rsidRPr="00D87372">
        <w:rPr>
          <w:rStyle w:val="Hyperlink"/>
        </w:rPr>
        <w:t>pdf</w:t>
      </w:r>
    </w:p>
  </w:footnote>
  <w:footnote w:id="45">
    <w:p w14:paraId="678D812F"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Документ </w:t>
      </w:r>
      <w:r>
        <w:t>WHA</w:t>
      </w:r>
      <w:r w:rsidRPr="003F2182">
        <w:rPr>
          <w:lang w:val="ru-RU"/>
        </w:rPr>
        <w:t xml:space="preserve">72(12), размещенный по адресу: </w:t>
      </w:r>
      <w:hyperlink r:id="rId5" w:history="1">
        <w:r>
          <w:rPr>
            <w:rStyle w:val="Hyperlink"/>
          </w:rPr>
          <w:t>https</w:t>
        </w:r>
        <w:r w:rsidRPr="003F2182">
          <w:rPr>
            <w:rStyle w:val="Hyperlink"/>
            <w:lang w:val="ru-RU"/>
          </w:rPr>
          <w:t>://</w:t>
        </w:r>
        <w:r>
          <w:rPr>
            <w:rStyle w:val="Hyperlink"/>
          </w:rPr>
          <w:t>apps</w:t>
        </w:r>
        <w:r w:rsidRPr="003F2182">
          <w:rPr>
            <w:rStyle w:val="Hyperlink"/>
            <w:lang w:val="ru-RU"/>
          </w:rPr>
          <w:t>.</w:t>
        </w:r>
        <w:r>
          <w:rPr>
            <w:rStyle w:val="Hyperlink"/>
          </w:rPr>
          <w:t>who</w:t>
        </w:r>
        <w:r w:rsidRPr="003F2182">
          <w:rPr>
            <w:rStyle w:val="Hyperlink"/>
            <w:lang w:val="ru-RU"/>
          </w:rPr>
          <w:t>.</w:t>
        </w:r>
        <w:r>
          <w:rPr>
            <w:rStyle w:val="Hyperlink"/>
          </w:rPr>
          <w:t>int</w:t>
        </w:r>
        <w:r w:rsidRPr="003F2182">
          <w:rPr>
            <w:rStyle w:val="Hyperlink"/>
            <w:lang w:val="ru-RU"/>
          </w:rPr>
          <w:t>/</w:t>
        </w:r>
        <w:proofErr w:type="spellStart"/>
        <w:r>
          <w:rPr>
            <w:rStyle w:val="Hyperlink"/>
          </w:rPr>
          <w:t>gb</w:t>
        </w:r>
        <w:proofErr w:type="spellEnd"/>
        <w:r w:rsidRPr="003F2182">
          <w:rPr>
            <w:rStyle w:val="Hyperlink"/>
            <w:lang w:val="ru-RU"/>
          </w:rPr>
          <w:t>/</w:t>
        </w:r>
        <w:proofErr w:type="spellStart"/>
        <w:r>
          <w:rPr>
            <w:rStyle w:val="Hyperlink"/>
          </w:rPr>
          <w:t>ebwha</w:t>
        </w:r>
        <w:proofErr w:type="spellEnd"/>
        <w:r w:rsidRPr="003F2182">
          <w:rPr>
            <w:rStyle w:val="Hyperlink"/>
            <w:lang w:val="ru-RU"/>
          </w:rPr>
          <w:t>/</w:t>
        </w:r>
        <w:r>
          <w:rPr>
            <w:rStyle w:val="Hyperlink"/>
          </w:rPr>
          <w:t>pdf</w:t>
        </w:r>
        <w:r w:rsidRPr="003F2182">
          <w:rPr>
            <w:rStyle w:val="Hyperlink"/>
            <w:lang w:val="ru-RU"/>
          </w:rPr>
          <w:t>_</w:t>
        </w:r>
        <w:r>
          <w:rPr>
            <w:rStyle w:val="Hyperlink"/>
          </w:rPr>
          <w:t>files</w:t>
        </w:r>
        <w:r w:rsidRPr="003F2182">
          <w:rPr>
            <w:rStyle w:val="Hyperlink"/>
            <w:lang w:val="ru-RU"/>
          </w:rPr>
          <w:t>/</w:t>
        </w:r>
        <w:r>
          <w:rPr>
            <w:rStyle w:val="Hyperlink"/>
          </w:rPr>
          <w:t>WHA</w:t>
        </w:r>
        <w:r w:rsidRPr="003F2182">
          <w:rPr>
            <w:rStyle w:val="Hyperlink"/>
            <w:lang w:val="ru-RU"/>
          </w:rPr>
          <w:t>72/</w:t>
        </w:r>
        <w:r>
          <w:rPr>
            <w:rStyle w:val="Hyperlink"/>
          </w:rPr>
          <w:t>A</w:t>
        </w:r>
        <w:r w:rsidRPr="003F2182">
          <w:rPr>
            <w:rStyle w:val="Hyperlink"/>
            <w:lang w:val="ru-RU"/>
          </w:rPr>
          <w:t>72(12)-</w:t>
        </w:r>
        <w:proofErr w:type="spellStart"/>
        <w:r>
          <w:rPr>
            <w:rStyle w:val="Hyperlink"/>
          </w:rPr>
          <w:t>ru</w:t>
        </w:r>
        <w:proofErr w:type="spellEnd"/>
        <w:r w:rsidRPr="003F2182">
          <w:rPr>
            <w:rStyle w:val="Hyperlink"/>
            <w:lang w:val="ru-RU"/>
          </w:rPr>
          <w:t>.</w:t>
        </w:r>
        <w:r>
          <w:rPr>
            <w:rStyle w:val="Hyperlink"/>
          </w:rPr>
          <w:t>pdf</w:t>
        </w:r>
      </w:hyperlink>
      <w:r w:rsidRPr="003F2182">
        <w:rPr>
          <w:lang w:val="ru-RU"/>
        </w:rPr>
        <w:t>.</w:t>
      </w:r>
    </w:p>
  </w:footnote>
  <w:footnote w:id="46">
    <w:p w14:paraId="3AA1CA4E"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Документ </w:t>
      </w:r>
      <w:r>
        <w:t>WHA</w:t>
      </w:r>
      <w:r w:rsidRPr="003F2182">
        <w:rPr>
          <w:lang w:val="ru-RU"/>
        </w:rPr>
        <w:t xml:space="preserve">72(13), размещенный по адресу: </w:t>
      </w:r>
      <w:hyperlink r:id="rId6" w:history="1">
        <w:r>
          <w:rPr>
            <w:rStyle w:val="Hyperlink"/>
          </w:rPr>
          <w:t>https</w:t>
        </w:r>
        <w:r w:rsidRPr="003F2182">
          <w:rPr>
            <w:rStyle w:val="Hyperlink"/>
            <w:lang w:val="ru-RU"/>
          </w:rPr>
          <w:t>://</w:t>
        </w:r>
        <w:r>
          <w:rPr>
            <w:rStyle w:val="Hyperlink"/>
          </w:rPr>
          <w:t>apps</w:t>
        </w:r>
        <w:r w:rsidRPr="003F2182">
          <w:rPr>
            <w:rStyle w:val="Hyperlink"/>
            <w:lang w:val="ru-RU"/>
          </w:rPr>
          <w:t>.</w:t>
        </w:r>
        <w:r>
          <w:rPr>
            <w:rStyle w:val="Hyperlink"/>
          </w:rPr>
          <w:t>who</w:t>
        </w:r>
        <w:r w:rsidRPr="003F2182">
          <w:rPr>
            <w:rStyle w:val="Hyperlink"/>
            <w:lang w:val="ru-RU"/>
          </w:rPr>
          <w:t>.</w:t>
        </w:r>
        <w:r>
          <w:rPr>
            <w:rStyle w:val="Hyperlink"/>
          </w:rPr>
          <w:t>int</w:t>
        </w:r>
        <w:r w:rsidRPr="003F2182">
          <w:rPr>
            <w:rStyle w:val="Hyperlink"/>
            <w:lang w:val="ru-RU"/>
          </w:rPr>
          <w:t>/</w:t>
        </w:r>
        <w:proofErr w:type="spellStart"/>
        <w:r>
          <w:rPr>
            <w:rStyle w:val="Hyperlink"/>
          </w:rPr>
          <w:t>gb</w:t>
        </w:r>
        <w:proofErr w:type="spellEnd"/>
        <w:r w:rsidRPr="003F2182">
          <w:rPr>
            <w:rStyle w:val="Hyperlink"/>
            <w:lang w:val="ru-RU"/>
          </w:rPr>
          <w:t>/</w:t>
        </w:r>
        <w:proofErr w:type="spellStart"/>
        <w:r>
          <w:rPr>
            <w:rStyle w:val="Hyperlink"/>
          </w:rPr>
          <w:t>ebwha</w:t>
        </w:r>
        <w:proofErr w:type="spellEnd"/>
        <w:r w:rsidRPr="003F2182">
          <w:rPr>
            <w:rStyle w:val="Hyperlink"/>
            <w:lang w:val="ru-RU"/>
          </w:rPr>
          <w:t>/</w:t>
        </w:r>
        <w:r>
          <w:rPr>
            <w:rStyle w:val="Hyperlink"/>
          </w:rPr>
          <w:t>pdf</w:t>
        </w:r>
        <w:r w:rsidRPr="003F2182">
          <w:rPr>
            <w:rStyle w:val="Hyperlink"/>
            <w:lang w:val="ru-RU"/>
          </w:rPr>
          <w:t>_</w:t>
        </w:r>
        <w:r>
          <w:rPr>
            <w:rStyle w:val="Hyperlink"/>
          </w:rPr>
          <w:t>files</w:t>
        </w:r>
        <w:r w:rsidRPr="003F2182">
          <w:rPr>
            <w:rStyle w:val="Hyperlink"/>
            <w:lang w:val="ru-RU"/>
          </w:rPr>
          <w:t>/</w:t>
        </w:r>
        <w:r>
          <w:rPr>
            <w:rStyle w:val="Hyperlink"/>
          </w:rPr>
          <w:t>WHA</w:t>
        </w:r>
        <w:r w:rsidRPr="003F2182">
          <w:rPr>
            <w:rStyle w:val="Hyperlink"/>
            <w:lang w:val="ru-RU"/>
          </w:rPr>
          <w:t>72/</w:t>
        </w:r>
        <w:r>
          <w:rPr>
            <w:rStyle w:val="Hyperlink"/>
          </w:rPr>
          <w:t>A</w:t>
        </w:r>
        <w:r w:rsidRPr="003F2182">
          <w:rPr>
            <w:rStyle w:val="Hyperlink"/>
            <w:lang w:val="ru-RU"/>
          </w:rPr>
          <w:t>72(13)-</w:t>
        </w:r>
        <w:proofErr w:type="spellStart"/>
        <w:r>
          <w:rPr>
            <w:rStyle w:val="Hyperlink"/>
          </w:rPr>
          <w:t>ru</w:t>
        </w:r>
        <w:proofErr w:type="spellEnd"/>
        <w:r w:rsidRPr="003F2182">
          <w:rPr>
            <w:rStyle w:val="Hyperlink"/>
            <w:lang w:val="ru-RU"/>
          </w:rPr>
          <w:t>.</w:t>
        </w:r>
        <w:r>
          <w:rPr>
            <w:rStyle w:val="Hyperlink"/>
          </w:rPr>
          <w:t>pdf</w:t>
        </w:r>
      </w:hyperlink>
      <w:r w:rsidRPr="003F2182">
        <w:rPr>
          <w:lang w:val="ru-RU"/>
        </w:rPr>
        <w:t>.</w:t>
      </w:r>
    </w:p>
  </w:footnote>
  <w:footnote w:id="47">
    <w:p w14:paraId="6BDAF131" w14:textId="4551DCB0"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Уведомление 2020-012 от 24 января 2</w:t>
      </w:r>
      <w:r w:rsidR="00FD1110">
        <w:rPr>
          <w:lang w:val="ru-RU"/>
        </w:rPr>
        <w:t xml:space="preserve">020 </w:t>
      </w:r>
      <w:r w:rsidR="00FD1110">
        <w:rPr>
          <w:lang w:val="ru-RU"/>
        </w:rPr>
        <w:t xml:space="preserve">г., размещенное по адресу: </w:t>
      </w:r>
      <w:r w:rsidRPr="00FD1110">
        <w:rPr>
          <w:rStyle w:val="Hyperlink"/>
        </w:rPr>
        <w:t>https</w:t>
      </w:r>
      <w:r w:rsidRPr="00FD1110">
        <w:rPr>
          <w:rStyle w:val="Hyperlink"/>
          <w:lang w:val="ru-RU"/>
        </w:rPr>
        <w:t>://</w:t>
      </w:r>
      <w:r w:rsidRPr="00FD1110">
        <w:rPr>
          <w:rStyle w:val="Hyperlink"/>
        </w:rPr>
        <w:t>www</w:t>
      </w:r>
      <w:r w:rsidRPr="00FD1110">
        <w:rPr>
          <w:rStyle w:val="Hyperlink"/>
          <w:lang w:val="ru-RU"/>
        </w:rPr>
        <w:t>.</w:t>
      </w:r>
      <w:proofErr w:type="spellStart"/>
      <w:r w:rsidRPr="00FD1110">
        <w:rPr>
          <w:rStyle w:val="Hyperlink"/>
        </w:rPr>
        <w:t>cbd</w:t>
      </w:r>
      <w:proofErr w:type="spellEnd"/>
      <w:r w:rsidRPr="00FD1110">
        <w:rPr>
          <w:rStyle w:val="Hyperlink"/>
          <w:lang w:val="ru-RU"/>
        </w:rPr>
        <w:t>.</w:t>
      </w:r>
      <w:r w:rsidRPr="00FD1110">
        <w:rPr>
          <w:rStyle w:val="Hyperlink"/>
        </w:rPr>
        <w:t>int</w:t>
      </w:r>
      <w:r w:rsidRPr="00FD1110">
        <w:rPr>
          <w:rStyle w:val="Hyperlink"/>
          <w:lang w:val="ru-RU"/>
        </w:rPr>
        <w:t>/</w:t>
      </w:r>
      <w:r w:rsidRPr="00FD1110">
        <w:rPr>
          <w:rStyle w:val="Hyperlink"/>
        </w:rPr>
        <w:t>doc</w:t>
      </w:r>
      <w:r w:rsidRPr="00FD1110">
        <w:rPr>
          <w:rStyle w:val="Hyperlink"/>
          <w:lang w:val="ru-RU"/>
        </w:rPr>
        <w:t>/</w:t>
      </w:r>
      <w:r w:rsidRPr="00FD1110">
        <w:rPr>
          <w:rStyle w:val="Hyperlink"/>
        </w:rPr>
        <w:t>notifications</w:t>
      </w:r>
      <w:r w:rsidRPr="00FD1110">
        <w:rPr>
          <w:rStyle w:val="Hyperlink"/>
          <w:lang w:val="ru-RU"/>
        </w:rPr>
        <w:t>/2020/</w:t>
      </w:r>
      <w:proofErr w:type="spellStart"/>
      <w:r w:rsidRPr="00FD1110">
        <w:rPr>
          <w:rStyle w:val="Hyperlink"/>
        </w:rPr>
        <w:t>ntf</w:t>
      </w:r>
      <w:proofErr w:type="spellEnd"/>
      <w:r w:rsidRPr="00FD1110">
        <w:rPr>
          <w:rStyle w:val="Hyperlink"/>
          <w:lang w:val="ru-RU"/>
        </w:rPr>
        <w:t>-2020-012-</w:t>
      </w:r>
      <w:r w:rsidRPr="00FD1110">
        <w:rPr>
          <w:rStyle w:val="Hyperlink"/>
        </w:rPr>
        <w:t>abs</w:t>
      </w:r>
      <w:r w:rsidRPr="00FD1110">
        <w:rPr>
          <w:rStyle w:val="Hyperlink"/>
          <w:lang w:val="ru-RU"/>
        </w:rPr>
        <w:t>-</w:t>
      </w:r>
      <w:proofErr w:type="spellStart"/>
      <w:r w:rsidRPr="00FD1110">
        <w:rPr>
          <w:rStyle w:val="Hyperlink"/>
        </w:rPr>
        <w:t>en</w:t>
      </w:r>
      <w:proofErr w:type="spellEnd"/>
      <w:r w:rsidRPr="00FD1110">
        <w:rPr>
          <w:rStyle w:val="Hyperlink"/>
          <w:lang w:val="ru-RU"/>
        </w:rPr>
        <w:t>.</w:t>
      </w:r>
      <w:r w:rsidRPr="00FD1110">
        <w:rPr>
          <w:rStyle w:val="Hyperlink"/>
        </w:rPr>
        <w:t>pdf</w:t>
      </w:r>
      <w:r w:rsidRPr="003F2182">
        <w:rPr>
          <w:lang w:val="ru-RU"/>
        </w:rPr>
        <w:t>.</w:t>
      </w:r>
    </w:p>
  </w:footnote>
  <w:footnote w:id="48">
    <w:p w14:paraId="4963E35B"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См. </w:t>
      </w:r>
      <w:r w:rsidRPr="003F2182">
        <w:rPr>
          <w:lang w:val="ru-RU"/>
        </w:rPr>
        <w:t xml:space="preserve">текст резолюции по адресу: </w:t>
      </w:r>
      <w:hyperlink r:id="rId7" w:history="1">
        <w:r>
          <w:rPr>
            <w:rStyle w:val="Hyperlink"/>
          </w:rPr>
          <w:t>https</w:t>
        </w:r>
        <w:r w:rsidRPr="003F2182">
          <w:rPr>
            <w:rStyle w:val="Hyperlink"/>
            <w:lang w:val="ru-RU"/>
          </w:rPr>
          <w:t>://</w:t>
        </w:r>
        <w:r>
          <w:rPr>
            <w:rStyle w:val="Hyperlink"/>
          </w:rPr>
          <w:t>apps</w:t>
        </w:r>
        <w:r w:rsidRPr="003F2182">
          <w:rPr>
            <w:rStyle w:val="Hyperlink"/>
            <w:lang w:val="ru-RU"/>
          </w:rPr>
          <w:t>.</w:t>
        </w:r>
        <w:r>
          <w:rPr>
            <w:rStyle w:val="Hyperlink"/>
          </w:rPr>
          <w:t>who</w:t>
        </w:r>
        <w:r w:rsidRPr="003F2182">
          <w:rPr>
            <w:rStyle w:val="Hyperlink"/>
            <w:lang w:val="ru-RU"/>
          </w:rPr>
          <w:t>.</w:t>
        </w:r>
        <w:r>
          <w:rPr>
            <w:rStyle w:val="Hyperlink"/>
          </w:rPr>
          <w:t>int</w:t>
        </w:r>
        <w:r w:rsidRPr="003F2182">
          <w:rPr>
            <w:rStyle w:val="Hyperlink"/>
            <w:lang w:val="ru-RU"/>
          </w:rPr>
          <w:t>/</w:t>
        </w:r>
        <w:proofErr w:type="spellStart"/>
        <w:r>
          <w:rPr>
            <w:rStyle w:val="Hyperlink"/>
          </w:rPr>
          <w:t>gb</w:t>
        </w:r>
        <w:proofErr w:type="spellEnd"/>
        <w:r w:rsidRPr="003F2182">
          <w:rPr>
            <w:rStyle w:val="Hyperlink"/>
            <w:lang w:val="ru-RU"/>
          </w:rPr>
          <w:t>/</w:t>
        </w:r>
        <w:proofErr w:type="spellStart"/>
        <w:r>
          <w:rPr>
            <w:rStyle w:val="Hyperlink"/>
          </w:rPr>
          <w:t>ebwha</w:t>
        </w:r>
        <w:proofErr w:type="spellEnd"/>
        <w:r w:rsidRPr="003F2182">
          <w:rPr>
            <w:rStyle w:val="Hyperlink"/>
            <w:lang w:val="ru-RU"/>
          </w:rPr>
          <w:t>/</w:t>
        </w:r>
        <w:r>
          <w:rPr>
            <w:rStyle w:val="Hyperlink"/>
          </w:rPr>
          <w:t>pdf</w:t>
        </w:r>
        <w:r w:rsidRPr="003F2182">
          <w:rPr>
            <w:rStyle w:val="Hyperlink"/>
            <w:lang w:val="ru-RU"/>
          </w:rPr>
          <w:t>_</w:t>
        </w:r>
        <w:r>
          <w:rPr>
            <w:rStyle w:val="Hyperlink"/>
          </w:rPr>
          <w:t>files</w:t>
        </w:r>
        <w:r w:rsidRPr="003F2182">
          <w:rPr>
            <w:rStyle w:val="Hyperlink"/>
            <w:lang w:val="ru-RU"/>
          </w:rPr>
          <w:t>/</w:t>
        </w:r>
        <w:r>
          <w:rPr>
            <w:rStyle w:val="Hyperlink"/>
          </w:rPr>
          <w:t>WHA</w:t>
        </w:r>
        <w:r w:rsidRPr="003F2182">
          <w:rPr>
            <w:rStyle w:val="Hyperlink"/>
            <w:lang w:val="ru-RU"/>
          </w:rPr>
          <w:t>73/</w:t>
        </w:r>
        <w:r>
          <w:rPr>
            <w:rStyle w:val="Hyperlink"/>
          </w:rPr>
          <w:t>A</w:t>
        </w:r>
        <w:r w:rsidRPr="003F2182">
          <w:rPr>
            <w:rStyle w:val="Hyperlink"/>
            <w:lang w:val="ru-RU"/>
          </w:rPr>
          <w:t>73_</w:t>
        </w:r>
        <w:r>
          <w:rPr>
            <w:rStyle w:val="Hyperlink"/>
          </w:rPr>
          <w:t>R</w:t>
        </w:r>
        <w:r w:rsidRPr="003F2182">
          <w:rPr>
            <w:rStyle w:val="Hyperlink"/>
            <w:lang w:val="ru-RU"/>
          </w:rPr>
          <w:t>1-</w:t>
        </w:r>
        <w:proofErr w:type="spellStart"/>
        <w:r>
          <w:rPr>
            <w:rStyle w:val="Hyperlink"/>
          </w:rPr>
          <w:t>ru</w:t>
        </w:r>
        <w:proofErr w:type="spellEnd"/>
        <w:r w:rsidRPr="003F2182">
          <w:rPr>
            <w:rStyle w:val="Hyperlink"/>
            <w:lang w:val="ru-RU"/>
          </w:rPr>
          <w:t>.</w:t>
        </w:r>
        <w:r>
          <w:rPr>
            <w:rStyle w:val="Hyperlink"/>
          </w:rPr>
          <w:t>pdf</w:t>
        </w:r>
      </w:hyperlink>
    </w:p>
  </w:footnote>
  <w:footnote w:id="49">
    <w:p w14:paraId="1815EBF5"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Проекты статей представлены в документах </w:t>
      </w:r>
      <w:r>
        <w:t>WIPO</w:t>
      </w:r>
      <w:r w:rsidRPr="003F2182">
        <w:rPr>
          <w:lang w:val="ru-RU"/>
        </w:rPr>
        <w:t>/</w:t>
      </w:r>
      <w:r>
        <w:t>GRTKF</w:t>
      </w:r>
      <w:r w:rsidRPr="003F2182">
        <w:rPr>
          <w:lang w:val="ru-RU"/>
        </w:rPr>
        <w:t>/</w:t>
      </w:r>
      <w:r>
        <w:t>IC</w:t>
      </w:r>
      <w:r w:rsidRPr="003F2182">
        <w:rPr>
          <w:lang w:val="ru-RU"/>
        </w:rPr>
        <w:t xml:space="preserve">/40/6, </w:t>
      </w:r>
      <w:r>
        <w:t>WIPO</w:t>
      </w:r>
      <w:r w:rsidRPr="003F2182">
        <w:rPr>
          <w:lang w:val="ru-RU"/>
        </w:rPr>
        <w:t>/</w:t>
      </w:r>
      <w:r>
        <w:t>GRTKF</w:t>
      </w:r>
      <w:r w:rsidRPr="003F2182">
        <w:rPr>
          <w:lang w:val="ru-RU"/>
        </w:rPr>
        <w:t>/</w:t>
      </w:r>
      <w:r>
        <w:t>IC</w:t>
      </w:r>
      <w:r w:rsidRPr="003F2182">
        <w:rPr>
          <w:lang w:val="ru-RU"/>
        </w:rPr>
        <w:t xml:space="preserve">/40/18 и </w:t>
      </w:r>
      <w:r>
        <w:t>WIPO</w:t>
      </w:r>
      <w:r w:rsidRPr="003F2182">
        <w:rPr>
          <w:lang w:val="ru-RU"/>
        </w:rPr>
        <w:t>/</w:t>
      </w:r>
      <w:r>
        <w:t>GRTKF</w:t>
      </w:r>
      <w:r w:rsidRPr="003F2182">
        <w:rPr>
          <w:lang w:val="ru-RU"/>
        </w:rPr>
        <w:t>/</w:t>
      </w:r>
      <w:r>
        <w:t>IC</w:t>
      </w:r>
      <w:r w:rsidRPr="003F2182">
        <w:rPr>
          <w:lang w:val="ru-RU"/>
        </w:rPr>
        <w:t xml:space="preserve">/40/19 соответственно, которые размещены по адресу: </w:t>
      </w:r>
      <w:hyperlink r:id="rId8" w:history="1">
        <w:r>
          <w:rPr>
            <w:rStyle w:val="Hyperlink"/>
          </w:rPr>
          <w:t>https</w:t>
        </w:r>
        <w:r w:rsidRPr="003F2182">
          <w:rPr>
            <w:rStyle w:val="Hyperlink"/>
            <w:lang w:val="ru-RU"/>
          </w:rPr>
          <w:t>://</w:t>
        </w:r>
        <w:r>
          <w:rPr>
            <w:rStyle w:val="Hyperlink"/>
          </w:rPr>
          <w:t>www</w:t>
        </w:r>
        <w:r w:rsidRPr="003F2182">
          <w:rPr>
            <w:rStyle w:val="Hyperlink"/>
            <w:lang w:val="ru-RU"/>
          </w:rPr>
          <w:t>.</w:t>
        </w:r>
        <w:proofErr w:type="spellStart"/>
        <w:r>
          <w:rPr>
            <w:rStyle w:val="Hyperlink"/>
          </w:rPr>
          <w:t>wipo</w:t>
        </w:r>
        <w:proofErr w:type="spellEnd"/>
        <w:r w:rsidRPr="003F2182">
          <w:rPr>
            <w:rStyle w:val="Hyperlink"/>
            <w:lang w:val="ru-RU"/>
          </w:rPr>
          <w:t>.</w:t>
        </w:r>
        <w:r>
          <w:rPr>
            <w:rStyle w:val="Hyperlink"/>
          </w:rPr>
          <w:t>int</w:t>
        </w:r>
        <w:r w:rsidRPr="003F2182">
          <w:rPr>
            <w:rStyle w:val="Hyperlink"/>
            <w:lang w:val="ru-RU"/>
          </w:rPr>
          <w:t>/</w:t>
        </w:r>
        <w:r>
          <w:rPr>
            <w:rStyle w:val="Hyperlink"/>
          </w:rPr>
          <w:t>meetings</w:t>
        </w:r>
        <w:r w:rsidRPr="003F2182">
          <w:rPr>
            <w:rStyle w:val="Hyperlink"/>
            <w:lang w:val="ru-RU"/>
          </w:rPr>
          <w:t>/</w:t>
        </w:r>
        <w:proofErr w:type="spellStart"/>
        <w:r>
          <w:rPr>
            <w:rStyle w:val="Hyperlink"/>
          </w:rPr>
          <w:t>ru</w:t>
        </w:r>
        <w:proofErr w:type="spellEnd"/>
        <w:r w:rsidRPr="003F2182">
          <w:rPr>
            <w:rStyle w:val="Hyperlink"/>
            <w:lang w:val="ru-RU"/>
          </w:rPr>
          <w:t>/</w:t>
        </w:r>
        <w:r>
          <w:rPr>
            <w:rStyle w:val="Hyperlink"/>
          </w:rPr>
          <w:t>details</w:t>
        </w:r>
        <w:r w:rsidRPr="003F2182">
          <w:rPr>
            <w:rStyle w:val="Hyperlink"/>
            <w:lang w:val="ru-RU"/>
          </w:rPr>
          <w:t>.</w:t>
        </w:r>
        <w:proofErr w:type="spellStart"/>
        <w:r>
          <w:rPr>
            <w:rStyle w:val="Hyperlink"/>
          </w:rPr>
          <w:t>jsp</w:t>
        </w:r>
        <w:proofErr w:type="spellEnd"/>
        <w:r w:rsidRPr="003F2182">
          <w:rPr>
            <w:rStyle w:val="Hyperlink"/>
            <w:lang w:val="ru-RU"/>
          </w:rPr>
          <w:t>?</w:t>
        </w:r>
        <w:r>
          <w:rPr>
            <w:rStyle w:val="Hyperlink"/>
          </w:rPr>
          <w:t>meeting</w:t>
        </w:r>
        <w:r w:rsidRPr="003F2182">
          <w:rPr>
            <w:rStyle w:val="Hyperlink"/>
            <w:lang w:val="ru-RU"/>
          </w:rPr>
          <w:t>_</w:t>
        </w:r>
        <w:r>
          <w:rPr>
            <w:rStyle w:val="Hyperlink"/>
          </w:rPr>
          <w:t>id</w:t>
        </w:r>
        <w:r w:rsidRPr="003F2182">
          <w:rPr>
            <w:rStyle w:val="Hyperlink"/>
            <w:lang w:val="ru-RU"/>
          </w:rPr>
          <w:t>=50424</w:t>
        </w:r>
      </w:hyperlink>
      <w:r w:rsidRPr="003F2182">
        <w:rPr>
          <w:lang w:val="ru-RU"/>
        </w:rPr>
        <w:t>.</w:t>
      </w:r>
    </w:p>
  </w:footnote>
  <w:footnote w:id="50">
    <w:p w14:paraId="1C09DDF0"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Документ </w:t>
      </w:r>
      <w:r>
        <w:t>WIPO</w:t>
      </w:r>
      <w:r w:rsidRPr="003F2182">
        <w:rPr>
          <w:lang w:val="ru-RU"/>
        </w:rPr>
        <w:t>/</w:t>
      </w:r>
      <w:r>
        <w:t>GRTKF</w:t>
      </w:r>
      <w:r w:rsidRPr="003F2182">
        <w:rPr>
          <w:lang w:val="ru-RU"/>
        </w:rPr>
        <w:t>/</w:t>
      </w:r>
      <w:r>
        <w:t>IC</w:t>
      </w:r>
      <w:r w:rsidRPr="003F2182">
        <w:rPr>
          <w:lang w:val="ru-RU"/>
        </w:rPr>
        <w:t>/40/</w:t>
      </w:r>
      <w:r>
        <w:t>CHAIR</w:t>
      </w:r>
      <w:r w:rsidRPr="003F2182">
        <w:rPr>
          <w:lang w:val="ru-RU"/>
        </w:rPr>
        <w:t xml:space="preserve"> </w:t>
      </w:r>
      <w:r>
        <w:t>TEXT</w:t>
      </w:r>
      <w:r w:rsidRPr="003F2182">
        <w:rPr>
          <w:lang w:val="ru-RU"/>
        </w:rPr>
        <w:t xml:space="preserve"> размещен по адресу: </w:t>
      </w:r>
      <w:hyperlink r:id="rId9" w:history="1">
        <w:r>
          <w:rPr>
            <w:rStyle w:val="Hyperlink"/>
          </w:rPr>
          <w:t>https</w:t>
        </w:r>
        <w:r w:rsidRPr="003F2182">
          <w:rPr>
            <w:rStyle w:val="Hyperlink"/>
            <w:lang w:val="ru-RU"/>
          </w:rPr>
          <w:t>://</w:t>
        </w:r>
        <w:r>
          <w:rPr>
            <w:rStyle w:val="Hyperlink"/>
          </w:rPr>
          <w:t>www</w:t>
        </w:r>
        <w:r w:rsidRPr="003F2182">
          <w:rPr>
            <w:rStyle w:val="Hyperlink"/>
            <w:lang w:val="ru-RU"/>
          </w:rPr>
          <w:t>.</w:t>
        </w:r>
        <w:proofErr w:type="spellStart"/>
        <w:r>
          <w:rPr>
            <w:rStyle w:val="Hyperlink"/>
          </w:rPr>
          <w:t>wipo</w:t>
        </w:r>
        <w:proofErr w:type="spellEnd"/>
        <w:r w:rsidRPr="003F2182">
          <w:rPr>
            <w:rStyle w:val="Hyperlink"/>
            <w:lang w:val="ru-RU"/>
          </w:rPr>
          <w:t>.</w:t>
        </w:r>
        <w:r>
          <w:rPr>
            <w:rStyle w:val="Hyperlink"/>
          </w:rPr>
          <w:t>int</w:t>
        </w:r>
        <w:r w:rsidRPr="003F2182">
          <w:rPr>
            <w:rStyle w:val="Hyperlink"/>
            <w:lang w:val="ru-RU"/>
          </w:rPr>
          <w:t>/</w:t>
        </w:r>
        <w:r>
          <w:rPr>
            <w:rStyle w:val="Hyperlink"/>
          </w:rPr>
          <w:t>meetings</w:t>
        </w:r>
        <w:r w:rsidRPr="003F2182">
          <w:rPr>
            <w:rStyle w:val="Hyperlink"/>
            <w:lang w:val="ru-RU"/>
          </w:rPr>
          <w:t>/</w:t>
        </w:r>
        <w:proofErr w:type="spellStart"/>
        <w:r>
          <w:rPr>
            <w:rStyle w:val="Hyperlink"/>
          </w:rPr>
          <w:t>ru</w:t>
        </w:r>
        <w:proofErr w:type="spellEnd"/>
        <w:r w:rsidRPr="003F2182">
          <w:rPr>
            <w:rStyle w:val="Hyperlink"/>
            <w:lang w:val="ru-RU"/>
          </w:rPr>
          <w:t>/</w:t>
        </w:r>
        <w:r>
          <w:rPr>
            <w:rStyle w:val="Hyperlink"/>
          </w:rPr>
          <w:t>doc</w:t>
        </w:r>
        <w:r w:rsidRPr="003F2182">
          <w:rPr>
            <w:rStyle w:val="Hyperlink"/>
            <w:lang w:val="ru-RU"/>
          </w:rPr>
          <w:t>_</w:t>
        </w:r>
        <w:r>
          <w:rPr>
            <w:rStyle w:val="Hyperlink"/>
          </w:rPr>
          <w:t>details</w:t>
        </w:r>
        <w:r w:rsidRPr="003F2182">
          <w:rPr>
            <w:rStyle w:val="Hyperlink"/>
            <w:lang w:val="ru-RU"/>
          </w:rPr>
          <w:t>.</w:t>
        </w:r>
        <w:proofErr w:type="spellStart"/>
        <w:r>
          <w:rPr>
            <w:rStyle w:val="Hyperlink"/>
          </w:rPr>
          <w:t>jsp</w:t>
        </w:r>
        <w:proofErr w:type="spellEnd"/>
        <w:r w:rsidRPr="003F2182">
          <w:rPr>
            <w:rStyle w:val="Hyperlink"/>
            <w:lang w:val="ru-RU"/>
          </w:rPr>
          <w:t>?</w:t>
        </w:r>
        <w:r>
          <w:rPr>
            <w:rStyle w:val="Hyperlink"/>
          </w:rPr>
          <w:t>doc</w:t>
        </w:r>
        <w:r w:rsidRPr="003F2182">
          <w:rPr>
            <w:rStyle w:val="Hyperlink"/>
            <w:lang w:val="ru-RU"/>
          </w:rPr>
          <w:t>_</w:t>
        </w:r>
        <w:r>
          <w:rPr>
            <w:rStyle w:val="Hyperlink"/>
          </w:rPr>
          <w:t>id</w:t>
        </w:r>
        <w:r w:rsidRPr="003F2182">
          <w:rPr>
            <w:rStyle w:val="Hyperlink"/>
            <w:lang w:val="ru-RU"/>
          </w:rPr>
          <w:t>=438199</w:t>
        </w:r>
      </w:hyperlink>
    </w:p>
  </w:footnote>
  <w:footnote w:id="51">
    <w:p w14:paraId="4194020D" w14:textId="77777777" w:rsidR="00A45B66" w:rsidRPr="003F2182" w:rsidRDefault="00A45B66" w:rsidP="00C47151">
      <w:pPr>
        <w:pStyle w:val="FootnoteText"/>
        <w:suppressLineNumbers/>
        <w:suppressAutoHyphens/>
        <w:ind w:firstLine="0"/>
        <w:jc w:val="left"/>
        <w:rPr>
          <w:kern w:val="18"/>
          <w:szCs w:val="18"/>
          <w:lang w:val="ru-RU"/>
        </w:rPr>
      </w:pPr>
      <w:r>
        <w:rPr>
          <w:rStyle w:val="FootnoteReference"/>
          <w:kern w:val="18"/>
          <w:szCs w:val="18"/>
        </w:rPr>
        <w:footnoteRef/>
      </w:r>
      <w:r w:rsidRPr="003F2182">
        <w:rPr>
          <w:lang w:val="ru-RU"/>
        </w:rPr>
        <w:t xml:space="preserve"> </w:t>
      </w:r>
      <w:r w:rsidRPr="003F2182">
        <w:rPr>
          <w:lang w:val="ru-RU"/>
        </w:rPr>
        <w:t xml:space="preserve">Отчет </w:t>
      </w:r>
      <w:r w:rsidRPr="003F2182">
        <w:rPr>
          <w:lang w:val="ru-RU"/>
        </w:rPr>
        <w:t xml:space="preserve">о работе Межправительственном комитета ВОИС по вопросам прав интеллектуальной собственности и генетических ресурсов, традиционных знаний и фольклора (документ </w:t>
      </w:r>
      <w:r>
        <w:t>WO</w:t>
      </w:r>
      <w:r w:rsidRPr="003F2182">
        <w:rPr>
          <w:lang w:val="ru-RU"/>
        </w:rPr>
        <w:t>/</w:t>
      </w:r>
      <w:r>
        <w:t>GA</w:t>
      </w:r>
      <w:r w:rsidRPr="003F2182">
        <w:rPr>
          <w:lang w:val="ru-RU"/>
        </w:rPr>
        <w:t xml:space="preserve">/51/12) размещен по адресу: </w:t>
      </w:r>
      <w:r w:rsidR="00885EE2">
        <w:fldChar w:fldCharType="begin"/>
      </w:r>
      <w:r w:rsidR="00885EE2" w:rsidRPr="00885EE2">
        <w:rPr>
          <w:lang w:val="ru-RU"/>
        </w:rPr>
        <w:instrText xml:space="preserve"> </w:instrText>
      </w:r>
      <w:r w:rsidR="00885EE2">
        <w:instrText>HYPERLINK</w:instrText>
      </w:r>
      <w:r w:rsidR="00885EE2" w:rsidRPr="00885EE2">
        <w:rPr>
          <w:lang w:val="ru-RU"/>
        </w:rPr>
        <w:instrText xml:space="preserve"> "</w:instrText>
      </w:r>
      <w:r w:rsidR="00885EE2">
        <w:instrText>https</w:instrText>
      </w:r>
      <w:r w:rsidR="00885EE2" w:rsidRPr="00885EE2">
        <w:rPr>
          <w:lang w:val="ru-RU"/>
        </w:rPr>
        <w:instrText>://</w:instrText>
      </w:r>
      <w:r w:rsidR="00885EE2">
        <w:instrText>www</w:instrText>
      </w:r>
      <w:r w:rsidR="00885EE2" w:rsidRPr="00885EE2">
        <w:rPr>
          <w:lang w:val="ru-RU"/>
        </w:rPr>
        <w:instrText>.</w:instrText>
      </w:r>
      <w:r w:rsidR="00885EE2">
        <w:instrText>wipo</w:instrText>
      </w:r>
      <w:r w:rsidR="00885EE2" w:rsidRPr="00885EE2">
        <w:rPr>
          <w:lang w:val="ru-RU"/>
        </w:rPr>
        <w:instrText>.</w:instrText>
      </w:r>
      <w:r w:rsidR="00885EE2">
        <w:instrText>int</w:instrText>
      </w:r>
      <w:r w:rsidR="00885EE2" w:rsidRPr="00885EE2">
        <w:rPr>
          <w:lang w:val="ru-RU"/>
        </w:rPr>
        <w:instrText>/</w:instrText>
      </w:r>
      <w:r w:rsidR="00885EE2">
        <w:instrText>meetings</w:instrText>
      </w:r>
      <w:r w:rsidR="00885EE2" w:rsidRPr="00885EE2">
        <w:rPr>
          <w:lang w:val="ru-RU"/>
        </w:rPr>
        <w:instrText>/</w:instrText>
      </w:r>
      <w:r w:rsidR="00885EE2">
        <w:instrText>ru</w:instrText>
      </w:r>
      <w:r w:rsidR="00885EE2" w:rsidRPr="00885EE2">
        <w:rPr>
          <w:lang w:val="ru-RU"/>
        </w:rPr>
        <w:instrText>/</w:instrText>
      </w:r>
      <w:r w:rsidR="00885EE2">
        <w:instrText>doc</w:instrText>
      </w:r>
      <w:r w:rsidR="00885EE2" w:rsidRPr="00885EE2">
        <w:rPr>
          <w:lang w:val="ru-RU"/>
        </w:rPr>
        <w:instrText>_</w:instrText>
      </w:r>
      <w:r w:rsidR="00885EE2">
        <w:instrText>detail</w:instrText>
      </w:r>
      <w:r w:rsidR="00885EE2">
        <w:instrText>s</w:instrText>
      </w:r>
      <w:r w:rsidR="00885EE2" w:rsidRPr="00885EE2">
        <w:rPr>
          <w:lang w:val="ru-RU"/>
        </w:rPr>
        <w:instrText>.</w:instrText>
      </w:r>
      <w:r w:rsidR="00885EE2">
        <w:instrText>jsp</w:instrText>
      </w:r>
      <w:r w:rsidR="00885EE2" w:rsidRPr="00885EE2">
        <w:rPr>
          <w:lang w:val="ru-RU"/>
        </w:rPr>
        <w:instrText>?</w:instrText>
      </w:r>
      <w:r w:rsidR="00885EE2">
        <w:instrText>doc</w:instrText>
      </w:r>
      <w:r w:rsidR="00885EE2" w:rsidRPr="00885EE2">
        <w:rPr>
          <w:lang w:val="ru-RU"/>
        </w:rPr>
        <w:instrText>_</w:instrText>
      </w:r>
      <w:r w:rsidR="00885EE2">
        <w:instrText>id</w:instrText>
      </w:r>
      <w:r w:rsidR="00885EE2" w:rsidRPr="00885EE2">
        <w:rPr>
          <w:lang w:val="ru-RU"/>
        </w:rPr>
        <w:instrText xml:space="preserve">=443934.." </w:instrText>
      </w:r>
      <w:r w:rsidR="00885EE2">
        <w:fldChar w:fldCharType="separate"/>
      </w:r>
      <w:r>
        <w:rPr>
          <w:rStyle w:val="Hyperlink"/>
        </w:rPr>
        <w:t>https</w:t>
      </w:r>
      <w:r w:rsidRPr="003F2182">
        <w:rPr>
          <w:rStyle w:val="Hyperlink"/>
          <w:lang w:val="ru-RU"/>
        </w:rPr>
        <w:t>://</w:t>
      </w:r>
      <w:r>
        <w:rPr>
          <w:rStyle w:val="Hyperlink"/>
        </w:rPr>
        <w:t>www</w:t>
      </w:r>
      <w:r w:rsidRPr="003F2182">
        <w:rPr>
          <w:rStyle w:val="Hyperlink"/>
          <w:lang w:val="ru-RU"/>
        </w:rPr>
        <w:t>.</w:t>
      </w:r>
      <w:proofErr w:type="spellStart"/>
      <w:r>
        <w:rPr>
          <w:rStyle w:val="Hyperlink"/>
        </w:rPr>
        <w:t>wipo</w:t>
      </w:r>
      <w:proofErr w:type="spellEnd"/>
      <w:r w:rsidRPr="003F2182">
        <w:rPr>
          <w:rStyle w:val="Hyperlink"/>
          <w:lang w:val="ru-RU"/>
        </w:rPr>
        <w:t>.</w:t>
      </w:r>
      <w:r>
        <w:rPr>
          <w:rStyle w:val="Hyperlink"/>
        </w:rPr>
        <w:t>int</w:t>
      </w:r>
      <w:r w:rsidRPr="003F2182">
        <w:rPr>
          <w:rStyle w:val="Hyperlink"/>
          <w:lang w:val="ru-RU"/>
        </w:rPr>
        <w:t>/</w:t>
      </w:r>
      <w:r>
        <w:rPr>
          <w:rStyle w:val="Hyperlink"/>
        </w:rPr>
        <w:t>meetings</w:t>
      </w:r>
      <w:r w:rsidRPr="003F2182">
        <w:rPr>
          <w:rStyle w:val="Hyperlink"/>
          <w:lang w:val="ru-RU"/>
        </w:rPr>
        <w:t>/</w:t>
      </w:r>
      <w:proofErr w:type="spellStart"/>
      <w:r>
        <w:rPr>
          <w:rStyle w:val="Hyperlink"/>
        </w:rPr>
        <w:t>ru</w:t>
      </w:r>
      <w:proofErr w:type="spellEnd"/>
      <w:r w:rsidRPr="003F2182">
        <w:rPr>
          <w:rStyle w:val="Hyperlink"/>
          <w:lang w:val="ru-RU"/>
        </w:rPr>
        <w:t>/</w:t>
      </w:r>
      <w:r>
        <w:rPr>
          <w:rStyle w:val="Hyperlink"/>
        </w:rPr>
        <w:t>doc</w:t>
      </w:r>
      <w:r w:rsidRPr="003F2182">
        <w:rPr>
          <w:rStyle w:val="Hyperlink"/>
          <w:lang w:val="ru-RU"/>
        </w:rPr>
        <w:t>_</w:t>
      </w:r>
      <w:r>
        <w:rPr>
          <w:rStyle w:val="Hyperlink"/>
        </w:rPr>
        <w:t>details</w:t>
      </w:r>
      <w:r w:rsidRPr="003F2182">
        <w:rPr>
          <w:rStyle w:val="Hyperlink"/>
          <w:lang w:val="ru-RU"/>
        </w:rPr>
        <w:t>.</w:t>
      </w:r>
      <w:proofErr w:type="spellStart"/>
      <w:r>
        <w:rPr>
          <w:rStyle w:val="Hyperlink"/>
        </w:rPr>
        <w:t>jsp</w:t>
      </w:r>
      <w:proofErr w:type="spellEnd"/>
      <w:r w:rsidRPr="003F2182">
        <w:rPr>
          <w:rStyle w:val="Hyperlink"/>
          <w:lang w:val="ru-RU"/>
        </w:rPr>
        <w:t>?</w:t>
      </w:r>
      <w:r>
        <w:rPr>
          <w:rStyle w:val="Hyperlink"/>
        </w:rPr>
        <w:t>doc</w:t>
      </w:r>
      <w:r w:rsidRPr="003F2182">
        <w:rPr>
          <w:rStyle w:val="Hyperlink"/>
          <w:lang w:val="ru-RU"/>
        </w:rPr>
        <w:t>_</w:t>
      </w:r>
      <w:r>
        <w:rPr>
          <w:rStyle w:val="Hyperlink"/>
        </w:rPr>
        <w:t>id</w:t>
      </w:r>
      <w:r w:rsidRPr="003F2182">
        <w:rPr>
          <w:rStyle w:val="Hyperlink"/>
          <w:lang w:val="ru-RU"/>
        </w:rPr>
        <w:t>=443934.</w:t>
      </w:r>
      <w:r w:rsidR="00885EE2">
        <w:rPr>
          <w:rStyle w:val="Hyperlink"/>
          <w:lang w:val="ru-RU"/>
        </w:rPr>
        <w:fldChar w:fldCharType="end"/>
      </w:r>
      <w:r w:rsidRPr="003F2182">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5190397" w14:textId="2618ABF2" w:rsidR="00A45B66" w:rsidRPr="001C6487" w:rsidRDefault="00A45B66" w:rsidP="001C6487">
        <w:pPr>
          <w:pStyle w:val="Header"/>
          <w:tabs>
            <w:tab w:val="clear" w:pos="4320"/>
            <w:tab w:val="clear" w:pos="8640"/>
          </w:tabs>
          <w:kinsoku w:val="0"/>
          <w:overflowPunct w:val="0"/>
          <w:autoSpaceDE w:val="0"/>
          <w:autoSpaceDN w:val="0"/>
          <w:jc w:val="left"/>
          <w:rPr>
            <w:noProof/>
            <w:kern w:val="22"/>
          </w:rPr>
        </w:pPr>
        <w:r>
          <w:rPr>
            <w:noProof/>
            <w:kern w:val="22"/>
          </w:rPr>
          <w:t>CBD/SBI/3/14</w:t>
        </w:r>
      </w:p>
    </w:sdtContent>
  </w:sdt>
  <w:p w14:paraId="6BAB881A" w14:textId="4C778BBF" w:rsidR="00A45B66" w:rsidRPr="001C6487" w:rsidRDefault="00A45B66" w:rsidP="001C6487">
    <w:pPr>
      <w:pStyle w:val="Header"/>
      <w:tabs>
        <w:tab w:val="clear" w:pos="4320"/>
        <w:tab w:val="clear" w:pos="8640"/>
      </w:tabs>
      <w:kinsoku w:val="0"/>
      <w:overflowPunct w:val="0"/>
      <w:autoSpaceDE w:val="0"/>
      <w:autoSpaceDN w:val="0"/>
      <w:spacing w:after="240"/>
      <w:jc w:val="lef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4A3A4C">
      <w:rPr>
        <w:noProof/>
        <w:kern w:val="22"/>
      </w:rPr>
      <w:t>16</w:t>
    </w:r>
    <w:r w:rsidRPr="001C6487">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14B369C8" w14:textId="7580283F" w:rsidR="00A45B66" w:rsidRPr="001C6487" w:rsidRDefault="00A45B66" w:rsidP="001C6487">
        <w:pPr>
          <w:pStyle w:val="Header"/>
          <w:tabs>
            <w:tab w:val="clear" w:pos="4320"/>
            <w:tab w:val="clear" w:pos="8640"/>
          </w:tabs>
          <w:kinsoku w:val="0"/>
          <w:overflowPunct w:val="0"/>
          <w:autoSpaceDE w:val="0"/>
          <w:autoSpaceDN w:val="0"/>
          <w:jc w:val="right"/>
          <w:rPr>
            <w:noProof/>
            <w:kern w:val="22"/>
          </w:rPr>
        </w:pPr>
        <w:r>
          <w:rPr>
            <w:noProof/>
            <w:kern w:val="22"/>
          </w:rPr>
          <w:t>CBD/SBI/3/14</w:t>
        </w:r>
      </w:p>
    </w:sdtContent>
  </w:sdt>
  <w:p w14:paraId="41EDC9DD" w14:textId="43A588A0" w:rsidR="00A45B66" w:rsidRPr="001C6487" w:rsidRDefault="00A45B66" w:rsidP="001C6487">
    <w:pPr>
      <w:pStyle w:val="Header"/>
      <w:tabs>
        <w:tab w:val="clear" w:pos="4320"/>
        <w:tab w:val="clear" w:pos="8640"/>
      </w:tabs>
      <w:kinsoku w:val="0"/>
      <w:overflowPunct w:val="0"/>
      <w:autoSpaceDE w:val="0"/>
      <w:autoSpaceDN w:val="0"/>
      <w:spacing w:after="240"/>
      <w:jc w:val="right"/>
      <w:rPr>
        <w:noProof/>
        <w:kern w:val="22"/>
      </w:rPr>
    </w:pPr>
    <w:r>
      <w:rPr>
        <w:noProof/>
        <w:kern w:val="22"/>
        <w:lang w:val="ru-RU"/>
      </w:rPr>
      <w:t>Страница</w:t>
    </w:r>
    <w:r w:rsidRPr="001C6487">
      <w:rPr>
        <w:noProof/>
        <w:kern w:val="22"/>
      </w:rPr>
      <w:t xml:space="preserve"> </w:t>
    </w:r>
    <w:r w:rsidRPr="001C6487">
      <w:rPr>
        <w:noProof/>
        <w:kern w:val="22"/>
      </w:rPr>
      <w:fldChar w:fldCharType="begin"/>
    </w:r>
    <w:r w:rsidRPr="001C6487">
      <w:rPr>
        <w:noProof/>
        <w:kern w:val="22"/>
      </w:rPr>
      <w:instrText xml:space="preserve"> PAGE   \* MERGEFORMAT </w:instrText>
    </w:r>
    <w:r w:rsidRPr="001C6487">
      <w:rPr>
        <w:noProof/>
        <w:kern w:val="22"/>
      </w:rPr>
      <w:fldChar w:fldCharType="separate"/>
    </w:r>
    <w:r w:rsidR="004A3A4C">
      <w:rPr>
        <w:noProof/>
        <w:kern w:val="22"/>
      </w:rPr>
      <w:t>15</w:t>
    </w:r>
    <w:r w:rsidRPr="001C6487">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E3C96"/>
    <w:multiLevelType w:val="hybridMultilevel"/>
    <w:tmpl w:val="1E4CCAFE"/>
    <w:lvl w:ilvl="0" w:tplc="25905D7E">
      <w:start w:val="1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5150A29"/>
    <w:multiLevelType w:val="hybridMultilevel"/>
    <w:tmpl w:val="48BA53A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4E51B5"/>
    <w:multiLevelType w:val="hybridMultilevel"/>
    <w:tmpl w:val="2F9CF540"/>
    <w:lvl w:ilvl="0" w:tplc="0C0A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46417B3C"/>
    <w:multiLevelType w:val="hybridMultilevel"/>
    <w:tmpl w:val="2D78AACA"/>
    <w:lvl w:ilvl="0" w:tplc="34807CFC">
      <w:start w:val="3"/>
      <w:numFmt w:val="bullet"/>
      <w:lvlText w:val=""/>
      <w:lvlJc w:val="left"/>
      <w:pPr>
        <w:ind w:left="720" w:hanging="360"/>
      </w:pPr>
      <w:rPr>
        <w:rFonts w:ascii="Wingdings" w:eastAsia="Times New Roman"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3032FA"/>
    <w:multiLevelType w:val="hybridMultilevel"/>
    <w:tmpl w:val="90C2F1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9E269A"/>
    <w:multiLevelType w:val="hybridMultilevel"/>
    <w:tmpl w:val="1E36696A"/>
    <w:lvl w:ilvl="0" w:tplc="BD2E4020">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E0442B4"/>
    <w:multiLevelType w:val="multilevel"/>
    <w:tmpl w:val="1242EE68"/>
    <w:lvl w:ilvl="0">
      <w:start w:val="1"/>
      <w:numFmt w:val="decimal"/>
      <w:pStyle w:val="Para1"/>
      <w:lvlText w:val="%1."/>
      <w:lvlJc w:val="left"/>
      <w:pPr>
        <w:tabs>
          <w:tab w:val="num" w:pos="360"/>
        </w:tabs>
        <w:ind w:left="0" w:firstLine="0"/>
      </w:pPr>
      <w:rPr>
        <w:rFonts w:ascii="Times New Roman" w:hAnsi="Times New Roman" w:hint="default"/>
        <w:b w:val="0"/>
        <w:i w:val="0"/>
        <w:sz w:val="22"/>
        <w:lang w:val="ru-RU"/>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EA137E4"/>
    <w:multiLevelType w:val="hybridMultilevel"/>
    <w:tmpl w:val="CD82741C"/>
    <w:lvl w:ilvl="0" w:tplc="818EBAE6">
      <w:start w:val="2"/>
      <w:numFmt w:val="upperRoman"/>
      <w:lvlText w:val="%1."/>
      <w:lvlJc w:val="left"/>
      <w:pPr>
        <w:ind w:left="1080" w:hanging="720"/>
      </w:pPr>
      <w:rPr>
        <w:rFonts w:hint="default"/>
        <w:b/>
        <w:bCs/>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AA1962"/>
    <w:multiLevelType w:val="hybridMultilevel"/>
    <w:tmpl w:val="2286C444"/>
    <w:lvl w:ilvl="0" w:tplc="1009000F">
      <w:start w:val="1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3026C3"/>
    <w:multiLevelType w:val="hybridMultilevel"/>
    <w:tmpl w:val="031EF678"/>
    <w:lvl w:ilvl="0" w:tplc="0C0A0017">
      <w:start w:val="1"/>
      <w:numFmt w:val="lowerLetter"/>
      <w:lvlText w:val="%1)"/>
      <w:lvlJc w:val="left"/>
      <w:pPr>
        <w:ind w:left="720" w:hanging="360"/>
      </w:pPr>
      <w:rPr>
        <w:rFonts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F44600"/>
    <w:multiLevelType w:val="hybridMultilevel"/>
    <w:tmpl w:val="8816559E"/>
    <w:lvl w:ilvl="0" w:tplc="E660B6F8">
      <w:start w:val="11"/>
      <w:numFmt w:val="decimal"/>
      <w:lvlText w:val="%1."/>
      <w:lvlJc w:val="left"/>
      <w:pPr>
        <w:ind w:left="135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2B0475A"/>
    <w:multiLevelType w:val="hybridMultilevel"/>
    <w:tmpl w:val="3CDAE502"/>
    <w:lvl w:ilvl="0" w:tplc="041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44B570D"/>
    <w:multiLevelType w:val="hybridMultilevel"/>
    <w:tmpl w:val="9E20CE54"/>
    <w:lvl w:ilvl="0" w:tplc="2288143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9A947B9"/>
    <w:multiLevelType w:val="hybridMultilevel"/>
    <w:tmpl w:val="289E84A2"/>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454D6"/>
    <w:multiLevelType w:val="multilevel"/>
    <w:tmpl w:val="A7F87148"/>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7A92"/>
    <w:multiLevelType w:val="hybridMultilevel"/>
    <w:tmpl w:val="C87CF708"/>
    <w:lvl w:ilvl="0" w:tplc="A93E2F8E">
      <w:start w:val="1"/>
      <w:numFmt w:val="lowerLetter"/>
      <w:lvlText w:val="%1)"/>
      <w:lvlJc w:val="left"/>
      <w:pPr>
        <w:ind w:left="720" w:hanging="360"/>
      </w:pPr>
      <w:rPr>
        <w:rFonts w:hint="default"/>
        <w:lang w:val="ru-RU"/>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AFE47D1"/>
    <w:multiLevelType w:val="hybridMultilevel"/>
    <w:tmpl w:val="36E43EE2"/>
    <w:lvl w:ilvl="0" w:tplc="04190017">
      <w:start w:val="1"/>
      <w:numFmt w:val="lowerLetter"/>
      <w:lvlText w:val="%1)"/>
      <w:lvlJc w:val="left"/>
      <w:pPr>
        <w:ind w:left="1440" w:hanging="72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D06130"/>
    <w:multiLevelType w:val="hybridMultilevel"/>
    <w:tmpl w:val="0E5C438E"/>
    <w:lvl w:ilvl="0" w:tplc="5DEEE446">
      <w:start w:val="10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0"/>
  </w:num>
  <w:num w:numId="4">
    <w:abstractNumId w:val="18"/>
  </w:num>
  <w:num w:numId="5">
    <w:abstractNumId w:val="11"/>
  </w:num>
  <w:num w:numId="6">
    <w:abstractNumId w:val="9"/>
  </w:num>
  <w:num w:numId="7">
    <w:abstractNumId w:val="17"/>
  </w:num>
  <w:num w:numId="8">
    <w:abstractNumId w:val="19"/>
  </w:num>
  <w:num w:numId="9">
    <w:abstractNumId w:val="13"/>
  </w:num>
  <w:num w:numId="10">
    <w:abstractNumId w:val="21"/>
  </w:num>
  <w:num w:numId="11">
    <w:abstractNumId w:val="16"/>
  </w:num>
  <w:num w:numId="12">
    <w:abstractNumId w:val="22"/>
  </w:num>
  <w:num w:numId="13">
    <w:abstractNumId w:val="1"/>
  </w:num>
  <w:num w:numId="14">
    <w:abstractNumId w:val="15"/>
  </w:num>
  <w:num w:numId="1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23"/>
  </w:num>
  <w:num w:numId="35">
    <w:abstractNumId w:val="7"/>
  </w:num>
  <w:num w:numId="36">
    <w:abstractNumId w:val="14"/>
  </w:num>
  <w:num w:numId="37">
    <w:abstractNumId w:val="2"/>
  </w:num>
  <w:num w:numId="38">
    <w:abstractNumId w:val="8"/>
  </w:num>
  <w:num w:numId="39">
    <w:abstractNumId w:val="6"/>
  </w:num>
  <w:num w:numId="40">
    <w:abstractNumId w:val="0"/>
  </w:num>
  <w:num w:numId="41">
    <w:abstractNumId w:val="4"/>
  </w:num>
  <w:num w:numId="42">
    <w:abstractNumId w:val="3"/>
  </w:num>
  <w:num w:numId="4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es-419" w:vendorID="64" w:dllVersion="6" w:nlCheck="1" w:checkStyle="1"/>
  <w:activeWritingStyle w:appName="MSWord" w:lang="fr-FR" w:vendorID="64" w:dllVersion="6" w:nlCheck="1" w:checkStyle="1"/>
  <w:activeWritingStyle w:appName="MSWord" w:lang="en-GB" w:vendorID="64" w:dllVersion="0"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1A0"/>
    <w:rsid w:val="00003204"/>
    <w:rsid w:val="000032D7"/>
    <w:rsid w:val="00003B30"/>
    <w:rsid w:val="00004C1F"/>
    <w:rsid w:val="000059E3"/>
    <w:rsid w:val="00005B03"/>
    <w:rsid w:val="0000635A"/>
    <w:rsid w:val="00006997"/>
    <w:rsid w:val="00006A2A"/>
    <w:rsid w:val="00007D74"/>
    <w:rsid w:val="000105E0"/>
    <w:rsid w:val="00010EEA"/>
    <w:rsid w:val="00011255"/>
    <w:rsid w:val="00012174"/>
    <w:rsid w:val="00012607"/>
    <w:rsid w:val="00013E58"/>
    <w:rsid w:val="000141A4"/>
    <w:rsid w:val="000146D6"/>
    <w:rsid w:val="0001527D"/>
    <w:rsid w:val="00022379"/>
    <w:rsid w:val="000226F3"/>
    <w:rsid w:val="00022DDB"/>
    <w:rsid w:val="0002323C"/>
    <w:rsid w:val="0002363B"/>
    <w:rsid w:val="000239CD"/>
    <w:rsid w:val="00023B7E"/>
    <w:rsid w:val="00023C1D"/>
    <w:rsid w:val="000240FD"/>
    <w:rsid w:val="00024328"/>
    <w:rsid w:val="0002528F"/>
    <w:rsid w:val="000261F8"/>
    <w:rsid w:val="0003252E"/>
    <w:rsid w:val="000325AF"/>
    <w:rsid w:val="00032F47"/>
    <w:rsid w:val="00034974"/>
    <w:rsid w:val="00034AD2"/>
    <w:rsid w:val="0003588B"/>
    <w:rsid w:val="00036097"/>
    <w:rsid w:val="00036BD2"/>
    <w:rsid w:val="00036F05"/>
    <w:rsid w:val="0003720C"/>
    <w:rsid w:val="000374B2"/>
    <w:rsid w:val="00040383"/>
    <w:rsid w:val="000409AB"/>
    <w:rsid w:val="0004150F"/>
    <w:rsid w:val="00043120"/>
    <w:rsid w:val="000431AD"/>
    <w:rsid w:val="000431CB"/>
    <w:rsid w:val="00043671"/>
    <w:rsid w:val="00044B41"/>
    <w:rsid w:val="00044ED8"/>
    <w:rsid w:val="00050FE2"/>
    <w:rsid w:val="000515B0"/>
    <w:rsid w:val="00053690"/>
    <w:rsid w:val="00053C7B"/>
    <w:rsid w:val="000569BF"/>
    <w:rsid w:val="00056E42"/>
    <w:rsid w:val="000574E4"/>
    <w:rsid w:val="000577DA"/>
    <w:rsid w:val="000619B3"/>
    <w:rsid w:val="000633CF"/>
    <w:rsid w:val="00063D99"/>
    <w:rsid w:val="00064EA2"/>
    <w:rsid w:val="00067291"/>
    <w:rsid w:val="000706AB"/>
    <w:rsid w:val="00071FBF"/>
    <w:rsid w:val="0007354D"/>
    <w:rsid w:val="000741C5"/>
    <w:rsid w:val="00074608"/>
    <w:rsid w:val="00080537"/>
    <w:rsid w:val="00080CFA"/>
    <w:rsid w:val="00081344"/>
    <w:rsid w:val="00081CEB"/>
    <w:rsid w:val="000837C8"/>
    <w:rsid w:val="00084813"/>
    <w:rsid w:val="0008566E"/>
    <w:rsid w:val="0008578A"/>
    <w:rsid w:val="00086268"/>
    <w:rsid w:val="00090F26"/>
    <w:rsid w:val="000917E0"/>
    <w:rsid w:val="00092695"/>
    <w:rsid w:val="000974AC"/>
    <w:rsid w:val="000A1885"/>
    <w:rsid w:val="000A19E3"/>
    <w:rsid w:val="000A1C8D"/>
    <w:rsid w:val="000A2D2A"/>
    <w:rsid w:val="000A32C5"/>
    <w:rsid w:val="000A4484"/>
    <w:rsid w:val="000A4F7D"/>
    <w:rsid w:val="000A69AB"/>
    <w:rsid w:val="000A7168"/>
    <w:rsid w:val="000A7398"/>
    <w:rsid w:val="000B0FDD"/>
    <w:rsid w:val="000B33D2"/>
    <w:rsid w:val="000B4901"/>
    <w:rsid w:val="000B4B43"/>
    <w:rsid w:val="000B5A61"/>
    <w:rsid w:val="000B620B"/>
    <w:rsid w:val="000B622E"/>
    <w:rsid w:val="000B660F"/>
    <w:rsid w:val="000B7281"/>
    <w:rsid w:val="000B7D97"/>
    <w:rsid w:val="000C1426"/>
    <w:rsid w:val="000C30CA"/>
    <w:rsid w:val="000C4162"/>
    <w:rsid w:val="000C5292"/>
    <w:rsid w:val="000C5964"/>
    <w:rsid w:val="000C5DB9"/>
    <w:rsid w:val="000C726B"/>
    <w:rsid w:val="000D0A27"/>
    <w:rsid w:val="000D1F55"/>
    <w:rsid w:val="000D3506"/>
    <w:rsid w:val="000D4006"/>
    <w:rsid w:val="000D40D5"/>
    <w:rsid w:val="000D41D4"/>
    <w:rsid w:val="000D424F"/>
    <w:rsid w:val="000D551A"/>
    <w:rsid w:val="000D5B66"/>
    <w:rsid w:val="000D5B67"/>
    <w:rsid w:val="000D633D"/>
    <w:rsid w:val="000D70FA"/>
    <w:rsid w:val="000E44B0"/>
    <w:rsid w:val="000E4512"/>
    <w:rsid w:val="000E5967"/>
    <w:rsid w:val="000E5D25"/>
    <w:rsid w:val="000E673A"/>
    <w:rsid w:val="000E6EEF"/>
    <w:rsid w:val="000E75F6"/>
    <w:rsid w:val="000F0871"/>
    <w:rsid w:val="000F0B30"/>
    <w:rsid w:val="000F19A3"/>
    <w:rsid w:val="000F5CB5"/>
    <w:rsid w:val="000F65BD"/>
    <w:rsid w:val="000F6B1C"/>
    <w:rsid w:val="000F6FE2"/>
    <w:rsid w:val="000F7251"/>
    <w:rsid w:val="000F74F5"/>
    <w:rsid w:val="00100848"/>
    <w:rsid w:val="001009EE"/>
    <w:rsid w:val="00100F45"/>
    <w:rsid w:val="00101262"/>
    <w:rsid w:val="0010196E"/>
    <w:rsid w:val="001021EA"/>
    <w:rsid w:val="00103CB5"/>
    <w:rsid w:val="001049D5"/>
    <w:rsid w:val="00104B58"/>
    <w:rsid w:val="00105372"/>
    <w:rsid w:val="001057BF"/>
    <w:rsid w:val="00106317"/>
    <w:rsid w:val="00106D2D"/>
    <w:rsid w:val="0010718E"/>
    <w:rsid w:val="00107415"/>
    <w:rsid w:val="00110970"/>
    <w:rsid w:val="00110A19"/>
    <w:rsid w:val="00111F6C"/>
    <w:rsid w:val="00113141"/>
    <w:rsid w:val="001146D0"/>
    <w:rsid w:val="00114C0D"/>
    <w:rsid w:val="00114E0B"/>
    <w:rsid w:val="00117A69"/>
    <w:rsid w:val="00121224"/>
    <w:rsid w:val="001216D6"/>
    <w:rsid w:val="001226BC"/>
    <w:rsid w:val="00124367"/>
    <w:rsid w:val="00124768"/>
    <w:rsid w:val="00124EC2"/>
    <w:rsid w:val="00124EF9"/>
    <w:rsid w:val="001259BB"/>
    <w:rsid w:val="0012655A"/>
    <w:rsid w:val="001277E3"/>
    <w:rsid w:val="00130239"/>
    <w:rsid w:val="00131DF3"/>
    <w:rsid w:val="00131E7A"/>
    <w:rsid w:val="001323A7"/>
    <w:rsid w:val="00134638"/>
    <w:rsid w:val="001346D9"/>
    <w:rsid w:val="00136234"/>
    <w:rsid w:val="00136632"/>
    <w:rsid w:val="0013667F"/>
    <w:rsid w:val="00136EF9"/>
    <w:rsid w:val="0014069F"/>
    <w:rsid w:val="00140AA3"/>
    <w:rsid w:val="00140EDC"/>
    <w:rsid w:val="00141856"/>
    <w:rsid w:val="00141982"/>
    <w:rsid w:val="0014442A"/>
    <w:rsid w:val="00144A05"/>
    <w:rsid w:val="00144DB6"/>
    <w:rsid w:val="0014567B"/>
    <w:rsid w:val="00146C06"/>
    <w:rsid w:val="00146FDB"/>
    <w:rsid w:val="00147018"/>
    <w:rsid w:val="001505AB"/>
    <w:rsid w:val="00150BCB"/>
    <w:rsid w:val="0015363F"/>
    <w:rsid w:val="0015565D"/>
    <w:rsid w:val="001565E0"/>
    <w:rsid w:val="0015693B"/>
    <w:rsid w:val="00161D2C"/>
    <w:rsid w:val="00163094"/>
    <w:rsid w:val="00163E8F"/>
    <w:rsid w:val="0016415F"/>
    <w:rsid w:val="0016488B"/>
    <w:rsid w:val="00165FC9"/>
    <w:rsid w:val="001661F8"/>
    <w:rsid w:val="00166EC3"/>
    <w:rsid w:val="00167234"/>
    <w:rsid w:val="00167536"/>
    <w:rsid w:val="00171315"/>
    <w:rsid w:val="00171AE4"/>
    <w:rsid w:val="00171F01"/>
    <w:rsid w:val="00172451"/>
    <w:rsid w:val="00172AF6"/>
    <w:rsid w:val="00172DD5"/>
    <w:rsid w:val="001734FB"/>
    <w:rsid w:val="00174912"/>
    <w:rsid w:val="00175A99"/>
    <w:rsid w:val="00176247"/>
    <w:rsid w:val="00176357"/>
    <w:rsid w:val="00176CEE"/>
    <w:rsid w:val="00177859"/>
    <w:rsid w:val="00177BE5"/>
    <w:rsid w:val="00180488"/>
    <w:rsid w:val="00181BEC"/>
    <w:rsid w:val="0018211D"/>
    <w:rsid w:val="00182DE7"/>
    <w:rsid w:val="001833AA"/>
    <w:rsid w:val="00184683"/>
    <w:rsid w:val="00184F11"/>
    <w:rsid w:val="00185499"/>
    <w:rsid w:val="00186DD8"/>
    <w:rsid w:val="00187C96"/>
    <w:rsid w:val="00190571"/>
    <w:rsid w:val="0019158C"/>
    <w:rsid w:val="00191F0F"/>
    <w:rsid w:val="001938C0"/>
    <w:rsid w:val="00193CC9"/>
    <w:rsid w:val="001971FB"/>
    <w:rsid w:val="001A031A"/>
    <w:rsid w:val="001A1535"/>
    <w:rsid w:val="001A1E12"/>
    <w:rsid w:val="001A24B9"/>
    <w:rsid w:val="001A3814"/>
    <w:rsid w:val="001A53D7"/>
    <w:rsid w:val="001A5703"/>
    <w:rsid w:val="001A604B"/>
    <w:rsid w:val="001A61AC"/>
    <w:rsid w:val="001B0C57"/>
    <w:rsid w:val="001B1D6B"/>
    <w:rsid w:val="001B2A53"/>
    <w:rsid w:val="001B30BE"/>
    <w:rsid w:val="001B38D1"/>
    <w:rsid w:val="001B3D7F"/>
    <w:rsid w:val="001B48E7"/>
    <w:rsid w:val="001B7CE3"/>
    <w:rsid w:val="001C2106"/>
    <w:rsid w:val="001C2636"/>
    <w:rsid w:val="001C299B"/>
    <w:rsid w:val="001C2B71"/>
    <w:rsid w:val="001C31AB"/>
    <w:rsid w:val="001C3355"/>
    <w:rsid w:val="001C3CC1"/>
    <w:rsid w:val="001C409D"/>
    <w:rsid w:val="001C434D"/>
    <w:rsid w:val="001C5000"/>
    <w:rsid w:val="001C6000"/>
    <w:rsid w:val="001C6487"/>
    <w:rsid w:val="001C6FFD"/>
    <w:rsid w:val="001C7F28"/>
    <w:rsid w:val="001D0342"/>
    <w:rsid w:val="001D0E6D"/>
    <w:rsid w:val="001D12BE"/>
    <w:rsid w:val="001D3562"/>
    <w:rsid w:val="001D3FD9"/>
    <w:rsid w:val="001D6171"/>
    <w:rsid w:val="001D6408"/>
    <w:rsid w:val="001D68B1"/>
    <w:rsid w:val="001D6B97"/>
    <w:rsid w:val="001D7109"/>
    <w:rsid w:val="001E0760"/>
    <w:rsid w:val="001E1637"/>
    <w:rsid w:val="001E400A"/>
    <w:rsid w:val="001E41B6"/>
    <w:rsid w:val="001E4C8F"/>
    <w:rsid w:val="001E4E30"/>
    <w:rsid w:val="001E57AA"/>
    <w:rsid w:val="001E6625"/>
    <w:rsid w:val="001E7490"/>
    <w:rsid w:val="001F0A6D"/>
    <w:rsid w:val="001F18A6"/>
    <w:rsid w:val="001F2D16"/>
    <w:rsid w:val="001F3146"/>
    <w:rsid w:val="001F423F"/>
    <w:rsid w:val="001F629E"/>
    <w:rsid w:val="001F6963"/>
    <w:rsid w:val="001F6B55"/>
    <w:rsid w:val="00202C4B"/>
    <w:rsid w:val="00202E6C"/>
    <w:rsid w:val="00203483"/>
    <w:rsid w:val="002044B0"/>
    <w:rsid w:val="00204643"/>
    <w:rsid w:val="002058A7"/>
    <w:rsid w:val="0021076C"/>
    <w:rsid w:val="00211FCA"/>
    <w:rsid w:val="00212FF6"/>
    <w:rsid w:val="00213112"/>
    <w:rsid w:val="0021332B"/>
    <w:rsid w:val="0021437B"/>
    <w:rsid w:val="002149BD"/>
    <w:rsid w:val="0021615D"/>
    <w:rsid w:val="00216410"/>
    <w:rsid w:val="00216581"/>
    <w:rsid w:val="00217E46"/>
    <w:rsid w:val="0022014B"/>
    <w:rsid w:val="00220554"/>
    <w:rsid w:val="002205EE"/>
    <w:rsid w:val="00222005"/>
    <w:rsid w:val="002229EE"/>
    <w:rsid w:val="00223409"/>
    <w:rsid w:val="00224431"/>
    <w:rsid w:val="00224AAB"/>
    <w:rsid w:val="00227706"/>
    <w:rsid w:val="00227B77"/>
    <w:rsid w:val="0023027F"/>
    <w:rsid w:val="002323EB"/>
    <w:rsid w:val="0023428D"/>
    <w:rsid w:val="0023441A"/>
    <w:rsid w:val="00235149"/>
    <w:rsid w:val="00235E34"/>
    <w:rsid w:val="00236952"/>
    <w:rsid w:val="00236982"/>
    <w:rsid w:val="002370B9"/>
    <w:rsid w:val="00242C77"/>
    <w:rsid w:val="002442CD"/>
    <w:rsid w:val="0024552A"/>
    <w:rsid w:val="00245559"/>
    <w:rsid w:val="00245D3F"/>
    <w:rsid w:val="00246D89"/>
    <w:rsid w:val="0024774E"/>
    <w:rsid w:val="002517C9"/>
    <w:rsid w:val="00251B42"/>
    <w:rsid w:val="00252C21"/>
    <w:rsid w:val="00254238"/>
    <w:rsid w:val="002545EF"/>
    <w:rsid w:val="00254E76"/>
    <w:rsid w:val="00255798"/>
    <w:rsid w:val="002560ED"/>
    <w:rsid w:val="002562CD"/>
    <w:rsid w:val="00256684"/>
    <w:rsid w:val="0025725F"/>
    <w:rsid w:val="00257788"/>
    <w:rsid w:val="00261223"/>
    <w:rsid w:val="002614D7"/>
    <w:rsid w:val="00261A59"/>
    <w:rsid w:val="00263183"/>
    <w:rsid w:val="00265021"/>
    <w:rsid w:val="00267D41"/>
    <w:rsid w:val="002703CD"/>
    <w:rsid w:val="0027116E"/>
    <w:rsid w:val="00271509"/>
    <w:rsid w:val="00271E6F"/>
    <w:rsid w:val="002726D6"/>
    <w:rsid w:val="002730F5"/>
    <w:rsid w:val="00274A9A"/>
    <w:rsid w:val="00275877"/>
    <w:rsid w:val="00275AE1"/>
    <w:rsid w:val="0028051F"/>
    <w:rsid w:val="002809C0"/>
    <w:rsid w:val="00281974"/>
    <w:rsid w:val="00281A53"/>
    <w:rsid w:val="002828FF"/>
    <w:rsid w:val="00282DEF"/>
    <w:rsid w:val="002841B6"/>
    <w:rsid w:val="0028455B"/>
    <w:rsid w:val="00284CA9"/>
    <w:rsid w:val="00284DB5"/>
    <w:rsid w:val="00285531"/>
    <w:rsid w:val="00285875"/>
    <w:rsid w:val="0028648E"/>
    <w:rsid w:val="00287C5C"/>
    <w:rsid w:val="00287F27"/>
    <w:rsid w:val="00290975"/>
    <w:rsid w:val="00292A05"/>
    <w:rsid w:val="0029397B"/>
    <w:rsid w:val="002943B3"/>
    <w:rsid w:val="00296FB6"/>
    <w:rsid w:val="00297A52"/>
    <w:rsid w:val="002A177C"/>
    <w:rsid w:val="002A22AA"/>
    <w:rsid w:val="002A2C57"/>
    <w:rsid w:val="002A2FC8"/>
    <w:rsid w:val="002A467B"/>
    <w:rsid w:val="002A4F26"/>
    <w:rsid w:val="002A520B"/>
    <w:rsid w:val="002A5C35"/>
    <w:rsid w:val="002A6292"/>
    <w:rsid w:val="002A6AE7"/>
    <w:rsid w:val="002A78C8"/>
    <w:rsid w:val="002A7BDC"/>
    <w:rsid w:val="002B020F"/>
    <w:rsid w:val="002B232F"/>
    <w:rsid w:val="002B23D0"/>
    <w:rsid w:val="002B3587"/>
    <w:rsid w:val="002B4388"/>
    <w:rsid w:val="002B4427"/>
    <w:rsid w:val="002B53E9"/>
    <w:rsid w:val="002B6E73"/>
    <w:rsid w:val="002B7174"/>
    <w:rsid w:val="002B75FB"/>
    <w:rsid w:val="002B78A4"/>
    <w:rsid w:val="002B7ED9"/>
    <w:rsid w:val="002C0079"/>
    <w:rsid w:val="002C14E0"/>
    <w:rsid w:val="002C1EE7"/>
    <w:rsid w:val="002C3567"/>
    <w:rsid w:val="002C4C48"/>
    <w:rsid w:val="002C5422"/>
    <w:rsid w:val="002C5FD5"/>
    <w:rsid w:val="002C6940"/>
    <w:rsid w:val="002C6E58"/>
    <w:rsid w:val="002C737C"/>
    <w:rsid w:val="002C7DAB"/>
    <w:rsid w:val="002D01C6"/>
    <w:rsid w:val="002D0B6E"/>
    <w:rsid w:val="002D1377"/>
    <w:rsid w:val="002D23A9"/>
    <w:rsid w:val="002D3989"/>
    <w:rsid w:val="002D473D"/>
    <w:rsid w:val="002D4773"/>
    <w:rsid w:val="002D607C"/>
    <w:rsid w:val="002D637C"/>
    <w:rsid w:val="002D77F2"/>
    <w:rsid w:val="002E038A"/>
    <w:rsid w:val="002E04AB"/>
    <w:rsid w:val="002E23B6"/>
    <w:rsid w:val="002E2C2D"/>
    <w:rsid w:val="002E509F"/>
    <w:rsid w:val="002E5E8E"/>
    <w:rsid w:val="002E6B07"/>
    <w:rsid w:val="002E7E89"/>
    <w:rsid w:val="002F5B68"/>
    <w:rsid w:val="003001B8"/>
    <w:rsid w:val="003036C4"/>
    <w:rsid w:val="00304215"/>
    <w:rsid w:val="003046CB"/>
    <w:rsid w:val="00305B2A"/>
    <w:rsid w:val="003071E2"/>
    <w:rsid w:val="00307C7A"/>
    <w:rsid w:val="003108CE"/>
    <w:rsid w:val="00310AB5"/>
    <w:rsid w:val="00310DA8"/>
    <w:rsid w:val="00310F43"/>
    <w:rsid w:val="003113B3"/>
    <w:rsid w:val="00312898"/>
    <w:rsid w:val="00312B0C"/>
    <w:rsid w:val="00313B81"/>
    <w:rsid w:val="00313F6B"/>
    <w:rsid w:val="00314551"/>
    <w:rsid w:val="00314AA1"/>
    <w:rsid w:val="00314AF7"/>
    <w:rsid w:val="003151B8"/>
    <w:rsid w:val="00315241"/>
    <w:rsid w:val="00315A85"/>
    <w:rsid w:val="00317851"/>
    <w:rsid w:val="0032081D"/>
    <w:rsid w:val="00320D21"/>
    <w:rsid w:val="00321FB8"/>
    <w:rsid w:val="003220D4"/>
    <w:rsid w:val="00322118"/>
    <w:rsid w:val="00322132"/>
    <w:rsid w:val="00323613"/>
    <w:rsid w:val="00323F28"/>
    <w:rsid w:val="00325473"/>
    <w:rsid w:val="0032568A"/>
    <w:rsid w:val="00325DEC"/>
    <w:rsid w:val="003262A3"/>
    <w:rsid w:val="00327465"/>
    <w:rsid w:val="003278AB"/>
    <w:rsid w:val="00327E72"/>
    <w:rsid w:val="00330D75"/>
    <w:rsid w:val="0033443E"/>
    <w:rsid w:val="00334531"/>
    <w:rsid w:val="003356DE"/>
    <w:rsid w:val="00335B58"/>
    <w:rsid w:val="003363DF"/>
    <w:rsid w:val="0033797B"/>
    <w:rsid w:val="0034013C"/>
    <w:rsid w:val="00340B82"/>
    <w:rsid w:val="003433D2"/>
    <w:rsid w:val="0034449C"/>
    <w:rsid w:val="00344DEF"/>
    <w:rsid w:val="003458B5"/>
    <w:rsid w:val="003459B9"/>
    <w:rsid w:val="0034603D"/>
    <w:rsid w:val="003464E2"/>
    <w:rsid w:val="00346E2D"/>
    <w:rsid w:val="00350DFB"/>
    <w:rsid w:val="00350E6E"/>
    <w:rsid w:val="003517B9"/>
    <w:rsid w:val="00352149"/>
    <w:rsid w:val="00353946"/>
    <w:rsid w:val="00356582"/>
    <w:rsid w:val="00356CE4"/>
    <w:rsid w:val="003571E8"/>
    <w:rsid w:val="00357955"/>
    <w:rsid w:val="00362ACA"/>
    <w:rsid w:val="00362FDF"/>
    <w:rsid w:val="00363D3B"/>
    <w:rsid w:val="00364E04"/>
    <w:rsid w:val="0036604B"/>
    <w:rsid w:val="003667BC"/>
    <w:rsid w:val="00366CE6"/>
    <w:rsid w:val="003675DE"/>
    <w:rsid w:val="00367992"/>
    <w:rsid w:val="00370326"/>
    <w:rsid w:val="003706EC"/>
    <w:rsid w:val="0037095B"/>
    <w:rsid w:val="00370E83"/>
    <w:rsid w:val="00371C60"/>
    <w:rsid w:val="00372AC6"/>
    <w:rsid w:val="00372F74"/>
    <w:rsid w:val="00373C8A"/>
    <w:rsid w:val="00373EA6"/>
    <w:rsid w:val="003741C2"/>
    <w:rsid w:val="00374515"/>
    <w:rsid w:val="00374D60"/>
    <w:rsid w:val="00375AE5"/>
    <w:rsid w:val="00377CE4"/>
    <w:rsid w:val="00381A8E"/>
    <w:rsid w:val="003821DD"/>
    <w:rsid w:val="003830D1"/>
    <w:rsid w:val="003838F3"/>
    <w:rsid w:val="00385D77"/>
    <w:rsid w:val="00387290"/>
    <w:rsid w:val="00390543"/>
    <w:rsid w:val="003907F8"/>
    <w:rsid w:val="003927A4"/>
    <w:rsid w:val="00392943"/>
    <w:rsid w:val="00392E8F"/>
    <w:rsid w:val="003933BF"/>
    <w:rsid w:val="0039355D"/>
    <w:rsid w:val="00395200"/>
    <w:rsid w:val="00395265"/>
    <w:rsid w:val="00395B90"/>
    <w:rsid w:val="0039669E"/>
    <w:rsid w:val="003967CE"/>
    <w:rsid w:val="0039691C"/>
    <w:rsid w:val="00396EB4"/>
    <w:rsid w:val="0039734C"/>
    <w:rsid w:val="003A0F29"/>
    <w:rsid w:val="003A0F78"/>
    <w:rsid w:val="003A2570"/>
    <w:rsid w:val="003A4060"/>
    <w:rsid w:val="003A4AD1"/>
    <w:rsid w:val="003A67FD"/>
    <w:rsid w:val="003A6940"/>
    <w:rsid w:val="003A6F98"/>
    <w:rsid w:val="003A713F"/>
    <w:rsid w:val="003A7FB0"/>
    <w:rsid w:val="003B12C0"/>
    <w:rsid w:val="003B138E"/>
    <w:rsid w:val="003B21FE"/>
    <w:rsid w:val="003B4CCD"/>
    <w:rsid w:val="003B5EB9"/>
    <w:rsid w:val="003B71BF"/>
    <w:rsid w:val="003B7A07"/>
    <w:rsid w:val="003C0A89"/>
    <w:rsid w:val="003C0FC5"/>
    <w:rsid w:val="003C2700"/>
    <w:rsid w:val="003C2E9A"/>
    <w:rsid w:val="003C3421"/>
    <w:rsid w:val="003D0621"/>
    <w:rsid w:val="003D1694"/>
    <w:rsid w:val="003D2308"/>
    <w:rsid w:val="003D279F"/>
    <w:rsid w:val="003D2956"/>
    <w:rsid w:val="003D2D7D"/>
    <w:rsid w:val="003D2D9E"/>
    <w:rsid w:val="003D34A3"/>
    <w:rsid w:val="003D49EA"/>
    <w:rsid w:val="003D5213"/>
    <w:rsid w:val="003D5A2C"/>
    <w:rsid w:val="003D65AB"/>
    <w:rsid w:val="003D77DB"/>
    <w:rsid w:val="003D7C00"/>
    <w:rsid w:val="003E12DF"/>
    <w:rsid w:val="003E2A61"/>
    <w:rsid w:val="003E3180"/>
    <w:rsid w:val="003E38D5"/>
    <w:rsid w:val="003E3E80"/>
    <w:rsid w:val="003E4360"/>
    <w:rsid w:val="003E5308"/>
    <w:rsid w:val="003E5B9D"/>
    <w:rsid w:val="003E610E"/>
    <w:rsid w:val="003E67EE"/>
    <w:rsid w:val="003E7230"/>
    <w:rsid w:val="003E798D"/>
    <w:rsid w:val="003F2182"/>
    <w:rsid w:val="003F3DDB"/>
    <w:rsid w:val="003F4613"/>
    <w:rsid w:val="003F56AE"/>
    <w:rsid w:val="003F6789"/>
    <w:rsid w:val="003F6AA7"/>
    <w:rsid w:val="003F7224"/>
    <w:rsid w:val="003F79F7"/>
    <w:rsid w:val="004022A5"/>
    <w:rsid w:val="00404519"/>
    <w:rsid w:val="00407DC6"/>
    <w:rsid w:val="004100F1"/>
    <w:rsid w:val="00411D09"/>
    <w:rsid w:val="00414A79"/>
    <w:rsid w:val="004156C9"/>
    <w:rsid w:val="00417509"/>
    <w:rsid w:val="00417FCB"/>
    <w:rsid w:val="00420703"/>
    <w:rsid w:val="0042190C"/>
    <w:rsid w:val="00421C63"/>
    <w:rsid w:val="00421D00"/>
    <w:rsid w:val="00422200"/>
    <w:rsid w:val="004224CB"/>
    <w:rsid w:val="00422E17"/>
    <w:rsid w:val="004231A8"/>
    <w:rsid w:val="00425870"/>
    <w:rsid w:val="004258C7"/>
    <w:rsid w:val="00425E92"/>
    <w:rsid w:val="00425FAA"/>
    <w:rsid w:val="00427320"/>
    <w:rsid w:val="00427D21"/>
    <w:rsid w:val="00432509"/>
    <w:rsid w:val="004330D2"/>
    <w:rsid w:val="004343F3"/>
    <w:rsid w:val="00434BD7"/>
    <w:rsid w:val="004377B8"/>
    <w:rsid w:val="00437ACC"/>
    <w:rsid w:val="0044138C"/>
    <w:rsid w:val="004416C8"/>
    <w:rsid w:val="00443978"/>
    <w:rsid w:val="0044526C"/>
    <w:rsid w:val="00445636"/>
    <w:rsid w:val="0044566C"/>
    <w:rsid w:val="00445EF2"/>
    <w:rsid w:val="00446163"/>
    <w:rsid w:val="0044624A"/>
    <w:rsid w:val="00446295"/>
    <w:rsid w:val="00446352"/>
    <w:rsid w:val="004463F1"/>
    <w:rsid w:val="00446761"/>
    <w:rsid w:val="004468A3"/>
    <w:rsid w:val="00446DE2"/>
    <w:rsid w:val="00447583"/>
    <w:rsid w:val="0045077B"/>
    <w:rsid w:val="00452197"/>
    <w:rsid w:val="00452F47"/>
    <w:rsid w:val="004533E8"/>
    <w:rsid w:val="00456A74"/>
    <w:rsid w:val="00457A7C"/>
    <w:rsid w:val="00460487"/>
    <w:rsid w:val="00460EF9"/>
    <w:rsid w:val="0046288F"/>
    <w:rsid w:val="004639E0"/>
    <w:rsid w:val="00463B07"/>
    <w:rsid w:val="004644C2"/>
    <w:rsid w:val="00464C3A"/>
    <w:rsid w:val="00465063"/>
    <w:rsid w:val="00467F9C"/>
    <w:rsid w:val="004718B9"/>
    <w:rsid w:val="004722B8"/>
    <w:rsid w:val="00473195"/>
    <w:rsid w:val="00474092"/>
    <w:rsid w:val="00474904"/>
    <w:rsid w:val="0047517C"/>
    <w:rsid w:val="004754F2"/>
    <w:rsid w:val="00475A0F"/>
    <w:rsid w:val="00475C08"/>
    <w:rsid w:val="00476EC5"/>
    <w:rsid w:val="00477BB9"/>
    <w:rsid w:val="0048037E"/>
    <w:rsid w:val="004830BB"/>
    <w:rsid w:val="00483A7B"/>
    <w:rsid w:val="00483FC4"/>
    <w:rsid w:val="00491CB6"/>
    <w:rsid w:val="004922C9"/>
    <w:rsid w:val="0049324B"/>
    <w:rsid w:val="004934C5"/>
    <w:rsid w:val="004936F0"/>
    <w:rsid w:val="00495083"/>
    <w:rsid w:val="004952C1"/>
    <w:rsid w:val="004A19A1"/>
    <w:rsid w:val="004A1E0A"/>
    <w:rsid w:val="004A2F4F"/>
    <w:rsid w:val="004A3A4C"/>
    <w:rsid w:val="004A3A7F"/>
    <w:rsid w:val="004A3B86"/>
    <w:rsid w:val="004A4926"/>
    <w:rsid w:val="004A5B47"/>
    <w:rsid w:val="004A5C94"/>
    <w:rsid w:val="004B0A00"/>
    <w:rsid w:val="004B1258"/>
    <w:rsid w:val="004B1504"/>
    <w:rsid w:val="004B1757"/>
    <w:rsid w:val="004B1A70"/>
    <w:rsid w:val="004B438E"/>
    <w:rsid w:val="004B497B"/>
    <w:rsid w:val="004B4BAC"/>
    <w:rsid w:val="004B504F"/>
    <w:rsid w:val="004B6E7A"/>
    <w:rsid w:val="004B6ED4"/>
    <w:rsid w:val="004B6F20"/>
    <w:rsid w:val="004B72DF"/>
    <w:rsid w:val="004B7F53"/>
    <w:rsid w:val="004C05F2"/>
    <w:rsid w:val="004C13A6"/>
    <w:rsid w:val="004C190D"/>
    <w:rsid w:val="004C19DE"/>
    <w:rsid w:val="004C1AFD"/>
    <w:rsid w:val="004C1B72"/>
    <w:rsid w:val="004C2237"/>
    <w:rsid w:val="004C3903"/>
    <w:rsid w:val="004C5218"/>
    <w:rsid w:val="004C6855"/>
    <w:rsid w:val="004C70B4"/>
    <w:rsid w:val="004D084D"/>
    <w:rsid w:val="004D1281"/>
    <w:rsid w:val="004D1297"/>
    <w:rsid w:val="004D1435"/>
    <w:rsid w:val="004D1714"/>
    <w:rsid w:val="004D181D"/>
    <w:rsid w:val="004D2C06"/>
    <w:rsid w:val="004D300D"/>
    <w:rsid w:val="004D45D2"/>
    <w:rsid w:val="004D5CD3"/>
    <w:rsid w:val="004D61D9"/>
    <w:rsid w:val="004D6558"/>
    <w:rsid w:val="004D662A"/>
    <w:rsid w:val="004E1121"/>
    <w:rsid w:val="004E16DC"/>
    <w:rsid w:val="004E1FA7"/>
    <w:rsid w:val="004E1FD9"/>
    <w:rsid w:val="004E274A"/>
    <w:rsid w:val="004E2AE5"/>
    <w:rsid w:val="004E4862"/>
    <w:rsid w:val="004E69BC"/>
    <w:rsid w:val="004E6F72"/>
    <w:rsid w:val="004F36FC"/>
    <w:rsid w:val="004F4756"/>
    <w:rsid w:val="004F496F"/>
    <w:rsid w:val="004F4BC8"/>
    <w:rsid w:val="004F7BEF"/>
    <w:rsid w:val="005006BF"/>
    <w:rsid w:val="0050431A"/>
    <w:rsid w:val="005051BB"/>
    <w:rsid w:val="0050579D"/>
    <w:rsid w:val="005063A8"/>
    <w:rsid w:val="0050690D"/>
    <w:rsid w:val="005078E6"/>
    <w:rsid w:val="00507F8D"/>
    <w:rsid w:val="00510DD5"/>
    <w:rsid w:val="00511401"/>
    <w:rsid w:val="0051152B"/>
    <w:rsid w:val="005116AD"/>
    <w:rsid w:val="00511E2B"/>
    <w:rsid w:val="00511F8B"/>
    <w:rsid w:val="005130C0"/>
    <w:rsid w:val="005135A4"/>
    <w:rsid w:val="005140FC"/>
    <w:rsid w:val="00514649"/>
    <w:rsid w:val="005149F9"/>
    <w:rsid w:val="0051664E"/>
    <w:rsid w:val="0051789B"/>
    <w:rsid w:val="00517FCD"/>
    <w:rsid w:val="005212D0"/>
    <w:rsid w:val="005215CA"/>
    <w:rsid w:val="00522339"/>
    <w:rsid w:val="005246E7"/>
    <w:rsid w:val="00524CE2"/>
    <w:rsid w:val="005260D1"/>
    <w:rsid w:val="00526D07"/>
    <w:rsid w:val="00526E58"/>
    <w:rsid w:val="005271FD"/>
    <w:rsid w:val="00527BF3"/>
    <w:rsid w:val="00531705"/>
    <w:rsid w:val="00531735"/>
    <w:rsid w:val="00533178"/>
    <w:rsid w:val="005340FC"/>
    <w:rsid w:val="00534681"/>
    <w:rsid w:val="00535A5B"/>
    <w:rsid w:val="00536708"/>
    <w:rsid w:val="00536AD6"/>
    <w:rsid w:val="00536D19"/>
    <w:rsid w:val="00536E1E"/>
    <w:rsid w:val="005420D6"/>
    <w:rsid w:val="00544081"/>
    <w:rsid w:val="00545DEE"/>
    <w:rsid w:val="005462CC"/>
    <w:rsid w:val="005468D1"/>
    <w:rsid w:val="00550535"/>
    <w:rsid w:val="0055113D"/>
    <w:rsid w:val="00551586"/>
    <w:rsid w:val="00552B4C"/>
    <w:rsid w:val="00553353"/>
    <w:rsid w:val="0055410A"/>
    <w:rsid w:val="00554884"/>
    <w:rsid w:val="00555F4D"/>
    <w:rsid w:val="00556779"/>
    <w:rsid w:val="00556D17"/>
    <w:rsid w:val="00560B34"/>
    <w:rsid w:val="00560C0C"/>
    <w:rsid w:val="00560ED1"/>
    <w:rsid w:val="0056152D"/>
    <w:rsid w:val="0056175F"/>
    <w:rsid w:val="0056277A"/>
    <w:rsid w:val="0056341C"/>
    <w:rsid w:val="00564861"/>
    <w:rsid w:val="005649AB"/>
    <w:rsid w:val="00565726"/>
    <w:rsid w:val="00565E37"/>
    <w:rsid w:val="005660A2"/>
    <w:rsid w:val="005668D5"/>
    <w:rsid w:val="00566C62"/>
    <w:rsid w:val="00570AC3"/>
    <w:rsid w:val="0057186E"/>
    <w:rsid w:val="00572007"/>
    <w:rsid w:val="0057354C"/>
    <w:rsid w:val="0057384E"/>
    <w:rsid w:val="005756CF"/>
    <w:rsid w:val="00575F9C"/>
    <w:rsid w:val="0057695B"/>
    <w:rsid w:val="00580076"/>
    <w:rsid w:val="00583A35"/>
    <w:rsid w:val="00586001"/>
    <w:rsid w:val="00586319"/>
    <w:rsid w:val="005866F6"/>
    <w:rsid w:val="00587AD4"/>
    <w:rsid w:val="0059091F"/>
    <w:rsid w:val="00593395"/>
    <w:rsid w:val="00593F26"/>
    <w:rsid w:val="005978EF"/>
    <w:rsid w:val="00597CD3"/>
    <w:rsid w:val="00597E52"/>
    <w:rsid w:val="005A097D"/>
    <w:rsid w:val="005A1124"/>
    <w:rsid w:val="005A1505"/>
    <w:rsid w:val="005A2C5F"/>
    <w:rsid w:val="005A32A9"/>
    <w:rsid w:val="005A4FAF"/>
    <w:rsid w:val="005A5174"/>
    <w:rsid w:val="005A6F4D"/>
    <w:rsid w:val="005B0FC5"/>
    <w:rsid w:val="005B127B"/>
    <w:rsid w:val="005B1541"/>
    <w:rsid w:val="005B1723"/>
    <w:rsid w:val="005B1CD9"/>
    <w:rsid w:val="005B3609"/>
    <w:rsid w:val="005B3975"/>
    <w:rsid w:val="005B3B09"/>
    <w:rsid w:val="005B3CBC"/>
    <w:rsid w:val="005B3DEA"/>
    <w:rsid w:val="005B5D82"/>
    <w:rsid w:val="005B7798"/>
    <w:rsid w:val="005C0110"/>
    <w:rsid w:val="005C192F"/>
    <w:rsid w:val="005C201D"/>
    <w:rsid w:val="005C24C0"/>
    <w:rsid w:val="005C2B47"/>
    <w:rsid w:val="005C38B5"/>
    <w:rsid w:val="005C6E88"/>
    <w:rsid w:val="005C7576"/>
    <w:rsid w:val="005C76D1"/>
    <w:rsid w:val="005C7807"/>
    <w:rsid w:val="005C7AC4"/>
    <w:rsid w:val="005C7BAD"/>
    <w:rsid w:val="005D01FC"/>
    <w:rsid w:val="005D086D"/>
    <w:rsid w:val="005D09B7"/>
    <w:rsid w:val="005D0C03"/>
    <w:rsid w:val="005D0CF1"/>
    <w:rsid w:val="005D194D"/>
    <w:rsid w:val="005D208A"/>
    <w:rsid w:val="005D245E"/>
    <w:rsid w:val="005D25A1"/>
    <w:rsid w:val="005D3470"/>
    <w:rsid w:val="005D34AD"/>
    <w:rsid w:val="005D34AE"/>
    <w:rsid w:val="005D52D6"/>
    <w:rsid w:val="005D5568"/>
    <w:rsid w:val="005D5A82"/>
    <w:rsid w:val="005D6BAD"/>
    <w:rsid w:val="005D6F55"/>
    <w:rsid w:val="005D7614"/>
    <w:rsid w:val="005D7B1C"/>
    <w:rsid w:val="005E03FC"/>
    <w:rsid w:val="005E046F"/>
    <w:rsid w:val="005E0479"/>
    <w:rsid w:val="005E30C5"/>
    <w:rsid w:val="005E368A"/>
    <w:rsid w:val="005E38D3"/>
    <w:rsid w:val="005E3A27"/>
    <w:rsid w:val="005E550E"/>
    <w:rsid w:val="005E5B1A"/>
    <w:rsid w:val="005E5BD9"/>
    <w:rsid w:val="005E6093"/>
    <w:rsid w:val="005F01D3"/>
    <w:rsid w:val="005F096D"/>
    <w:rsid w:val="005F0BA4"/>
    <w:rsid w:val="005F2518"/>
    <w:rsid w:val="005F32C9"/>
    <w:rsid w:val="005F4F4C"/>
    <w:rsid w:val="005F5094"/>
    <w:rsid w:val="005F645E"/>
    <w:rsid w:val="00602AA3"/>
    <w:rsid w:val="006037DE"/>
    <w:rsid w:val="006038E4"/>
    <w:rsid w:val="00604174"/>
    <w:rsid w:val="00606979"/>
    <w:rsid w:val="00607154"/>
    <w:rsid w:val="006102E2"/>
    <w:rsid w:val="00610623"/>
    <w:rsid w:val="00611546"/>
    <w:rsid w:val="006122BA"/>
    <w:rsid w:val="00613813"/>
    <w:rsid w:val="006143BA"/>
    <w:rsid w:val="00614A0A"/>
    <w:rsid w:val="00614F2F"/>
    <w:rsid w:val="00616891"/>
    <w:rsid w:val="00617587"/>
    <w:rsid w:val="006217EC"/>
    <w:rsid w:val="00623C23"/>
    <w:rsid w:val="00623E91"/>
    <w:rsid w:val="00623F9A"/>
    <w:rsid w:val="006266D4"/>
    <w:rsid w:val="00630BDB"/>
    <w:rsid w:val="00630F77"/>
    <w:rsid w:val="00632625"/>
    <w:rsid w:val="00632A5A"/>
    <w:rsid w:val="0063311D"/>
    <w:rsid w:val="00634160"/>
    <w:rsid w:val="006346A1"/>
    <w:rsid w:val="006349CC"/>
    <w:rsid w:val="00635FDA"/>
    <w:rsid w:val="00640765"/>
    <w:rsid w:val="00640B83"/>
    <w:rsid w:val="00641ED7"/>
    <w:rsid w:val="00641F85"/>
    <w:rsid w:val="00643AC5"/>
    <w:rsid w:val="00644BB1"/>
    <w:rsid w:val="0064508D"/>
    <w:rsid w:val="00645A38"/>
    <w:rsid w:val="006467AB"/>
    <w:rsid w:val="0065103B"/>
    <w:rsid w:val="00651290"/>
    <w:rsid w:val="00651CB7"/>
    <w:rsid w:val="006522EF"/>
    <w:rsid w:val="00653DC3"/>
    <w:rsid w:val="0065522D"/>
    <w:rsid w:val="00655539"/>
    <w:rsid w:val="0065704B"/>
    <w:rsid w:val="00660182"/>
    <w:rsid w:val="0066089C"/>
    <w:rsid w:val="00662696"/>
    <w:rsid w:val="00663BA7"/>
    <w:rsid w:val="0066552F"/>
    <w:rsid w:val="00665870"/>
    <w:rsid w:val="00666BEE"/>
    <w:rsid w:val="00670E93"/>
    <w:rsid w:val="006714FD"/>
    <w:rsid w:val="006724B2"/>
    <w:rsid w:val="006736F7"/>
    <w:rsid w:val="00674DCA"/>
    <w:rsid w:val="00677FA5"/>
    <w:rsid w:val="006803CE"/>
    <w:rsid w:val="00680E57"/>
    <w:rsid w:val="00680F87"/>
    <w:rsid w:val="00681581"/>
    <w:rsid w:val="006824AE"/>
    <w:rsid w:val="0068399F"/>
    <w:rsid w:val="006851C8"/>
    <w:rsid w:val="00686850"/>
    <w:rsid w:val="00686E69"/>
    <w:rsid w:val="00690791"/>
    <w:rsid w:val="00690FDC"/>
    <w:rsid w:val="00691FFB"/>
    <w:rsid w:val="00692079"/>
    <w:rsid w:val="00692376"/>
    <w:rsid w:val="00692D5D"/>
    <w:rsid w:val="006931A3"/>
    <w:rsid w:val="006934B0"/>
    <w:rsid w:val="00694132"/>
    <w:rsid w:val="00694C7B"/>
    <w:rsid w:val="00694D63"/>
    <w:rsid w:val="006957BD"/>
    <w:rsid w:val="00695FB9"/>
    <w:rsid w:val="006975E5"/>
    <w:rsid w:val="006A0A6F"/>
    <w:rsid w:val="006A1098"/>
    <w:rsid w:val="006A15BE"/>
    <w:rsid w:val="006A4E37"/>
    <w:rsid w:val="006A570F"/>
    <w:rsid w:val="006A5DF0"/>
    <w:rsid w:val="006A5E69"/>
    <w:rsid w:val="006A6B32"/>
    <w:rsid w:val="006A6DE1"/>
    <w:rsid w:val="006A765F"/>
    <w:rsid w:val="006A7753"/>
    <w:rsid w:val="006A78A3"/>
    <w:rsid w:val="006B1912"/>
    <w:rsid w:val="006B2290"/>
    <w:rsid w:val="006B3F89"/>
    <w:rsid w:val="006B7263"/>
    <w:rsid w:val="006B7D0E"/>
    <w:rsid w:val="006C0D71"/>
    <w:rsid w:val="006C1199"/>
    <w:rsid w:val="006C1647"/>
    <w:rsid w:val="006C2719"/>
    <w:rsid w:val="006C4885"/>
    <w:rsid w:val="006C54BB"/>
    <w:rsid w:val="006C6BE0"/>
    <w:rsid w:val="006C6E8E"/>
    <w:rsid w:val="006D2E3C"/>
    <w:rsid w:val="006D36EA"/>
    <w:rsid w:val="006D3C53"/>
    <w:rsid w:val="006D4B10"/>
    <w:rsid w:val="006D5097"/>
    <w:rsid w:val="006D5448"/>
    <w:rsid w:val="006D5469"/>
    <w:rsid w:val="006D6E37"/>
    <w:rsid w:val="006D7EA9"/>
    <w:rsid w:val="006D7FC1"/>
    <w:rsid w:val="006E0379"/>
    <w:rsid w:val="006E0432"/>
    <w:rsid w:val="006E07A8"/>
    <w:rsid w:val="006E1C3E"/>
    <w:rsid w:val="006E1C58"/>
    <w:rsid w:val="006E3177"/>
    <w:rsid w:val="006E5074"/>
    <w:rsid w:val="006E5814"/>
    <w:rsid w:val="006E5EE5"/>
    <w:rsid w:val="006E7625"/>
    <w:rsid w:val="006F04B9"/>
    <w:rsid w:val="006F08C9"/>
    <w:rsid w:val="006F1A19"/>
    <w:rsid w:val="006F2004"/>
    <w:rsid w:val="006F218A"/>
    <w:rsid w:val="006F40F5"/>
    <w:rsid w:val="006F42D9"/>
    <w:rsid w:val="006F4B85"/>
    <w:rsid w:val="006F5654"/>
    <w:rsid w:val="006F7627"/>
    <w:rsid w:val="00700238"/>
    <w:rsid w:val="007006BF"/>
    <w:rsid w:val="00701766"/>
    <w:rsid w:val="00703278"/>
    <w:rsid w:val="00703C72"/>
    <w:rsid w:val="00704C85"/>
    <w:rsid w:val="00704C8F"/>
    <w:rsid w:val="00704DCD"/>
    <w:rsid w:val="00704FB9"/>
    <w:rsid w:val="00710C63"/>
    <w:rsid w:val="00710C82"/>
    <w:rsid w:val="007122FF"/>
    <w:rsid w:val="0071676D"/>
    <w:rsid w:val="00716CCA"/>
    <w:rsid w:val="00716DF5"/>
    <w:rsid w:val="00717000"/>
    <w:rsid w:val="007174AD"/>
    <w:rsid w:val="00717D88"/>
    <w:rsid w:val="0072089B"/>
    <w:rsid w:val="00720E57"/>
    <w:rsid w:val="0072144E"/>
    <w:rsid w:val="00725ED6"/>
    <w:rsid w:val="00727840"/>
    <w:rsid w:val="00727A2A"/>
    <w:rsid w:val="00730095"/>
    <w:rsid w:val="0073010D"/>
    <w:rsid w:val="007301DD"/>
    <w:rsid w:val="00731ECA"/>
    <w:rsid w:val="007324DC"/>
    <w:rsid w:val="00732B42"/>
    <w:rsid w:val="00732DDE"/>
    <w:rsid w:val="007342A4"/>
    <w:rsid w:val="00734649"/>
    <w:rsid w:val="0073487C"/>
    <w:rsid w:val="00736916"/>
    <w:rsid w:val="007407B4"/>
    <w:rsid w:val="007409F3"/>
    <w:rsid w:val="007416E0"/>
    <w:rsid w:val="0074226A"/>
    <w:rsid w:val="00742ABB"/>
    <w:rsid w:val="00742E29"/>
    <w:rsid w:val="00743E61"/>
    <w:rsid w:val="00744807"/>
    <w:rsid w:val="007455A7"/>
    <w:rsid w:val="00746688"/>
    <w:rsid w:val="00747126"/>
    <w:rsid w:val="00747659"/>
    <w:rsid w:val="00747DF5"/>
    <w:rsid w:val="00750AAA"/>
    <w:rsid w:val="00752094"/>
    <w:rsid w:val="00753B10"/>
    <w:rsid w:val="00753B14"/>
    <w:rsid w:val="00754006"/>
    <w:rsid w:val="0075592E"/>
    <w:rsid w:val="00760000"/>
    <w:rsid w:val="007601AD"/>
    <w:rsid w:val="00762DD4"/>
    <w:rsid w:val="007633C7"/>
    <w:rsid w:val="0076349C"/>
    <w:rsid w:val="00763728"/>
    <w:rsid w:val="00764636"/>
    <w:rsid w:val="0076526A"/>
    <w:rsid w:val="007653DC"/>
    <w:rsid w:val="007662A4"/>
    <w:rsid w:val="0076711F"/>
    <w:rsid w:val="00770220"/>
    <w:rsid w:val="0077179E"/>
    <w:rsid w:val="00771957"/>
    <w:rsid w:val="00771D26"/>
    <w:rsid w:val="0077276F"/>
    <w:rsid w:val="00773534"/>
    <w:rsid w:val="00775FF5"/>
    <w:rsid w:val="007776F1"/>
    <w:rsid w:val="0078080E"/>
    <w:rsid w:val="00781066"/>
    <w:rsid w:val="007829BF"/>
    <w:rsid w:val="00783399"/>
    <w:rsid w:val="00783544"/>
    <w:rsid w:val="00784639"/>
    <w:rsid w:val="007853EF"/>
    <w:rsid w:val="00787479"/>
    <w:rsid w:val="00791182"/>
    <w:rsid w:val="0079181E"/>
    <w:rsid w:val="00792500"/>
    <w:rsid w:val="00792711"/>
    <w:rsid w:val="00792E23"/>
    <w:rsid w:val="00794092"/>
    <w:rsid w:val="007942D3"/>
    <w:rsid w:val="007948B7"/>
    <w:rsid w:val="00794D6D"/>
    <w:rsid w:val="00796020"/>
    <w:rsid w:val="00796386"/>
    <w:rsid w:val="007A1581"/>
    <w:rsid w:val="007A192E"/>
    <w:rsid w:val="007A3C89"/>
    <w:rsid w:val="007A54D5"/>
    <w:rsid w:val="007A5C96"/>
    <w:rsid w:val="007A6086"/>
    <w:rsid w:val="007A6DAB"/>
    <w:rsid w:val="007B00A2"/>
    <w:rsid w:val="007B195E"/>
    <w:rsid w:val="007B1FAB"/>
    <w:rsid w:val="007B2D63"/>
    <w:rsid w:val="007B331D"/>
    <w:rsid w:val="007B4463"/>
    <w:rsid w:val="007B47EC"/>
    <w:rsid w:val="007B4E29"/>
    <w:rsid w:val="007B6307"/>
    <w:rsid w:val="007B6C09"/>
    <w:rsid w:val="007C005F"/>
    <w:rsid w:val="007C0D24"/>
    <w:rsid w:val="007C4258"/>
    <w:rsid w:val="007C7172"/>
    <w:rsid w:val="007D0716"/>
    <w:rsid w:val="007D0DD3"/>
    <w:rsid w:val="007D1147"/>
    <w:rsid w:val="007D14CA"/>
    <w:rsid w:val="007D24DA"/>
    <w:rsid w:val="007D2644"/>
    <w:rsid w:val="007D3D4E"/>
    <w:rsid w:val="007D453C"/>
    <w:rsid w:val="007D4C89"/>
    <w:rsid w:val="007D4FFE"/>
    <w:rsid w:val="007D5077"/>
    <w:rsid w:val="007D51CA"/>
    <w:rsid w:val="007D7E88"/>
    <w:rsid w:val="007E09DA"/>
    <w:rsid w:val="007E1182"/>
    <w:rsid w:val="007E2A51"/>
    <w:rsid w:val="007E2C0C"/>
    <w:rsid w:val="007E2DCA"/>
    <w:rsid w:val="007E4CAB"/>
    <w:rsid w:val="007E5C0F"/>
    <w:rsid w:val="007E6D52"/>
    <w:rsid w:val="007E7808"/>
    <w:rsid w:val="007F0F3F"/>
    <w:rsid w:val="007F6441"/>
    <w:rsid w:val="007F648A"/>
    <w:rsid w:val="007F6515"/>
    <w:rsid w:val="007F7B89"/>
    <w:rsid w:val="00800845"/>
    <w:rsid w:val="0080360A"/>
    <w:rsid w:val="0080475A"/>
    <w:rsid w:val="00804CEF"/>
    <w:rsid w:val="00806362"/>
    <w:rsid w:val="008066F0"/>
    <w:rsid w:val="00806883"/>
    <w:rsid w:val="0081016E"/>
    <w:rsid w:val="00810A55"/>
    <w:rsid w:val="00812678"/>
    <w:rsid w:val="008133F1"/>
    <w:rsid w:val="00813B1F"/>
    <w:rsid w:val="00814759"/>
    <w:rsid w:val="00815221"/>
    <w:rsid w:val="008155CE"/>
    <w:rsid w:val="00815FD3"/>
    <w:rsid w:val="00816110"/>
    <w:rsid w:val="0081678A"/>
    <w:rsid w:val="008178B6"/>
    <w:rsid w:val="00817EA3"/>
    <w:rsid w:val="00821347"/>
    <w:rsid w:val="008228AA"/>
    <w:rsid w:val="00822F21"/>
    <w:rsid w:val="0082355D"/>
    <w:rsid w:val="0082358D"/>
    <w:rsid w:val="0082396B"/>
    <w:rsid w:val="00825306"/>
    <w:rsid w:val="008307ED"/>
    <w:rsid w:val="008308A4"/>
    <w:rsid w:val="00831420"/>
    <w:rsid w:val="008317BB"/>
    <w:rsid w:val="00835E3F"/>
    <w:rsid w:val="00836987"/>
    <w:rsid w:val="00836E40"/>
    <w:rsid w:val="0083721C"/>
    <w:rsid w:val="0084057D"/>
    <w:rsid w:val="00841DB0"/>
    <w:rsid w:val="00842402"/>
    <w:rsid w:val="00842998"/>
    <w:rsid w:val="008448FE"/>
    <w:rsid w:val="0084617A"/>
    <w:rsid w:val="0084670E"/>
    <w:rsid w:val="00846D3A"/>
    <w:rsid w:val="0084795B"/>
    <w:rsid w:val="00847EB9"/>
    <w:rsid w:val="00850553"/>
    <w:rsid w:val="00850AE4"/>
    <w:rsid w:val="00850BA2"/>
    <w:rsid w:val="00851ABE"/>
    <w:rsid w:val="00851AC9"/>
    <w:rsid w:val="00851D11"/>
    <w:rsid w:val="008523AC"/>
    <w:rsid w:val="00852CA9"/>
    <w:rsid w:val="00853906"/>
    <w:rsid w:val="008555C9"/>
    <w:rsid w:val="00855E3E"/>
    <w:rsid w:val="0086263B"/>
    <w:rsid w:val="00862D51"/>
    <w:rsid w:val="00863730"/>
    <w:rsid w:val="00863831"/>
    <w:rsid w:val="0086459C"/>
    <w:rsid w:val="00864D8E"/>
    <w:rsid w:val="00865100"/>
    <w:rsid w:val="00865B74"/>
    <w:rsid w:val="00866A4E"/>
    <w:rsid w:val="00866E10"/>
    <w:rsid w:val="008700E8"/>
    <w:rsid w:val="0087059A"/>
    <w:rsid w:val="008710CE"/>
    <w:rsid w:val="008712BD"/>
    <w:rsid w:val="008712D8"/>
    <w:rsid w:val="0087191F"/>
    <w:rsid w:val="00872020"/>
    <w:rsid w:val="00872A4D"/>
    <w:rsid w:val="00872D55"/>
    <w:rsid w:val="00873432"/>
    <w:rsid w:val="0087387C"/>
    <w:rsid w:val="00874D53"/>
    <w:rsid w:val="008755B0"/>
    <w:rsid w:val="008759A4"/>
    <w:rsid w:val="008761BA"/>
    <w:rsid w:val="008763AE"/>
    <w:rsid w:val="00877B7D"/>
    <w:rsid w:val="008802C6"/>
    <w:rsid w:val="00881067"/>
    <w:rsid w:val="00882264"/>
    <w:rsid w:val="0088291C"/>
    <w:rsid w:val="00882D72"/>
    <w:rsid w:val="00883A2F"/>
    <w:rsid w:val="00883E56"/>
    <w:rsid w:val="008852C3"/>
    <w:rsid w:val="00885EE2"/>
    <w:rsid w:val="00887D6E"/>
    <w:rsid w:val="008901A2"/>
    <w:rsid w:val="00890B5B"/>
    <w:rsid w:val="00890C12"/>
    <w:rsid w:val="00893EF5"/>
    <w:rsid w:val="008945A3"/>
    <w:rsid w:val="00894CE3"/>
    <w:rsid w:val="0089618C"/>
    <w:rsid w:val="00896F5F"/>
    <w:rsid w:val="008A0342"/>
    <w:rsid w:val="008A07B9"/>
    <w:rsid w:val="008A0D67"/>
    <w:rsid w:val="008A1735"/>
    <w:rsid w:val="008A2AF9"/>
    <w:rsid w:val="008A321F"/>
    <w:rsid w:val="008A3F4D"/>
    <w:rsid w:val="008A549C"/>
    <w:rsid w:val="008B0403"/>
    <w:rsid w:val="008B13EF"/>
    <w:rsid w:val="008B37A9"/>
    <w:rsid w:val="008B48DB"/>
    <w:rsid w:val="008C0A53"/>
    <w:rsid w:val="008C236C"/>
    <w:rsid w:val="008C3195"/>
    <w:rsid w:val="008C319B"/>
    <w:rsid w:val="008C35E3"/>
    <w:rsid w:val="008C3899"/>
    <w:rsid w:val="008C6360"/>
    <w:rsid w:val="008C6619"/>
    <w:rsid w:val="008C6F48"/>
    <w:rsid w:val="008D084B"/>
    <w:rsid w:val="008D13F0"/>
    <w:rsid w:val="008D3427"/>
    <w:rsid w:val="008D4834"/>
    <w:rsid w:val="008D664E"/>
    <w:rsid w:val="008D6F40"/>
    <w:rsid w:val="008D7A7A"/>
    <w:rsid w:val="008D7F1B"/>
    <w:rsid w:val="008E1C7C"/>
    <w:rsid w:val="008E2780"/>
    <w:rsid w:val="008E2C21"/>
    <w:rsid w:val="008E35F5"/>
    <w:rsid w:val="008E5758"/>
    <w:rsid w:val="008E600F"/>
    <w:rsid w:val="008E695C"/>
    <w:rsid w:val="008E7859"/>
    <w:rsid w:val="008E79F0"/>
    <w:rsid w:val="008F0172"/>
    <w:rsid w:val="008F14A4"/>
    <w:rsid w:val="008F225D"/>
    <w:rsid w:val="008F2CCD"/>
    <w:rsid w:val="008F4906"/>
    <w:rsid w:val="008F4EE5"/>
    <w:rsid w:val="008F5BA7"/>
    <w:rsid w:val="008F6AA7"/>
    <w:rsid w:val="00902053"/>
    <w:rsid w:val="00902DAE"/>
    <w:rsid w:val="009038F6"/>
    <w:rsid w:val="00904179"/>
    <w:rsid w:val="0090572C"/>
    <w:rsid w:val="00907763"/>
    <w:rsid w:val="00910279"/>
    <w:rsid w:val="009136C0"/>
    <w:rsid w:val="00914E14"/>
    <w:rsid w:val="0091502D"/>
    <w:rsid w:val="00916521"/>
    <w:rsid w:val="009165D0"/>
    <w:rsid w:val="009168AB"/>
    <w:rsid w:val="00916C7B"/>
    <w:rsid w:val="009171AD"/>
    <w:rsid w:val="009212B8"/>
    <w:rsid w:val="009226C0"/>
    <w:rsid w:val="009238A4"/>
    <w:rsid w:val="00923EBD"/>
    <w:rsid w:val="009246EA"/>
    <w:rsid w:val="00925B6F"/>
    <w:rsid w:val="00926A41"/>
    <w:rsid w:val="00926B2D"/>
    <w:rsid w:val="0092706F"/>
    <w:rsid w:val="009304D6"/>
    <w:rsid w:val="009308BB"/>
    <w:rsid w:val="00930BA1"/>
    <w:rsid w:val="00931253"/>
    <w:rsid w:val="0093128D"/>
    <w:rsid w:val="0093169E"/>
    <w:rsid w:val="00932B4B"/>
    <w:rsid w:val="0093365F"/>
    <w:rsid w:val="00933EFE"/>
    <w:rsid w:val="0093486E"/>
    <w:rsid w:val="009359AE"/>
    <w:rsid w:val="00936034"/>
    <w:rsid w:val="009413BD"/>
    <w:rsid w:val="00941F76"/>
    <w:rsid w:val="0094336E"/>
    <w:rsid w:val="00946897"/>
    <w:rsid w:val="00947E88"/>
    <w:rsid w:val="009502F6"/>
    <w:rsid w:val="009505C9"/>
    <w:rsid w:val="00951A4B"/>
    <w:rsid w:val="0095497E"/>
    <w:rsid w:val="00954A77"/>
    <w:rsid w:val="009567F7"/>
    <w:rsid w:val="00961BB3"/>
    <w:rsid w:val="00963183"/>
    <w:rsid w:val="009632C7"/>
    <w:rsid w:val="0096681A"/>
    <w:rsid w:val="00966BA5"/>
    <w:rsid w:val="00966F45"/>
    <w:rsid w:val="009679B3"/>
    <w:rsid w:val="00970D62"/>
    <w:rsid w:val="00971388"/>
    <w:rsid w:val="009726B1"/>
    <w:rsid w:val="00972836"/>
    <w:rsid w:val="00972D02"/>
    <w:rsid w:val="00973ECA"/>
    <w:rsid w:val="00974571"/>
    <w:rsid w:val="0097476C"/>
    <w:rsid w:val="00975CB6"/>
    <w:rsid w:val="00977120"/>
    <w:rsid w:val="00977465"/>
    <w:rsid w:val="00981556"/>
    <w:rsid w:val="00981CEB"/>
    <w:rsid w:val="00981D1B"/>
    <w:rsid w:val="00982FA6"/>
    <w:rsid w:val="00983EEB"/>
    <w:rsid w:val="00986181"/>
    <w:rsid w:val="00986DBC"/>
    <w:rsid w:val="0099024F"/>
    <w:rsid w:val="009908D2"/>
    <w:rsid w:val="0099196D"/>
    <w:rsid w:val="009939CB"/>
    <w:rsid w:val="00993B4B"/>
    <w:rsid w:val="0099427D"/>
    <w:rsid w:val="00995094"/>
    <w:rsid w:val="00995237"/>
    <w:rsid w:val="009957AD"/>
    <w:rsid w:val="0099757E"/>
    <w:rsid w:val="009A035C"/>
    <w:rsid w:val="009A14C9"/>
    <w:rsid w:val="009A1D2A"/>
    <w:rsid w:val="009A2AF0"/>
    <w:rsid w:val="009A573B"/>
    <w:rsid w:val="009A5B38"/>
    <w:rsid w:val="009B1FE8"/>
    <w:rsid w:val="009B21AE"/>
    <w:rsid w:val="009B25F9"/>
    <w:rsid w:val="009B2C05"/>
    <w:rsid w:val="009B2D92"/>
    <w:rsid w:val="009B40E5"/>
    <w:rsid w:val="009B4DAD"/>
    <w:rsid w:val="009B7060"/>
    <w:rsid w:val="009B7E53"/>
    <w:rsid w:val="009C2DD1"/>
    <w:rsid w:val="009C437E"/>
    <w:rsid w:val="009C442C"/>
    <w:rsid w:val="009C69D4"/>
    <w:rsid w:val="009C6A75"/>
    <w:rsid w:val="009C7139"/>
    <w:rsid w:val="009C79FD"/>
    <w:rsid w:val="009D0633"/>
    <w:rsid w:val="009D0A7F"/>
    <w:rsid w:val="009D147B"/>
    <w:rsid w:val="009D307C"/>
    <w:rsid w:val="009D40BE"/>
    <w:rsid w:val="009D431B"/>
    <w:rsid w:val="009D5673"/>
    <w:rsid w:val="009D5C76"/>
    <w:rsid w:val="009D5EAF"/>
    <w:rsid w:val="009D61E6"/>
    <w:rsid w:val="009D6940"/>
    <w:rsid w:val="009D69B3"/>
    <w:rsid w:val="009D72C4"/>
    <w:rsid w:val="009E135D"/>
    <w:rsid w:val="009E2509"/>
    <w:rsid w:val="009E2924"/>
    <w:rsid w:val="009E41C9"/>
    <w:rsid w:val="009E4CD2"/>
    <w:rsid w:val="009F006C"/>
    <w:rsid w:val="009F3BDB"/>
    <w:rsid w:val="009F3E8A"/>
    <w:rsid w:val="009F5C19"/>
    <w:rsid w:val="00A00D50"/>
    <w:rsid w:val="00A01BA2"/>
    <w:rsid w:val="00A0212B"/>
    <w:rsid w:val="00A04279"/>
    <w:rsid w:val="00A06689"/>
    <w:rsid w:val="00A0751A"/>
    <w:rsid w:val="00A07C08"/>
    <w:rsid w:val="00A102DF"/>
    <w:rsid w:val="00A13250"/>
    <w:rsid w:val="00A1501F"/>
    <w:rsid w:val="00A1747B"/>
    <w:rsid w:val="00A1789A"/>
    <w:rsid w:val="00A202B0"/>
    <w:rsid w:val="00A231D7"/>
    <w:rsid w:val="00A239D9"/>
    <w:rsid w:val="00A24FDF"/>
    <w:rsid w:val="00A26C17"/>
    <w:rsid w:val="00A337CB"/>
    <w:rsid w:val="00A35AF0"/>
    <w:rsid w:val="00A35D0D"/>
    <w:rsid w:val="00A403FF"/>
    <w:rsid w:val="00A42A6B"/>
    <w:rsid w:val="00A432CC"/>
    <w:rsid w:val="00A434F6"/>
    <w:rsid w:val="00A44311"/>
    <w:rsid w:val="00A45911"/>
    <w:rsid w:val="00A45B66"/>
    <w:rsid w:val="00A475AE"/>
    <w:rsid w:val="00A47E03"/>
    <w:rsid w:val="00A47E63"/>
    <w:rsid w:val="00A504A7"/>
    <w:rsid w:val="00A51009"/>
    <w:rsid w:val="00A51479"/>
    <w:rsid w:val="00A53187"/>
    <w:rsid w:val="00A5393D"/>
    <w:rsid w:val="00A5598D"/>
    <w:rsid w:val="00A56E63"/>
    <w:rsid w:val="00A612A0"/>
    <w:rsid w:val="00A61AA2"/>
    <w:rsid w:val="00A62C56"/>
    <w:rsid w:val="00A63223"/>
    <w:rsid w:val="00A63CD4"/>
    <w:rsid w:val="00A63E64"/>
    <w:rsid w:val="00A64375"/>
    <w:rsid w:val="00A6595B"/>
    <w:rsid w:val="00A672C9"/>
    <w:rsid w:val="00A67696"/>
    <w:rsid w:val="00A70A97"/>
    <w:rsid w:val="00A71ABA"/>
    <w:rsid w:val="00A7237D"/>
    <w:rsid w:val="00A72528"/>
    <w:rsid w:val="00A72D1E"/>
    <w:rsid w:val="00A76054"/>
    <w:rsid w:val="00A80E90"/>
    <w:rsid w:val="00A81A4C"/>
    <w:rsid w:val="00A83F89"/>
    <w:rsid w:val="00A857B9"/>
    <w:rsid w:val="00A90D65"/>
    <w:rsid w:val="00A90ED2"/>
    <w:rsid w:val="00A9145E"/>
    <w:rsid w:val="00A914AB"/>
    <w:rsid w:val="00A91ACC"/>
    <w:rsid w:val="00A92C5C"/>
    <w:rsid w:val="00A93CAA"/>
    <w:rsid w:val="00A97DED"/>
    <w:rsid w:val="00AA18B6"/>
    <w:rsid w:val="00AA1950"/>
    <w:rsid w:val="00AA22AA"/>
    <w:rsid w:val="00AA2F7E"/>
    <w:rsid w:val="00AA30BC"/>
    <w:rsid w:val="00AA30D9"/>
    <w:rsid w:val="00AA346A"/>
    <w:rsid w:val="00AA35BB"/>
    <w:rsid w:val="00AA3C85"/>
    <w:rsid w:val="00AA44D2"/>
    <w:rsid w:val="00AA50A2"/>
    <w:rsid w:val="00AA5187"/>
    <w:rsid w:val="00AA65C3"/>
    <w:rsid w:val="00AB0645"/>
    <w:rsid w:val="00AB1AB2"/>
    <w:rsid w:val="00AB1DB4"/>
    <w:rsid w:val="00AB27E5"/>
    <w:rsid w:val="00AB2F22"/>
    <w:rsid w:val="00AB3468"/>
    <w:rsid w:val="00AB481A"/>
    <w:rsid w:val="00AB4909"/>
    <w:rsid w:val="00AB6C95"/>
    <w:rsid w:val="00AB7278"/>
    <w:rsid w:val="00AB7FE8"/>
    <w:rsid w:val="00AC05B4"/>
    <w:rsid w:val="00AC1576"/>
    <w:rsid w:val="00AC3B68"/>
    <w:rsid w:val="00AC3E87"/>
    <w:rsid w:val="00AC3EBE"/>
    <w:rsid w:val="00AC6BB7"/>
    <w:rsid w:val="00AC6E4B"/>
    <w:rsid w:val="00AC7719"/>
    <w:rsid w:val="00AD1007"/>
    <w:rsid w:val="00AD395D"/>
    <w:rsid w:val="00AD3B5E"/>
    <w:rsid w:val="00AD45AF"/>
    <w:rsid w:val="00AD5B11"/>
    <w:rsid w:val="00AD5CE7"/>
    <w:rsid w:val="00AD6BEE"/>
    <w:rsid w:val="00AD741E"/>
    <w:rsid w:val="00AE3036"/>
    <w:rsid w:val="00AE4DC7"/>
    <w:rsid w:val="00AE6F37"/>
    <w:rsid w:val="00AE756B"/>
    <w:rsid w:val="00AE7A69"/>
    <w:rsid w:val="00AF0D8C"/>
    <w:rsid w:val="00AF0E90"/>
    <w:rsid w:val="00AF14CC"/>
    <w:rsid w:val="00AF185D"/>
    <w:rsid w:val="00AF33C0"/>
    <w:rsid w:val="00AF3D6A"/>
    <w:rsid w:val="00AF59E3"/>
    <w:rsid w:val="00AF5B28"/>
    <w:rsid w:val="00AF63A5"/>
    <w:rsid w:val="00AF6711"/>
    <w:rsid w:val="00AF7CD7"/>
    <w:rsid w:val="00B0017A"/>
    <w:rsid w:val="00B0036B"/>
    <w:rsid w:val="00B0045F"/>
    <w:rsid w:val="00B00A6B"/>
    <w:rsid w:val="00B0107A"/>
    <w:rsid w:val="00B01386"/>
    <w:rsid w:val="00B02022"/>
    <w:rsid w:val="00B03ABB"/>
    <w:rsid w:val="00B03CE4"/>
    <w:rsid w:val="00B04240"/>
    <w:rsid w:val="00B059FA"/>
    <w:rsid w:val="00B07DAE"/>
    <w:rsid w:val="00B100C8"/>
    <w:rsid w:val="00B10F20"/>
    <w:rsid w:val="00B12737"/>
    <w:rsid w:val="00B12CFF"/>
    <w:rsid w:val="00B13B10"/>
    <w:rsid w:val="00B13C49"/>
    <w:rsid w:val="00B13E9D"/>
    <w:rsid w:val="00B141E4"/>
    <w:rsid w:val="00B1445F"/>
    <w:rsid w:val="00B14730"/>
    <w:rsid w:val="00B15DF1"/>
    <w:rsid w:val="00B16EFF"/>
    <w:rsid w:val="00B177C1"/>
    <w:rsid w:val="00B1781C"/>
    <w:rsid w:val="00B17D95"/>
    <w:rsid w:val="00B2012C"/>
    <w:rsid w:val="00B20DD6"/>
    <w:rsid w:val="00B249B7"/>
    <w:rsid w:val="00B3252C"/>
    <w:rsid w:val="00B3369F"/>
    <w:rsid w:val="00B337A8"/>
    <w:rsid w:val="00B33C43"/>
    <w:rsid w:val="00B341AA"/>
    <w:rsid w:val="00B34988"/>
    <w:rsid w:val="00B355F9"/>
    <w:rsid w:val="00B35BA2"/>
    <w:rsid w:val="00B35D06"/>
    <w:rsid w:val="00B403C9"/>
    <w:rsid w:val="00B4249B"/>
    <w:rsid w:val="00B500BA"/>
    <w:rsid w:val="00B5437E"/>
    <w:rsid w:val="00B55104"/>
    <w:rsid w:val="00B55668"/>
    <w:rsid w:val="00B56362"/>
    <w:rsid w:val="00B563F4"/>
    <w:rsid w:val="00B56E8D"/>
    <w:rsid w:val="00B6080F"/>
    <w:rsid w:val="00B60CE0"/>
    <w:rsid w:val="00B62FAF"/>
    <w:rsid w:val="00B634EF"/>
    <w:rsid w:val="00B63E3B"/>
    <w:rsid w:val="00B65C0A"/>
    <w:rsid w:val="00B67203"/>
    <w:rsid w:val="00B70CDF"/>
    <w:rsid w:val="00B71CB7"/>
    <w:rsid w:val="00B7281F"/>
    <w:rsid w:val="00B73221"/>
    <w:rsid w:val="00B7629A"/>
    <w:rsid w:val="00B778AB"/>
    <w:rsid w:val="00B80591"/>
    <w:rsid w:val="00B8171F"/>
    <w:rsid w:val="00B8315F"/>
    <w:rsid w:val="00B83E85"/>
    <w:rsid w:val="00B840DD"/>
    <w:rsid w:val="00B8475D"/>
    <w:rsid w:val="00B84A80"/>
    <w:rsid w:val="00B84EBD"/>
    <w:rsid w:val="00B85D3C"/>
    <w:rsid w:val="00B90F62"/>
    <w:rsid w:val="00B91665"/>
    <w:rsid w:val="00B91C7F"/>
    <w:rsid w:val="00B91F9F"/>
    <w:rsid w:val="00B92185"/>
    <w:rsid w:val="00B93585"/>
    <w:rsid w:val="00B93E19"/>
    <w:rsid w:val="00B956E7"/>
    <w:rsid w:val="00B96D16"/>
    <w:rsid w:val="00B9770F"/>
    <w:rsid w:val="00BA00AD"/>
    <w:rsid w:val="00BA1458"/>
    <w:rsid w:val="00BA1791"/>
    <w:rsid w:val="00BA215E"/>
    <w:rsid w:val="00BA52B6"/>
    <w:rsid w:val="00BA5415"/>
    <w:rsid w:val="00BA589D"/>
    <w:rsid w:val="00BA6491"/>
    <w:rsid w:val="00BA6752"/>
    <w:rsid w:val="00BA6844"/>
    <w:rsid w:val="00BA68AE"/>
    <w:rsid w:val="00BB38ED"/>
    <w:rsid w:val="00BB4216"/>
    <w:rsid w:val="00BB54A1"/>
    <w:rsid w:val="00BB5702"/>
    <w:rsid w:val="00BB600A"/>
    <w:rsid w:val="00BC05FC"/>
    <w:rsid w:val="00BC18D0"/>
    <w:rsid w:val="00BC1CA6"/>
    <w:rsid w:val="00BC1CD1"/>
    <w:rsid w:val="00BC1EA5"/>
    <w:rsid w:val="00BC2824"/>
    <w:rsid w:val="00BC2A52"/>
    <w:rsid w:val="00BC2B02"/>
    <w:rsid w:val="00BC2DD6"/>
    <w:rsid w:val="00BC2E27"/>
    <w:rsid w:val="00BC3DAE"/>
    <w:rsid w:val="00BC3E0F"/>
    <w:rsid w:val="00BC4774"/>
    <w:rsid w:val="00BC5048"/>
    <w:rsid w:val="00BC5C30"/>
    <w:rsid w:val="00BC5EAC"/>
    <w:rsid w:val="00BC6BBF"/>
    <w:rsid w:val="00BC6EC2"/>
    <w:rsid w:val="00BC7F23"/>
    <w:rsid w:val="00BD0CE7"/>
    <w:rsid w:val="00BD1471"/>
    <w:rsid w:val="00BD233E"/>
    <w:rsid w:val="00BD2B83"/>
    <w:rsid w:val="00BD3E78"/>
    <w:rsid w:val="00BD464A"/>
    <w:rsid w:val="00BD5899"/>
    <w:rsid w:val="00BD7994"/>
    <w:rsid w:val="00BE1A1D"/>
    <w:rsid w:val="00BE1CF9"/>
    <w:rsid w:val="00BE38DB"/>
    <w:rsid w:val="00BE3929"/>
    <w:rsid w:val="00BE4097"/>
    <w:rsid w:val="00BE4B6E"/>
    <w:rsid w:val="00BE5447"/>
    <w:rsid w:val="00BE6237"/>
    <w:rsid w:val="00BE7EEF"/>
    <w:rsid w:val="00BE7F0B"/>
    <w:rsid w:val="00BF275E"/>
    <w:rsid w:val="00BF4644"/>
    <w:rsid w:val="00BF4B71"/>
    <w:rsid w:val="00BF53FF"/>
    <w:rsid w:val="00BF5BB3"/>
    <w:rsid w:val="00BF62F7"/>
    <w:rsid w:val="00BF6765"/>
    <w:rsid w:val="00BF74A8"/>
    <w:rsid w:val="00C0039C"/>
    <w:rsid w:val="00C00B0B"/>
    <w:rsid w:val="00C01C36"/>
    <w:rsid w:val="00C02AF9"/>
    <w:rsid w:val="00C02CE3"/>
    <w:rsid w:val="00C035B8"/>
    <w:rsid w:val="00C049BB"/>
    <w:rsid w:val="00C05256"/>
    <w:rsid w:val="00C058E9"/>
    <w:rsid w:val="00C05AD3"/>
    <w:rsid w:val="00C0647C"/>
    <w:rsid w:val="00C0696B"/>
    <w:rsid w:val="00C07B59"/>
    <w:rsid w:val="00C103F0"/>
    <w:rsid w:val="00C110C5"/>
    <w:rsid w:val="00C112BC"/>
    <w:rsid w:val="00C12709"/>
    <w:rsid w:val="00C1309A"/>
    <w:rsid w:val="00C15037"/>
    <w:rsid w:val="00C15AB6"/>
    <w:rsid w:val="00C162D6"/>
    <w:rsid w:val="00C200D3"/>
    <w:rsid w:val="00C206EB"/>
    <w:rsid w:val="00C22496"/>
    <w:rsid w:val="00C24C7F"/>
    <w:rsid w:val="00C26184"/>
    <w:rsid w:val="00C27419"/>
    <w:rsid w:val="00C2749E"/>
    <w:rsid w:val="00C27947"/>
    <w:rsid w:val="00C359A2"/>
    <w:rsid w:val="00C35AA1"/>
    <w:rsid w:val="00C35ACB"/>
    <w:rsid w:val="00C37198"/>
    <w:rsid w:val="00C37B96"/>
    <w:rsid w:val="00C426C9"/>
    <w:rsid w:val="00C432DD"/>
    <w:rsid w:val="00C4392A"/>
    <w:rsid w:val="00C443BD"/>
    <w:rsid w:val="00C4482B"/>
    <w:rsid w:val="00C44B54"/>
    <w:rsid w:val="00C44C59"/>
    <w:rsid w:val="00C44D95"/>
    <w:rsid w:val="00C45CA4"/>
    <w:rsid w:val="00C4668E"/>
    <w:rsid w:val="00C46FA8"/>
    <w:rsid w:val="00C47151"/>
    <w:rsid w:val="00C50FC4"/>
    <w:rsid w:val="00C52AAD"/>
    <w:rsid w:val="00C52CCE"/>
    <w:rsid w:val="00C55EF4"/>
    <w:rsid w:val="00C5616C"/>
    <w:rsid w:val="00C56838"/>
    <w:rsid w:val="00C56BBA"/>
    <w:rsid w:val="00C56E54"/>
    <w:rsid w:val="00C573DB"/>
    <w:rsid w:val="00C576F2"/>
    <w:rsid w:val="00C57C38"/>
    <w:rsid w:val="00C601EB"/>
    <w:rsid w:val="00C608E3"/>
    <w:rsid w:val="00C60B98"/>
    <w:rsid w:val="00C60E12"/>
    <w:rsid w:val="00C61D1E"/>
    <w:rsid w:val="00C630E3"/>
    <w:rsid w:val="00C637B7"/>
    <w:rsid w:val="00C63E74"/>
    <w:rsid w:val="00C63EC6"/>
    <w:rsid w:val="00C6632D"/>
    <w:rsid w:val="00C66815"/>
    <w:rsid w:val="00C707BC"/>
    <w:rsid w:val="00C71AAE"/>
    <w:rsid w:val="00C723FD"/>
    <w:rsid w:val="00C725EF"/>
    <w:rsid w:val="00C72D53"/>
    <w:rsid w:val="00C72EEF"/>
    <w:rsid w:val="00C73735"/>
    <w:rsid w:val="00C749D9"/>
    <w:rsid w:val="00C74BB1"/>
    <w:rsid w:val="00C75514"/>
    <w:rsid w:val="00C76B45"/>
    <w:rsid w:val="00C76C7C"/>
    <w:rsid w:val="00C77AA2"/>
    <w:rsid w:val="00C77B12"/>
    <w:rsid w:val="00C77CA1"/>
    <w:rsid w:val="00C77F0E"/>
    <w:rsid w:val="00C801BD"/>
    <w:rsid w:val="00C81246"/>
    <w:rsid w:val="00C81E6A"/>
    <w:rsid w:val="00C8301C"/>
    <w:rsid w:val="00C832AF"/>
    <w:rsid w:val="00C850C5"/>
    <w:rsid w:val="00C874FA"/>
    <w:rsid w:val="00C9161D"/>
    <w:rsid w:val="00C91852"/>
    <w:rsid w:val="00C921A2"/>
    <w:rsid w:val="00C925BC"/>
    <w:rsid w:val="00C92615"/>
    <w:rsid w:val="00C93284"/>
    <w:rsid w:val="00C93482"/>
    <w:rsid w:val="00C93BC5"/>
    <w:rsid w:val="00C942C4"/>
    <w:rsid w:val="00C95954"/>
    <w:rsid w:val="00C96E40"/>
    <w:rsid w:val="00C97C14"/>
    <w:rsid w:val="00CA098B"/>
    <w:rsid w:val="00CA1EE8"/>
    <w:rsid w:val="00CA1F0C"/>
    <w:rsid w:val="00CA284B"/>
    <w:rsid w:val="00CA2EF4"/>
    <w:rsid w:val="00CA3404"/>
    <w:rsid w:val="00CA3D7E"/>
    <w:rsid w:val="00CA3EC4"/>
    <w:rsid w:val="00CA4C2C"/>
    <w:rsid w:val="00CA5C82"/>
    <w:rsid w:val="00CA6207"/>
    <w:rsid w:val="00CA6354"/>
    <w:rsid w:val="00CA657C"/>
    <w:rsid w:val="00CA7120"/>
    <w:rsid w:val="00CB11B0"/>
    <w:rsid w:val="00CB1D11"/>
    <w:rsid w:val="00CB2421"/>
    <w:rsid w:val="00CB308F"/>
    <w:rsid w:val="00CB3CD8"/>
    <w:rsid w:val="00CB3D82"/>
    <w:rsid w:val="00CB56EE"/>
    <w:rsid w:val="00CB5B7A"/>
    <w:rsid w:val="00CB5CB1"/>
    <w:rsid w:val="00CB68F8"/>
    <w:rsid w:val="00CB72C3"/>
    <w:rsid w:val="00CB734C"/>
    <w:rsid w:val="00CB784D"/>
    <w:rsid w:val="00CB7C28"/>
    <w:rsid w:val="00CC02D4"/>
    <w:rsid w:val="00CC0671"/>
    <w:rsid w:val="00CC102E"/>
    <w:rsid w:val="00CC1DEC"/>
    <w:rsid w:val="00CC2475"/>
    <w:rsid w:val="00CC39EC"/>
    <w:rsid w:val="00CC5469"/>
    <w:rsid w:val="00CC564A"/>
    <w:rsid w:val="00CC6389"/>
    <w:rsid w:val="00CD1702"/>
    <w:rsid w:val="00CD21A6"/>
    <w:rsid w:val="00CD312B"/>
    <w:rsid w:val="00CD37E1"/>
    <w:rsid w:val="00CD414E"/>
    <w:rsid w:val="00CD44A2"/>
    <w:rsid w:val="00CD51D3"/>
    <w:rsid w:val="00CD579F"/>
    <w:rsid w:val="00CD5A11"/>
    <w:rsid w:val="00CD5C8F"/>
    <w:rsid w:val="00CD5E03"/>
    <w:rsid w:val="00CD6167"/>
    <w:rsid w:val="00CD676A"/>
    <w:rsid w:val="00CD7034"/>
    <w:rsid w:val="00CE0A79"/>
    <w:rsid w:val="00CE19FB"/>
    <w:rsid w:val="00CE1D5B"/>
    <w:rsid w:val="00CE25B6"/>
    <w:rsid w:val="00CE2E98"/>
    <w:rsid w:val="00CE3587"/>
    <w:rsid w:val="00CE3AFE"/>
    <w:rsid w:val="00CE417D"/>
    <w:rsid w:val="00CE47A8"/>
    <w:rsid w:val="00CE65C4"/>
    <w:rsid w:val="00CE6E33"/>
    <w:rsid w:val="00CE7994"/>
    <w:rsid w:val="00CF0636"/>
    <w:rsid w:val="00CF0F4A"/>
    <w:rsid w:val="00CF1120"/>
    <w:rsid w:val="00CF127D"/>
    <w:rsid w:val="00CF1848"/>
    <w:rsid w:val="00CF20F0"/>
    <w:rsid w:val="00CF2404"/>
    <w:rsid w:val="00CF2C69"/>
    <w:rsid w:val="00CF2FED"/>
    <w:rsid w:val="00CF4175"/>
    <w:rsid w:val="00CF4343"/>
    <w:rsid w:val="00CF4406"/>
    <w:rsid w:val="00CF58F6"/>
    <w:rsid w:val="00CF7692"/>
    <w:rsid w:val="00CF7BE3"/>
    <w:rsid w:val="00CF7D9B"/>
    <w:rsid w:val="00D00BB0"/>
    <w:rsid w:val="00D01D7D"/>
    <w:rsid w:val="00D032DE"/>
    <w:rsid w:val="00D106E0"/>
    <w:rsid w:val="00D115A6"/>
    <w:rsid w:val="00D11C41"/>
    <w:rsid w:val="00D12044"/>
    <w:rsid w:val="00D152D6"/>
    <w:rsid w:val="00D16DC1"/>
    <w:rsid w:val="00D17365"/>
    <w:rsid w:val="00D22998"/>
    <w:rsid w:val="00D23697"/>
    <w:rsid w:val="00D24AE0"/>
    <w:rsid w:val="00D24B19"/>
    <w:rsid w:val="00D25104"/>
    <w:rsid w:val="00D26DA4"/>
    <w:rsid w:val="00D26F67"/>
    <w:rsid w:val="00D270B6"/>
    <w:rsid w:val="00D27371"/>
    <w:rsid w:val="00D27EBF"/>
    <w:rsid w:val="00D30332"/>
    <w:rsid w:val="00D30443"/>
    <w:rsid w:val="00D308B3"/>
    <w:rsid w:val="00D30CC3"/>
    <w:rsid w:val="00D312E6"/>
    <w:rsid w:val="00D31408"/>
    <w:rsid w:val="00D318CD"/>
    <w:rsid w:val="00D32593"/>
    <w:rsid w:val="00D33D80"/>
    <w:rsid w:val="00D33F0B"/>
    <w:rsid w:val="00D35492"/>
    <w:rsid w:val="00D35A80"/>
    <w:rsid w:val="00D41517"/>
    <w:rsid w:val="00D41B09"/>
    <w:rsid w:val="00D42BC9"/>
    <w:rsid w:val="00D42D04"/>
    <w:rsid w:val="00D43BC3"/>
    <w:rsid w:val="00D44C03"/>
    <w:rsid w:val="00D45630"/>
    <w:rsid w:val="00D46DAE"/>
    <w:rsid w:val="00D47C89"/>
    <w:rsid w:val="00D501C8"/>
    <w:rsid w:val="00D53DAF"/>
    <w:rsid w:val="00D54387"/>
    <w:rsid w:val="00D5475D"/>
    <w:rsid w:val="00D55A06"/>
    <w:rsid w:val="00D56E41"/>
    <w:rsid w:val="00D6062C"/>
    <w:rsid w:val="00D60C44"/>
    <w:rsid w:val="00D611B7"/>
    <w:rsid w:val="00D62487"/>
    <w:rsid w:val="00D62BC0"/>
    <w:rsid w:val="00D6439F"/>
    <w:rsid w:val="00D6488C"/>
    <w:rsid w:val="00D64940"/>
    <w:rsid w:val="00D64C1C"/>
    <w:rsid w:val="00D64CD2"/>
    <w:rsid w:val="00D64D2E"/>
    <w:rsid w:val="00D651EB"/>
    <w:rsid w:val="00D65955"/>
    <w:rsid w:val="00D6661C"/>
    <w:rsid w:val="00D671A4"/>
    <w:rsid w:val="00D672AA"/>
    <w:rsid w:val="00D70692"/>
    <w:rsid w:val="00D70AEF"/>
    <w:rsid w:val="00D71250"/>
    <w:rsid w:val="00D71DC3"/>
    <w:rsid w:val="00D72230"/>
    <w:rsid w:val="00D722C6"/>
    <w:rsid w:val="00D7364F"/>
    <w:rsid w:val="00D73D31"/>
    <w:rsid w:val="00D73E4B"/>
    <w:rsid w:val="00D74B7C"/>
    <w:rsid w:val="00D75B60"/>
    <w:rsid w:val="00D76A18"/>
    <w:rsid w:val="00D771E9"/>
    <w:rsid w:val="00D83EA2"/>
    <w:rsid w:val="00D83F96"/>
    <w:rsid w:val="00D86A15"/>
    <w:rsid w:val="00D87372"/>
    <w:rsid w:val="00D91EFE"/>
    <w:rsid w:val="00D91F30"/>
    <w:rsid w:val="00D94F98"/>
    <w:rsid w:val="00D972BC"/>
    <w:rsid w:val="00DA020F"/>
    <w:rsid w:val="00DA1238"/>
    <w:rsid w:val="00DA1311"/>
    <w:rsid w:val="00DA2080"/>
    <w:rsid w:val="00DA281A"/>
    <w:rsid w:val="00DA2CF0"/>
    <w:rsid w:val="00DA4D59"/>
    <w:rsid w:val="00DA67FA"/>
    <w:rsid w:val="00DB0814"/>
    <w:rsid w:val="00DB6962"/>
    <w:rsid w:val="00DB7E18"/>
    <w:rsid w:val="00DC2704"/>
    <w:rsid w:val="00DC2DD8"/>
    <w:rsid w:val="00DD118C"/>
    <w:rsid w:val="00DD1682"/>
    <w:rsid w:val="00DD1FCF"/>
    <w:rsid w:val="00DD4B67"/>
    <w:rsid w:val="00DD5C27"/>
    <w:rsid w:val="00DD6807"/>
    <w:rsid w:val="00DD701D"/>
    <w:rsid w:val="00DD73ED"/>
    <w:rsid w:val="00DE0FB5"/>
    <w:rsid w:val="00DE2705"/>
    <w:rsid w:val="00DE4083"/>
    <w:rsid w:val="00DE4141"/>
    <w:rsid w:val="00DE4978"/>
    <w:rsid w:val="00DE4ABF"/>
    <w:rsid w:val="00DE5ACB"/>
    <w:rsid w:val="00DE7AFB"/>
    <w:rsid w:val="00DF0004"/>
    <w:rsid w:val="00DF02FE"/>
    <w:rsid w:val="00DF11A4"/>
    <w:rsid w:val="00DF12B6"/>
    <w:rsid w:val="00DF2148"/>
    <w:rsid w:val="00DF2BB6"/>
    <w:rsid w:val="00DF2D32"/>
    <w:rsid w:val="00DF3393"/>
    <w:rsid w:val="00DF5CA4"/>
    <w:rsid w:val="00DF74B2"/>
    <w:rsid w:val="00E00E1D"/>
    <w:rsid w:val="00E0525C"/>
    <w:rsid w:val="00E06185"/>
    <w:rsid w:val="00E0752B"/>
    <w:rsid w:val="00E1049E"/>
    <w:rsid w:val="00E10D83"/>
    <w:rsid w:val="00E13DFB"/>
    <w:rsid w:val="00E13FB2"/>
    <w:rsid w:val="00E15E14"/>
    <w:rsid w:val="00E15E85"/>
    <w:rsid w:val="00E1712A"/>
    <w:rsid w:val="00E1769B"/>
    <w:rsid w:val="00E21BE5"/>
    <w:rsid w:val="00E22111"/>
    <w:rsid w:val="00E23544"/>
    <w:rsid w:val="00E236A1"/>
    <w:rsid w:val="00E237E7"/>
    <w:rsid w:val="00E25032"/>
    <w:rsid w:val="00E30C2C"/>
    <w:rsid w:val="00E320E6"/>
    <w:rsid w:val="00E33977"/>
    <w:rsid w:val="00E33DB6"/>
    <w:rsid w:val="00E33E48"/>
    <w:rsid w:val="00E347F7"/>
    <w:rsid w:val="00E34C11"/>
    <w:rsid w:val="00E35048"/>
    <w:rsid w:val="00E373A3"/>
    <w:rsid w:val="00E379CF"/>
    <w:rsid w:val="00E37FF5"/>
    <w:rsid w:val="00E415B2"/>
    <w:rsid w:val="00E42C7B"/>
    <w:rsid w:val="00E43910"/>
    <w:rsid w:val="00E440C5"/>
    <w:rsid w:val="00E44BC4"/>
    <w:rsid w:val="00E45F83"/>
    <w:rsid w:val="00E46AEF"/>
    <w:rsid w:val="00E46E72"/>
    <w:rsid w:val="00E50959"/>
    <w:rsid w:val="00E516D5"/>
    <w:rsid w:val="00E532D2"/>
    <w:rsid w:val="00E535A1"/>
    <w:rsid w:val="00E53F03"/>
    <w:rsid w:val="00E546E2"/>
    <w:rsid w:val="00E54AED"/>
    <w:rsid w:val="00E555CF"/>
    <w:rsid w:val="00E55688"/>
    <w:rsid w:val="00E55731"/>
    <w:rsid w:val="00E55B01"/>
    <w:rsid w:val="00E55C17"/>
    <w:rsid w:val="00E56255"/>
    <w:rsid w:val="00E62ED2"/>
    <w:rsid w:val="00E6354D"/>
    <w:rsid w:val="00E63CD9"/>
    <w:rsid w:val="00E64A87"/>
    <w:rsid w:val="00E64CF3"/>
    <w:rsid w:val="00E66235"/>
    <w:rsid w:val="00E666D9"/>
    <w:rsid w:val="00E66B18"/>
    <w:rsid w:val="00E731DB"/>
    <w:rsid w:val="00E73C09"/>
    <w:rsid w:val="00E73EE7"/>
    <w:rsid w:val="00E76EA9"/>
    <w:rsid w:val="00E775AD"/>
    <w:rsid w:val="00E77B81"/>
    <w:rsid w:val="00E81EB1"/>
    <w:rsid w:val="00E83C24"/>
    <w:rsid w:val="00E854BE"/>
    <w:rsid w:val="00E869B1"/>
    <w:rsid w:val="00E87517"/>
    <w:rsid w:val="00E92C59"/>
    <w:rsid w:val="00E9318D"/>
    <w:rsid w:val="00E93A80"/>
    <w:rsid w:val="00E93F81"/>
    <w:rsid w:val="00E94434"/>
    <w:rsid w:val="00E94BA4"/>
    <w:rsid w:val="00E94D74"/>
    <w:rsid w:val="00E94F18"/>
    <w:rsid w:val="00E95C96"/>
    <w:rsid w:val="00E95DF2"/>
    <w:rsid w:val="00E9742C"/>
    <w:rsid w:val="00E97D44"/>
    <w:rsid w:val="00EA056B"/>
    <w:rsid w:val="00EA1B55"/>
    <w:rsid w:val="00EA1F83"/>
    <w:rsid w:val="00EA38CB"/>
    <w:rsid w:val="00EA41AA"/>
    <w:rsid w:val="00EA424D"/>
    <w:rsid w:val="00EA515C"/>
    <w:rsid w:val="00EA634F"/>
    <w:rsid w:val="00EA663A"/>
    <w:rsid w:val="00EB525F"/>
    <w:rsid w:val="00EB5C84"/>
    <w:rsid w:val="00EB6601"/>
    <w:rsid w:val="00EB6A7D"/>
    <w:rsid w:val="00EB75DF"/>
    <w:rsid w:val="00EC0229"/>
    <w:rsid w:val="00EC08C5"/>
    <w:rsid w:val="00EC2A35"/>
    <w:rsid w:val="00EC3356"/>
    <w:rsid w:val="00EC6895"/>
    <w:rsid w:val="00EC6A0A"/>
    <w:rsid w:val="00EC70A7"/>
    <w:rsid w:val="00EC75AE"/>
    <w:rsid w:val="00EC7C3A"/>
    <w:rsid w:val="00ED0209"/>
    <w:rsid w:val="00ED0836"/>
    <w:rsid w:val="00ED1A12"/>
    <w:rsid w:val="00ED272A"/>
    <w:rsid w:val="00ED2B11"/>
    <w:rsid w:val="00ED4C80"/>
    <w:rsid w:val="00ED55D8"/>
    <w:rsid w:val="00ED646F"/>
    <w:rsid w:val="00ED66AD"/>
    <w:rsid w:val="00ED6808"/>
    <w:rsid w:val="00ED6D2D"/>
    <w:rsid w:val="00EE088D"/>
    <w:rsid w:val="00EE0C48"/>
    <w:rsid w:val="00EE26FF"/>
    <w:rsid w:val="00EE41D7"/>
    <w:rsid w:val="00EE4AF4"/>
    <w:rsid w:val="00EE6E79"/>
    <w:rsid w:val="00EE7124"/>
    <w:rsid w:val="00EF0A94"/>
    <w:rsid w:val="00EF1EAC"/>
    <w:rsid w:val="00EF1FA5"/>
    <w:rsid w:val="00EF41CF"/>
    <w:rsid w:val="00EF4297"/>
    <w:rsid w:val="00EF596E"/>
    <w:rsid w:val="00EF5C30"/>
    <w:rsid w:val="00EF5FA2"/>
    <w:rsid w:val="00EF74B9"/>
    <w:rsid w:val="00EF7A74"/>
    <w:rsid w:val="00EF7A88"/>
    <w:rsid w:val="00F02542"/>
    <w:rsid w:val="00F051E2"/>
    <w:rsid w:val="00F05AB9"/>
    <w:rsid w:val="00F07ECF"/>
    <w:rsid w:val="00F1013B"/>
    <w:rsid w:val="00F11EF5"/>
    <w:rsid w:val="00F12F85"/>
    <w:rsid w:val="00F142B1"/>
    <w:rsid w:val="00F148D9"/>
    <w:rsid w:val="00F148F0"/>
    <w:rsid w:val="00F156A3"/>
    <w:rsid w:val="00F15BC5"/>
    <w:rsid w:val="00F16933"/>
    <w:rsid w:val="00F171B3"/>
    <w:rsid w:val="00F21C7D"/>
    <w:rsid w:val="00F227D6"/>
    <w:rsid w:val="00F22EA2"/>
    <w:rsid w:val="00F23836"/>
    <w:rsid w:val="00F25539"/>
    <w:rsid w:val="00F25CDF"/>
    <w:rsid w:val="00F30612"/>
    <w:rsid w:val="00F31F27"/>
    <w:rsid w:val="00F323E4"/>
    <w:rsid w:val="00F32C36"/>
    <w:rsid w:val="00F34CA2"/>
    <w:rsid w:val="00F36D6B"/>
    <w:rsid w:val="00F40220"/>
    <w:rsid w:val="00F44520"/>
    <w:rsid w:val="00F45555"/>
    <w:rsid w:val="00F460B6"/>
    <w:rsid w:val="00F466A6"/>
    <w:rsid w:val="00F46F5F"/>
    <w:rsid w:val="00F47E33"/>
    <w:rsid w:val="00F51CDC"/>
    <w:rsid w:val="00F53A09"/>
    <w:rsid w:val="00F5463B"/>
    <w:rsid w:val="00F552E3"/>
    <w:rsid w:val="00F55ECA"/>
    <w:rsid w:val="00F57273"/>
    <w:rsid w:val="00F57887"/>
    <w:rsid w:val="00F60996"/>
    <w:rsid w:val="00F60F18"/>
    <w:rsid w:val="00F6106D"/>
    <w:rsid w:val="00F61C61"/>
    <w:rsid w:val="00F620D0"/>
    <w:rsid w:val="00F62A00"/>
    <w:rsid w:val="00F62A56"/>
    <w:rsid w:val="00F66F4E"/>
    <w:rsid w:val="00F67DFB"/>
    <w:rsid w:val="00F716B3"/>
    <w:rsid w:val="00F722F7"/>
    <w:rsid w:val="00F72A01"/>
    <w:rsid w:val="00F72E85"/>
    <w:rsid w:val="00F74D5A"/>
    <w:rsid w:val="00F74E8F"/>
    <w:rsid w:val="00F76B47"/>
    <w:rsid w:val="00F80D1F"/>
    <w:rsid w:val="00F80E68"/>
    <w:rsid w:val="00F818FE"/>
    <w:rsid w:val="00F82427"/>
    <w:rsid w:val="00F830A6"/>
    <w:rsid w:val="00F84E47"/>
    <w:rsid w:val="00F859B3"/>
    <w:rsid w:val="00F871CE"/>
    <w:rsid w:val="00F874BF"/>
    <w:rsid w:val="00F90860"/>
    <w:rsid w:val="00F90EA0"/>
    <w:rsid w:val="00F91842"/>
    <w:rsid w:val="00F9277F"/>
    <w:rsid w:val="00F94774"/>
    <w:rsid w:val="00F961D1"/>
    <w:rsid w:val="00F9687E"/>
    <w:rsid w:val="00F97547"/>
    <w:rsid w:val="00FA1C1D"/>
    <w:rsid w:val="00FA1EDE"/>
    <w:rsid w:val="00FA24E2"/>
    <w:rsid w:val="00FA26DA"/>
    <w:rsid w:val="00FA288A"/>
    <w:rsid w:val="00FA3364"/>
    <w:rsid w:val="00FA348F"/>
    <w:rsid w:val="00FA459A"/>
    <w:rsid w:val="00FA4CE3"/>
    <w:rsid w:val="00FA4DE4"/>
    <w:rsid w:val="00FA5AF5"/>
    <w:rsid w:val="00FA61D3"/>
    <w:rsid w:val="00FA678F"/>
    <w:rsid w:val="00FA6D27"/>
    <w:rsid w:val="00FA71E3"/>
    <w:rsid w:val="00FA7366"/>
    <w:rsid w:val="00FA74DB"/>
    <w:rsid w:val="00FA7516"/>
    <w:rsid w:val="00FB463D"/>
    <w:rsid w:val="00FB5BCF"/>
    <w:rsid w:val="00FC0144"/>
    <w:rsid w:val="00FC0C62"/>
    <w:rsid w:val="00FC107B"/>
    <w:rsid w:val="00FC115D"/>
    <w:rsid w:val="00FC1578"/>
    <w:rsid w:val="00FC237E"/>
    <w:rsid w:val="00FC4064"/>
    <w:rsid w:val="00FC44E1"/>
    <w:rsid w:val="00FC49E4"/>
    <w:rsid w:val="00FC53DB"/>
    <w:rsid w:val="00FD1110"/>
    <w:rsid w:val="00FD1252"/>
    <w:rsid w:val="00FD167F"/>
    <w:rsid w:val="00FD1E07"/>
    <w:rsid w:val="00FD2F46"/>
    <w:rsid w:val="00FD3595"/>
    <w:rsid w:val="00FD3660"/>
    <w:rsid w:val="00FD4172"/>
    <w:rsid w:val="00FD56AF"/>
    <w:rsid w:val="00FE0CFA"/>
    <w:rsid w:val="00FE1102"/>
    <w:rsid w:val="00FE156B"/>
    <w:rsid w:val="00FE1BA3"/>
    <w:rsid w:val="00FE1BEC"/>
    <w:rsid w:val="00FE2EDC"/>
    <w:rsid w:val="00FE3224"/>
    <w:rsid w:val="00FE4CE6"/>
    <w:rsid w:val="00FE57D7"/>
    <w:rsid w:val="00FE6EC5"/>
    <w:rsid w:val="00FE77F4"/>
    <w:rsid w:val="00FE78FF"/>
    <w:rsid w:val="00FF1085"/>
    <w:rsid w:val="00FF20E4"/>
    <w:rsid w:val="00FF3313"/>
    <w:rsid w:val="00FF34AF"/>
    <w:rsid w:val="00FF5037"/>
    <w:rsid w:val="00FF512C"/>
    <w:rsid w:val="00FF57EC"/>
    <w:rsid w:val="00FF6C08"/>
    <w:rsid w:val="445780E2"/>
    <w:rsid w:val="48E3468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C13EEA"/>
  <w15:docId w15:val="{F38AC59F-3053-465E-92E0-FDE38F63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uiPriority w:val="99"/>
    <w:rsid w:val="00427D21"/>
    <w:pPr>
      <w:numPr>
        <w:numId w:val="5"/>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uiPriority w:val="99"/>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AA30D9"/>
    <w:rPr>
      <w:color w:val="808080"/>
      <w:shd w:val="clear" w:color="auto" w:fill="E6E6E6"/>
    </w:rPr>
  </w:style>
  <w:style w:type="character" w:customStyle="1" w:styleId="UnresolvedMention2">
    <w:name w:val="Unresolved Mention2"/>
    <w:basedOn w:val="DefaultParagraphFont"/>
    <w:uiPriority w:val="99"/>
    <w:semiHidden/>
    <w:unhideWhenUsed/>
    <w:rsid w:val="00B00A6B"/>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0D4006"/>
    <w:pPr>
      <w:spacing w:after="160" w:line="240" w:lineRule="exact"/>
    </w:pPr>
    <w:rPr>
      <w:rFonts w:asciiTheme="minorHAnsi" w:eastAsiaTheme="minorEastAsia" w:hAnsiTheme="minorHAnsi" w:cstheme="minorBidi"/>
      <w:vertAlign w:val="superscript"/>
      <w:lang w:val="fr-CA"/>
    </w:rPr>
  </w:style>
  <w:style w:type="character" w:customStyle="1" w:styleId="ListParagraphChar">
    <w:name w:val="List Paragraph Char"/>
    <w:basedOn w:val="DefaultParagraphFont"/>
    <w:link w:val="ListParagraph"/>
    <w:uiPriority w:val="34"/>
    <w:qFormat/>
    <w:locked/>
    <w:rsid w:val="000D4006"/>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981CE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81CEB"/>
    <w:rPr>
      <w:rFonts w:ascii="Times New Roman" w:eastAsia="Times New Roman" w:hAnsi="Times New Roman" w:cs="Times New Roman"/>
      <w:b/>
      <w:bCs/>
      <w:sz w:val="20"/>
      <w:szCs w:val="20"/>
      <w:lang w:val="en-GB"/>
    </w:rPr>
  </w:style>
  <w:style w:type="paragraph" w:styleId="Revision">
    <w:name w:val="Revision"/>
    <w:hidden/>
    <w:uiPriority w:val="99"/>
    <w:semiHidden/>
    <w:rsid w:val="00FC4064"/>
    <w:rPr>
      <w:rFonts w:ascii="Times New Roman" w:eastAsia="Times New Roman" w:hAnsi="Times New Roman" w:cs="Times New Roman"/>
      <w:sz w:val="22"/>
      <w:lang w:val="en-GB"/>
    </w:rPr>
  </w:style>
  <w:style w:type="paragraph" w:customStyle="1" w:styleId="Default">
    <w:name w:val="Default"/>
    <w:rsid w:val="00CB56EE"/>
    <w:pPr>
      <w:autoSpaceDE w:val="0"/>
      <w:autoSpaceDN w:val="0"/>
      <w:adjustRightInd w:val="0"/>
    </w:pPr>
    <w:rPr>
      <w:rFonts w:ascii="Times New Roman" w:hAnsi="Times New Roman" w:cs="Times New Roman"/>
      <w:color w:val="000000"/>
      <w:lang w:val="en-CA"/>
    </w:rPr>
  </w:style>
  <w:style w:type="character" w:customStyle="1" w:styleId="e24kjd">
    <w:name w:val="e24kjd"/>
    <w:basedOn w:val="DefaultParagraphFont"/>
    <w:rsid w:val="000261F8"/>
  </w:style>
  <w:style w:type="table" w:customStyle="1" w:styleId="TableGrid1">
    <w:name w:val="Table Grid1"/>
    <w:basedOn w:val="TableNormal"/>
    <w:next w:val="TableGrid"/>
    <w:uiPriority w:val="59"/>
    <w:rsid w:val="006D5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D5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7700">
      <w:bodyDiv w:val="1"/>
      <w:marLeft w:val="0"/>
      <w:marRight w:val="0"/>
      <w:marTop w:val="0"/>
      <w:marBottom w:val="0"/>
      <w:divBdr>
        <w:top w:val="none" w:sz="0" w:space="0" w:color="auto"/>
        <w:left w:val="none" w:sz="0" w:space="0" w:color="auto"/>
        <w:bottom w:val="none" w:sz="0" w:space="0" w:color="auto"/>
        <w:right w:val="none" w:sz="0" w:space="0" w:color="auto"/>
      </w:divBdr>
      <w:divsChild>
        <w:div w:id="1623876902">
          <w:marLeft w:val="0"/>
          <w:marRight w:val="0"/>
          <w:marTop w:val="0"/>
          <w:marBottom w:val="0"/>
          <w:divBdr>
            <w:top w:val="none" w:sz="0" w:space="0" w:color="auto"/>
            <w:left w:val="none" w:sz="0" w:space="0" w:color="auto"/>
            <w:bottom w:val="none" w:sz="0" w:space="0" w:color="auto"/>
            <w:right w:val="none" w:sz="0" w:space="0" w:color="auto"/>
          </w:divBdr>
        </w:div>
        <w:div w:id="964434252">
          <w:marLeft w:val="0"/>
          <w:marRight w:val="0"/>
          <w:marTop w:val="0"/>
          <w:marBottom w:val="0"/>
          <w:divBdr>
            <w:top w:val="none" w:sz="0" w:space="0" w:color="auto"/>
            <w:left w:val="none" w:sz="0" w:space="0" w:color="auto"/>
            <w:bottom w:val="none" w:sz="0" w:space="0" w:color="auto"/>
            <w:right w:val="none" w:sz="0" w:space="0" w:color="auto"/>
          </w:divBdr>
          <w:divsChild>
            <w:div w:id="72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3981">
      <w:bodyDiv w:val="1"/>
      <w:marLeft w:val="0"/>
      <w:marRight w:val="0"/>
      <w:marTop w:val="0"/>
      <w:marBottom w:val="0"/>
      <w:divBdr>
        <w:top w:val="none" w:sz="0" w:space="0" w:color="auto"/>
        <w:left w:val="none" w:sz="0" w:space="0" w:color="auto"/>
        <w:bottom w:val="none" w:sz="0" w:space="0" w:color="auto"/>
        <w:right w:val="none" w:sz="0" w:space="0" w:color="auto"/>
      </w:divBdr>
      <w:divsChild>
        <w:div w:id="555894142">
          <w:marLeft w:val="0"/>
          <w:marRight w:val="0"/>
          <w:marTop w:val="0"/>
          <w:marBottom w:val="0"/>
          <w:divBdr>
            <w:top w:val="none" w:sz="0" w:space="0" w:color="auto"/>
            <w:left w:val="none" w:sz="0" w:space="0" w:color="auto"/>
            <w:bottom w:val="none" w:sz="0" w:space="0" w:color="auto"/>
            <w:right w:val="none" w:sz="0" w:space="0" w:color="auto"/>
          </w:divBdr>
        </w:div>
        <w:div w:id="412820616">
          <w:marLeft w:val="0"/>
          <w:marRight w:val="0"/>
          <w:marTop w:val="0"/>
          <w:marBottom w:val="0"/>
          <w:divBdr>
            <w:top w:val="none" w:sz="0" w:space="0" w:color="auto"/>
            <w:left w:val="none" w:sz="0" w:space="0" w:color="auto"/>
            <w:bottom w:val="none" w:sz="0" w:space="0" w:color="auto"/>
            <w:right w:val="none" w:sz="0" w:space="0" w:color="auto"/>
          </w:divBdr>
        </w:div>
      </w:divsChild>
    </w:div>
    <w:div w:id="669716290">
      <w:bodyDiv w:val="1"/>
      <w:marLeft w:val="0"/>
      <w:marRight w:val="0"/>
      <w:marTop w:val="0"/>
      <w:marBottom w:val="0"/>
      <w:divBdr>
        <w:top w:val="none" w:sz="0" w:space="0" w:color="auto"/>
        <w:left w:val="none" w:sz="0" w:space="0" w:color="auto"/>
        <w:bottom w:val="none" w:sz="0" w:space="0" w:color="auto"/>
        <w:right w:val="none" w:sz="0" w:space="0" w:color="auto"/>
      </w:divBdr>
    </w:div>
    <w:div w:id="899436725">
      <w:bodyDiv w:val="1"/>
      <w:marLeft w:val="0"/>
      <w:marRight w:val="0"/>
      <w:marTop w:val="0"/>
      <w:marBottom w:val="0"/>
      <w:divBdr>
        <w:top w:val="none" w:sz="0" w:space="0" w:color="auto"/>
        <w:left w:val="none" w:sz="0" w:space="0" w:color="auto"/>
        <w:bottom w:val="none" w:sz="0" w:space="0" w:color="auto"/>
        <w:right w:val="none" w:sz="0" w:space="0" w:color="auto"/>
      </w:divBdr>
    </w:div>
    <w:div w:id="1838957624">
      <w:bodyDiv w:val="1"/>
      <w:marLeft w:val="0"/>
      <w:marRight w:val="0"/>
      <w:marTop w:val="0"/>
      <w:marBottom w:val="0"/>
      <w:divBdr>
        <w:top w:val="none" w:sz="0" w:space="0" w:color="auto"/>
        <w:left w:val="none" w:sz="0" w:space="0" w:color="auto"/>
        <w:bottom w:val="none" w:sz="0" w:space="0" w:color="auto"/>
        <w:right w:val="none" w:sz="0" w:space="0" w:color="auto"/>
      </w:divBdr>
    </w:div>
    <w:div w:id="1858619778">
      <w:bodyDiv w:val="1"/>
      <w:marLeft w:val="0"/>
      <w:marRight w:val="0"/>
      <w:marTop w:val="0"/>
      <w:marBottom w:val="0"/>
      <w:divBdr>
        <w:top w:val="none" w:sz="0" w:space="0" w:color="auto"/>
        <w:left w:val="none" w:sz="0" w:space="0" w:color="auto"/>
        <w:bottom w:val="none" w:sz="0" w:space="0" w:color="auto"/>
        <w:right w:val="none" w:sz="0" w:space="0" w:color="auto"/>
      </w:divBdr>
    </w:div>
    <w:div w:id="1949006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3/cop-13-dec-01-ru.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decisions/np-mop-03/np-mop-03-dec-07-ru.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oc/decisions/np-mop-03/np-mop-03-dec-14-ru.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wipo.int/meetings/ru/details.jsp?meeting_id=50424." TargetMode="External"/><Relationship Id="rId3" Type="http://schemas.openxmlformats.org/officeDocument/2006/relationships/hyperlink" Target="http://www.fao.org/3/i0510r/i0510r.pdf" TargetMode="External"/><Relationship Id="rId7" Type="http://schemas.openxmlformats.org/officeDocument/2006/relationships/hyperlink" Target="https://apps.who.int/gb/ebwha/pdf_files/WHA73/A73_R1-ru.pdf" TargetMode="External"/><Relationship Id="rId2" Type="http://schemas.openxmlformats.org/officeDocument/2006/relationships/hyperlink" Target="http://www.fao.org/3/ca5088ru/CA5088RU.pdf" TargetMode="External"/><Relationship Id="rId1" Type="http://schemas.openxmlformats.org/officeDocument/2006/relationships/hyperlink" Target="http://www.fao.org/3/a-i5033r.pdf" TargetMode="External"/><Relationship Id="rId6" Type="http://schemas.openxmlformats.org/officeDocument/2006/relationships/hyperlink" Target="https://apps.who.int/gb/ebwha/pdf_files/WHA72/A72(13)-ru.pdf." TargetMode="External"/><Relationship Id="rId5" Type="http://schemas.openxmlformats.org/officeDocument/2006/relationships/hyperlink" Target="https://apps.who.int/gb/ebwha/pdf_files/WHA72/A72(12)-ru.pdf." TargetMode="External"/><Relationship Id="rId4" Type="http://schemas.openxmlformats.org/officeDocument/2006/relationships/hyperlink" Target="http://www.fao.org/3/nb779ru/nb779ru.pdf" TargetMode="External"/><Relationship Id="rId9" Type="http://schemas.openxmlformats.org/officeDocument/2006/relationships/hyperlink" Target="https://www.wipo.int/meetings/ru/doc_details.jsp?doc_id=4381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B6"/>
    <w:rsid w:val="000F24E4"/>
    <w:rsid w:val="00163D44"/>
    <w:rsid w:val="001B3DF0"/>
    <w:rsid w:val="00223543"/>
    <w:rsid w:val="002D728B"/>
    <w:rsid w:val="002F6075"/>
    <w:rsid w:val="00411FB7"/>
    <w:rsid w:val="00424824"/>
    <w:rsid w:val="00500A2B"/>
    <w:rsid w:val="0058288D"/>
    <w:rsid w:val="005D28E7"/>
    <w:rsid w:val="00634F48"/>
    <w:rsid w:val="0064263B"/>
    <w:rsid w:val="006557D3"/>
    <w:rsid w:val="006801B3"/>
    <w:rsid w:val="00702F2F"/>
    <w:rsid w:val="00726ED1"/>
    <w:rsid w:val="007363D4"/>
    <w:rsid w:val="007A4502"/>
    <w:rsid w:val="007C12A2"/>
    <w:rsid w:val="00810A55"/>
    <w:rsid w:val="00843573"/>
    <w:rsid w:val="00854F3C"/>
    <w:rsid w:val="008C6619"/>
    <w:rsid w:val="008D420E"/>
    <w:rsid w:val="0091320E"/>
    <w:rsid w:val="00935D0B"/>
    <w:rsid w:val="0098642F"/>
    <w:rsid w:val="00992FC5"/>
    <w:rsid w:val="009A7A2C"/>
    <w:rsid w:val="00A964F5"/>
    <w:rsid w:val="00AA1CB0"/>
    <w:rsid w:val="00AC55EB"/>
    <w:rsid w:val="00B80D5F"/>
    <w:rsid w:val="00BA56D4"/>
    <w:rsid w:val="00C862F0"/>
    <w:rsid w:val="00CB3D93"/>
    <w:rsid w:val="00D56D9D"/>
    <w:rsid w:val="00DD7029"/>
    <w:rsid w:val="00E466E0"/>
    <w:rsid w:val="00E95D14"/>
    <w:rsid w:val="00E97692"/>
    <w:rsid w:val="00EE4C03"/>
    <w:rsid w:val="00EE61E2"/>
    <w:rsid w:val="00F10AA9"/>
    <w:rsid w:val="00F27C91"/>
    <w:rsid w:val="00F74FDE"/>
    <w:rsid w:val="00FF4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10AA9"/>
  </w:style>
  <w:style w:type="paragraph" w:customStyle="1" w:styleId="95FFDBEDB6FA4790B610E9433C08992A">
    <w:name w:val="95FFDBEDB6FA4790B610E9433C08992A"/>
    <w:rsid w:val="00B80D5F"/>
    <w:rPr>
      <w:lang w:val="ru-RU" w:eastAsia="ru-RU"/>
    </w:rPr>
  </w:style>
  <w:style w:type="paragraph" w:customStyle="1" w:styleId="4ADE1C4FC72147F0A104945A0153A5FA">
    <w:name w:val="4ADE1C4FC72147F0A104945A0153A5FA"/>
    <w:rsid w:val="00B80D5F"/>
    <w:rPr>
      <w:lang w:val="ru-RU" w:eastAsia="ru-RU"/>
    </w:rPr>
  </w:style>
  <w:style w:type="paragraph" w:customStyle="1" w:styleId="0EC775C2D7884EE98DBB8B259CCFC682">
    <w:name w:val="0EC775C2D7884EE98DBB8B259CCFC682"/>
    <w:rsid w:val="00B80D5F"/>
    <w:rPr>
      <w:lang w:val="ru-RU" w:eastAsia="ru-RU"/>
    </w:rPr>
  </w:style>
  <w:style w:type="paragraph" w:customStyle="1" w:styleId="96F9C8462D3A414D9146911357B1B423">
    <w:name w:val="96F9C8462D3A414D9146911357B1B423"/>
    <w:rsid w:val="00B80D5F"/>
    <w:rPr>
      <w:lang w:val="ru-RU" w:eastAsia="ru-RU"/>
    </w:rPr>
  </w:style>
  <w:style w:type="paragraph" w:customStyle="1" w:styleId="1681FFA4D58F4C249EBC36FCF7FC1B97">
    <w:name w:val="1681FFA4D58F4C249EBC36FCF7FC1B97"/>
    <w:rsid w:val="00B80D5F"/>
    <w:rPr>
      <w:lang w:val="ru-RU" w:eastAsia="ru-RU"/>
    </w:rPr>
  </w:style>
  <w:style w:type="paragraph" w:customStyle="1" w:styleId="6C98E32A68924238A71DE798B4EFD0F3">
    <w:name w:val="6C98E32A68924238A71DE798B4EFD0F3"/>
    <w:rsid w:val="00B80D5F"/>
    <w:rPr>
      <w:lang w:val="ru-RU" w:eastAsia="ru-RU"/>
    </w:rPr>
  </w:style>
  <w:style w:type="paragraph" w:customStyle="1" w:styleId="508FFB56EEDA46F091C1549DDFAC0935">
    <w:name w:val="508FFB56EEDA46F091C1549DDFAC0935"/>
    <w:rsid w:val="00B80D5F"/>
    <w:rPr>
      <w:lang w:val="ru-RU" w:eastAsia="ru-RU"/>
    </w:rPr>
  </w:style>
  <w:style w:type="paragraph" w:customStyle="1" w:styleId="A32F110427A4447F92FDEACA6BAEE284">
    <w:name w:val="A32F110427A4447F92FDEACA6BAEE284"/>
    <w:rsid w:val="00B80D5F"/>
    <w:rPr>
      <w:lang w:val="ru-RU" w:eastAsia="ru-RU"/>
    </w:rPr>
  </w:style>
  <w:style w:type="paragraph" w:customStyle="1" w:styleId="477DCEF7049B41118904A00F4AE25ABA">
    <w:name w:val="477DCEF7049B41118904A00F4AE25ABA"/>
    <w:rsid w:val="00B80D5F"/>
    <w:rPr>
      <w:lang w:val="ru-RU" w:eastAsia="ru-RU"/>
    </w:rPr>
  </w:style>
  <w:style w:type="paragraph" w:customStyle="1" w:styleId="6FFA36B8A86C4608B24C6BD9D76935F7">
    <w:name w:val="6FFA36B8A86C4608B24C6BD9D76935F7"/>
    <w:rsid w:val="00B80D5F"/>
    <w:rPr>
      <w:lang w:val="ru-RU" w:eastAsia="ru-RU"/>
    </w:rPr>
  </w:style>
  <w:style w:type="paragraph" w:customStyle="1" w:styleId="EDFD606F31174E76905348ACB53D8209">
    <w:name w:val="EDFD606F31174E76905348ACB53D8209"/>
    <w:rsid w:val="00B80D5F"/>
    <w:rPr>
      <w:lang w:val="ru-RU" w:eastAsia="ru-RU"/>
    </w:rPr>
  </w:style>
  <w:style w:type="paragraph" w:customStyle="1" w:styleId="041BED5221EE4AD18690F77D090989BF">
    <w:name w:val="041BED5221EE4AD18690F77D090989BF"/>
    <w:rsid w:val="00F10AA9"/>
    <w:pPr>
      <w:spacing w:after="160" w:line="259" w:lineRule="auto"/>
    </w:pPr>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2020-06-18T00:00:00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7070E-0AB1-4EA6-AFDE-BD9D6EE0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6B127D-CE6D-427F-AA9F-7AB66678A9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229AAC-4310-4FD9-A971-871D8AACB934}">
  <ds:schemaRefs>
    <ds:schemaRef ds:uri="http://schemas.microsoft.com/sharepoint/v3/contenttype/forms"/>
  </ds:schemaRefs>
</ds:datastoreItem>
</file>

<file path=customXml/itemProps5.xml><?xml version="1.0" encoding="utf-8"?>
<ds:datastoreItem xmlns:ds="http://schemas.openxmlformats.org/officeDocument/2006/customXml" ds:itemID="{5AD51E05-50F0-47F2-A4AE-E8D51CDC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16</Pages>
  <Words>7416</Words>
  <Characters>42274</Characters>
  <Application>Microsoft Office Word</Application>
  <DocSecurity>0</DocSecurity>
  <Lines>352</Lines>
  <Paragraphs>99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мобилизация ресурсов</vt:lpstr>
      <vt:lpstr>мобилизация ресурсов</vt:lpstr>
    </vt:vector>
  </TitlesOfParts>
  <Company>SCBD</Company>
  <LinksUpToDate>false</LinksUpToDate>
  <CharactersWithSpaces>49591</CharactersWithSpaces>
  <SharedDoc>false</SharedDoc>
  <HLinks>
    <vt:vector size="72" baseType="variant">
      <vt:variant>
        <vt:i4>524367</vt:i4>
      </vt:variant>
      <vt:variant>
        <vt:i4>15</vt:i4>
      </vt:variant>
      <vt:variant>
        <vt:i4>0</vt:i4>
      </vt:variant>
      <vt:variant>
        <vt:i4>5</vt:i4>
      </vt:variant>
      <vt:variant>
        <vt:lpwstr>https://www.cbd.int/doc/decisions/cop-13/cop-13-dec-20-en.pdf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4980756</vt:i4>
      </vt:variant>
      <vt:variant>
        <vt:i4>9</vt:i4>
      </vt:variant>
      <vt:variant>
        <vt:i4>0</vt:i4>
      </vt:variant>
      <vt:variant>
        <vt:i4>5</vt:i4>
      </vt:variant>
      <vt:variant>
        <vt:lpwstr>https://www.cbd.int/doc/notifications/2019/ntf-2019-114-incentive-en.pdf</vt:lpwstr>
      </vt:variant>
      <vt:variant>
        <vt:lpwstr/>
      </vt:variant>
      <vt:variant>
        <vt:i4>5439564</vt:i4>
      </vt:variant>
      <vt:variant>
        <vt:i4>6</vt:i4>
      </vt:variant>
      <vt:variant>
        <vt:i4>0</vt:i4>
      </vt:variant>
      <vt:variant>
        <vt:i4>5</vt:i4>
      </vt:variant>
      <vt:variant>
        <vt:lpwstr>https://www.cbd.int/doc/notifications/2019/ntf-2019-086-resource-mobilization-en.pdf</vt:lpwstr>
      </vt:variant>
      <vt:variant>
        <vt:lpwstr/>
      </vt:variant>
      <vt:variant>
        <vt:i4>5963850</vt:i4>
      </vt:variant>
      <vt:variant>
        <vt:i4>3</vt:i4>
      </vt:variant>
      <vt:variant>
        <vt:i4>0</vt:i4>
      </vt:variant>
      <vt:variant>
        <vt:i4>5</vt:i4>
      </vt:variant>
      <vt:variant>
        <vt:lpwstr>https://www.cbd.int/doc/notifications/2019/ntf-2019-101-resource-mobilization-en.pdf</vt:lpwstr>
      </vt:variant>
      <vt:variant>
        <vt:lpwstr/>
      </vt:variant>
      <vt:variant>
        <vt:i4>852040</vt:i4>
      </vt:variant>
      <vt:variant>
        <vt:i4>0</vt:i4>
      </vt:variant>
      <vt:variant>
        <vt:i4>0</vt:i4>
      </vt:variant>
      <vt:variant>
        <vt:i4>5</vt:i4>
      </vt:variant>
      <vt:variant>
        <vt:lpwstr>https://www.cbd.int/doc/decisions/cop-14/cop-14-dec-22-en.pdf</vt:lpwstr>
      </vt:variant>
      <vt:variant>
        <vt:lpwstr/>
      </vt:variant>
      <vt:variant>
        <vt:i4>7012391</vt:i4>
      </vt:variant>
      <vt:variant>
        <vt:i4>15</vt:i4>
      </vt:variant>
      <vt:variant>
        <vt:i4>0</vt:i4>
      </vt:variant>
      <vt:variant>
        <vt:i4>5</vt:i4>
      </vt:variant>
      <vt:variant>
        <vt:lpwstr>https://learningfornature.org/en/courses/biodiversity-finance/</vt:lpwstr>
      </vt:variant>
      <vt:variant>
        <vt:lpwstr/>
      </vt:variant>
      <vt:variant>
        <vt:i4>327768</vt:i4>
      </vt:variant>
      <vt:variant>
        <vt:i4>12</vt:i4>
      </vt:variant>
      <vt:variant>
        <vt:i4>0</vt:i4>
      </vt:variant>
      <vt:variant>
        <vt:i4>5</vt:i4>
      </vt:variant>
      <vt:variant>
        <vt:lpwstr>https://www.biodiversityfinance.net/finance-solutions</vt:lpwstr>
      </vt:variant>
      <vt:variant>
        <vt:lpwstr/>
      </vt:variant>
      <vt:variant>
        <vt:i4>1114202</vt:i4>
      </vt:variant>
      <vt:variant>
        <vt:i4>9</vt:i4>
      </vt:variant>
      <vt:variant>
        <vt:i4>0</vt:i4>
      </vt:variant>
      <vt:variant>
        <vt:i4>5</vt:i4>
      </vt:variant>
      <vt:variant>
        <vt:lpwstr>https://www.cbd.int/doc/recommendations/wg2020-02/wg2020-02-rec-01-en.pdf</vt:lpwstr>
      </vt:variant>
      <vt:variant>
        <vt:lpwstr/>
      </vt:variant>
      <vt:variant>
        <vt:i4>1114202</vt:i4>
      </vt:variant>
      <vt:variant>
        <vt:i4>6</vt:i4>
      </vt:variant>
      <vt:variant>
        <vt:i4>0</vt:i4>
      </vt:variant>
      <vt:variant>
        <vt:i4>5</vt:i4>
      </vt:variant>
      <vt:variant>
        <vt:lpwstr>https://www.cbd.int/doc/recommendations/wg2020-01/wg2020-01-rec-01-en.pdf</vt:lpwstr>
      </vt:variant>
      <vt:variant>
        <vt:lpwstr/>
      </vt:variant>
      <vt:variant>
        <vt:i4>6684768</vt:i4>
      </vt:variant>
      <vt:variant>
        <vt:i4>3</vt:i4>
      </vt:variant>
      <vt:variant>
        <vt:i4>0</vt:i4>
      </vt:variant>
      <vt:variant>
        <vt:i4>5</vt:i4>
      </vt:variant>
      <vt:variant>
        <vt:lpwstr>https://www.cbd.int/financial/rm2020.shtml</vt:lpwstr>
      </vt:variant>
      <vt:variant>
        <vt:lpwstr/>
      </vt:variant>
      <vt:variant>
        <vt:i4>6684768</vt:i4>
      </vt:variant>
      <vt:variant>
        <vt:i4>0</vt:i4>
      </vt:variant>
      <vt:variant>
        <vt:i4>0</vt:i4>
      </vt:variant>
      <vt:variant>
        <vt:i4>5</vt:i4>
      </vt:variant>
      <vt:variant>
        <vt:lpwstr>https://www.cbd.int/financial/rm2020.shtml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dc:title>
  <dc:subject>CBD/SBI/3/14</dc:subject>
  <dc:creator>SCBD</dc:creator>
  <cp:keywords>Subsidiary Body on Implementation, third meeting, Convention on Biological Diversity</cp:keywords>
  <cp:lastModifiedBy>Xue He Yan</cp:lastModifiedBy>
  <cp:revision>2</cp:revision>
  <cp:lastPrinted>2020-07-09T14:31:00Z</cp:lastPrinted>
  <dcterms:created xsi:type="dcterms:W3CDTF">2020-08-18T14:05:00Z</dcterms:created>
  <dcterms:modified xsi:type="dcterms:W3CDTF">2020-08-18T21:50:00Z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