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EE" w:rsidRPr="002F5491" w:rsidRDefault="004165EE"/>
    <w:tbl>
      <w:tblPr>
        <w:tblW w:w="10207" w:type="dxa"/>
        <w:tblInd w:w="-318" w:type="dxa"/>
        <w:tblBorders>
          <w:bottom w:val="single" w:sz="36" w:space="0" w:color="000000"/>
        </w:tblBorders>
        <w:tblLayout w:type="fixed"/>
        <w:tblLook w:val="0000" w:firstRow="0" w:lastRow="0" w:firstColumn="0" w:lastColumn="0" w:noHBand="0" w:noVBand="0"/>
      </w:tblPr>
      <w:tblGrid>
        <w:gridCol w:w="852"/>
        <w:gridCol w:w="2614"/>
        <w:gridCol w:w="2620"/>
        <w:gridCol w:w="1144"/>
        <w:gridCol w:w="2977"/>
      </w:tblGrid>
      <w:tr w:rsidR="00433B20" w:rsidRPr="00FC5BD1" w:rsidTr="00CF5ABA">
        <w:tc>
          <w:tcPr>
            <w:tcW w:w="852" w:type="dxa"/>
            <w:tcBorders>
              <w:top w:val="nil"/>
              <w:bottom w:val="single" w:sz="12" w:space="0" w:color="000000"/>
              <w:right w:val="nil"/>
            </w:tcBorders>
          </w:tcPr>
          <w:p w:rsidR="00433B20" w:rsidRPr="002F5491" w:rsidRDefault="00497BB8" w:rsidP="00433B20">
            <w:pPr>
              <w:pStyle w:val="BodyText2"/>
              <w:rPr>
                <w:b/>
                <w:snapToGrid w:val="0"/>
                <w:kern w:val="22"/>
                <w:lang w:eastAsia="en-CA"/>
              </w:rPr>
            </w:pPr>
            <w:r w:rsidRPr="00BB7B41">
              <w:rPr>
                <w:b/>
                <w:noProof/>
                <w:snapToGrid w:val="0"/>
                <w:kern w:val="22"/>
                <w:lang w:eastAsia="zh-CN"/>
              </w:rPr>
              <w:drawing>
                <wp:inline distT="0" distB="0" distL="0" distR="0" wp14:anchorId="0580A44E" wp14:editId="332C08BF">
                  <wp:extent cx="476885" cy="40513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85" cy="405130"/>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rsidR="00433B20" w:rsidRPr="002F5491" w:rsidRDefault="00497BB8" w:rsidP="00094C9B">
            <w:pPr>
              <w:rPr>
                <w:snapToGrid w:val="0"/>
                <w:kern w:val="22"/>
                <w:lang w:eastAsia="en-CA"/>
              </w:rPr>
            </w:pPr>
            <w:r w:rsidRPr="00BB7B41">
              <w:rPr>
                <w:noProof/>
                <w:snapToGrid w:val="0"/>
                <w:kern w:val="22"/>
                <w:lang w:eastAsia="zh-CN"/>
              </w:rPr>
              <w:drawing>
                <wp:inline distT="0" distB="0" distL="0" distR="0" wp14:anchorId="47A82A7A" wp14:editId="1972607E">
                  <wp:extent cx="346075" cy="405130"/>
                  <wp:effectExtent l="0" t="0" r="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075" cy="405130"/>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rsidR="00433B20" w:rsidRPr="002F5491" w:rsidRDefault="00433B20" w:rsidP="00094C9B">
            <w:pPr>
              <w:jc w:val="right"/>
              <w:rPr>
                <w:rFonts w:ascii="Univers" w:hAnsi="Univers"/>
                <w:b/>
                <w:snapToGrid w:val="0"/>
                <w:kern w:val="22"/>
                <w:sz w:val="32"/>
              </w:rPr>
            </w:pPr>
            <w:r w:rsidRPr="002F5491">
              <w:rPr>
                <w:rFonts w:ascii="Univers" w:hAnsi="Univers"/>
                <w:b/>
                <w:snapToGrid w:val="0"/>
                <w:kern w:val="22"/>
                <w:sz w:val="32"/>
              </w:rPr>
              <w:t>CBD</w:t>
            </w:r>
          </w:p>
        </w:tc>
      </w:tr>
      <w:tr w:rsidR="00AD1731" w:rsidRPr="00FC5BD1" w:rsidTr="00CF5ABA">
        <w:trPr>
          <w:trHeight w:val="1693"/>
        </w:trPr>
        <w:tc>
          <w:tcPr>
            <w:tcW w:w="6086" w:type="dxa"/>
            <w:gridSpan w:val="3"/>
            <w:tcBorders>
              <w:top w:val="nil"/>
              <w:bottom w:val="single" w:sz="36" w:space="0" w:color="000000"/>
            </w:tcBorders>
          </w:tcPr>
          <w:p w:rsidR="00AD1731" w:rsidRPr="002F5491" w:rsidRDefault="00AD1731" w:rsidP="00186147">
            <w:pPr>
              <w:rPr>
                <w:snapToGrid w:val="0"/>
                <w:kern w:val="22"/>
              </w:rPr>
            </w:pPr>
          </w:p>
          <w:p w:rsidR="00AD1731" w:rsidRPr="002F5491" w:rsidRDefault="00497BB8" w:rsidP="00186147">
            <w:pPr>
              <w:rPr>
                <w:snapToGrid w:val="0"/>
                <w:kern w:val="22"/>
              </w:rPr>
            </w:pPr>
            <w:r w:rsidRPr="00BB7B41">
              <w:rPr>
                <w:noProof/>
                <w:snapToGrid w:val="0"/>
                <w:kern w:val="22"/>
                <w:lang w:eastAsia="zh-CN"/>
              </w:rPr>
              <w:drawing>
                <wp:inline distT="0" distB="0" distL="0" distR="0" wp14:anchorId="3FB458AE" wp14:editId="04BAF28A">
                  <wp:extent cx="2880360" cy="10839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1083945"/>
                          </a:xfrm>
                          <a:prstGeom prst="rect">
                            <a:avLst/>
                          </a:prstGeom>
                          <a:noFill/>
                          <a:ln>
                            <a:noFill/>
                          </a:ln>
                        </pic:spPr>
                      </pic:pic>
                    </a:graphicData>
                  </a:graphic>
                </wp:inline>
              </w:drawing>
            </w:r>
          </w:p>
          <w:p w:rsidR="00AD1731" w:rsidRPr="002F5491" w:rsidRDefault="00AD1731" w:rsidP="00186147">
            <w:pPr>
              <w:rPr>
                <w:rFonts w:ascii="Univers" w:hAnsi="Univers"/>
                <w:snapToGrid w:val="0"/>
                <w:kern w:val="22"/>
                <w:sz w:val="24"/>
              </w:rPr>
            </w:pPr>
          </w:p>
        </w:tc>
        <w:tc>
          <w:tcPr>
            <w:tcW w:w="1144" w:type="dxa"/>
            <w:tcBorders>
              <w:top w:val="nil"/>
              <w:bottom w:val="single" w:sz="36" w:space="0" w:color="000000"/>
            </w:tcBorders>
          </w:tcPr>
          <w:p w:rsidR="00AD1731" w:rsidRPr="002F5491" w:rsidRDefault="00AD1731" w:rsidP="00186147">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rsidR="00AD1731" w:rsidRPr="002F5491" w:rsidRDefault="00AD1731" w:rsidP="006F4060">
            <w:pPr>
              <w:ind w:left="318"/>
              <w:rPr>
                <w:snapToGrid w:val="0"/>
                <w:kern w:val="22"/>
                <w:szCs w:val="22"/>
              </w:rPr>
            </w:pPr>
            <w:r w:rsidRPr="002F5491">
              <w:rPr>
                <w:snapToGrid w:val="0"/>
                <w:kern w:val="22"/>
                <w:szCs w:val="22"/>
              </w:rPr>
              <w:t>Distr.</w:t>
            </w:r>
          </w:p>
          <w:p w:rsidR="00AD1731" w:rsidRPr="002F5491" w:rsidRDefault="005552F3" w:rsidP="006F4060">
            <w:pPr>
              <w:ind w:left="318"/>
              <w:rPr>
                <w:snapToGrid w:val="0"/>
                <w:kern w:val="22"/>
                <w:szCs w:val="22"/>
              </w:rPr>
            </w:pPr>
            <w:r w:rsidRPr="002F5491">
              <w:rPr>
                <w:snapToGrid w:val="0"/>
                <w:kern w:val="22"/>
                <w:szCs w:val="22"/>
              </w:rPr>
              <w:t>GENERAL</w:t>
            </w:r>
          </w:p>
          <w:p w:rsidR="00AD1731" w:rsidRPr="002F5491" w:rsidRDefault="00AD1731" w:rsidP="006F4060">
            <w:pPr>
              <w:ind w:left="318"/>
              <w:rPr>
                <w:snapToGrid w:val="0"/>
                <w:kern w:val="22"/>
                <w:szCs w:val="22"/>
              </w:rPr>
            </w:pPr>
          </w:p>
          <w:sdt>
            <w:sdtPr>
              <w:rPr>
                <w:snapToGrid w:val="0"/>
                <w:kern w:val="22"/>
                <w:szCs w:val="22"/>
              </w:rPr>
              <w:alias w:val="Subject"/>
              <w:tag w:val=""/>
              <w:id w:val="-950010393"/>
              <w:placeholder>
                <w:docPart w:val="0D612048C9524CBEBBA5EE9FCC34D613"/>
              </w:placeholder>
              <w:dataBinding w:prefixMappings="xmlns:ns0='http://purl.org/dc/elements/1.1/' xmlns:ns1='http://schemas.openxmlformats.org/package/2006/metadata/core-properties' " w:xpath="/ns1:coreProperties[1]/ns0:subject[1]" w:storeItemID="{6C3C8BC8-F283-45AE-878A-BAB7291924A1}"/>
              <w:text/>
            </w:sdtPr>
            <w:sdtEndPr/>
            <w:sdtContent>
              <w:p w:rsidR="00AD1731" w:rsidRPr="002F5491" w:rsidRDefault="006B1EF9" w:rsidP="006F4060">
                <w:pPr>
                  <w:ind w:left="318"/>
                  <w:rPr>
                    <w:snapToGrid w:val="0"/>
                    <w:kern w:val="22"/>
                    <w:szCs w:val="22"/>
                  </w:rPr>
                </w:pPr>
                <w:r w:rsidRPr="002F5491">
                  <w:rPr>
                    <w:snapToGrid w:val="0"/>
                    <w:kern w:val="22"/>
                    <w:szCs w:val="22"/>
                  </w:rPr>
                  <w:t>CBD/SBI/2/9</w:t>
                </w:r>
              </w:p>
            </w:sdtContent>
          </w:sdt>
          <w:p w:rsidR="00AD1731" w:rsidRPr="002F5491" w:rsidRDefault="00E70E14" w:rsidP="006F4060">
            <w:pPr>
              <w:ind w:left="318"/>
              <w:rPr>
                <w:snapToGrid w:val="0"/>
                <w:kern w:val="22"/>
                <w:szCs w:val="22"/>
              </w:rPr>
            </w:pPr>
            <w:r w:rsidRPr="002F5491">
              <w:rPr>
                <w:snapToGrid w:val="0"/>
                <w:kern w:val="22"/>
                <w:szCs w:val="22"/>
              </w:rPr>
              <w:t>30</w:t>
            </w:r>
            <w:r w:rsidR="006E17C5" w:rsidRPr="002F5491">
              <w:rPr>
                <w:snapToGrid w:val="0"/>
                <w:kern w:val="22"/>
                <w:szCs w:val="22"/>
              </w:rPr>
              <w:t xml:space="preserve"> May</w:t>
            </w:r>
            <w:r w:rsidR="00DF1268" w:rsidRPr="002F5491">
              <w:rPr>
                <w:snapToGrid w:val="0"/>
                <w:kern w:val="22"/>
                <w:szCs w:val="22"/>
              </w:rPr>
              <w:t xml:space="preserve"> </w:t>
            </w:r>
            <w:r w:rsidR="00142951" w:rsidRPr="002F5491">
              <w:rPr>
                <w:snapToGrid w:val="0"/>
                <w:kern w:val="22"/>
                <w:szCs w:val="22"/>
              </w:rPr>
              <w:t>2018</w:t>
            </w:r>
          </w:p>
          <w:p w:rsidR="00AD1731" w:rsidRPr="002F5491" w:rsidRDefault="00AD1731" w:rsidP="006F4060">
            <w:pPr>
              <w:ind w:left="318"/>
              <w:rPr>
                <w:snapToGrid w:val="0"/>
                <w:kern w:val="22"/>
                <w:szCs w:val="22"/>
              </w:rPr>
            </w:pPr>
          </w:p>
          <w:p w:rsidR="00AD1731" w:rsidRPr="002F5491" w:rsidRDefault="00AD1731" w:rsidP="006F4060">
            <w:pPr>
              <w:ind w:left="318"/>
              <w:rPr>
                <w:snapToGrid w:val="0"/>
                <w:kern w:val="22"/>
                <w:szCs w:val="22"/>
                <w:u w:val="single"/>
              </w:rPr>
            </w:pPr>
            <w:r w:rsidRPr="002F5491">
              <w:rPr>
                <w:snapToGrid w:val="0"/>
                <w:kern w:val="22"/>
                <w:szCs w:val="22"/>
              </w:rPr>
              <w:t>ORIGINAL:  ENGLISH</w:t>
            </w:r>
          </w:p>
        </w:tc>
      </w:tr>
    </w:tbl>
    <w:p w:rsidR="00AD1731" w:rsidRPr="002F5491" w:rsidRDefault="00AD1731" w:rsidP="00F73A9F">
      <w:pPr>
        <w:pStyle w:val="meetingname"/>
        <w:ind w:left="-180" w:right="4398" w:firstLine="0"/>
        <w:rPr>
          <w:kern w:val="22"/>
          <w:szCs w:val="22"/>
        </w:rPr>
      </w:pPr>
      <w:bookmarkStart w:id="0" w:name="Meeting"/>
      <w:r w:rsidRPr="002F5491">
        <w:rPr>
          <w:kern w:val="22"/>
          <w:szCs w:val="22"/>
        </w:rPr>
        <w:t>SUBSIDIARY BODY ON IMPLEMENTATION</w:t>
      </w:r>
      <w:bookmarkEnd w:id="0"/>
    </w:p>
    <w:p w:rsidR="00AD1731" w:rsidRPr="002F5491" w:rsidRDefault="00AD1731" w:rsidP="00AD1731">
      <w:pPr>
        <w:rPr>
          <w:rFonts w:cs="Times New Roman"/>
          <w:snapToGrid w:val="0"/>
          <w:kern w:val="22"/>
          <w:szCs w:val="22"/>
          <w:lang w:eastAsia="nb-NO"/>
        </w:rPr>
      </w:pPr>
      <w:r w:rsidRPr="002F5491">
        <w:rPr>
          <w:rFonts w:cs="Times New Roman"/>
          <w:snapToGrid w:val="0"/>
          <w:kern w:val="22"/>
          <w:szCs w:val="22"/>
          <w:lang w:eastAsia="nb-NO"/>
        </w:rPr>
        <w:t>Second meeting</w:t>
      </w:r>
    </w:p>
    <w:p w:rsidR="00AD1731" w:rsidRPr="002F5491" w:rsidRDefault="00AD1731" w:rsidP="00AD1731">
      <w:pPr>
        <w:rPr>
          <w:rFonts w:cs="Times New Roman"/>
          <w:snapToGrid w:val="0"/>
          <w:kern w:val="22"/>
          <w:szCs w:val="22"/>
          <w:lang w:eastAsia="nb-NO"/>
        </w:rPr>
      </w:pPr>
      <w:r w:rsidRPr="002F5491">
        <w:rPr>
          <w:rFonts w:cs="Times New Roman"/>
          <w:snapToGrid w:val="0"/>
          <w:kern w:val="22"/>
          <w:szCs w:val="22"/>
          <w:lang w:eastAsia="nb-NO"/>
        </w:rPr>
        <w:t>Montreal, Canada, 9-13 July 2018</w:t>
      </w:r>
    </w:p>
    <w:p w:rsidR="00AD1731" w:rsidRPr="002F5491" w:rsidRDefault="00AD1731" w:rsidP="00AD1731">
      <w:pPr>
        <w:pStyle w:val="Header"/>
        <w:suppressLineNumbers/>
        <w:tabs>
          <w:tab w:val="clear" w:pos="4320"/>
          <w:tab w:val="clear" w:pos="8640"/>
        </w:tabs>
        <w:suppressAutoHyphens/>
        <w:rPr>
          <w:snapToGrid w:val="0"/>
          <w:kern w:val="22"/>
          <w:szCs w:val="22"/>
        </w:rPr>
      </w:pPr>
      <w:r w:rsidRPr="002F5491">
        <w:rPr>
          <w:snapToGrid w:val="0"/>
          <w:kern w:val="22"/>
          <w:szCs w:val="22"/>
        </w:rPr>
        <w:t xml:space="preserve">Item </w:t>
      </w:r>
      <w:r w:rsidR="00B6495C" w:rsidRPr="002F5491">
        <w:rPr>
          <w:snapToGrid w:val="0"/>
          <w:kern w:val="22"/>
          <w:szCs w:val="22"/>
        </w:rPr>
        <w:t>10</w:t>
      </w:r>
      <w:r w:rsidRPr="002F5491">
        <w:rPr>
          <w:snapToGrid w:val="0"/>
          <w:kern w:val="22"/>
          <w:szCs w:val="22"/>
        </w:rPr>
        <w:t xml:space="preserve"> of the provisional agenda</w:t>
      </w:r>
      <w:r w:rsidR="00155F98">
        <w:rPr>
          <w:rStyle w:val="FootnoteReference"/>
          <w:snapToGrid w:val="0"/>
          <w:kern w:val="22"/>
          <w:szCs w:val="22"/>
        </w:rPr>
        <w:footnoteReference w:customMarkFollows="1" w:id="1"/>
        <w:t>*</w:t>
      </w:r>
    </w:p>
    <w:sdt>
      <w:sdtPr>
        <w:rPr>
          <w:rFonts w:ascii="Times New Roman Bold" w:hAnsi="Times New Roman Bold" w:cs="Times New Roman Bold"/>
          <w:bCs/>
          <w:snapToGrid w:val="0"/>
          <w:kern w:val="22"/>
          <w:szCs w:val="22"/>
        </w:rPr>
        <w:alias w:val="Title"/>
        <w:tag w:val=""/>
        <w:id w:val="-202872686"/>
        <w:placeholder>
          <w:docPart w:val="8470BC641A834C9BA34F1791DD295202"/>
        </w:placeholder>
        <w:dataBinding w:prefixMappings="xmlns:ns0='http://purl.org/dc/elements/1.1/' xmlns:ns1='http://schemas.openxmlformats.org/package/2006/metadata/core-properties' " w:xpath="/ns1:coreProperties[1]/ns0:title[1]" w:storeItemID="{6C3C8BC8-F283-45AE-878A-BAB7291924A1}"/>
        <w:text/>
      </w:sdtPr>
      <w:sdtEndPr/>
      <w:sdtContent>
        <w:p w:rsidR="00933415" w:rsidRPr="002F5491" w:rsidRDefault="002C7FB7" w:rsidP="006F4060">
          <w:pPr>
            <w:pStyle w:val="HEADINGNOTFORTOC"/>
            <w:tabs>
              <w:tab w:val="clear" w:pos="720"/>
            </w:tabs>
            <w:spacing w:before="120"/>
            <w:rPr>
              <w:rFonts w:cs="Times New Roman"/>
              <w:snapToGrid w:val="0"/>
              <w:kern w:val="22"/>
              <w:szCs w:val="22"/>
            </w:rPr>
          </w:pPr>
          <w:r w:rsidRPr="002F5491">
            <w:rPr>
              <w:rFonts w:ascii="Times New Roman Bold" w:hAnsi="Times New Roman Bold" w:cs="Times New Roman Bold"/>
              <w:bCs/>
              <w:snapToGrid w:val="0"/>
              <w:kern w:val="22"/>
              <w:szCs w:val="22"/>
            </w:rPr>
            <w:t>Capacity-building, technical and scientific cooperation, technology transfer and the clearing-house mechanism</w:t>
          </w:r>
        </w:p>
      </w:sdtContent>
    </w:sdt>
    <w:p w:rsidR="00E26FA0" w:rsidRPr="002F5491" w:rsidRDefault="00E26FA0" w:rsidP="00E26FA0">
      <w:pPr>
        <w:jc w:val="center"/>
        <w:rPr>
          <w:rFonts w:cs="Times New Roman"/>
          <w:i/>
          <w:szCs w:val="22"/>
        </w:rPr>
      </w:pPr>
      <w:r w:rsidRPr="002F5491">
        <w:rPr>
          <w:rFonts w:cs="Times New Roman"/>
          <w:i/>
          <w:szCs w:val="22"/>
        </w:rPr>
        <w:t>Note by the Executive Secretary</w:t>
      </w:r>
    </w:p>
    <w:p w:rsidR="00E26FA0" w:rsidRPr="002F5491" w:rsidRDefault="00E26FA0" w:rsidP="00981D90">
      <w:pPr>
        <w:pStyle w:val="Heading1centred"/>
        <w:numPr>
          <w:ilvl w:val="0"/>
          <w:numId w:val="17"/>
        </w:numPr>
        <w:rPr>
          <w:szCs w:val="22"/>
        </w:rPr>
      </w:pPr>
      <w:r w:rsidRPr="002F5491">
        <w:rPr>
          <w:szCs w:val="22"/>
        </w:rPr>
        <w:t>INTRODUCTION</w:t>
      </w:r>
      <w:bookmarkStart w:id="1" w:name="_GoBack"/>
      <w:bookmarkEnd w:id="1"/>
    </w:p>
    <w:p w:rsidR="006346C1" w:rsidRPr="002F5491" w:rsidRDefault="000927B5" w:rsidP="006346C1">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At its thirteenth meeting</w:t>
      </w:r>
      <w:r w:rsidR="005B1ECD" w:rsidRPr="002F5491">
        <w:rPr>
          <w:rFonts w:cs="Times New Roman"/>
          <w:kern w:val="22"/>
          <w:szCs w:val="22"/>
        </w:rPr>
        <w:t>, the Conference of the Parties</w:t>
      </w:r>
      <w:r w:rsidR="00E74130" w:rsidRPr="002F5491">
        <w:rPr>
          <w:rFonts w:cs="Times New Roman"/>
          <w:kern w:val="22"/>
          <w:szCs w:val="22"/>
        </w:rPr>
        <w:t xml:space="preserve"> adopted a </w:t>
      </w:r>
      <w:r w:rsidR="0091281E" w:rsidRPr="002F5491">
        <w:rPr>
          <w:rFonts w:cs="Times New Roman"/>
          <w:kern w:val="22"/>
          <w:szCs w:val="22"/>
        </w:rPr>
        <w:t>s</w:t>
      </w:r>
      <w:r w:rsidR="00E74130" w:rsidRPr="002F5491">
        <w:rPr>
          <w:rFonts w:cs="Times New Roman"/>
          <w:kern w:val="22"/>
          <w:szCs w:val="22"/>
        </w:rPr>
        <w:t>hort-term action plan (2017-2020) to enhance and support capacity</w:t>
      </w:r>
      <w:r w:rsidR="005F3291" w:rsidRPr="002F5491">
        <w:rPr>
          <w:rFonts w:cs="Times New Roman"/>
          <w:kern w:val="22"/>
          <w:szCs w:val="22"/>
        </w:rPr>
        <w:t>-</w:t>
      </w:r>
      <w:r w:rsidR="00E74130" w:rsidRPr="002F5491">
        <w:rPr>
          <w:rFonts w:cs="Times New Roman"/>
          <w:kern w:val="22"/>
          <w:szCs w:val="22"/>
        </w:rPr>
        <w:t>building for the implementation of the Convention and its Protocols</w:t>
      </w:r>
      <w:r w:rsidR="00422540" w:rsidRPr="002F5491">
        <w:rPr>
          <w:rFonts w:cs="Times New Roman"/>
          <w:kern w:val="22"/>
          <w:szCs w:val="22"/>
        </w:rPr>
        <w:t xml:space="preserve"> and</w:t>
      </w:r>
      <w:r w:rsidR="00E74130" w:rsidRPr="002F5491">
        <w:rPr>
          <w:rFonts w:cs="Times New Roman"/>
          <w:kern w:val="22"/>
          <w:szCs w:val="22"/>
        </w:rPr>
        <w:t xml:space="preserve"> </w:t>
      </w:r>
      <w:r w:rsidRPr="002F5491">
        <w:rPr>
          <w:rFonts w:cs="Times New Roman"/>
          <w:kern w:val="22"/>
          <w:szCs w:val="22"/>
        </w:rPr>
        <w:t xml:space="preserve">requested the Executive Secretary </w:t>
      </w:r>
      <w:r w:rsidR="00CF31CE" w:rsidRPr="002F5491">
        <w:rPr>
          <w:rFonts w:cs="Times New Roman"/>
          <w:kern w:val="22"/>
          <w:szCs w:val="22"/>
        </w:rPr>
        <w:t xml:space="preserve">to </w:t>
      </w:r>
      <w:r w:rsidR="00CF31CE" w:rsidRPr="002F5491">
        <w:rPr>
          <w:rFonts w:cs="Times New Roman"/>
          <w:snapToGrid/>
          <w:kern w:val="20"/>
          <w:szCs w:val="22"/>
        </w:rPr>
        <w:t xml:space="preserve">support and facilitate, in collaboration with partners, </w:t>
      </w:r>
      <w:proofErr w:type="gramStart"/>
      <w:r w:rsidR="00CF31CE" w:rsidRPr="002F5491">
        <w:rPr>
          <w:rFonts w:cs="Times New Roman"/>
          <w:snapToGrid/>
          <w:kern w:val="20"/>
          <w:szCs w:val="22"/>
        </w:rPr>
        <w:t>as</w:t>
      </w:r>
      <w:proofErr w:type="gramEnd"/>
      <w:r w:rsidR="00CF31CE" w:rsidRPr="002F5491">
        <w:rPr>
          <w:rFonts w:cs="Times New Roman"/>
          <w:snapToGrid/>
          <w:kern w:val="20"/>
          <w:szCs w:val="22"/>
        </w:rPr>
        <w:t xml:space="preserve"> appropriate, </w:t>
      </w:r>
      <w:r w:rsidR="00422540" w:rsidRPr="002F5491">
        <w:rPr>
          <w:rFonts w:cs="Times New Roman"/>
          <w:snapToGrid/>
          <w:kern w:val="20"/>
          <w:szCs w:val="22"/>
        </w:rPr>
        <w:t>its</w:t>
      </w:r>
      <w:r w:rsidR="00CF31CE" w:rsidRPr="002F5491">
        <w:rPr>
          <w:rFonts w:cs="Times New Roman"/>
          <w:snapToGrid/>
          <w:kern w:val="20"/>
          <w:szCs w:val="22"/>
        </w:rPr>
        <w:t xml:space="preserve"> implementation </w:t>
      </w:r>
      <w:r w:rsidR="005B1ECD" w:rsidRPr="002F5491">
        <w:rPr>
          <w:rFonts w:cs="Times New Roman"/>
          <w:kern w:val="22"/>
          <w:szCs w:val="22"/>
        </w:rPr>
        <w:t>(paras</w:t>
      </w:r>
      <w:r w:rsidR="006B1EF9" w:rsidRPr="002F5491">
        <w:rPr>
          <w:rFonts w:cs="Times New Roman"/>
          <w:kern w:val="22"/>
          <w:szCs w:val="22"/>
        </w:rPr>
        <w:t>.</w:t>
      </w:r>
      <w:r w:rsidR="005B1ECD" w:rsidRPr="002F5491">
        <w:rPr>
          <w:rFonts w:cs="Times New Roman"/>
          <w:kern w:val="22"/>
          <w:szCs w:val="22"/>
        </w:rPr>
        <w:t xml:space="preserve"> 3 and 15(d) of decision </w:t>
      </w:r>
      <w:hyperlink r:id="rId12" w:history="1">
        <w:r w:rsidR="005B1ECD" w:rsidRPr="002F5491">
          <w:rPr>
            <w:rStyle w:val="Hyperlink"/>
            <w:rFonts w:cs="Times New Roman"/>
            <w:kern w:val="22"/>
            <w:szCs w:val="22"/>
          </w:rPr>
          <w:t>XIII/23</w:t>
        </w:r>
      </w:hyperlink>
      <w:r w:rsidR="005B1ECD" w:rsidRPr="002F5491">
        <w:rPr>
          <w:rFonts w:cs="Times New Roman"/>
          <w:kern w:val="22"/>
          <w:szCs w:val="22"/>
        </w:rPr>
        <w:t>). The</w:t>
      </w:r>
      <w:r w:rsidR="00C17776" w:rsidRPr="002F5491">
        <w:rPr>
          <w:rFonts w:cs="Times New Roman"/>
          <w:kern w:val="22"/>
          <w:szCs w:val="22"/>
        </w:rPr>
        <w:t xml:space="preserve"> </w:t>
      </w:r>
      <w:r w:rsidR="00E26FE3" w:rsidRPr="002F5491">
        <w:rPr>
          <w:rFonts w:cs="Times New Roman"/>
          <w:kern w:val="22"/>
          <w:szCs w:val="22"/>
        </w:rPr>
        <w:t xml:space="preserve">Conference of the Parties also requested the </w:t>
      </w:r>
      <w:r w:rsidR="00C17776" w:rsidRPr="002F5491">
        <w:rPr>
          <w:rFonts w:cs="Times New Roman"/>
          <w:kern w:val="22"/>
          <w:szCs w:val="22"/>
        </w:rPr>
        <w:t>Executive Secretary</w:t>
      </w:r>
      <w:r w:rsidR="00E74130" w:rsidRPr="002F5491">
        <w:rPr>
          <w:rFonts w:cs="Times New Roman"/>
          <w:kern w:val="22"/>
          <w:szCs w:val="22"/>
        </w:rPr>
        <w:t xml:space="preserve"> to initiate a process for preparing a long-term strategic framework for capacity-building beyond 2020</w:t>
      </w:r>
      <w:r w:rsidR="00E26FA0" w:rsidRPr="002F5491">
        <w:rPr>
          <w:rFonts w:cs="Times New Roman"/>
          <w:kern w:val="22"/>
          <w:szCs w:val="22"/>
        </w:rPr>
        <w:t>,</w:t>
      </w:r>
      <w:r w:rsidR="00E74130" w:rsidRPr="002F5491">
        <w:rPr>
          <w:rFonts w:cs="Times New Roman"/>
          <w:kern w:val="22"/>
          <w:szCs w:val="22"/>
        </w:rPr>
        <w:t xml:space="preserve"> ensuring its alignment with the follow-up to the Strategic Plan for Biodiversity 2011-2020</w:t>
      </w:r>
      <w:r w:rsidR="0091281E" w:rsidRPr="002F5491">
        <w:rPr>
          <w:rFonts w:cs="Times New Roman"/>
          <w:kern w:val="22"/>
          <w:szCs w:val="22"/>
        </w:rPr>
        <w:t xml:space="preserve"> and the work of the Protocols</w:t>
      </w:r>
      <w:r w:rsidR="00E26FA0" w:rsidRPr="002F5491">
        <w:rPr>
          <w:rFonts w:cs="Times New Roman"/>
          <w:snapToGrid/>
          <w:kern w:val="20"/>
          <w:szCs w:val="22"/>
        </w:rPr>
        <w:t xml:space="preserve">, with a view to </w:t>
      </w:r>
      <w:r w:rsidR="00A8054F" w:rsidRPr="002F5491">
        <w:rPr>
          <w:rFonts w:cs="Times New Roman"/>
          <w:snapToGrid/>
          <w:kern w:val="20"/>
          <w:szCs w:val="22"/>
        </w:rPr>
        <w:t xml:space="preserve">ensuring </w:t>
      </w:r>
      <w:r w:rsidR="00E26FA0" w:rsidRPr="002F5491">
        <w:rPr>
          <w:rFonts w:cs="Times New Roman"/>
          <w:snapToGrid/>
          <w:kern w:val="20"/>
          <w:szCs w:val="22"/>
        </w:rPr>
        <w:t xml:space="preserve">the timely identification of the priority capacity-building actions. In </w:t>
      </w:r>
      <w:r w:rsidR="00CF31CE" w:rsidRPr="002F5491">
        <w:rPr>
          <w:rFonts w:cs="Times New Roman"/>
          <w:snapToGrid/>
          <w:kern w:val="20"/>
          <w:szCs w:val="22"/>
        </w:rPr>
        <w:t>the context of that process</w:t>
      </w:r>
      <w:r w:rsidR="00E258FF" w:rsidRPr="002F5491">
        <w:rPr>
          <w:rFonts w:cs="Times New Roman"/>
          <w:snapToGrid/>
          <w:kern w:val="20"/>
          <w:szCs w:val="22"/>
        </w:rPr>
        <w:t>,</w:t>
      </w:r>
      <w:r w:rsidR="00CF31CE" w:rsidRPr="002F5491">
        <w:rPr>
          <w:rFonts w:cs="Times New Roman"/>
          <w:snapToGrid/>
          <w:kern w:val="20"/>
          <w:szCs w:val="22"/>
        </w:rPr>
        <w:t xml:space="preserve"> </w:t>
      </w:r>
      <w:r w:rsidR="00E26FA0" w:rsidRPr="002F5491">
        <w:rPr>
          <w:rFonts w:cs="Times New Roman"/>
          <w:snapToGrid/>
          <w:kern w:val="20"/>
          <w:szCs w:val="22"/>
        </w:rPr>
        <w:t xml:space="preserve">the Executive Secretary was requested to </w:t>
      </w:r>
      <w:r w:rsidR="00E74130" w:rsidRPr="002F5491">
        <w:rPr>
          <w:rFonts w:cs="Times New Roman"/>
          <w:kern w:val="22"/>
          <w:szCs w:val="22"/>
        </w:rPr>
        <w:t xml:space="preserve">prepare terms of reference for </w:t>
      </w:r>
      <w:r w:rsidR="0091281E" w:rsidRPr="002F5491">
        <w:rPr>
          <w:rFonts w:cs="Times New Roman"/>
          <w:kern w:val="22"/>
          <w:szCs w:val="22"/>
        </w:rPr>
        <w:t xml:space="preserve">a </w:t>
      </w:r>
      <w:r w:rsidR="00E74130" w:rsidRPr="002F5491">
        <w:rPr>
          <w:rFonts w:cs="Times New Roman"/>
          <w:kern w:val="22"/>
          <w:szCs w:val="22"/>
        </w:rPr>
        <w:t>study</w:t>
      </w:r>
      <w:r w:rsidR="0091281E" w:rsidRPr="002F5491">
        <w:rPr>
          <w:rFonts w:cs="Times New Roman"/>
          <w:kern w:val="22"/>
          <w:szCs w:val="22"/>
        </w:rPr>
        <w:t xml:space="preserve"> to provide the knowledge base </w:t>
      </w:r>
      <w:r w:rsidR="00606142" w:rsidRPr="002F5491">
        <w:rPr>
          <w:rFonts w:cs="Times New Roman"/>
          <w:kern w:val="22"/>
          <w:szCs w:val="22"/>
        </w:rPr>
        <w:t xml:space="preserve">to support </w:t>
      </w:r>
      <w:r w:rsidR="00E258FF" w:rsidRPr="002F5491">
        <w:rPr>
          <w:rFonts w:cs="Times New Roman"/>
          <w:snapToGrid/>
          <w:kern w:val="20"/>
          <w:szCs w:val="22"/>
        </w:rPr>
        <w:t xml:space="preserve">the preparation of that strategic framework </w:t>
      </w:r>
      <w:r w:rsidR="0091281E" w:rsidRPr="002F5491">
        <w:rPr>
          <w:rFonts w:cs="Times New Roman"/>
          <w:kern w:val="22"/>
          <w:szCs w:val="22"/>
        </w:rPr>
        <w:t>for consideration by the Subsidiary Body on Implementation at its second meeting</w:t>
      </w:r>
      <w:r w:rsidR="00E26FA0" w:rsidRPr="002F5491">
        <w:rPr>
          <w:rFonts w:cs="Times New Roman"/>
          <w:snapToGrid/>
          <w:kern w:val="20"/>
          <w:szCs w:val="22"/>
        </w:rPr>
        <w:t xml:space="preserve"> and subsequently by the Conference of the Parties at its fourteenth meeting</w:t>
      </w:r>
      <w:r w:rsidR="00C17776" w:rsidRPr="002F5491">
        <w:rPr>
          <w:rFonts w:cs="Times New Roman"/>
          <w:kern w:val="22"/>
          <w:szCs w:val="22"/>
        </w:rPr>
        <w:t xml:space="preserve"> (paragraphs 15(m) and 15(n)</w:t>
      </w:r>
      <w:r w:rsidR="00CF31CE" w:rsidRPr="002F5491">
        <w:rPr>
          <w:rFonts w:cs="Times New Roman"/>
          <w:kern w:val="22"/>
          <w:szCs w:val="22"/>
        </w:rPr>
        <w:t xml:space="preserve"> of decision </w:t>
      </w:r>
      <w:r w:rsidR="006346C1" w:rsidRPr="002F5491">
        <w:rPr>
          <w:rFonts w:cs="Times New Roman"/>
          <w:kern w:val="22"/>
          <w:szCs w:val="22"/>
        </w:rPr>
        <w:t>XIII/23).</w:t>
      </w:r>
    </w:p>
    <w:p w:rsidR="006346C1" w:rsidRPr="002F5491" w:rsidRDefault="00983E71" w:rsidP="006346C1">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 xml:space="preserve">In its </w:t>
      </w:r>
      <w:r w:rsidRPr="002F5491">
        <w:rPr>
          <w:rFonts w:cs="Times New Roman"/>
          <w:kern w:val="22"/>
          <w:szCs w:val="22"/>
        </w:rPr>
        <w:t xml:space="preserve">decision </w:t>
      </w:r>
      <w:hyperlink r:id="rId13" w:history="1">
        <w:r w:rsidRPr="002F5491">
          <w:rPr>
            <w:rStyle w:val="Hyperlink"/>
            <w:rFonts w:cs="Times New Roman"/>
            <w:kern w:val="22"/>
            <w:szCs w:val="22"/>
          </w:rPr>
          <w:t>BS-VI/3</w:t>
        </w:r>
      </w:hyperlink>
      <w:r w:rsidRPr="002F5491">
        <w:rPr>
          <w:rFonts w:cs="Times New Roman"/>
          <w:kern w:val="22"/>
          <w:szCs w:val="22"/>
        </w:rPr>
        <w:t xml:space="preserve">, </w:t>
      </w:r>
      <w:r w:rsidRPr="002F5491">
        <w:rPr>
          <w:rFonts w:cs="Times New Roman"/>
          <w:szCs w:val="22"/>
        </w:rPr>
        <w:t>t</w:t>
      </w:r>
      <w:r w:rsidR="006346C1" w:rsidRPr="002F5491">
        <w:rPr>
          <w:rFonts w:cs="Times New Roman"/>
          <w:szCs w:val="22"/>
        </w:rPr>
        <w:t xml:space="preserve">he Conference of the Parties serving as the meeting of the Parties to the Cartagena Protocol on Biosafety also adopted a Framework and Action Plan for Capacity-Building for the Effective Implementation of the </w:t>
      </w:r>
      <w:r w:rsidRPr="002F5491">
        <w:rPr>
          <w:rFonts w:cs="Times New Roman"/>
          <w:szCs w:val="22"/>
        </w:rPr>
        <w:t xml:space="preserve">Cartagena </w:t>
      </w:r>
      <w:r w:rsidR="006346C1" w:rsidRPr="002F5491">
        <w:rPr>
          <w:rFonts w:cs="Times New Roman"/>
          <w:szCs w:val="22"/>
        </w:rPr>
        <w:t>Protocol</w:t>
      </w:r>
      <w:r w:rsidRPr="002F5491">
        <w:rPr>
          <w:rFonts w:cs="Times New Roman"/>
          <w:szCs w:val="22"/>
        </w:rPr>
        <w:t xml:space="preserve"> on Biosafety,</w:t>
      </w:r>
      <w:r w:rsidR="006346C1" w:rsidRPr="002F5491">
        <w:rPr>
          <w:rFonts w:cs="Times New Roman"/>
          <w:szCs w:val="22"/>
        </w:rPr>
        <w:t xml:space="preserve"> and agreed to review </w:t>
      </w:r>
      <w:r w:rsidRPr="002F5491">
        <w:rPr>
          <w:rFonts w:cs="Times New Roman"/>
          <w:szCs w:val="22"/>
        </w:rPr>
        <w:t xml:space="preserve">the Framework </w:t>
      </w:r>
      <w:r w:rsidR="006346C1" w:rsidRPr="002F5491">
        <w:rPr>
          <w:rFonts w:cs="Times New Roman"/>
          <w:szCs w:val="22"/>
        </w:rPr>
        <w:t xml:space="preserve">at the eighth meeting of </w:t>
      </w:r>
      <w:r w:rsidR="006346C1" w:rsidRPr="002F5491">
        <w:rPr>
          <w:rFonts w:cs="Times New Roman"/>
          <w:kern w:val="22"/>
          <w:szCs w:val="22"/>
        </w:rPr>
        <w:t xml:space="preserve">the Parties. </w:t>
      </w:r>
      <w:r w:rsidRPr="002F5491">
        <w:rPr>
          <w:rFonts w:cs="Times New Roman"/>
          <w:kern w:val="22"/>
          <w:szCs w:val="22"/>
        </w:rPr>
        <w:t xml:space="preserve">As a result of </w:t>
      </w:r>
      <w:r w:rsidR="006346C1" w:rsidRPr="002F5491">
        <w:rPr>
          <w:rFonts w:cs="Times New Roman"/>
          <w:kern w:val="22"/>
          <w:szCs w:val="22"/>
        </w:rPr>
        <w:t>th</w:t>
      </w:r>
      <w:r w:rsidRPr="002F5491">
        <w:rPr>
          <w:rFonts w:cs="Times New Roman"/>
          <w:kern w:val="22"/>
          <w:szCs w:val="22"/>
        </w:rPr>
        <w:t>e</w:t>
      </w:r>
      <w:r w:rsidR="006346C1" w:rsidRPr="002F5491">
        <w:rPr>
          <w:rFonts w:cs="Times New Roman"/>
          <w:kern w:val="22"/>
          <w:szCs w:val="22"/>
        </w:rPr>
        <w:t xml:space="preserve"> review, </w:t>
      </w:r>
      <w:r w:rsidR="006A78A4" w:rsidRPr="002F5491">
        <w:rPr>
          <w:rFonts w:cs="Times New Roman"/>
          <w:kern w:val="22"/>
          <w:szCs w:val="22"/>
        </w:rPr>
        <w:t xml:space="preserve">the </w:t>
      </w:r>
      <w:r w:rsidRPr="002F5491">
        <w:rPr>
          <w:rFonts w:cs="Times New Roman"/>
          <w:kern w:val="22"/>
          <w:szCs w:val="22"/>
        </w:rPr>
        <w:t xml:space="preserve">eighth </w:t>
      </w:r>
      <w:r w:rsidR="006A78A4" w:rsidRPr="002F5491">
        <w:rPr>
          <w:rFonts w:cs="Times New Roman"/>
          <w:kern w:val="22"/>
          <w:szCs w:val="22"/>
        </w:rPr>
        <w:t xml:space="preserve">meeting of the </w:t>
      </w:r>
      <w:r w:rsidR="006346C1" w:rsidRPr="002F5491">
        <w:rPr>
          <w:rFonts w:cs="Times New Roman"/>
          <w:kern w:val="22"/>
          <w:szCs w:val="22"/>
        </w:rPr>
        <w:t>Parties</w:t>
      </w:r>
      <w:r w:rsidR="006A78A4" w:rsidRPr="002F5491">
        <w:rPr>
          <w:rFonts w:cs="Times New Roman"/>
          <w:kern w:val="22"/>
          <w:szCs w:val="22"/>
        </w:rPr>
        <w:t xml:space="preserve"> to the Protocol</w:t>
      </w:r>
      <w:r w:rsidR="006346C1" w:rsidRPr="002F5491">
        <w:rPr>
          <w:rFonts w:cs="Times New Roman"/>
          <w:kern w:val="22"/>
          <w:szCs w:val="22"/>
        </w:rPr>
        <w:t xml:space="preserve"> decided to maintain the Framework and Action Plan until 2020 (decision CP-</w:t>
      </w:r>
      <w:hyperlink r:id="rId14" w:history="1">
        <w:r w:rsidR="006346C1" w:rsidRPr="002F5491">
          <w:rPr>
            <w:rStyle w:val="Hyperlink"/>
            <w:rFonts w:cs="Times New Roman"/>
            <w:kern w:val="22"/>
            <w:szCs w:val="22"/>
          </w:rPr>
          <w:t>VIII/3</w:t>
        </w:r>
      </w:hyperlink>
      <w:r w:rsidR="006346C1" w:rsidRPr="002F5491">
        <w:rPr>
          <w:rFonts w:cs="Times New Roman"/>
          <w:kern w:val="22"/>
          <w:szCs w:val="22"/>
        </w:rPr>
        <w:t>).</w:t>
      </w:r>
    </w:p>
    <w:p w:rsidR="006346C1" w:rsidRPr="002F5491" w:rsidRDefault="006346C1" w:rsidP="006346C1">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kern w:val="22"/>
          <w:szCs w:val="22"/>
        </w:rPr>
        <w:t xml:space="preserve">Similarly, the Conference of the Parties serving as the meeting of the Parties to the Nagoya Protocol, in its </w:t>
      </w:r>
      <w:hyperlink r:id="rId15" w:history="1">
        <w:r w:rsidRPr="002F5491">
          <w:rPr>
            <w:rStyle w:val="Hyperlink"/>
            <w:rFonts w:cs="Times New Roman"/>
            <w:szCs w:val="22"/>
          </w:rPr>
          <w:t>decision NP-1/8</w:t>
        </w:r>
      </w:hyperlink>
      <w:r w:rsidRPr="002F5491">
        <w:rPr>
          <w:rFonts w:cs="Times New Roman"/>
          <w:kern w:val="22"/>
          <w:szCs w:val="22"/>
        </w:rPr>
        <w:t xml:space="preserve">, adopted a strategic framework for capacity-building and development to support the implementation of the Nagoya Protocol covering the period until 2020. In </w:t>
      </w:r>
      <w:r w:rsidRPr="002F5491">
        <w:rPr>
          <w:rFonts w:cs="Times New Roman"/>
          <w:snapToGrid/>
          <w:kern w:val="22"/>
          <w:szCs w:val="22"/>
        </w:rPr>
        <w:t xml:space="preserve">paragraph 10(f) of </w:t>
      </w:r>
      <w:r w:rsidRPr="002F5491">
        <w:rPr>
          <w:rFonts w:cs="Times New Roman"/>
          <w:kern w:val="22"/>
          <w:szCs w:val="22"/>
        </w:rPr>
        <w:t xml:space="preserve">the same decision, the Executive Secretary was requested to prepare an evaluation of that strategic framework in 2019 and submit </w:t>
      </w:r>
      <w:r w:rsidRPr="002F5491">
        <w:rPr>
          <w:rFonts w:cs="Times New Roman"/>
          <w:snapToGrid/>
          <w:kern w:val="22"/>
          <w:szCs w:val="22"/>
        </w:rPr>
        <w:t xml:space="preserve">the evaluation report </w:t>
      </w:r>
      <w:r w:rsidRPr="002F5491">
        <w:rPr>
          <w:rFonts w:cs="Times New Roman"/>
          <w:kern w:val="22"/>
          <w:szCs w:val="22"/>
        </w:rPr>
        <w:t xml:space="preserve">for consideration by the </w:t>
      </w:r>
      <w:r w:rsidR="006A78A4" w:rsidRPr="002F5491">
        <w:rPr>
          <w:rFonts w:cs="Times New Roman"/>
          <w:kern w:val="22"/>
          <w:szCs w:val="22"/>
        </w:rPr>
        <w:t xml:space="preserve">fourth </w:t>
      </w:r>
      <w:r w:rsidRPr="002F5491">
        <w:rPr>
          <w:rFonts w:cs="Times New Roman"/>
          <w:kern w:val="22"/>
          <w:szCs w:val="22"/>
        </w:rPr>
        <w:t>meeting of the Parties to the Nagoya Protocol in 2020 to facilitate its review and possible revision in conjunction with the review of the Strategic Plan for Biodiversity 2011-2020.</w:t>
      </w:r>
      <w:r w:rsidRPr="002F5491">
        <w:rPr>
          <w:rStyle w:val="StyleFootnoteReferencenumberFootnoteReferenceSuperscript-EF"/>
          <w:rFonts w:cs="Times New Roman"/>
          <w:sz w:val="22"/>
        </w:rPr>
        <w:footnoteReference w:id="2"/>
      </w:r>
    </w:p>
    <w:p w:rsidR="000A742D" w:rsidRPr="002F5491" w:rsidRDefault="006A78A4" w:rsidP="006346C1">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lastRenderedPageBreak/>
        <w:t>Furthermore, a</w:t>
      </w:r>
      <w:r w:rsidR="006346C1" w:rsidRPr="002F5491">
        <w:rPr>
          <w:rFonts w:cs="Times New Roman"/>
          <w:kern w:val="22"/>
          <w:szCs w:val="22"/>
        </w:rPr>
        <w:t>t its thirteenth meeting</w:t>
      </w:r>
      <w:r w:rsidRPr="002F5491">
        <w:rPr>
          <w:rFonts w:cs="Times New Roman"/>
          <w:kern w:val="22"/>
          <w:szCs w:val="22"/>
        </w:rPr>
        <w:t>,</w:t>
      </w:r>
      <w:r w:rsidR="006346C1" w:rsidRPr="002F5491">
        <w:rPr>
          <w:rFonts w:cs="Times New Roman"/>
          <w:kern w:val="22"/>
          <w:szCs w:val="22"/>
        </w:rPr>
        <w:t xml:space="preserve"> the Conference of the Parties</w:t>
      </w:r>
      <w:r w:rsidR="006346C1" w:rsidRPr="002F5491">
        <w:rPr>
          <w:rFonts w:cs="Times New Roman"/>
          <w:snapToGrid/>
          <w:kern w:val="20"/>
          <w:szCs w:val="22"/>
        </w:rPr>
        <w:t xml:space="preserve"> </w:t>
      </w:r>
      <w:r w:rsidR="00E26FE3" w:rsidRPr="002F5491">
        <w:rPr>
          <w:rFonts w:cs="Times New Roman"/>
          <w:snapToGrid/>
          <w:kern w:val="20"/>
          <w:szCs w:val="22"/>
        </w:rPr>
        <w:t xml:space="preserve">invited Parties </w:t>
      </w:r>
      <w:r w:rsidR="00BF7071" w:rsidRPr="002F5491">
        <w:rPr>
          <w:rFonts w:cs="Times New Roman"/>
          <w:snapToGrid/>
          <w:kern w:val="20"/>
          <w:szCs w:val="22"/>
        </w:rPr>
        <w:t xml:space="preserve">and other Governments </w:t>
      </w:r>
      <w:r w:rsidR="00E26FE3" w:rsidRPr="002F5491">
        <w:rPr>
          <w:rFonts w:cs="Times New Roman"/>
          <w:snapToGrid/>
          <w:kern w:val="20"/>
          <w:szCs w:val="22"/>
        </w:rPr>
        <w:t>to contribute to technical and scientific cooperation and</w:t>
      </w:r>
      <w:r w:rsidR="00BF7071" w:rsidRPr="002F5491">
        <w:rPr>
          <w:rFonts w:cs="Times New Roman"/>
          <w:snapToGrid/>
          <w:kern w:val="20"/>
          <w:szCs w:val="22"/>
        </w:rPr>
        <w:t xml:space="preserve"> to </w:t>
      </w:r>
      <w:r w:rsidR="005A6E61" w:rsidRPr="002F5491">
        <w:rPr>
          <w:rFonts w:cs="Times New Roman"/>
          <w:snapToGrid/>
          <w:kern w:val="20"/>
          <w:szCs w:val="22"/>
        </w:rPr>
        <w:t>encourage and support relevant national or regional institutions to do so as well</w:t>
      </w:r>
      <w:r w:rsidR="00BF7071" w:rsidRPr="002F5491">
        <w:rPr>
          <w:rFonts w:cs="Times New Roman"/>
          <w:snapToGrid/>
          <w:kern w:val="20"/>
          <w:szCs w:val="22"/>
        </w:rPr>
        <w:t xml:space="preserve"> (</w:t>
      </w:r>
      <w:r w:rsidR="00BF7071" w:rsidRPr="002F5491">
        <w:rPr>
          <w:rFonts w:cs="Times New Roman"/>
          <w:kern w:val="22"/>
          <w:szCs w:val="22"/>
        </w:rPr>
        <w:t>decision XIII/23</w:t>
      </w:r>
      <w:r w:rsidR="006B1EF9" w:rsidRPr="002F5491">
        <w:rPr>
          <w:rFonts w:cs="Times New Roman"/>
          <w:kern w:val="22"/>
          <w:szCs w:val="22"/>
        </w:rPr>
        <w:t>, paras. 6 and 7</w:t>
      </w:r>
      <w:r w:rsidR="00BF7071" w:rsidRPr="002F5491">
        <w:rPr>
          <w:rFonts w:cs="Times New Roman"/>
          <w:snapToGrid/>
          <w:kern w:val="20"/>
          <w:szCs w:val="22"/>
        </w:rPr>
        <w:t>)</w:t>
      </w:r>
      <w:r w:rsidR="00461576" w:rsidRPr="002F5491">
        <w:rPr>
          <w:rFonts w:cs="Times New Roman"/>
          <w:snapToGrid/>
          <w:kern w:val="20"/>
          <w:szCs w:val="22"/>
        </w:rPr>
        <w:t xml:space="preserve">. In </w:t>
      </w:r>
      <w:r w:rsidR="00461576" w:rsidRPr="002F5491">
        <w:rPr>
          <w:rFonts w:cs="Times New Roman"/>
          <w:kern w:val="22"/>
          <w:szCs w:val="22"/>
        </w:rPr>
        <w:t xml:space="preserve">decision XIII/31, </w:t>
      </w:r>
      <w:r w:rsidRPr="002F5491">
        <w:rPr>
          <w:rFonts w:cs="Times New Roman"/>
          <w:kern w:val="22"/>
          <w:szCs w:val="22"/>
        </w:rPr>
        <w:t>the Conference of the Parties</w:t>
      </w:r>
      <w:r w:rsidR="00461576" w:rsidRPr="002F5491">
        <w:rPr>
          <w:rFonts w:cs="Times New Roman"/>
          <w:kern w:val="22"/>
          <w:szCs w:val="22"/>
        </w:rPr>
        <w:t xml:space="preserve"> welcomed the ongoing efforts of partner organizations to support Parties in addressing the scientific and technical needs related to the implementation of the Strategic Plan for Biodiversity 2011</w:t>
      </w:r>
      <w:r w:rsidR="00461576" w:rsidRPr="002F5491">
        <w:rPr>
          <w:rFonts w:cs="Times New Roman"/>
          <w:kern w:val="22"/>
          <w:szCs w:val="22"/>
        </w:rPr>
        <w:noBreakHyphen/>
        <w:t xml:space="preserve">2020 and requested the Executive Secretary </w:t>
      </w:r>
      <w:r w:rsidR="00894C59" w:rsidRPr="002F5491">
        <w:rPr>
          <w:rFonts w:cs="Times New Roman"/>
          <w:iCs/>
          <w:kern w:val="22"/>
          <w:szCs w:val="22"/>
        </w:rPr>
        <w:t>in</w:t>
      </w:r>
      <w:r w:rsidR="00461576" w:rsidRPr="002F5491">
        <w:rPr>
          <w:rFonts w:cs="Times New Roman"/>
          <w:iCs/>
          <w:kern w:val="22"/>
          <w:szCs w:val="22"/>
        </w:rPr>
        <w:t xml:space="preserve"> collaboration with partners to </w:t>
      </w:r>
      <w:r w:rsidR="00894C59" w:rsidRPr="002F5491">
        <w:rPr>
          <w:rFonts w:cs="Times New Roman"/>
          <w:iCs/>
          <w:kern w:val="22"/>
          <w:szCs w:val="22"/>
        </w:rPr>
        <w:t xml:space="preserve">continue </w:t>
      </w:r>
      <w:r w:rsidR="00461576" w:rsidRPr="002F5491">
        <w:rPr>
          <w:rFonts w:cs="Times New Roman"/>
          <w:iCs/>
          <w:kern w:val="22"/>
          <w:szCs w:val="22"/>
        </w:rPr>
        <w:t>promot</w:t>
      </w:r>
      <w:r w:rsidR="00894C59" w:rsidRPr="002F5491">
        <w:rPr>
          <w:rFonts w:cs="Times New Roman"/>
          <w:iCs/>
          <w:kern w:val="22"/>
          <w:szCs w:val="22"/>
        </w:rPr>
        <w:t>ing</w:t>
      </w:r>
      <w:r w:rsidR="00461576" w:rsidRPr="002F5491">
        <w:rPr>
          <w:rFonts w:cs="Times New Roman"/>
          <w:iCs/>
          <w:kern w:val="22"/>
          <w:szCs w:val="22"/>
        </w:rPr>
        <w:t xml:space="preserve"> the coordinated development of portals to facilitate access to policy support tools and methodologies, as well as to related case studies</w:t>
      </w:r>
      <w:r w:rsidR="00461576" w:rsidRPr="002F5491">
        <w:rPr>
          <w:rFonts w:cs="Times New Roman"/>
          <w:kern w:val="22"/>
          <w:szCs w:val="22"/>
        </w:rPr>
        <w:t xml:space="preserve">. </w:t>
      </w:r>
      <w:r w:rsidR="00E26FE3" w:rsidRPr="002F5491">
        <w:rPr>
          <w:rFonts w:cs="Times New Roman"/>
          <w:snapToGrid/>
          <w:kern w:val="20"/>
          <w:szCs w:val="22"/>
        </w:rPr>
        <w:t xml:space="preserve">In </w:t>
      </w:r>
      <w:r w:rsidR="005A6E61" w:rsidRPr="002F5491">
        <w:rPr>
          <w:rFonts w:cs="Times New Roman"/>
          <w:snapToGrid/>
          <w:kern w:val="20"/>
          <w:szCs w:val="22"/>
        </w:rPr>
        <w:t xml:space="preserve">its earlier </w:t>
      </w:r>
      <w:r w:rsidR="00E26FE3" w:rsidRPr="002F5491">
        <w:rPr>
          <w:rFonts w:cs="Times New Roman"/>
          <w:snapToGrid/>
          <w:kern w:val="20"/>
          <w:szCs w:val="22"/>
        </w:rPr>
        <w:t>decision XII/2</w:t>
      </w:r>
      <w:r w:rsidR="006B1EF9" w:rsidRPr="002F5491">
        <w:rPr>
          <w:rFonts w:cs="Times New Roman"/>
          <w:snapToGrid/>
          <w:kern w:val="20"/>
          <w:szCs w:val="22"/>
        </w:rPr>
        <w:t xml:space="preserve"> </w:t>
      </w:r>
      <w:r w:rsidR="005A6E61" w:rsidRPr="002F5491">
        <w:rPr>
          <w:rFonts w:cs="Times New Roman"/>
          <w:snapToGrid/>
          <w:kern w:val="20"/>
          <w:szCs w:val="22"/>
        </w:rPr>
        <w:t>B</w:t>
      </w:r>
      <w:r w:rsidR="00E26FE3" w:rsidRPr="002F5491">
        <w:rPr>
          <w:rFonts w:cs="Times New Roman"/>
          <w:snapToGrid/>
          <w:kern w:val="20"/>
          <w:szCs w:val="22"/>
        </w:rPr>
        <w:t>, paragraph 9, the</w:t>
      </w:r>
      <w:r w:rsidR="005A6E61" w:rsidRPr="002F5491">
        <w:rPr>
          <w:rFonts w:cs="Times New Roman"/>
          <w:snapToGrid/>
          <w:kern w:val="20"/>
          <w:szCs w:val="22"/>
        </w:rPr>
        <w:t xml:space="preserve"> Conference of the Parties requested</w:t>
      </w:r>
      <w:r w:rsidR="00E26FE3" w:rsidRPr="002F5491">
        <w:rPr>
          <w:rFonts w:cs="Times New Roman"/>
          <w:snapToGrid/>
          <w:kern w:val="20"/>
          <w:szCs w:val="22"/>
        </w:rPr>
        <w:t xml:space="preserve"> Executive Secretary</w:t>
      </w:r>
      <w:r w:rsidR="000A742D" w:rsidRPr="002F5491">
        <w:rPr>
          <w:rFonts w:cs="Times New Roman"/>
          <w:kern w:val="22"/>
          <w:szCs w:val="22"/>
        </w:rPr>
        <w:t xml:space="preserve">, in collaboration with partners, </w:t>
      </w:r>
      <w:r w:rsidR="000A742D" w:rsidRPr="002F5491">
        <w:rPr>
          <w:rFonts w:cs="Times New Roman"/>
          <w:snapToGrid/>
          <w:kern w:val="20"/>
          <w:szCs w:val="22"/>
        </w:rPr>
        <w:t xml:space="preserve">to assist Parties </w:t>
      </w:r>
      <w:r w:rsidR="00E26FE3" w:rsidRPr="002F5491">
        <w:rPr>
          <w:rFonts w:cs="Times New Roman"/>
          <w:kern w:val="22"/>
          <w:szCs w:val="22"/>
        </w:rPr>
        <w:t>enhance technical and scientific cooperation and technology transfer</w:t>
      </w:r>
      <w:r w:rsidR="000A742D" w:rsidRPr="002F5491">
        <w:rPr>
          <w:rFonts w:cs="Times New Roman"/>
          <w:kern w:val="22"/>
          <w:szCs w:val="22"/>
        </w:rPr>
        <w:t xml:space="preserve"> with a view to supporting the effective implementation of the Strategic Plan for Biodiversity 2011-2020 and achievement of its Aichi Biodiversity Targets</w:t>
      </w:r>
      <w:r w:rsidR="005457A8" w:rsidRPr="002F5491">
        <w:rPr>
          <w:rFonts w:cs="Times New Roman"/>
          <w:kern w:val="22"/>
          <w:szCs w:val="22"/>
        </w:rPr>
        <w:t xml:space="preserve">, including through </w:t>
      </w:r>
      <w:r w:rsidR="005457A8" w:rsidRPr="002F5491">
        <w:rPr>
          <w:rFonts w:cs="Times New Roman"/>
          <w:iCs/>
          <w:kern w:val="22"/>
          <w:szCs w:val="22"/>
        </w:rPr>
        <w:t xml:space="preserve">facilitating the communication of the Parties technical and scientific needs and priorities and </w:t>
      </w:r>
      <w:r w:rsidR="005457A8" w:rsidRPr="002F5491">
        <w:rPr>
          <w:rFonts w:cs="Times New Roman"/>
          <w:kern w:val="22"/>
          <w:szCs w:val="22"/>
        </w:rPr>
        <w:t>the linking of those needs with available support</w:t>
      </w:r>
      <w:r w:rsidR="000A742D" w:rsidRPr="002F5491">
        <w:rPr>
          <w:rFonts w:cs="Times New Roman"/>
          <w:kern w:val="22"/>
          <w:szCs w:val="22"/>
        </w:rPr>
        <w:t>.</w:t>
      </w:r>
    </w:p>
    <w:p w:rsidR="00E74130" w:rsidRPr="002F5491" w:rsidRDefault="000A742D"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Furthermore, </w:t>
      </w:r>
      <w:r w:rsidR="00E74130" w:rsidRPr="002F5491">
        <w:rPr>
          <w:rFonts w:cs="Times New Roman"/>
          <w:kern w:val="22"/>
          <w:szCs w:val="22"/>
        </w:rPr>
        <w:t>the Conference of the Parties took note of the web strategy for the Convention and its Protocols</w:t>
      </w:r>
      <w:r w:rsidR="002C2C52" w:rsidRPr="002F5491">
        <w:rPr>
          <w:rFonts w:cs="Times New Roman"/>
          <w:kern w:val="22"/>
          <w:szCs w:val="22"/>
        </w:rPr>
        <w:t xml:space="preserve"> </w:t>
      </w:r>
      <w:r w:rsidR="00162440" w:rsidRPr="002F5491">
        <w:rPr>
          <w:rFonts w:cs="Times New Roman"/>
          <w:kern w:val="22"/>
          <w:szCs w:val="22"/>
        </w:rPr>
        <w:t>and</w:t>
      </w:r>
      <w:r w:rsidR="00E74130" w:rsidRPr="002F5491">
        <w:rPr>
          <w:rFonts w:cs="Times New Roman"/>
          <w:kern w:val="22"/>
          <w:szCs w:val="22"/>
        </w:rPr>
        <w:t xml:space="preserve"> the Framework for a Communications Strategy, and req</w:t>
      </w:r>
      <w:r w:rsidR="00C05DDF" w:rsidRPr="002F5491">
        <w:rPr>
          <w:rFonts w:cs="Times New Roman"/>
          <w:kern w:val="22"/>
          <w:szCs w:val="22"/>
        </w:rPr>
        <w:t>uested the Executive Secretary,</w:t>
      </w:r>
      <w:r w:rsidR="00E74130" w:rsidRPr="002F5491">
        <w:rPr>
          <w:rFonts w:cs="Times New Roman"/>
          <w:kern w:val="22"/>
          <w:szCs w:val="22"/>
        </w:rPr>
        <w:t xml:space="preserve"> to implement the web strategy</w:t>
      </w:r>
      <w:r w:rsidR="00162440" w:rsidRPr="002F5491">
        <w:rPr>
          <w:rFonts w:cs="Times New Roman"/>
          <w:snapToGrid/>
          <w:kern w:val="20"/>
          <w:szCs w:val="22"/>
        </w:rPr>
        <w:t xml:space="preserve"> in line with the Framework for a Communications Strategy</w:t>
      </w:r>
      <w:r w:rsidR="00E74130" w:rsidRPr="002F5491">
        <w:rPr>
          <w:rFonts w:cs="Times New Roman"/>
          <w:kern w:val="22"/>
          <w:szCs w:val="22"/>
        </w:rPr>
        <w:t xml:space="preserve">, to update it with priority actions to be taken before 2018 based on decisions emanating from the thirteenth meeting of the Conference of the Parties, and </w:t>
      </w:r>
      <w:r w:rsidR="00162440" w:rsidRPr="002F5491">
        <w:rPr>
          <w:rFonts w:cs="Times New Roman"/>
          <w:kern w:val="22"/>
          <w:szCs w:val="22"/>
        </w:rPr>
        <w:t xml:space="preserve">the </w:t>
      </w:r>
      <w:r w:rsidR="00E74130" w:rsidRPr="002F5491">
        <w:rPr>
          <w:rFonts w:cs="Times New Roman"/>
          <w:kern w:val="22"/>
          <w:szCs w:val="22"/>
        </w:rPr>
        <w:t xml:space="preserve">meetings of the </w:t>
      </w:r>
      <w:r w:rsidR="00162440" w:rsidRPr="002F5491">
        <w:rPr>
          <w:rFonts w:cs="Times New Roman"/>
          <w:kern w:val="22"/>
          <w:szCs w:val="22"/>
        </w:rPr>
        <w:t xml:space="preserve">Parties to the </w:t>
      </w:r>
      <w:r w:rsidR="00E74130" w:rsidRPr="002F5491">
        <w:rPr>
          <w:rFonts w:cs="Times New Roman"/>
          <w:kern w:val="22"/>
          <w:szCs w:val="22"/>
        </w:rPr>
        <w:t>Protocols</w:t>
      </w:r>
      <w:r w:rsidR="00162440" w:rsidRPr="002F5491">
        <w:rPr>
          <w:rFonts w:cs="Times New Roman"/>
          <w:kern w:val="22"/>
          <w:szCs w:val="22"/>
        </w:rPr>
        <w:t>. The Executive Secretary was also requested</w:t>
      </w:r>
      <w:r w:rsidR="00E74130" w:rsidRPr="002F5491">
        <w:rPr>
          <w:rFonts w:cs="Times New Roman"/>
          <w:kern w:val="22"/>
          <w:szCs w:val="22"/>
        </w:rPr>
        <w:t xml:space="preserve"> to further develop the clearing-house mechanism in line with the web strategy and with the work programme for the clearing-house mechanism</w:t>
      </w:r>
      <w:r w:rsidR="00CF31CE" w:rsidRPr="002F5491">
        <w:rPr>
          <w:rFonts w:cs="Times New Roman"/>
          <w:kern w:val="22"/>
          <w:szCs w:val="22"/>
        </w:rPr>
        <w:t xml:space="preserve"> (decision XIII/23</w:t>
      </w:r>
      <w:r w:rsidR="006B1EF9" w:rsidRPr="002F5491">
        <w:rPr>
          <w:rFonts w:cs="Times New Roman"/>
          <w:kern w:val="22"/>
          <w:szCs w:val="22"/>
        </w:rPr>
        <w:t>, paras. 11, 15 (i), (j) and</w:t>
      </w:r>
      <w:r w:rsidR="00475A70">
        <w:rPr>
          <w:rFonts w:cs="Times New Roman"/>
          <w:kern w:val="22"/>
          <w:szCs w:val="22"/>
        </w:rPr>
        <w:t> </w:t>
      </w:r>
      <w:r w:rsidR="006B1EF9" w:rsidRPr="002F5491">
        <w:rPr>
          <w:rFonts w:cs="Times New Roman"/>
          <w:kern w:val="22"/>
          <w:szCs w:val="22"/>
        </w:rPr>
        <w:t>(k)</w:t>
      </w:r>
      <w:r w:rsidR="00CF31CE" w:rsidRPr="002F5491">
        <w:rPr>
          <w:rFonts w:cs="Times New Roman"/>
          <w:kern w:val="22"/>
          <w:szCs w:val="22"/>
        </w:rPr>
        <w:t>)</w:t>
      </w:r>
      <w:r w:rsidR="00E74130" w:rsidRPr="002F5491">
        <w:rPr>
          <w:rFonts w:cs="Times New Roman"/>
          <w:kern w:val="22"/>
          <w:szCs w:val="22"/>
        </w:rPr>
        <w:t>.</w:t>
      </w:r>
    </w:p>
    <w:p w:rsidR="00E13438" w:rsidRPr="002F5491" w:rsidRDefault="00A50687"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Th</w:t>
      </w:r>
      <w:r w:rsidR="006B1EF9" w:rsidRPr="002F5491">
        <w:rPr>
          <w:rFonts w:cs="Times New Roman"/>
          <w:kern w:val="22"/>
          <w:szCs w:val="22"/>
        </w:rPr>
        <w:t>e present</w:t>
      </w:r>
      <w:r w:rsidR="00836F89" w:rsidRPr="002F5491">
        <w:rPr>
          <w:rFonts w:cs="Times New Roman"/>
          <w:kern w:val="22"/>
          <w:szCs w:val="22"/>
        </w:rPr>
        <w:t xml:space="preserve"> </w:t>
      </w:r>
      <w:r w:rsidR="00E13438" w:rsidRPr="002F5491">
        <w:rPr>
          <w:rFonts w:cs="Times New Roman"/>
          <w:bCs/>
          <w:kern w:val="22"/>
          <w:szCs w:val="22"/>
        </w:rPr>
        <w:t>document provid</w:t>
      </w:r>
      <w:r w:rsidR="00836F89" w:rsidRPr="002F5491">
        <w:rPr>
          <w:rFonts w:cs="Times New Roman"/>
          <w:bCs/>
          <w:kern w:val="22"/>
          <w:szCs w:val="22"/>
        </w:rPr>
        <w:t>es</w:t>
      </w:r>
      <w:r w:rsidR="00E13438" w:rsidRPr="002F5491">
        <w:rPr>
          <w:rFonts w:cs="Times New Roman"/>
          <w:bCs/>
          <w:kern w:val="22"/>
          <w:szCs w:val="22"/>
        </w:rPr>
        <w:t xml:space="preserve"> </w:t>
      </w:r>
      <w:r w:rsidR="000A742D" w:rsidRPr="002F5491">
        <w:rPr>
          <w:rFonts w:cs="Times New Roman"/>
          <w:bCs/>
          <w:kern w:val="22"/>
          <w:szCs w:val="22"/>
        </w:rPr>
        <w:t xml:space="preserve">progress </w:t>
      </w:r>
      <w:r w:rsidR="00E258FF" w:rsidRPr="002F5491">
        <w:rPr>
          <w:rFonts w:cs="Times New Roman"/>
          <w:bCs/>
          <w:kern w:val="22"/>
          <w:szCs w:val="22"/>
        </w:rPr>
        <w:t>reports and information</w:t>
      </w:r>
      <w:r w:rsidR="00E13438" w:rsidRPr="002F5491">
        <w:rPr>
          <w:rFonts w:cs="Times New Roman"/>
          <w:bCs/>
          <w:kern w:val="22"/>
          <w:szCs w:val="22"/>
        </w:rPr>
        <w:t xml:space="preserve"> </w:t>
      </w:r>
      <w:r w:rsidR="000A742D" w:rsidRPr="002F5491">
        <w:rPr>
          <w:rFonts w:cs="Times New Roman"/>
          <w:bCs/>
          <w:kern w:val="22"/>
          <w:szCs w:val="22"/>
        </w:rPr>
        <w:t>with respect to</w:t>
      </w:r>
      <w:r w:rsidR="00E258FF" w:rsidRPr="002F5491">
        <w:rPr>
          <w:rFonts w:cs="Times New Roman"/>
          <w:bCs/>
          <w:kern w:val="22"/>
          <w:szCs w:val="22"/>
        </w:rPr>
        <w:t xml:space="preserve"> the above decision</w:t>
      </w:r>
      <w:r w:rsidR="004874FB" w:rsidRPr="002F5491">
        <w:rPr>
          <w:rFonts w:cs="Times New Roman"/>
          <w:bCs/>
          <w:kern w:val="22"/>
          <w:szCs w:val="22"/>
        </w:rPr>
        <w:t xml:space="preserve">s. Section </w:t>
      </w:r>
      <w:r w:rsidR="00723F4F">
        <w:rPr>
          <w:rFonts w:cs="Times New Roman"/>
          <w:bCs/>
          <w:kern w:val="22"/>
          <w:szCs w:val="22"/>
        </w:rPr>
        <w:t>II</w:t>
      </w:r>
      <w:r w:rsidR="004874FB" w:rsidRPr="002F5491">
        <w:rPr>
          <w:rFonts w:cs="Times New Roman"/>
          <w:bCs/>
          <w:kern w:val="22"/>
          <w:szCs w:val="22"/>
        </w:rPr>
        <w:t xml:space="preserve"> presents a </w:t>
      </w:r>
      <w:r w:rsidR="00D823A2" w:rsidRPr="002F5491">
        <w:rPr>
          <w:rFonts w:cs="Times New Roman"/>
          <w:kern w:val="22"/>
          <w:szCs w:val="22"/>
        </w:rPr>
        <w:t>progress</w:t>
      </w:r>
      <w:r w:rsidR="00F33724" w:rsidRPr="002F5491">
        <w:rPr>
          <w:rFonts w:cs="Times New Roman"/>
          <w:kern w:val="22"/>
          <w:szCs w:val="22"/>
        </w:rPr>
        <w:t xml:space="preserve"> report on the implementation of the short-term action plan (2017-2020) on capacity-building, including </w:t>
      </w:r>
      <w:r w:rsidR="005B1ECD" w:rsidRPr="002F5491">
        <w:rPr>
          <w:rFonts w:cs="Times New Roman"/>
          <w:kern w:val="22"/>
          <w:szCs w:val="22"/>
        </w:rPr>
        <w:t>the</w:t>
      </w:r>
      <w:r w:rsidR="007F286F" w:rsidRPr="002F5491">
        <w:rPr>
          <w:rFonts w:cs="Times New Roman"/>
          <w:kern w:val="22"/>
          <w:szCs w:val="22"/>
        </w:rPr>
        <w:t xml:space="preserve"> emerging experiences and lessons learned</w:t>
      </w:r>
      <w:r w:rsidR="0039003C" w:rsidRPr="002F5491">
        <w:rPr>
          <w:rFonts w:cs="Times New Roman"/>
          <w:kern w:val="22"/>
          <w:szCs w:val="22"/>
        </w:rPr>
        <w:t>. S</w:t>
      </w:r>
      <w:r w:rsidR="004874FB" w:rsidRPr="002F5491">
        <w:rPr>
          <w:rFonts w:cs="Times New Roman"/>
          <w:kern w:val="22"/>
          <w:szCs w:val="22"/>
        </w:rPr>
        <w:t xml:space="preserve">ection </w:t>
      </w:r>
      <w:r w:rsidR="00723F4F">
        <w:rPr>
          <w:rFonts w:cs="Times New Roman"/>
          <w:kern w:val="22"/>
          <w:szCs w:val="22"/>
        </w:rPr>
        <w:t>III</w:t>
      </w:r>
      <w:r w:rsidR="004874FB" w:rsidRPr="002F5491">
        <w:rPr>
          <w:rFonts w:cs="Times New Roman"/>
          <w:kern w:val="22"/>
          <w:szCs w:val="22"/>
        </w:rPr>
        <w:t xml:space="preserve"> </w:t>
      </w:r>
      <w:r w:rsidR="00F006BC" w:rsidRPr="002F5491">
        <w:rPr>
          <w:rFonts w:cs="Times New Roman"/>
          <w:bCs/>
          <w:kern w:val="22"/>
          <w:szCs w:val="22"/>
        </w:rPr>
        <w:t>provides a report on the progress made with respect to technical and scientific cooperation</w:t>
      </w:r>
      <w:r w:rsidR="00680B02" w:rsidRPr="002F5491">
        <w:rPr>
          <w:rFonts w:cs="Times New Roman"/>
          <w:bCs/>
          <w:kern w:val="22"/>
          <w:szCs w:val="22"/>
        </w:rPr>
        <w:t xml:space="preserve">. Section </w:t>
      </w:r>
      <w:r w:rsidR="00723F4F">
        <w:rPr>
          <w:rFonts w:cs="Times New Roman"/>
          <w:bCs/>
          <w:kern w:val="22"/>
          <w:szCs w:val="22"/>
        </w:rPr>
        <w:t>IV</w:t>
      </w:r>
      <w:r w:rsidR="00680B02" w:rsidRPr="002F5491">
        <w:rPr>
          <w:rFonts w:cs="Times New Roman"/>
          <w:bCs/>
          <w:kern w:val="22"/>
          <w:szCs w:val="22"/>
        </w:rPr>
        <w:t xml:space="preserve"> </w:t>
      </w:r>
      <w:r w:rsidR="00680B02" w:rsidRPr="002F5491">
        <w:rPr>
          <w:rFonts w:cs="Times New Roman"/>
          <w:kern w:val="22"/>
          <w:szCs w:val="22"/>
        </w:rPr>
        <w:t>describes key main elements of the process for the preparation of a long-term capacity development strategic framework</w:t>
      </w:r>
      <w:r w:rsidR="00687E64" w:rsidRPr="002F5491">
        <w:rPr>
          <w:rFonts w:cs="Times New Roman"/>
          <w:bCs/>
          <w:kern w:val="22"/>
          <w:szCs w:val="22"/>
        </w:rPr>
        <w:t xml:space="preserve">. </w:t>
      </w:r>
      <w:r w:rsidR="0039003C" w:rsidRPr="002F5491">
        <w:rPr>
          <w:rFonts w:cs="Times New Roman"/>
          <w:bCs/>
          <w:kern w:val="22"/>
          <w:szCs w:val="22"/>
        </w:rPr>
        <w:t>S</w:t>
      </w:r>
      <w:r w:rsidR="00F2764F" w:rsidRPr="002F5491">
        <w:rPr>
          <w:rFonts w:cs="Times New Roman"/>
          <w:bCs/>
          <w:kern w:val="22"/>
          <w:szCs w:val="22"/>
        </w:rPr>
        <w:t xml:space="preserve">ection </w:t>
      </w:r>
      <w:r w:rsidR="00723F4F">
        <w:rPr>
          <w:rFonts w:cs="Times New Roman"/>
          <w:bCs/>
          <w:kern w:val="22"/>
          <w:szCs w:val="22"/>
        </w:rPr>
        <w:t>V</w:t>
      </w:r>
      <w:r w:rsidR="00F2764F" w:rsidRPr="002F5491">
        <w:rPr>
          <w:rFonts w:cs="Times New Roman"/>
          <w:bCs/>
          <w:kern w:val="22"/>
          <w:szCs w:val="22"/>
        </w:rPr>
        <w:t xml:space="preserve"> </w:t>
      </w:r>
      <w:r w:rsidR="00F2764F" w:rsidRPr="002F5491">
        <w:rPr>
          <w:rFonts w:cs="Times New Roman"/>
          <w:szCs w:val="22"/>
        </w:rPr>
        <w:t>provides a progress report on</w:t>
      </w:r>
      <w:r w:rsidR="006667AA" w:rsidRPr="002F5491">
        <w:rPr>
          <w:rFonts w:cs="Times New Roman"/>
          <w:szCs w:val="22"/>
        </w:rPr>
        <w:t xml:space="preserve"> the implementation of</w:t>
      </w:r>
      <w:r w:rsidR="00F2764F" w:rsidRPr="002F5491">
        <w:rPr>
          <w:rFonts w:cs="Times New Roman"/>
          <w:szCs w:val="22"/>
        </w:rPr>
        <w:t xml:space="preserve"> the </w:t>
      </w:r>
      <w:r w:rsidR="00F2764F" w:rsidRPr="002F5491">
        <w:rPr>
          <w:rFonts w:cs="Times New Roman"/>
          <w:kern w:val="22"/>
          <w:szCs w:val="22"/>
        </w:rPr>
        <w:t>web strategy for the Convention and its Protocols</w:t>
      </w:r>
      <w:r w:rsidR="00F2764F" w:rsidRPr="002F5491">
        <w:rPr>
          <w:rFonts w:cs="Times New Roman"/>
          <w:szCs w:val="22"/>
        </w:rPr>
        <w:t xml:space="preserve"> in response to the requests in paragraphs 15(i) and (j), and on </w:t>
      </w:r>
      <w:r w:rsidR="00541724" w:rsidRPr="002F5491">
        <w:rPr>
          <w:rFonts w:cs="Times New Roman"/>
          <w:szCs w:val="22"/>
        </w:rPr>
        <w:t xml:space="preserve">implementation of </w:t>
      </w:r>
      <w:r w:rsidR="00F2764F" w:rsidRPr="002F5491">
        <w:rPr>
          <w:rFonts w:cs="Times New Roman"/>
          <w:szCs w:val="22"/>
        </w:rPr>
        <w:t>the clearing-house mechanism in line with the request in paragraph 15(k) of decision XIII/23</w:t>
      </w:r>
      <w:r w:rsidR="00F2764F" w:rsidRPr="002F5491">
        <w:rPr>
          <w:rFonts w:cs="Times New Roman"/>
          <w:kern w:val="22"/>
          <w:szCs w:val="22"/>
        </w:rPr>
        <w:t xml:space="preserve">. Elements of a draft </w:t>
      </w:r>
      <w:r w:rsidR="0039003C" w:rsidRPr="002F5491">
        <w:rPr>
          <w:rFonts w:cs="Times New Roman"/>
          <w:kern w:val="22"/>
          <w:szCs w:val="22"/>
        </w:rPr>
        <w:t>recommendation</w:t>
      </w:r>
      <w:r w:rsidR="00CD4E1F" w:rsidRPr="002F5491">
        <w:rPr>
          <w:rFonts w:cs="Times New Roman"/>
          <w:kern w:val="22"/>
          <w:szCs w:val="22"/>
        </w:rPr>
        <w:t xml:space="preserve"> to the Conference of the Parties </w:t>
      </w:r>
      <w:r w:rsidR="00F2764F" w:rsidRPr="002F5491">
        <w:rPr>
          <w:rFonts w:cs="Times New Roman"/>
          <w:kern w:val="22"/>
          <w:szCs w:val="22"/>
        </w:rPr>
        <w:t>are presented in section</w:t>
      </w:r>
      <w:r w:rsidR="00B744B5">
        <w:rPr>
          <w:rFonts w:cs="Times New Roman"/>
          <w:kern w:val="22"/>
          <w:szCs w:val="22"/>
        </w:rPr>
        <w:t> </w:t>
      </w:r>
      <w:r w:rsidR="00F2764F" w:rsidRPr="002F5491">
        <w:rPr>
          <w:rFonts w:cs="Times New Roman"/>
          <w:kern w:val="22"/>
          <w:szCs w:val="22"/>
        </w:rPr>
        <w:t>6</w:t>
      </w:r>
      <w:r w:rsidR="00680B02" w:rsidRPr="002F5491">
        <w:rPr>
          <w:rFonts w:cs="Times New Roman"/>
          <w:kern w:val="22"/>
          <w:szCs w:val="22"/>
        </w:rPr>
        <w:t>.</w:t>
      </w:r>
    </w:p>
    <w:p w:rsidR="001C7FD7" w:rsidRPr="002F5491" w:rsidRDefault="00812909" w:rsidP="00CA7019">
      <w:pPr>
        <w:keepNext/>
        <w:spacing w:before="120" w:after="120"/>
        <w:ind w:left="1170" w:hanging="450"/>
        <w:jc w:val="left"/>
        <w:rPr>
          <w:rFonts w:cs="Times New Roman"/>
          <w:b/>
          <w:iCs/>
          <w:caps/>
          <w:snapToGrid w:val="0"/>
          <w:kern w:val="22"/>
          <w:szCs w:val="22"/>
        </w:rPr>
      </w:pPr>
      <w:r w:rsidRPr="002F5491">
        <w:rPr>
          <w:rFonts w:cs="Times New Roman"/>
          <w:b/>
          <w:iCs/>
          <w:caps/>
          <w:snapToGrid w:val="0"/>
          <w:kern w:val="22"/>
          <w:szCs w:val="22"/>
        </w:rPr>
        <w:t>II</w:t>
      </w:r>
      <w:r w:rsidR="003C00AA" w:rsidRPr="002F5491">
        <w:rPr>
          <w:rFonts w:cs="Times New Roman"/>
          <w:b/>
          <w:iCs/>
          <w:caps/>
          <w:snapToGrid w:val="0"/>
          <w:kern w:val="22"/>
          <w:szCs w:val="22"/>
        </w:rPr>
        <w:t>.</w:t>
      </w:r>
      <w:r w:rsidR="00F33E85" w:rsidRPr="002F5491">
        <w:rPr>
          <w:rFonts w:cs="Times New Roman"/>
          <w:b/>
          <w:iCs/>
          <w:caps/>
          <w:snapToGrid w:val="0"/>
          <w:kern w:val="22"/>
          <w:szCs w:val="22"/>
        </w:rPr>
        <w:tab/>
      </w:r>
      <w:r w:rsidR="0039377C" w:rsidRPr="002F5491">
        <w:rPr>
          <w:rFonts w:cs="Times New Roman"/>
          <w:b/>
          <w:iCs/>
          <w:caps/>
          <w:snapToGrid w:val="0"/>
          <w:kern w:val="22"/>
          <w:szCs w:val="22"/>
        </w:rPr>
        <w:t xml:space="preserve">PROGRESS </w:t>
      </w:r>
      <w:r w:rsidR="0039003C" w:rsidRPr="002F5491">
        <w:rPr>
          <w:rFonts w:cs="Times New Roman"/>
          <w:b/>
          <w:iCs/>
          <w:caps/>
          <w:snapToGrid w:val="0"/>
          <w:kern w:val="22"/>
          <w:szCs w:val="22"/>
        </w:rPr>
        <w:t xml:space="preserve">report on </w:t>
      </w:r>
      <w:r w:rsidR="00FE7183" w:rsidRPr="002F5491">
        <w:rPr>
          <w:rFonts w:cs="Times New Roman"/>
          <w:b/>
          <w:iCs/>
          <w:caps/>
          <w:snapToGrid w:val="0"/>
          <w:kern w:val="22"/>
          <w:szCs w:val="22"/>
        </w:rPr>
        <w:t xml:space="preserve">the implementation of the short-term action plan (2017-2020) </w:t>
      </w:r>
      <w:r w:rsidR="008D63EC" w:rsidRPr="002F5491">
        <w:rPr>
          <w:rFonts w:cs="Times New Roman"/>
          <w:b/>
          <w:iCs/>
          <w:caps/>
          <w:snapToGrid w:val="0"/>
          <w:kern w:val="22"/>
          <w:szCs w:val="22"/>
        </w:rPr>
        <w:t>to enhance and support capacity-building for the implementation of the Convention and its Protocols</w:t>
      </w:r>
    </w:p>
    <w:p w:rsidR="000F2C44" w:rsidRPr="002F5491" w:rsidRDefault="00F2764F" w:rsidP="00196828">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15(f) of decision XIII/23, the Conference of the Parties requested the Executive Secretary to undertake monitoring and evaluation of the outcomes and effectiveness of ongoing capacity-building activities supported and facilitated by the Secretariat, with a view to better targeting and improving future capacity-building activities, and to report on the results to the Subsidiary Body on Implementation for consideration at its second meeting.</w:t>
      </w:r>
      <w:r w:rsidR="000F2C44" w:rsidRPr="002F5491">
        <w:rPr>
          <w:rFonts w:cs="Times New Roman"/>
          <w:kern w:val="22"/>
          <w:szCs w:val="22"/>
        </w:rPr>
        <w:t xml:space="preserve"> This section provides </w:t>
      </w:r>
      <w:r w:rsidR="00117628" w:rsidRPr="002F5491">
        <w:rPr>
          <w:rFonts w:cs="Times New Roman"/>
          <w:kern w:val="22"/>
          <w:szCs w:val="22"/>
        </w:rPr>
        <w:t>an overview of the main outcomes of activities carried out and the emerging experiences and lessons learned.</w:t>
      </w:r>
    </w:p>
    <w:p w:rsidR="00196828" w:rsidRPr="002F5491" w:rsidRDefault="00682175" w:rsidP="00196828">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From January 2017 to March 2018, the Secretariat </w:t>
      </w:r>
      <w:r w:rsidR="00346CC5" w:rsidRPr="002F5491">
        <w:rPr>
          <w:rFonts w:cs="Times New Roman"/>
          <w:kern w:val="22"/>
          <w:szCs w:val="22"/>
        </w:rPr>
        <w:t xml:space="preserve">in collaboration with partners </w:t>
      </w:r>
      <w:r w:rsidRPr="002F5491">
        <w:rPr>
          <w:rFonts w:cs="Times New Roman"/>
          <w:kern w:val="22"/>
          <w:szCs w:val="22"/>
        </w:rPr>
        <w:t>supported</w:t>
      </w:r>
      <w:r w:rsidRPr="002F5491">
        <w:rPr>
          <w:rFonts w:cs="Times New Roman"/>
          <w:snapToGrid/>
          <w:kern w:val="20"/>
          <w:szCs w:val="22"/>
        </w:rPr>
        <w:t xml:space="preserve"> </w:t>
      </w:r>
      <w:r w:rsidR="00EC7BAF" w:rsidRPr="002F5491">
        <w:rPr>
          <w:rFonts w:cs="Times New Roman"/>
          <w:snapToGrid/>
          <w:kern w:val="20"/>
          <w:szCs w:val="22"/>
        </w:rPr>
        <w:t>and</w:t>
      </w:r>
      <w:r w:rsidRPr="002F5491">
        <w:rPr>
          <w:rFonts w:cs="Times New Roman"/>
          <w:snapToGrid/>
          <w:kern w:val="20"/>
          <w:szCs w:val="22"/>
        </w:rPr>
        <w:t xml:space="preserve"> facilitated</w:t>
      </w:r>
      <w:r w:rsidR="00196828" w:rsidRPr="002F5491">
        <w:rPr>
          <w:rFonts w:cs="Times New Roman"/>
          <w:kern w:val="22"/>
          <w:szCs w:val="22"/>
        </w:rPr>
        <w:t xml:space="preserve"> several </w:t>
      </w:r>
      <w:r w:rsidRPr="002F5491">
        <w:rPr>
          <w:rFonts w:cs="Times New Roman"/>
          <w:kern w:val="22"/>
          <w:szCs w:val="22"/>
        </w:rPr>
        <w:t>capacity-building activities</w:t>
      </w:r>
      <w:r w:rsidR="00B32B22" w:rsidRPr="002F5491">
        <w:rPr>
          <w:rFonts w:cs="Times New Roman"/>
          <w:kern w:val="22"/>
          <w:szCs w:val="22"/>
        </w:rPr>
        <w:t xml:space="preserve"> in line with the short-term action plan (2017-2020) to enhance and support capacity-building for the implementation of the Convention and its Protocols. The</w:t>
      </w:r>
      <w:r w:rsidR="00983E71" w:rsidRPr="002F5491">
        <w:rPr>
          <w:rFonts w:cs="Times New Roman"/>
          <w:kern w:val="22"/>
          <w:szCs w:val="22"/>
        </w:rPr>
        <w:t xml:space="preserve"> activities</w:t>
      </w:r>
      <w:r w:rsidR="004306F0" w:rsidRPr="002F5491">
        <w:rPr>
          <w:rFonts w:cs="Times New Roman"/>
          <w:kern w:val="22"/>
          <w:szCs w:val="22"/>
        </w:rPr>
        <w:t xml:space="preserve"> includ</w:t>
      </w:r>
      <w:r w:rsidR="00B32B22" w:rsidRPr="002F5491">
        <w:rPr>
          <w:rFonts w:cs="Times New Roman"/>
          <w:kern w:val="22"/>
          <w:szCs w:val="22"/>
        </w:rPr>
        <w:t>ed</w:t>
      </w:r>
      <w:r w:rsidR="004306F0" w:rsidRPr="002F5491">
        <w:rPr>
          <w:rFonts w:cs="Times New Roman"/>
          <w:kern w:val="22"/>
          <w:szCs w:val="22"/>
        </w:rPr>
        <w:t xml:space="preserve"> </w:t>
      </w:r>
      <w:r w:rsidR="004306F0" w:rsidRPr="002F5491">
        <w:rPr>
          <w:rFonts w:cs="Times New Roman"/>
          <w:szCs w:val="22"/>
        </w:rPr>
        <w:t>3</w:t>
      </w:r>
      <w:r w:rsidR="00196828" w:rsidRPr="002F5491">
        <w:rPr>
          <w:rFonts w:cs="Times New Roman"/>
          <w:szCs w:val="22"/>
        </w:rPr>
        <w:t>8</w:t>
      </w:r>
      <w:r w:rsidR="004306F0" w:rsidRPr="002F5491">
        <w:rPr>
          <w:rFonts w:cs="Times New Roman"/>
          <w:szCs w:val="22"/>
        </w:rPr>
        <w:t xml:space="preserve"> workshops</w:t>
      </w:r>
      <w:r w:rsidR="004E4C20" w:rsidRPr="002F5491">
        <w:rPr>
          <w:rFonts w:cs="Times New Roman"/>
          <w:szCs w:val="22"/>
        </w:rPr>
        <w:t>, technical missions</w:t>
      </w:r>
      <w:r w:rsidR="00B40B76" w:rsidRPr="002F5491">
        <w:rPr>
          <w:rFonts w:cs="Times New Roman"/>
          <w:szCs w:val="22"/>
        </w:rPr>
        <w:t xml:space="preserve"> and round tables</w:t>
      </w:r>
      <w:r w:rsidR="004306F0" w:rsidRPr="002F5491">
        <w:rPr>
          <w:rFonts w:cs="Times New Roman"/>
          <w:szCs w:val="22"/>
        </w:rPr>
        <w:t xml:space="preserve"> </w:t>
      </w:r>
      <w:r w:rsidR="00196828" w:rsidRPr="002F5491">
        <w:rPr>
          <w:rFonts w:cs="Times New Roman"/>
          <w:szCs w:val="22"/>
        </w:rPr>
        <w:t xml:space="preserve">through </w:t>
      </w:r>
      <w:r w:rsidR="004306F0" w:rsidRPr="002F5491">
        <w:rPr>
          <w:rFonts w:cs="Times New Roman"/>
          <w:szCs w:val="22"/>
        </w:rPr>
        <w:t>which more than 1,</w:t>
      </w:r>
      <w:r w:rsidR="00F373AA" w:rsidRPr="002F5491">
        <w:rPr>
          <w:rFonts w:cs="Times New Roman"/>
          <w:szCs w:val="22"/>
        </w:rPr>
        <w:t>400</w:t>
      </w:r>
      <w:r w:rsidR="004306F0" w:rsidRPr="002F5491">
        <w:rPr>
          <w:rFonts w:cs="Times New Roman"/>
          <w:szCs w:val="22"/>
        </w:rPr>
        <w:t xml:space="preserve"> participants</w:t>
      </w:r>
      <w:r w:rsidR="00196828" w:rsidRPr="002F5491">
        <w:rPr>
          <w:rFonts w:cs="Times New Roman"/>
          <w:szCs w:val="22"/>
        </w:rPr>
        <w:t xml:space="preserve"> were trained</w:t>
      </w:r>
      <w:r w:rsidR="00196828" w:rsidRPr="002F5491">
        <w:rPr>
          <w:rFonts w:cs="Times New Roman"/>
          <w:kern w:val="22"/>
          <w:szCs w:val="22"/>
        </w:rPr>
        <w:t xml:space="preserve">, 42 pilot </w:t>
      </w:r>
      <w:r w:rsidR="00F2764F" w:rsidRPr="002F5491">
        <w:rPr>
          <w:rFonts w:cs="Times New Roman"/>
          <w:kern w:val="22"/>
          <w:szCs w:val="22"/>
        </w:rPr>
        <w:t>and</w:t>
      </w:r>
      <w:r w:rsidR="00196828" w:rsidRPr="002F5491">
        <w:rPr>
          <w:rFonts w:cs="Times New Roman"/>
          <w:kern w:val="22"/>
          <w:szCs w:val="22"/>
        </w:rPr>
        <w:t xml:space="preserve"> demonstration projects</w:t>
      </w:r>
      <w:r w:rsidR="00F22C54" w:rsidRPr="002F5491">
        <w:rPr>
          <w:rFonts w:cs="Times New Roman"/>
          <w:szCs w:val="22"/>
        </w:rPr>
        <w:t>,</w:t>
      </w:r>
      <w:r w:rsidR="00F22C54" w:rsidRPr="002F5491">
        <w:rPr>
          <w:rFonts w:cs="Times New Roman"/>
          <w:kern w:val="22"/>
          <w:szCs w:val="22"/>
        </w:rPr>
        <w:t xml:space="preserve"> 2 massive open online courses in which more than 2,200 participants took part, and more than 20 webinars and online </w:t>
      </w:r>
      <w:r w:rsidR="007834F0" w:rsidRPr="00AC0FF2">
        <w:rPr>
          <w:rFonts w:cs="Times New Roman"/>
          <w:kern w:val="22"/>
          <w:szCs w:val="22"/>
        </w:rPr>
        <w:t>forums</w:t>
      </w:r>
      <w:r w:rsidR="00196828" w:rsidRPr="002F5491">
        <w:rPr>
          <w:rFonts w:cs="Times New Roman"/>
          <w:kern w:val="22"/>
          <w:szCs w:val="22"/>
        </w:rPr>
        <w:t>.</w:t>
      </w:r>
    </w:p>
    <w:p w:rsidR="002E74C9" w:rsidRPr="002F5491" w:rsidRDefault="00C1388B" w:rsidP="00682175">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Summary </w:t>
      </w:r>
      <w:r w:rsidR="00335295" w:rsidRPr="002F5491">
        <w:rPr>
          <w:rFonts w:cs="Times New Roman"/>
          <w:kern w:val="22"/>
          <w:szCs w:val="22"/>
        </w:rPr>
        <w:t>description</w:t>
      </w:r>
      <w:r w:rsidR="00073C2A" w:rsidRPr="002F5491">
        <w:rPr>
          <w:rFonts w:cs="Times New Roman"/>
          <w:kern w:val="22"/>
          <w:szCs w:val="22"/>
        </w:rPr>
        <w:t>s</w:t>
      </w:r>
      <w:r w:rsidR="00C17C33" w:rsidRPr="002F5491">
        <w:rPr>
          <w:rFonts w:cs="Times New Roman"/>
          <w:kern w:val="22"/>
          <w:szCs w:val="22"/>
        </w:rPr>
        <w:t xml:space="preserve"> of </w:t>
      </w:r>
      <w:r w:rsidR="000414A4" w:rsidRPr="002F5491">
        <w:rPr>
          <w:rFonts w:cs="Times New Roman"/>
          <w:kern w:val="22"/>
          <w:szCs w:val="22"/>
        </w:rPr>
        <w:t xml:space="preserve">the </w:t>
      </w:r>
      <w:r w:rsidR="00335295" w:rsidRPr="002F5491">
        <w:rPr>
          <w:rFonts w:cs="Times New Roman"/>
          <w:kern w:val="22"/>
          <w:szCs w:val="22"/>
        </w:rPr>
        <w:t xml:space="preserve">main </w:t>
      </w:r>
      <w:r w:rsidR="00C17C33" w:rsidRPr="002F5491">
        <w:rPr>
          <w:rFonts w:cs="Times New Roman"/>
          <w:kern w:val="22"/>
          <w:szCs w:val="22"/>
        </w:rPr>
        <w:t xml:space="preserve">activities </w:t>
      </w:r>
      <w:r w:rsidR="00CF2768" w:rsidRPr="002F5491">
        <w:rPr>
          <w:rFonts w:cs="Times New Roman"/>
          <w:kern w:val="22"/>
          <w:szCs w:val="22"/>
        </w:rPr>
        <w:t xml:space="preserve">supported </w:t>
      </w:r>
      <w:r w:rsidR="00EC7BAF" w:rsidRPr="002F5491">
        <w:rPr>
          <w:rFonts w:cs="Times New Roman"/>
          <w:kern w:val="22"/>
          <w:szCs w:val="22"/>
        </w:rPr>
        <w:t>and</w:t>
      </w:r>
      <w:r w:rsidR="00CF2768" w:rsidRPr="002F5491">
        <w:rPr>
          <w:rFonts w:cs="Times New Roman"/>
          <w:kern w:val="22"/>
          <w:szCs w:val="22"/>
        </w:rPr>
        <w:t xml:space="preserve"> facilitated</w:t>
      </w:r>
      <w:r w:rsidR="00C17C33" w:rsidRPr="002F5491">
        <w:rPr>
          <w:rFonts w:cs="Times New Roman"/>
          <w:kern w:val="22"/>
          <w:szCs w:val="22"/>
        </w:rPr>
        <w:t xml:space="preserve"> by the Secretariat in collaboration with partner</w:t>
      </w:r>
      <w:r w:rsidR="002E74C9" w:rsidRPr="002F5491">
        <w:rPr>
          <w:rFonts w:cs="Times New Roman"/>
          <w:kern w:val="22"/>
          <w:szCs w:val="22"/>
        </w:rPr>
        <w:t>s</w:t>
      </w:r>
      <w:r w:rsidR="00B21711" w:rsidRPr="002F5491">
        <w:rPr>
          <w:rFonts w:cs="Times New Roman"/>
          <w:kern w:val="22"/>
          <w:szCs w:val="22"/>
        </w:rPr>
        <w:t xml:space="preserve"> and their </w:t>
      </w:r>
      <w:r w:rsidR="00EC7BAF" w:rsidRPr="002F5491">
        <w:rPr>
          <w:rFonts w:cs="Times New Roman"/>
          <w:kern w:val="22"/>
          <w:szCs w:val="22"/>
        </w:rPr>
        <w:t xml:space="preserve">respective </w:t>
      </w:r>
      <w:r w:rsidR="00B21711" w:rsidRPr="002F5491">
        <w:rPr>
          <w:rFonts w:cs="Times New Roman"/>
          <w:kern w:val="22"/>
          <w:szCs w:val="22"/>
        </w:rPr>
        <w:t>outputs</w:t>
      </w:r>
      <w:r w:rsidR="007C7ED7" w:rsidRPr="002F5491">
        <w:rPr>
          <w:rFonts w:cs="Times New Roman"/>
          <w:kern w:val="22"/>
          <w:szCs w:val="22"/>
        </w:rPr>
        <w:t xml:space="preserve"> </w:t>
      </w:r>
      <w:r w:rsidR="00073C2A" w:rsidRPr="002F5491">
        <w:rPr>
          <w:rFonts w:cs="Times New Roman"/>
          <w:kern w:val="22"/>
          <w:szCs w:val="22"/>
        </w:rPr>
        <w:t>are</w:t>
      </w:r>
      <w:r w:rsidR="00C17C33" w:rsidRPr="002F5491">
        <w:rPr>
          <w:rFonts w:cs="Times New Roman"/>
          <w:kern w:val="22"/>
          <w:szCs w:val="22"/>
        </w:rPr>
        <w:t xml:space="preserve"> made available in information document CBD/SBI/2/</w:t>
      </w:r>
      <w:r w:rsidR="00170570" w:rsidRPr="002F5491">
        <w:rPr>
          <w:rFonts w:cs="Times New Roman"/>
          <w:kern w:val="22"/>
          <w:szCs w:val="22"/>
        </w:rPr>
        <w:t>INF/6</w:t>
      </w:r>
      <w:r w:rsidR="00B21711" w:rsidRPr="002F5491">
        <w:rPr>
          <w:rFonts w:cs="Times New Roman"/>
          <w:kern w:val="22"/>
          <w:szCs w:val="22"/>
        </w:rPr>
        <w:t xml:space="preserve">. A </w:t>
      </w:r>
      <w:r w:rsidR="004306F0" w:rsidRPr="002F5491">
        <w:rPr>
          <w:rFonts w:cs="Times New Roman"/>
          <w:kern w:val="22"/>
          <w:szCs w:val="22"/>
        </w:rPr>
        <w:t xml:space="preserve">list of </w:t>
      </w:r>
      <w:r w:rsidR="009073B3" w:rsidRPr="002F5491">
        <w:rPr>
          <w:rFonts w:cs="Times New Roman"/>
          <w:kern w:val="22"/>
          <w:szCs w:val="22"/>
        </w:rPr>
        <w:t xml:space="preserve">all </w:t>
      </w:r>
      <w:r w:rsidR="00B21711" w:rsidRPr="002F5491">
        <w:rPr>
          <w:rFonts w:cs="Times New Roman"/>
          <w:kern w:val="22"/>
          <w:szCs w:val="22"/>
        </w:rPr>
        <w:t xml:space="preserve">the </w:t>
      </w:r>
      <w:r w:rsidR="004306F0" w:rsidRPr="002F5491">
        <w:rPr>
          <w:rFonts w:cs="Times New Roman"/>
          <w:kern w:val="22"/>
          <w:szCs w:val="22"/>
        </w:rPr>
        <w:t>activities carried out</w:t>
      </w:r>
      <w:r w:rsidR="00B21711" w:rsidRPr="002F5491">
        <w:rPr>
          <w:rFonts w:cs="Times New Roman"/>
          <w:kern w:val="22"/>
          <w:szCs w:val="22"/>
        </w:rPr>
        <w:t xml:space="preserve">, </w:t>
      </w:r>
      <w:r w:rsidR="00073C2A" w:rsidRPr="002F5491">
        <w:rPr>
          <w:rFonts w:cs="Times New Roman"/>
          <w:kern w:val="22"/>
          <w:szCs w:val="22"/>
        </w:rPr>
        <w:t>along with</w:t>
      </w:r>
      <w:r w:rsidR="00EC7BAF" w:rsidRPr="002F5491">
        <w:rPr>
          <w:rFonts w:cs="Times New Roman"/>
          <w:kern w:val="22"/>
          <w:szCs w:val="22"/>
        </w:rPr>
        <w:t xml:space="preserve"> </w:t>
      </w:r>
      <w:r w:rsidR="00B21711" w:rsidRPr="002F5491">
        <w:rPr>
          <w:rFonts w:cs="Times New Roman"/>
          <w:kern w:val="22"/>
          <w:szCs w:val="22"/>
        </w:rPr>
        <w:t xml:space="preserve">their respective sources of support </w:t>
      </w:r>
      <w:r w:rsidR="00B21711" w:rsidRPr="002F5491">
        <w:rPr>
          <w:rFonts w:cs="Times New Roman"/>
          <w:kern w:val="22"/>
          <w:szCs w:val="22"/>
        </w:rPr>
        <w:lastRenderedPageBreak/>
        <w:t>and the partners that delivered or co-organi</w:t>
      </w:r>
      <w:r w:rsidR="006B1EF9" w:rsidRPr="002F5491">
        <w:rPr>
          <w:rFonts w:cs="Times New Roman"/>
          <w:kern w:val="22"/>
          <w:szCs w:val="22"/>
        </w:rPr>
        <w:t>z</w:t>
      </w:r>
      <w:r w:rsidR="00B21711" w:rsidRPr="002F5491">
        <w:rPr>
          <w:rFonts w:cs="Times New Roman"/>
          <w:kern w:val="22"/>
          <w:szCs w:val="22"/>
        </w:rPr>
        <w:t>ed them</w:t>
      </w:r>
      <w:r w:rsidR="00EC7BAF" w:rsidRPr="002F5491">
        <w:rPr>
          <w:rFonts w:cs="Times New Roman"/>
          <w:kern w:val="22"/>
          <w:szCs w:val="22"/>
        </w:rPr>
        <w:t>,</w:t>
      </w:r>
      <w:r w:rsidR="004306F0" w:rsidRPr="002F5491">
        <w:rPr>
          <w:rFonts w:cs="Times New Roman"/>
          <w:kern w:val="22"/>
          <w:szCs w:val="22"/>
        </w:rPr>
        <w:t xml:space="preserve"> is annexed to that </w:t>
      </w:r>
      <w:r w:rsidR="00610CB7" w:rsidRPr="002F5491">
        <w:rPr>
          <w:rFonts w:cs="Times New Roman"/>
          <w:kern w:val="22"/>
          <w:szCs w:val="22"/>
        </w:rPr>
        <w:t xml:space="preserve">information </w:t>
      </w:r>
      <w:r w:rsidR="004306F0" w:rsidRPr="002F5491">
        <w:rPr>
          <w:rFonts w:cs="Times New Roman"/>
          <w:kern w:val="22"/>
          <w:szCs w:val="22"/>
        </w:rPr>
        <w:t>document.</w:t>
      </w:r>
      <w:r w:rsidR="007C7ED7" w:rsidRPr="002F5491">
        <w:rPr>
          <w:rFonts w:cs="Times New Roman"/>
          <w:kern w:val="22"/>
          <w:szCs w:val="22"/>
        </w:rPr>
        <w:t xml:space="preserve"> </w:t>
      </w:r>
      <w:r w:rsidR="00EC7BAF" w:rsidRPr="002F5491">
        <w:rPr>
          <w:rFonts w:cs="Times New Roman"/>
          <w:szCs w:val="22"/>
        </w:rPr>
        <w:t>U</w:t>
      </w:r>
      <w:r w:rsidR="00CF2768" w:rsidRPr="002F5491">
        <w:rPr>
          <w:rFonts w:cs="Times New Roman"/>
          <w:szCs w:val="22"/>
        </w:rPr>
        <w:t xml:space="preserve">pdates on the implementation of the short-term action plan are </w:t>
      </w:r>
      <w:r w:rsidR="00EC7BAF" w:rsidRPr="002F5491">
        <w:rPr>
          <w:rFonts w:cs="Times New Roman"/>
          <w:szCs w:val="22"/>
        </w:rPr>
        <w:t xml:space="preserve">also </w:t>
      </w:r>
      <w:r w:rsidR="00CF2768" w:rsidRPr="002F5491">
        <w:rPr>
          <w:rFonts w:cs="Times New Roman"/>
          <w:szCs w:val="22"/>
        </w:rPr>
        <w:t>provided in a quarterly e-newsletter known as BioCAP: Biodiversity Capacity Development Update, which was launched by the Secretariat in 2017 following the adoption of the action plan.</w:t>
      </w:r>
      <w:r w:rsidR="00CF2768" w:rsidRPr="002F5491">
        <w:rPr>
          <w:rStyle w:val="FootnoteReference"/>
          <w:rFonts w:cs="Times New Roman"/>
          <w:sz w:val="22"/>
          <w:szCs w:val="22"/>
          <w:u w:val="none"/>
          <w:vertAlign w:val="superscript"/>
        </w:rPr>
        <w:footnoteReference w:id="3"/>
      </w:r>
    </w:p>
    <w:p w:rsidR="00110249" w:rsidRPr="002F5491" w:rsidRDefault="00B32B22" w:rsidP="009E5449">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kern w:val="22"/>
          <w:szCs w:val="22"/>
        </w:rPr>
        <w:t xml:space="preserve">The majority </w:t>
      </w:r>
      <w:r w:rsidR="00D72B05" w:rsidRPr="002F5491">
        <w:rPr>
          <w:rFonts w:cs="Times New Roman"/>
          <w:kern w:val="22"/>
          <w:szCs w:val="22"/>
        </w:rPr>
        <w:t xml:space="preserve">of activities carried out during this </w:t>
      </w:r>
      <w:r w:rsidR="00673223" w:rsidRPr="002F5491">
        <w:rPr>
          <w:rFonts w:cs="Times New Roman"/>
          <w:kern w:val="22"/>
          <w:szCs w:val="22"/>
        </w:rPr>
        <w:t>biennium</w:t>
      </w:r>
      <w:r w:rsidR="00D72B05" w:rsidRPr="002F5491">
        <w:rPr>
          <w:rFonts w:cs="Times New Roman"/>
          <w:kern w:val="22"/>
          <w:szCs w:val="22"/>
        </w:rPr>
        <w:t xml:space="preserve"> have been supported by the Government</w:t>
      </w:r>
      <w:r w:rsidR="00364497" w:rsidRPr="002F5491">
        <w:rPr>
          <w:rFonts w:cs="Times New Roman"/>
          <w:kern w:val="22"/>
          <w:szCs w:val="22"/>
        </w:rPr>
        <w:t>s</w:t>
      </w:r>
      <w:r w:rsidR="00D72B05" w:rsidRPr="002F5491">
        <w:rPr>
          <w:rFonts w:cs="Times New Roman"/>
          <w:kern w:val="22"/>
          <w:szCs w:val="22"/>
        </w:rPr>
        <w:t xml:space="preserve"> of Japan</w:t>
      </w:r>
      <w:r w:rsidRPr="002F5491">
        <w:rPr>
          <w:rFonts w:cs="Times New Roman"/>
          <w:kern w:val="22"/>
          <w:szCs w:val="22"/>
        </w:rPr>
        <w:t xml:space="preserve"> (through the Japan Biodiversity Fund</w:t>
      </w:r>
      <w:r w:rsidR="00B36775" w:rsidRPr="002F5491">
        <w:rPr>
          <w:rFonts w:cs="Times New Roman"/>
          <w:kern w:val="22"/>
          <w:szCs w:val="22"/>
        </w:rPr>
        <w:t>, JBF</w:t>
      </w:r>
      <w:r w:rsidRPr="002F5491">
        <w:rPr>
          <w:rFonts w:cs="Times New Roman"/>
          <w:kern w:val="22"/>
          <w:szCs w:val="22"/>
        </w:rPr>
        <w:t>)</w:t>
      </w:r>
      <w:r w:rsidR="00D72B05" w:rsidRPr="002F5491">
        <w:rPr>
          <w:rFonts w:cs="Times New Roman"/>
          <w:kern w:val="22"/>
          <w:szCs w:val="22"/>
        </w:rPr>
        <w:t xml:space="preserve">, the Republic of Korea, and the European Union. </w:t>
      </w:r>
      <w:r w:rsidR="00A7086B" w:rsidRPr="002F5491">
        <w:rPr>
          <w:rFonts w:cs="Times New Roman"/>
          <w:kern w:val="22"/>
          <w:szCs w:val="22"/>
        </w:rPr>
        <w:t xml:space="preserve">Others that provided direct support include </w:t>
      </w:r>
      <w:r w:rsidR="00417B55" w:rsidRPr="002F5491">
        <w:rPr>
          <w:rFonts w:cs="Times New Roman"/>
          <w:kern w:val="22"/>
          <w:szCs w:val="22"/>
        </w:rPr>
        <w:t xml:space="preserve">Belgium, </w:t>
      </w:r>
      <w:r w:rsidR="004E4C20" w:rsidRPr="002F5491">
        <w:rPr>
          <w:rFonts w:cs="Times New Roman"/>
          <w:kern w:val="22"/>
          <w:szCs w:val="22"/>
        </w:rPr>
        <w:t xml:space="preserve">Canada, </w:t>
      </w:r>
      <w:r w:rsidR="00A7086B" w:rsidRPr="002F5491">
        <w:rPr>
          <w:rFonts w:cs="Times New Roman"/>
          <w:kern w:val="22"/>
          <w:szCs w:val="22"/>
        </w:rPr>
        <w:t xml:space="preserve">Finland, </w:t>
      </w:r>
      <w:r w:rsidR="00F76C22" w:rsidRPr="002F5491">
        <w:rPr>
          <w:rFonts w:cs="Times New Roman"/>
          <w:kern w:val="22"/>
          <w:szCs w:val="22"/>
        </w:rPr>
        <w:t xml:space="preserve">France, </w:t>
      </w:r>
      <w:r w:rsidR="00A7086B" w:rsidRPr="002F5491">
        <w:rPr>
          <w:rFonts w:cs="Times New Roman"/>
          <w:kern w:val="22"/>
          <w:szCs w:val="22"/>
        </w:rPr>
        <w:t>Germany, and Sweden.</w:t>
      </w:r>
    </w:p>
    <w:p w:rsidR="00D7464D" w:rsidRPr="002F5491" w:rsidRDefault="00117628" w:rsidP="00D7464D">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napToGrid/>
          <w:kern w:val="20"/>
          <w:szCs w:val="22"/>
        </w:rPr>
        <w:t>The</w:t>
      </w:r>
      <w:r w:rsidR="003C3D26" w:rsidRPr="002F5491">
        <w:rPr>
          <w:rFonts w:cs="Times New Roman"/>
          <w:snapToGrid/>
          <w:kern w:val="20"/>
          <w:szCs w:val="22"/>
        </w:rPr>
        <w:t xml:space="preserve"> Secretariat has continued to make </w:t>
      </w:r>
      <w:r w:rsidR="005A65E8" w:rsidRPr="002F5491">
        <w:rPr>
          <w:rFonts w:cs="Times New Roman"/>
          <w:snapToGrid/>
          <w:kern w:val="20"/>
          <w:szCs w:val="22"/>
        </w:rPr>
        <w:t xml:space="preserve">progress </w:t>
      </w:r>
      <w:r w:rsidR="006B51E1" w:rsidRPr="002F5491">
        <w:rPr>
          <w:rFonts w:cs="Times New Roman"/>
          <w:snapToGrid/>
          <w:kern w:val="20"/>
          <w:szCs w:val="22"/>
        </w:rPr>
        <w:t>towards</w:t>
      </w:r>
      <w:r w:rsidR="005A65E8" w:rsidRPr="002F5491">
        <w:rPr>
          <w:rFonts w:cs="Times New Roman"/>
          <w:snapToGrid/>
          <w:kern w:val="20"/>
          <w:szCs w:val="22"/>
        </w:rPr>
        <w:t xml:space="preserve"> promoting</w:t>
      </w:r>
      <w:r w:rsidR="001F142E" w:rsidRPr="002F5491">
        <w:rPr>
          <w:rFonts w:cs="Times New Roman"/>
          <w:szCs w:val="22"/>
        </w:rPr>
        <w:t xml:space="preserve"> </w:t>
      </w:r>
      <w:r w:rsidR="00C14689" w:rsidRPr="002F5491">
        <w:rPr>
          <w:rFonts w:cs="Times New Roman"/>
          <w:szCs w:val="22"/>
        </w:rPr>
        <w:t>synergetic</w:t>
      </w:r>
      <w:r w:rsidR="0043751C" w:rsidRPr="002F5491">
        <w:rPr>
          <w:rFonts w:cs="Times New Roman"/>
          <w:szCs w:val="22"/>
        </w:rPr>
        <w:t xml:space="preserve"> and</w:t>
      </w:r>
      <w:r w:rsidR="00C14689" w:rsidRPr="002F5491">
        <w:rPr>
          <w:rFonts w:cs="Times New Roman"/>
          <w:szCs w:val="22"/>
        </w:rPr>
        <w:t xml:space="preserve"> integrated programming and implementation of </w:t>
      </w:r>
      <w:r w:rsidR="009073B3" w:rsidRPr="002F5491">
        <w:rPr>
          <w:rFonts w:cs="Times New Roman"/>
          <w:szCs w:val="22"/>
        </w:rPr>
        <w:t xml:space="preserve">its </w:t>
      </w:r>
      <w:r w:rsidR="00C14689" w:rsidRPr="002F5491">
        <w:rPr>
          <w:rFonts w:cs="Times New Roman"/>
          <w:szCs w:val="22"/>
        </w:rPr>
        <w:t xml:space="preserve">capacity development activities </w:t>
      </w:r>
      <w:r w:rsidR="009073B3" w:rsidRPr="002F5491">
        <w:rPr>
          <w:rFonts w:cs="Times New Roman"/>
          <w:szCs w:val="22"/>
        </w:rPr>
        <w:t>and has adopted a</w:t>
      </w:r>
      <w:r w:rsidR="00673223" w:rsidRPr="002F5491">
        <w:rPr>
          <w:rFonts w:cs="Times New Roman"/>
          <w:szCs w:val="22"/>
        </w:rPr>
        <w:t xml:space="preserve"> </w:t>
      </w:r>
      <w:r w:rsidR="00C14689" w:rsidRPr="002F5491">
        <w:rPr>
          <w:rFonts w:cs="Times New Roman"/>
          <w:szCs w:val="22"/>
        </w:rPr>
        <w:t xml:space="preserve">more systematic engagement </w:t>
      </w:r>
      <w:r w:rsidR="005A65E8" w:rsidRPr="002F5491">
        <w:rPr>
          <w:rFonts w:cs="Times New Roman"/>
          <w:szCs w:val="22"/>
        </w:rPr>
        <w:t xml:space="preserve">of </w:t>
      </w:r>
      <w:r w:rsidR="001F142E" w:rsidRPr="002F5491">
        <w:rPr>
          <w:rFonts w:cs="Times New Roman"/>
          <w:szCs w:val="22"/>
        </w:rPr>
        <w:t>partners.</w:t>
      </w:r>
      <w:r w:rsidR="0043751C" w:rsidRPr="002F5491">
        <w:rPr>
          <w:rFonts w:cs="Times New Roman"/>
          <w:szCs w:val="22"/>
        </w:rPr>
        <w:t xml:space="preserve"> </w:t>
      </w:r>
      <w:r w:rsidR="00964915" w:rsidRPr="002F5491">
        <w:rPr>
          <w:rFonts w:cs="Times New Roman"/>
          <w:szCs w:val="22"/>
        </w:rPr>
        <w:t>As noted in document CBD/SBI/2/10/Add.1, the Secretariat has established ongoing consultation and collaboration among the capacity development coordinators</w:t>
      </w:r>
      <w:r w:rsidR="00964915" w:rsidRPr="002F5491">
        <w:rPr>
          <w:rFonts w:cs="Times New Roman"/>
          <w:bCs/>
          <w:szCs w:val="22"/>
        </w:rPr>
        <w:t xml:space="preserve"> of biodiversity-related convention secretariats and relevant international organizations to advance implementation of decision XIII/23 and relevant elements of decision XIII/24. This process </w:t>
      </w:r>
      <w:r w:rsidR="00964915" w:rsidRPr="002F5491">
        <w:rPr>
          <w:rFonts w:cs="Times New Roman"/>
          <w:szCs w:val="22"/>
        </w:rPr>
        <w:t xml:space="preserve">was established </w:t>
      </w:r>
      <w:r w:rsidR="00C06269" w:rsidRPr="002F5491">
        <w:rPr>
          <w:rFonts w:cs="Times New Roman"/>
          <w:szCs w:val="22"/>
        </w:rPr>
        <w:t xml:space="preserve">following </w:t>
      </w:r>
      <w:r w:rsidR="00964915" w:rsidRPr="002F5491">
        <w:rPr>
          <w:rFonts w:cs="Times New Roman"/>
          <w:szCs w:val="22"/>
        </w:rPr>
        <w:t xml:space="preserve">the </w:t>
      </w:r>
      <w:r w:rsidR="00964915" w:rsidRPr="002F5491">
        <w:rPr>
          <w:rFonts w:cs="Times New Roman"/>
          <w:bCs/>
          <w:iCs/>
          <w:szCs w:val="22"/>
        </w:rPr>
        <w:t xml:space="preserve">meeting between members of the Liaison Group of Biodiversity-related Conventions and the organizations hosting the secretariats of those Conventions held </w:t>
      </w:r>
      <w:r w:rsidR="006B1EF9" w:rsidRPr="002F5491">
        <w:rPr>
          <w:rFonts w:cs="Times New Roman"/>
          <w:bCs/>
          <w:iCs/>
          <w:szCs w:val="22"/>
        </w:rPr>
        <w:t xml:space="preserve">in Rome </w:t>
      </w:r>
      <w:r w:rsidR="00964915" w:rsidRPr="002F5491">
        <w:rPr>
          <w:rFonts w:cs="Times New Roman"/>
          <w:bCs/>
          <w:iCs/>
          <w:szCs w:val="22"/>
        </w:rPr>
        <w:t xml:space="preserve">in September 2017, which discussed </w:t>
      </w:r>
      <w:r w:rsidR="00964915" w:rsidRPr="002F5491">
        <w:rPr>
          <w:rFonts w:cs="Times New Roman"/>
          <w:szCs w:val="22"/>
        </w:rPr>
        <w:t>opportunities for strengthening interagency coordination and cooperation through mutually supportive activities, including capacity-building.</w:t>
      </w:r>
      <w:r w:rsidR="00964915" w:rsidRPr="002F5491">
        <w:rPr>
          <w:rStyle w:val="FootnoteReference"/>
          <w:rFonts w:cs="Times New Roman"/>
          <w:sz w:val="22"/>
          <w:szCs w:val="22"/>
          <w:u w:val="none"/>
          <w:vertAlign w:val="superscript"/>
        </w:rPr>
        <w:footnoteReference w:id="4"/>
      </w:r>
    </w:p>
    <w:p w:rsidR="005602F4" w:rsidRPr="002F5491" w:rsidRDefault="003F41FC" w:rsidP="009E5449">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Progress</w:t>
      </w:r>
      <w:r w:rsidR="00F21826" w:rsidRPr="002F5491">
        <w:rPr>
          <w:rFonts w:cs="Times New Roman"/>
          <w:szCs w:val="22"/>
        </w:rPr>
        <w:t xml:space="preserve"> has also been made in d</w:t>
      </w:r>
      <w:r w:rsidR="006F57F0" w:rsidRPr="002F5491">
        <w:rPr>
          <w:rFonts w:cs="Times New Roman"/>
          <w:szCs w:val="22"/>
        </w:rPr>
        <w:t>iversif</w:t>
      </w:r>
      <w:r w:rsidR="00F21826" w:rsidRPr="002F5491">
        <w:rPr>
          <w:rFonts w:cs="Times New Roman"/>
          <w:szCs w:val="22"/>
        </w:rPr>
        <w:t xml:space="preserve">ying </w:t>
      </w:r>
      <w:r w:rsidR="006F57F0" w:rsidRPr="002F5491">
        <w:rPr>
          <w:rFonts w:cs="Times New Roman"/>
          <w:szCs w:val="22"/>
        </w:rPr>
        <w:t>modalities</w:t>
      </w:r>
      <w:r w:rsidR="00F21826" w:rsidRPr="002F5491">
        <w:rPr>
          <w:rFonts w:cs="Times New Roman"/>
          <w:szCs w:val="22"/>
        </w:rPr>
        <w:t xml:space="preserve"> </w:t>
      </w:r>
      <w:r w:rsidR="00CA3DF2" w:rsidRPr="002F5491">
        <w:rPr>
          <w:rFonts w:cs="Times New Roman"/>
          <w:szCs w:val="22"/>
        </w:rPr>
        <w:t xml:space="preserve">and approaches </w:t>
      </w:r>
      <w:r w:rsidR="00F21826" w:rsidRPr="002F5491">
        <w:rPr>
          <w:rFonts w:cs="Times New Roman"/>
          <w:szCs w:val="22"/>
        </w:rPr>
        <w:t>for delivering capacity development support</w:t>
      </w:r>
      <w:r w:rsidR="009073B3" w:rsidRPr="002F5491">
        <w:rPr>
          <w:rFonts w:cs="Times New Roman"/>
          <w:kern w:val="22"/>
          <w:szCs w:val="22"/>
        </w:rPr>
        <w:t xml:space="preserve"> as </w:t>
      </w:r>
      <w:r w:rsidR="00CA3DF2" w:rsidRPr="002F5491">
        <w:rPr>
          <w:rFonts w:cs="Times New Roman"/>
          <w:kern w:val="22"/>
          <w:szCs w:val="22"/>
        </w:rPr>
        <w:t>described</w:t>
      </w:r>
      <w:r w:rsidR="009073B3" w:rsidRPr="002F5491">
        <w:rPr>
          <w:rFonts w:cs="Times New Roman"/>
          <w:kern w:val="22"/>
          <w:szCs w:val="22"/>
        </w:rPr>
        <w:t xml:space="preserve"> in document CBD/SBI/2/INF/6</w:t>
      </w:r>
      <w:r w:rsidR="00F21826" w:rsidRPr="002F5491">
        <w:rPr>
          <w:rFonts w:cs="Times New Roman"/>
          <w:szCs w:val="22"/>
        </w:rPr>
        <w:t>.</w:t>
      </w:r>
      <w:r w:rsidR="006F57F0" w:rsidRPr="002F5491">
        <w:rPr>
          <w:rFonts w:cs="Times New Roman"/>
          <w:kern w:val="22"/>
          <w:szCs w:val="22"/>
        </w:rPr>
        <w:t xml:space="preserve"> </w:t>
      </w:r>
      <w:r w:rsidR="009073B3" w:rsidRPr="002F5491">
        <w:rPr>
          <w:rFonts w:cs="Times New Roman"/>
          <w:kern w:val="22"/>
          <w:szCs w:val="22"/>
        </w:rPr>
        <w:t xml:space="preserve">In addition to </w:t>
      </w:r>
      <w:r w:rsidR="00CA3DF2" w:rsidRPr="002F5491">
        <w:rPr>
          <w:rFonts w:cs="Times New Roman"/>
          <w:kern w:val="22"/>
          <w:szCs w:val="22"/>
        </w:rPr>
        <w:t xml:space="preserve">face-to-face </w:t>
      </w:r>
      <w:r w:rsidR="00F21826" w:rsidRPr="002F5491">
        <w:rPr>
          <w:rFonts w:cs="Times New Roman"/>
          <w:szCs w:val="22"/>
        </w:rPr>
        <w:t>workshops</w:t>
      </w:r>
      <w:r w:rsidR="009073B3" w:rsidRPr="002F5491">
        <w:rPr>
          <w:rFonts w:cs="Times New Roman"/>
          <w:szCs w:val="22"/>
        </w:rPr>
        <w:t>,</w:t>
      </w:r>
      <w:r w:rsidR="00F21826" w:rsidRPr="002F5491">
        <w:rPr>
          <w:rFonts w:cs="Times New Roman"/>
          <w:szCs w:val="22"/>
        </w:rPr>
        <w:t xml:space="preserve"> the Secretariat and </w:t>
      </w:r>
      <w:r w:rsidR="009E5449" w:rsidRPr="002F5491">
        <w:rPr>
          <w:rFonts w:cs="Times New Roman"/>
          <w:szCs w:val="22"/>
        </w:rPr>
        <w:t xml:space="preserve">its </w:t>
      </w:r>
      <w:r w:rsidR="00F21826" w:rsidRPr="002F5491">
        <w:rPr>
          <w:rFonts w:cs="Times New Roman"/>
          <w:szCs w:val="22"/>
        </w:rPr>
        <w:t xml:space="preserve">collaborating partners have expanded the </w:t>
      </w:r>
      <w:r w:rsidR="00014DAC" w:rsidRPr="002F5491">
        <w:rPr>
          <w:rFonts w:cs="Times New Roman"/>
          <w:szCs w:val="22"/>
        </w:rPr>
        <w:t xml:space="preserve">use </w:t>
      </w:r>
      <w:r w:rsidR="00F21826" w:rsidRPr="002F5491">
        <w:rPr>
          <w:rFonts w:cs="Times New Roman"/>
          <w:szCs w:val="22"/>
        </w:rPr>
        <w:t xml:space="preserve">of </w:t>
      </w:r>
      <w:r w:rsidR="009A28C7" w:rsidRPr="002F5491">
        <w:rPr>
          <w:rFonts w:cs="Times New Roman"/>
          <w:kern w:val="22"/>
          <w:szCs w:val="22"/>
        </w:rPr>
        <w:t>e-learning</w:t>
      </w:r>
      <w:r w:rsidR="00321DC2" w:rsidRPr="002F5491">
        <w:rPr>
          <w:rFonts w:cs="Times New Roman"/>
          <w:kern w:val="22"/>
          <w:szCs w:val="22"/>
        </w:rPr>
        <w:t xml:space="preserve">, </w:t>
      </w:r>
      <w:r w:rsidR="00F21826" w:rsidRPr="002F5491">
        <w:rPr>
          <w:rFonts w:cs="Times New Roman"/>
          <w:szCs w:val="22"/>
        </w:rPr>
        <w:t xml:space="preserve">help desk </w:t>
      </w:r>
      <w:r w:rsidR="00321DC2" w:rsidRPr="002F5491">
        <w:rPr>
          <w:rFonts w:cs="Times New Roman"/>
          <w:szCs w:val="22"/>
        </w:rPr>
        <w:t>support</w:t>
      </w:r>
      <w:r w:rsidR="00F21826" w:rsidRPr="002F5491">
        <w:rPr>
          <w:rFonts w:cs="Times New Roman"/>
          <w:szCs w:val="22"/>
        </w:rPr>
        <w:t xml:space="preserve">, </w:t>
      </w:r>
      <w:r w:rsidR="00DF37FD" w:rsidRPr="002F5491">
        <w:rPr>
          <w:rFonts w:cs="Times New Roman"/>
          <w:kern w:val="22"/>
          <w:szCs w:val="22"/>
        </w:rPr>
        <w:t>small-scale pilot and demo</w:t>
      </w:r>
      <w:r w:rsidR="007267D0">
        <w:rPr>
          <w:rFonts w:cs="Times New Roman"/>
          <w:kern w:val="22"/>
          <w:szCs w:val="22"/>
        </w:rPr>
        <w:t>n</w:t>
      </w:r>
      <w:r w:rsidR="00DF37FD" w:rsidRPr="002F5491">
        <w:rPr>
          <w:rFonts w:cs="Times New Roman"/>
          <w:kern w:val="22"/>
          <w:szCs w:val="22"/>
        </w:rPr>
        <w:t>stration projects</w:t>
      </w:r>
      <w:r w:rsidR="00F21826" w:rsidRPr="002F5491">
        <w:rPr>
          <w:rFonts w:cs="Times New Roman"/>
          <w:kern w:val="22"/>
          <w:szCs w:val="22"/>
        </w:rPr>
        <w:t>,</w:t>
      </w:r>
      <w:r w:rsidR="005E6281" w:rsidRPr="002F5491">
        <w:rPr>
          <w:rFonts w:cs="Times New Roman"/>
          <w:kern w:val="22"/>
          <w:szCs w:val="22"/>
        </w:rPr>
        <w:t xml:space="preserve"> regional</w:t>
      </w:r>
      <w:r w:rsidR="007D53A2" w:rsidRPr="002F5491">
        <w:rPr>
          <w:rFonts w:cs="Times New Roman"/>
          <w:szCs w:val="22"/>
        </w:rPr>
        <w:t xml:space="preserve"> dialogues and </w:t>
      </w:r>
      <w:r w:rsidR="00F21826" w:rsidRPr="002F5491">
        <w:rPr>
          <w:rFonts w:cs="Times New Roman"/>
          <w:szCs w:val="22"/>
        </w:rPr>
        <w:t xml:space="preserve">learning missions, </w:t>
      </w:r>
      <w:r w:rsidR="00CA3DF2" w:rsidRPr="002F5491">
        <w:rPr>
          <w:rFonts w:cs="Times New Roman"/>
          <w:szCs w:val="22"/>
        </w:rPr>
        <w:t>training-of-trainers</w:t>
      </w:r>
      <w:r w:rsidR="007A19A3" w:rsidRPr="002F5491">
        <w:rPr>
          <w:rFonts w:cs="Times New Roman"/>
          <w:szCs w:val="22"/>
        </w:rPr>
        <w:t xml:space="preserve"> activities, </w:t>
      </w:r>
      <w:r w:rsidR="0022369B" w:rsidRPr="002F5491">
        <w:rPr>
          <w:rFonts w:cs="Times New Roman"/>
          <w:kern w:val="22"/>
          <w:szCs w:val="22"/>
        </w:rPr>
        <w:t xml:space="preserve">provision of </w:t>
      </w:r>
      <w:r w:rsidR="007D53A2" w:rsidRPr="002F5491">
        <w:rPr>
          <w:rFonts w:cs="Times New Roman"/>
          <w:szCs w:val="22"/>
        </w:rPr>
        <w:t>learning and guidance materials</w:t>
      </w:r>
      <w:r w:rsidR="0022369B" w:rsidRPr="002F5491">
        <w:rPr>
          <w:rFonts w:cs="Times New Roman"/>
          <w:szCs w:val="22"/>
        </w:rPr>
        <w:t xml:space="preserve"> and the development of support tools (such as </w:t>
      </w:r>
      <w:r w:rsidR="00476B57" w:rsidRPr="002F5491">
        <w:rPr>
          <w:rFonts w:cs="Times New Roman"/>
          <w:szCs w:val="22"/>
        </w:rPr>
        <w:t xml:space="preserve">the </w:t>
      </w:r>
      <w:r w:rsidR="0022369B" w:rsidRPr="002F5491">
        <w:rPr>
          <w:rFonts w:cs="Times New Roman"/>
          <w:szCs w:val="22"/>
        </w:rPr>
        <w:t>Bioland</w:t>
      </w:r>
      <w:r w:rsidR="00476B57" w:rsidRPr="002F5491">
        <w:rPr>
          <w:rFonts w:cs="Times New Roman"/>
          <w:szCs w:val="22"/>
        </w:rPr>
        <w:t xml:space="preserve"> tool</w:t>
      </w:r>
      <w:r w:rsidR="0022369B" w:rsidRPr="002F5491">
        <w:rPr>
          <w:rFonts w:cs="Times New Roman"/>
          <w:szCs w:val="22"/>
        </w:rPr>
        <w:t xml:space="preserve"> for the </w:t>
      </w:r>
      <w:r w:rsidR="00824E2D" w:rsidRPr="002F5491">
        <w:rPr>
          <w:rFonts w:cs="Times New Roman"/>
          <w:szCs w:val="22"/>
        </w:rPr>
        <w:t>c</w:t>
      </w:r>
      <w:r w:rsidR="0022369B" w:rsidRPr="002F5491">
        <w:rPr>
          <w:rFonts w:cs="Times New Roman"/>
          <w:szCs w:val="22"/>
        </w:rPr>
        <w:t>learing-</w:t>
      </w:r>
      <w:r w:rsidR="00824E2D" w:rsidRPr="002F5491">
        <w:rPr>
          <w:rFonts w:cs="Times New Roman"/>
          <w:szCs w:val="22"/>
        </w:rPr>
        <w:t>h</w:t>
      </w:r>
      <w:r w:rsidR="0022369B" w:rsidRPr="002F5491">
        <w:rPr>
          <w:rFonts w:cs="Times New Roman"/>
          <w:szCs w:val="22"/>
        </w:rPr>
        <w:t xml:space="preserve">ouse </w:t>
      </w:r>
      <w:r w:rsidR="00824E2D" w:rsidRPr="002F5491">
        <w:rPr>
          <w:rFonts w:cs="Times New Roman"/>
          <w:szCs w:val="22"/>
        </w:rPr>
        <w:t>m</w:t>
      </w:r>
      <w:r w:rsidR="0022369B" w:rsidRPr="002F5491">
        <w:rPr>
          <w:rFonts w:cs="Times New Roman"/>
          <w:szCs w:val="22"/>
        </w:rPr>
        <w:t>echanism</w:t>
      </w:r>
      <w:r w:rsidR="00812909" w:rsidRPr="002F5491">
        <w:rPr>
          <w:rFonts w:cs="Times New Roman"/>
          <w:szCs w:val="22"/>
        </w:rPr>
        <w:t>).</w:t>
      </w:r>
      <w:r w:rsidR="00EC4DF5" w:rsidRPr="002F5491">
        <w:rPr>
          <w:rStyle w:val="FootnoteReference"/>
          <w:rFonts w:cs="Times New Roman"/>
          <w:sz w:val="22"/>
          <w:szCs w:val="22"/>
          <w:vertAlign w:val="superscript"/>
        </w:rPr>
        <w:footnoteReference w:id="5"/>
      </w:r>
      <w:r w:rsidR="009A28C7" w:rsidRPr="002F5491">
        <w:rPr>
          <w:rFonts w:cs="Times New Roman"/>
          <w:szCs w:val="22"/>
        </w:rPr>
        <w:t xml:space="preserve"> </w:t>
      </w:r>
      <w:r w:rsidR="004D5703" w:rsidRPr="002F5491">
        <w:rPr>
          <w:rFonts w:cs="Times New Roman"/>
          <w:szCs w:val="22"/>
        </w:rPr>
        <w:t>Some</w:t>
      </w:r>
      <w:r w:rsidR="00F94C76" w:rsidRPr="002F5491">
        <w:rPr>
          <w:rFonts w:cs="Times New Roman"/>
          <w:szCs w:val="22"/>
        </w:rPr>
        <w:t xml:space="preserve"> capacity-building activities have </w:t>
      </w:r>
      <w:r w:rsidR="00794F60" w:rsidRPr="002F5491">
        <w:rPr>
          <w:rFonts w:cs="Times New Roman"/>
          <w:szCs w:val="22"/>
        </w:rPr>
        <w:t xml:space="preserve">also </w:t>
      </w:r>
      <w:r w:rsidR="00F94C76" w:rsidRPr="002F5491">
        <w:rPr>
          <w:rFonts w:cs="Times New Roman"/>
          <w:szCs w:val="22"/>
        </w:rPr>
        <w:t xml:space="preserve">adopted a </w:t>
      </w:r>
      <w:r w:rsidR="009E5449" w:rsidRPr="002F5491">
        <w:rPr>
          <w:rFonts w:cs="Times New Roman"/>
          <w:szCs w:val="22"/>
        </w:rPr>
        <w:t>“</w:t>
      </w:r>
      <w:r w:rsidR="00F94C76" w:rsidRPr="002F5491">
        <w:rPr>
          <w:rFonts w:cs="Times New Roman"/>
          <w:szCs w:val="22"/>
        </w:rPr>
        <w:t xml:space="preserve">blended </w:t>
      </w:r>
      <w:r w:rsidR="009E5449" w:rsidRPr="002F5491">
        <w:rPr>
          <w:rFonts w:cs="Times New Roman"/>
          <w:szCs w:val="22"/>
        </w:rPr>
        <w:t xml:space="preserve">learning” </w:t>
      </w:r>
      <w:r w:rsidR="00F94C76" w:rsidRPr="002F5491">
        <w:rPr>
          <w:rFonts w:cs="Times New Roman"/>
          <w:szCs w:val="22"/>
        </w:rPr>
        <w:t>approach involving two or more of these modalities</w:t>
      </w:r>
      <w:r w:rsidR="009E5449" w:rsidRPr="002F5491">
        <w:rPr>
          <w:rFonts w:cs="Times New Roman"/>
          <w:szCs w:val="22"/>
        </w:rPr>
        <w:t xml:space="preserve">, which is </w:t>
      </w:r>
      <w:r w:rsidR="00C014EE" w:rsidRPr="002F5491">
        <w:rPr>
          <w:rFonts w:cs="Times New Roman"/>
          <w:szCs w:val="22"/>
        </w:rPr>
        <w:t xml:space="preserve">likely </w:t>
      </w:r>
      <w:r w:rsidR="009E5449" w:rsidRPr="002F5491">
        <w:rPr>
          <w:rFonts w:cs="Times New Roman"/>
          <w:szCs w:val="22"/>
        </w:rPr>
        <w:t>to enhance the participants’ learning experience</w:t>
      </w:r>
      <w:r w:rsidR="00F94C76" w:rsidRPr="002F5491">
        <w:rPr>
          <w:rFonts w:cs="Times New Roman"/>
          <w:szCs w:val="22"/>
        </w:rPr>
        <w:t>.</w:t>
      </w:r>
    </w:p>
    <w:p w:rsidR="005602F4" w:rsidRPr="002F5491" w:rsidRDefault="004E4F5C" w:rsidP="005602F4">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E</w:t>
      </w:r>
      <w:r w:rsidR="00CD70CF" w:rsidRPr="002F5491">
        <w:rPr>
          <w:rFonts w:cs="Times New Roman"/>
          <w:szCs w:val="22"/>
        </w:rPr>
        <w:t>-learning</w:t>
      </w:r>
      <w:r w:rsidR="004D5703" w:rsidRPr="002F5491">
        <w:rPr>
          <w:rFonts w:cs="Times New Roman"/>
          <w:szCs w:val="22"/>
        </w:rPr>
        <w:t xml:space="preserve"> (including</w:t>
      </w:r>
      <w:r w:rsidR="004D5703" w:rsidRPr="002F5491">
        <w:rPr>
          <w:rFonts w:cs="Times New Roman"/>
          <w:kern w:val="22"/>
          <w:szCs w:val="22"/>
        </w:rPr>
        <w:t xml:space="preserve"> self-directed e-learning modules</w:t>
      </w:r>
      <w:r w:rsidR="0024722C" w:rsidRPr="002F5491">
        <w:rPr>
          <w:rFonts w:cs="Times New Roman"/>
          <w:kern w:val="22"/>
          <w:szCs w:val="22"/>
        </w:rPr>
        <w:t xml:space="preserve">, </w:t>
      </w:r>
      <w:r w:rsidR="00CA3DF2" w:rsidRPr="002F5491">
        <w:rPr>
          <w:rFonts w:cs="Times New Roman"/>
          <w:kern w:val="22"/>
          <w:szCs w:val="22"/>
        </w:rPr>
        <w:t>massive open online courses</w:t>
      </w:r>
      <w:r w:rsidR="004D5703" w:rsidRPr="002F5491">
        <w:rPr>
          <w:rFonts w:cs="Times New Roman"/>
          <w:kern w:val="22"/>
          <w:szCs w:val="22"/>
        </w:rPr>
        <w:t xml:space="preserve"> and webinars)</w:t>
      </w:r>
      <w:r w:rsidR="004D5703" w:rsidRPr="002F5491">
        <w:rPr>
          <w:rFonts w:cs="Times New Roman"/>
          <w:szCs w:val="22"/>
        </w:rPr>
        <w:t xml:space="preserve"> </w:t>
      </w:r>
      <w:r w:rsidR="00CA3DF2" w:rsidRPr="002F5491">
        <w:rPr>
          <w:rFonts w:cs="Times New Roman"/>
          <w:szCs w:val="22"/>
        </w:rPr>
        <w:t>has</w:t>
      </w:r>
      <w:r w:rsidRPr="002F5491">
        <w:rPr>
          <w:rFonts w:cs="Times New Roman"/>
          <w:szCs w:val="22"/>
        </w:rPr>
        <w:t xml:space="preserve"> </w:t>
      </w:r>
      <w:r w:rsidR="005B606C" w:rsidRPr="002F5491">
        <w:rPr>
          <w:rFonts w:cs="Times New Roman"/>
          <w:szCs w:val="22"/>
        </w:rPr>
        <w:t>grow</w:t>
      </w:r>
      <w:r w:rsidR="00CA3DF2" w:rsidRPr="002F5491">
        <w:rPr>
          <w:rFonts w:cs="Times New Roman"/>
          <w:szCs w:val="22"/>
        </w:rPr>
        <w:t>n</w:t>
      </w:r>
      <w:r w:rsidR="005B606C" w:rsidRPr="002F5491">
        <w:rPr>
          <w:rFonts w:cs="Times New Roman"/>
          <w:szCs w:val="22"/>
        </w:rPr>
        <w:t xml:space="preserve"> steadily </w:t>
      </w:r>
      <w:r w:rsidR="0024722C" w:rsidRPr="002F5491">
        <w:rPr>
          <w:rFonts w:cs="Times New Roman"/>
          <w:szCs w:val="22"/>
        </w:rPr>
        <w:t>as</w:t>
      </w:r>
      <w:r w:rsidR="00CD70CF" w:rsidRPr="002F5491">
        <w:rPr>
          <w:rFonts w:cs="Times New Roman"/>
          <w:szCs w:val="22"/>
        </w:rPr>
        <w:t xml:space="preserve"> a </w:t>
      </w:r>
      <w:r w:rsidRPr="002F5491">
        <w:rPr>
          <w:rFonts w:cs="Times New Roman"/>
          <w:szCs w:val="22"/>
        </w:rPr>
        <w:t xml:space="preserve">delivery </w:t>
      </w:r>
      <w:r w:rsidR="00CD70CF" w:rsidRPr="002F5491">
        <w:rPr>
          <w:rFonts w:cs="Times New Roman"/>
          <w:szCs w:val="22"/>
        </w:rPr>
        <w:t>modality</w:t>
      </w:r>
      <w:r w:rsidR="00994505" w:rsidRPr="002F5491">
        <w:rPr>
          <w:rFonts w:cs="Times New Roman"/>
          <w:szCs w:val="22"/>
        </w:rPr>
        <w:t xml:space="preserve"> </w:t>
      </w:r>
      <w:r w:rsidR="00CD70CF" w:rsidRPr="002F5491">
        <w:rPr>
          <w:rFonts w:cs="Times New Roman"/>
          <w:szCs w:val="22"/>
        </w:rPr>
        <w:t xml:space="preserve">with </w:t>
      </w:r>
      <w:r w:rsidR="00994505" w:rsidRPr="002F5491">
        <w:rPr>
          <w:rFonts w:cs="Times New Roman"/>
          <w:szCs w:val="22"/>
        </w:rPr>
        <w:t xml:space="preserve">the potential to </w:t>
      </w:r>
      <w:r w:rsidR="00014DAC" w:rsidRPr="002F5491">
        <w:rPr>
          <w:rFonts w:cs="Times New Roman"/>
          <w:szCs w:val="22"/>
        </w:rPr>
        <w:t xml:space="preserve">broaden </w:t>
      </w:r>
      <w:r w:rsidR="004D5703" w:rsidRPr="002F5491">
        <w:rPr>
          <w:rFonts w:cs="Times New Roman"/>
          <w:szCs w:val="22"/>
        </w:rPr>
        <w:t xml:space="preserve">accessibility </w:t>
      </w:r>
      <w:r w:rsidRPr="002F5491">
        <w:rPr>
          <w:rFonts w:cs="Times New Roman"/>
          <w:szCs w:val="22"/>
        </w:rPr>
        <w:t>of</w:t>
      </w:r>
      <w:r w:rsidR="004D5703" w:rsidRPr="002F5491">
        <w:rPr>
          <w:rFonts w:cs="Times New Roman"/>
          <w:szCs w:val="22"/>
        </w:rPr>
        <w:t xml:space="preserve"> the</w:t>
      </w:r>
      <w:r w:rsidR="005B606C" w:rsidRPr="002F5491">
        <w:rPr>
          <w:rFonts w:cs="Times New Roman"/>
          <w:szCs w:val="22"/>
        </w:rPr>
        <w:t xml:space="preserve"> learning </w:t>
      </w:r>
      <w:r w:rsidR="004D5703" w:rsidRPr="002F5491">
        <w:rPr>
          <w:rFonts w:cs="Times New Roman"/>
          <w:szCs w:val="22"/>
        </w:rPr>
        <w:t>content developed by the Secretariat and partner organizations</w:t>
      </w:r>
      <w:r w:rsidR="005B606C" w:rsidRPr="002F5491">
        <w:rPr>
          <w:rFonts w:cs="Times New Roman"/>
          <w:szCs w:val="22"/>
        </w:rPr>
        <w:t xml:space="preserve"> </w:t>
      </w:r>
      <w:r w:rsidRPr="002F5491">
        <w:rPr>
          <w:rFonts w:cs="Times New Roman"/>
          <w:szCs w:val="22"/>
        </w:rPr>
        <w:t>to</w:t>
      </w:r>
      <w:r w:rsidR="004D5703" w:rsidRPr="002F5491">
        <w:rPr>
          <w:rFonts w:cs="Times New Roman"/>
          <w:szCs w:val="22"/>
        </w:rPr>
        <w:t xml:space="preserve"> a wide</w:t>
      </w:r>
      <w:r w:rsidR="00CA3DF2" w:rsidRPr="002F5491">
        <w:rPr>
          <w:rFonts w:cs="Times New Roman"/>
          <w:szCs w:val="22"/>
        </w:rPr>
        <w:t>r</w:t>
      </w:r>
      <w:r w:rsidR="004D5703" w:rsidRPr="002F5491">
        <w:rPr>
          <w:rFonts w:cs="Times New Roman"/>
          <w:szCs w:val="22"/>
        </w:rPr>
        <w:t xml:space="preserve"> range of users </w:t>
      </w:r>
      <w:r w:rsidR="00CA3DF2" w:rsidRPr="002F5491">
        <w:rPr>
          <w:rFonts w:cs="Times New Roman"/>
          <w:szCs w:val="22"/>
        </w:rPr>
        <w:t xml:space="preserve">in </w:t>
      </w:r>
      <w:r w:rsidR="004D5703" w:rsidRPr="002F5491">
        <w:rPr>
          <w:rFonts w:cs="Times New Roman"/>
          <w:szCs w:val="22"/>
        </w:rPr>
        <w:t>different parts of the world</w:t>
      </w:r>
      <w:r w:rsidR="007A19A3" w:rsidRPr="002F5491">
        <w:rPr>
          <w:rFonts w:cs="Times New Roman"/>
          <w:szCs w:val="22"/>
        </w:rPr>
        <w:t>. E-learning modules and courses have been especially beneficial when used in combination with face-to-face trainings</w:t>
      </w:r>
      <w:r w:rsidR="009A28C7" w:rsidRPr="002F5491">
        <w:rPr>
          <w:rFonts w:cs="Times New Roman"/>
          <w:szCs w:val="22"/>
        </w:rPr>
        <w:t xml:space="preserve">. </w:t>
      </w:r>
      <w:r w:rsidR="008D785A" w:rsidRPr="002F5491">
        <w:rPr>
          <w:rFonts w:cs="Times New Roman"/>
          <w:szCs w:val="22"/>
        </w:rPr>
        <w:t xml:space="preserve">However, </w:t>
      </w:r>
      <w:r w:rsidR="007A19A3" w:rsidRPr="002F5491">
        <w:rPr>
          <w:rFonts w:cs="Times New Roman"/>
          <w:szCs w:val="22"/>
        </w:rPr>
        <w:t xml:space="preserve">use of </w:t>
      </w:r>
      <w:r w:rsidR="007340C5" w:rsidRPr="002F5491">
        <w:rPr>
          <w:rFonts w:cs="Times New Roman"/>
          <w:szCs w:val="22"/>
        </w:rPr>
        <w:t xml:space="preserve">the e-learning approach is still constrained by a number of challenges. </w:t>
      </w:r>
      <w:r w:rsidR="007A19A3" w:rsidRPr="002F5491">
        <w:rPr>
          <w:rFonts w:cs="Times New Roman"/>
          <w:szCs w:val="22"/>
        </w:rPr>
        <w:t>For example, some</w:t>
      </w:r>
      <w:r w:rsidR="007340C5" w:rsidRPr="002F5491">
        <w:rPr>
          <w:rFonts w:cs="Times New Roman"/>
          <w:szCs w:val="22"/>
        </w:rPr>
        <w:t xml:space="preserve"> developing </w:t>
      </w:r>
      <w:r w:rsidR="0024722C" w:rsidRPr="002F5491">
        <w:rPr>
          <w:rFonts w:cs="Times New Roman"/>
          <w:szCs w:val="22"/>
        </w:rPr>
        <w:t xml:space="preserve">countries </w:t>
      </w:r>
      <w:r w:rsidR="00335295" w:rsidRPr="002F5491">
        <w:rPr>
          <w:rFonts w:cs="Times New Roman"/>
          <w:szCs w:val="22"/>
        </w:rPr>
        <w:t xml:space="preserve">have </w:t>
      </w:r>
      <w:r w:rsidR="0024722C" w:rsidRPr="002F5491">
        <w:rPr>
          <w:rFonts w:cs="Times New Roman"/>
          <w:szCs w:val="22"/>
        </w:rPr>
        <w:t>reported</w:t>
      </w:r>
      <w:r w:rsidR="007340C5" w:rsidRPr="002F5491">
        <w:rPr>
          <w:rFonts w:cs="Times New Roman"/>
          <w:szCs w:val="22"/>
        </w:rPr>
        <w:t xml:space="preserve"> </w:t>
      </w:r>
      <w:r w:rsidR="0024722C" w:rsidRPr="002F5491">
        <w:rPr>
          <w:rFonts w:cs="Times New Roman"/>
          <w:szCs w:val="22"/>
        </w:rPr>
        <w:t>difficulties</w:t>
      </w:r>
      <w:r w:rsidR="007340C5" w:rsidRPr="002F5491">
        <w:rPr>
          <w:rFonts w:cs="Times New Roman"/>
          <w:szCs w:val="22"/>
        </w:rPr>
        <w:t xml:space="preserve"> in accessing the</w:t>
      </w:r>
      <w:r w:rsidR="007A19A3" w:rsidRPr="002F5491">
        <w:rPr>
          <w:rFonts w:cs="Times New Roman"/>
          <w:szCs w:val="22"/>
        </w:rPr>
        <w:t xml:space="preserve"> modules and courses offered through the</w:t>
      </w:r>
      <w:r w:rsidR="007340C5" w:rsidRPr="002F5491">
        <w:rPr>
          <w:rFonts w:cs="Times New Roman"/>
          <w:szCs w:val="22"/>
        </w:rPr>
        <w:t xml:space="preserve"> </w:t>
      </w:r>
      <w:r w:rsidR="0024722C" w:rsidRPr="002F5491">
        <w:rPr>
          <w:rFonts w:cs="Times New Roman"/>
          <w:szCs w:val="22"/>
        </w:rPr>
        <w:t>Biodiversity e-L</w:t>
      </w:r>
      <w:r w:rsidR="007340C5" w:rsidRPr="002F5491">
        <w:rPr>
          <w:rFonts w:cs="Times New Roman"/>
          <w:szCs w:val="22"/>
        </w:rPr>
        <w:t>earning</w:t>
      </w:r>
      <w:r w:rsidR="0024722C" w:rsidRPr="002F5491">
        <w:rPr>
          <w:rFonts w:cs="Times New Roman"/>
          <w:szCs w:val="22"/>
        </w:rPr>
        <w:t xml:space="preserve"> Platform</w:t>
      </w:r>
      <w:r w:rsidR="007340C5" w:rsidRPr="002F5491">
        <w:rPr>
          <w:rFonts w:cs="Times New Roman"/>
          <w:szCs w:val="22"/>
        </w:rPr>
        <w:t xml:space="preserve"> due </w:t>
      </w:r>
      <w:r w:rsidR="00804A27" w:rsidRPr="002F5491">
        <w:rPr>
          <w:rFonts w:cs="Times New Roman"/>
          <w:szCs w:val="22"/>
        </w:rPr>
        <w:t xml:space="preserve">to </w:t>
      </w:r>
      <w:r w:rsidR="0024722C" w:rsidRPr="002F5491">
        <w:rPr>
          <w:rFonts w:cs="Times New Roman"/>
          <w:szCs w:val="22"/>
        </w:rPr>
        <w:t xml:space="preserve">limited </w:t>
      </w:r>
      <w:r w:rsidR="007340C5" w:rsidRPr="002F5491">
        <w:rPr>
          <w:rFonts w:cs="Times New Roman"/>
          <w:szCs w:val="22"/>
        </w:rPr>
        <w:t>internet</w:t>
      </w:r>
      <w:r w:rsidR="0024722C" w:rsidRPr="002F5491">
        <w:rPr>
          <w:rFonts w:cs="Times New Roman"/>
          <w:szCs w:val="22"/>
        </w:rPr>
        <w:t xml:space="preserve"> connectivity. Many requested the Secretariat to explore the possibility of providing offline versions of the e-learning modules.</w:t>
      </w:r>
    </w:p>
    <w:p w:rsidR="0072666B" w:rsidRPr="002F5491" w:rsidRDefault="00A858F9" w:rsidP="00A858F9">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The training</w:t>
      </w:r>
      <w:r w:rsidR="00804A27" w:rsidRPr="002F5491">
        <w:rPr>
          <w:rFonts w:cs="Times New Roman"/>
          <w:szCs w:val="22"/>
        </w:rPr>
        <w:t>-</w:t>
      </w:r>
      <w:r w:rsidRPr="002F5491">
        <w:rPr>
          <w:rFonts w:cs="Times New Roman"/>
          <w:szCs w:val="22"/>
        </w:rPr>
        <w:t>of</w:t>
      </w:r>
      <w:r w:rsidR="00804A27" w:rsidRPr="002F5491">
        <w:rPr>
          <w:rFonts w:cs="Times New Roman"/>
          <w:szCs w:val="22"/>
        </w:rPr>
        <w:t>-</w:t>
      </w:r>
      <w:r w:rsidRPr="002F5491">
        <w:rPr>
          <w:rFonts w:cs="Times New Roman"/>
          <w:szCs w:val="22"/>
        </w:rPr>
        <w:t xml:space="preserve">trainers approach </w:t>
      </w:r>
      <w:r w:rsidR="00C860F4" w:rsidRPr="002F5491">
        <w:rPr>
          <w:rFonts w:cs="Times New Roman"/>
          <w:szCs w:val="22"/>
        </w:rPr>
        <w:t xml:space="preserve">continues to be </w:t>
      </w:r>
      <w:r w:rsidR="0099524E" w:rsidRPr="002F5491">
        <w:rPr>
          <w:rFonts w:cs="Times New Roman"/>
          <w:szCs w:val="22"/>
        </w:rPr>
        <w:t xml:space="preserve">widely </w:t>
      </w:r>
      <w:r w:rsidRPr="002F5491">
        <w:rPr>
          <w:rFonts w:cs="Times New Roman"/>
          <w:szCs w:val="22"/>
        </w:rPr>
        <w:t xml:space="preserve">applied by various programmes, including the </w:t>
      </w:r>
      <w:r w:rsidR="00C014EE" w:rsidRPr="002F5491">
        <w:rPr>
          <w:rFonts w:cs="Times New Roman"/>
          <w:szCs w:val="22"/>
        </w:rPr>
        <w:t>JBF-supported</w:t>
      </w:r>
      <w:r w:rsidR="00242E1A" w:rsidRPr="002F5491">
        <w:rPr>
          <w:rFonts w:cs="Times New Roman"/>
          <w:szCs w:val="22"/>
        </w:rPr>
        <w:t xml:space="preserve"> </w:t>
      </w:r>
      <w:r w:rsidR="00236EF9" w:rsidRPr="002F5491">
        <w:rPr>
          <w:rFonts w:cs="Times New Roman"/>
          <w:szCs w:val="22"/>
        </w:rPr>
        <w:t>Global Taxonomy Initiative</w:t>
      </w:r>
      <w:r w:rsidR="006E6502" w:rsidRPr="002F5491">
        <w:rPr>
          <w:rFonts w:cs="Times New Roman"/>
          <w:szCs w:val="22"/>
        </w:rPr>
        <w:t xml:space="preserve"> training programme</w:t>
      </w:r>
      <w:r w:rsidRPr="002F5491">
        <w:rPr>
          <w:rFonts w:cs="Times New Roman"/>
          <w:szCs w:val="22"/>
        </w:rPr>
        <w:t xml:space="preserve">, </w:t>
      </w:r>
      <w:r w:rsidR="006E6502" w:rsidRPr="002F5491">
        <w:rPr>
          <w:rFonts w:cs="Times New Roman"/>
          <w:szCs w:val="22"/>
        </w:rPr>
        <w:t xml:space="preserve">the </w:t>
      </w:r>
      <w:r w:rsidRPr="002F5491">
        <w:rPr>
          <w:rFonts w:cs="Times New Roman"/>
          <w:szCs w:val="22"/>
        </w:rPr>
        <w:t>Sustainable Oceans Initiative</w:t>
      </w:r>
      <w:r w:rsidR="00804A27" w:rsidRPr="002F5491">
        <w:rPr>
          <w:rFonts w:cs="Times New Roman"/>
          <w:szCs w:val="22"/>
        </w:rPr>
        <w:t xml:space="preserve"> </w:t>
      </w:r>
      <w:r w:rsidRPr="002F5491">
        <w:rPr>
          <w:rFonts w:cs="Times New Roman"/>
          <w:szCs w:val="22"/>
        </w:rPr>
        <w:t xml:space="preserve">and </w:t>
      </w:r>
      <w:r w:rsidR="006E6502" w:rsidRPr="002F5491">
        <w:rPr>
          <w:rFonts w:cs="Times New Roman"/>
          <w:szCs w:val="22"/>
        </w:rPr>
        <w:t xml:space="preserve">the </w:t>
      </w:r>
      <w:r w:rsidRPr="002F5491">
        <w:rPr>
          <w:rFonts w:cs="Times New Roman"/>
          <w:szCs w:val="22"/>
        </w:rPr>
        <w:t>indigenous peoples and l</w:t>
      </w:r>
      <w:r w:rsidR="0099524E" w:rsidRPr="002F5491">
        <w:rPr>
          <w:rFonts w:cs="Times New Roman"/>
          <w:szCs w:val="22"/>
        </w:rPr>
        <w:t xml:space="preserve">ocal communities </w:t>
      </w:r>
      <w:r w:rsidR="00242E1A" w:rsidRPr="002F5491">
        <w:rPr>
          <w:rFonts w:cs="Times New Roman"/>
          <w:szCs w:val="22"/>
        </w:rPr>
        <w:t xml:space="preserve">training </w:t>
      </w:r>
      <w:r w:rsidR="0099524E" w:rsidRPr="002F5491">
        <w:rPr>
          <w:rFonts w:cs="Times New Roman"/>
          <w:szCs w:val="22"/>
        </w:rPr>
        <w:t>programme</w:t>
      </w:r>
      <w:r w:rsidR="00804A27" w:rsidRPr="002F5491">
        <w:rPr>
          <w:rFonts w:cs="Times New Roman"/>
          <w:szCs w:val="22"/>
        </w:rPr>
        <w:t>. This approach</w:t>
      </w:r>
      <w:r w:rsidR="0099524E" w:rsidRPr="002F5491">
        <w:rPr>
          <w:rFonts w:cs="Times New Roman"/>
          <w:szCs w:val="22"/>
        </w:rPr>
        <w:t xml:space="preserve"> has proven to be a useful model for</w:t>
      </w:r>
      <w:r w:rsidRPr="002F5491">
        <w:rPr>
          <w:rFonts w:cs="Times New Roman"/>
          <w:szCs w:val="22"/>
        </w:rPr>
        <w:t xml:space="preserve"> broadening the reach of training activities supported or facilitated by the Secretariat in collaboration with partners</w:t>
      </w:r>
      <w:r w:rsidR="00C014EE" w:rsidRPr="002F5491">
        <w:rPr>
          <w:rFonts w:cs="Times New Roman"/>
          <w:szCs w:val="22"/>
        </w:rPr>
        <w:t>,</w:t>
      </w:r>
      <w:r w:rsidRPr="002F5491">
        <w:rPr>
          <w:rFonts w:cs="Times New Roman"/>
          <w:szCs w:val="22"/>
        </w:rPr>
        <w:t xml:space="preserve"> by training pools of trainers who have</w:t>
      </w:r>
      <w:r w:rsidR="00C014EE" w:rsidRPr="002F5491">
        <w:rPr>
          <w:rFonts w:cs="Times New Roman"/>
          <w:szCs w:val="22"/>
        </w:rPr>
        <w:t>,</w:t>
      </w:r>
      <w:r w:rsidRPr="002F5491">
        <w:rPr>
          <w:rFonts w:cs="Times New Roman"/>
          <w:szCs w:val="22"/>
        </w:rPr>
        <w:t xml:space="preserve"> in turn</w:t>
      </w:r>
      <w:r w:rsidR="00C014EE" w:rsidRPr="002F5491">
        <w:rPr>
          <w:rFonts w:cs="Times New Roman"/>
          <w:szCs w:val="22"/>
        </w:rPr>
        <w:t>,</w:t>
      </w:r>
      <w:r w:rsidRPr="002F5491">
        <w:rPr>
          <w:rFonts w:cs="Times New Roman"/>
          <w:szCs w:val="22"/>
        </w:rPr>
        <w:t xml:space="preserve"> embarked on training others in their respective regions. For example</w:t>
      </w:r>
      <w:r w:rsidR="00804A27" w:rsidRPr="002F5491">
        <w:rPr>
          <w:rFonts w:cs="Times New Roman"/>
          <w:szCs w:val="22"/>
        </w:rPr>
        <w:t>,</w:t>
      </w:r>
      <w:r w:rsidRPr="002F5491">
        <w:rPr>
          <w:rFonts w:cs="Times New Roman"/>
          <w:szCs w:val="22"/>
        </w:rPr>
        <w:t xml:space="preserve"> as noted </w:t>
      </w:r>
      <w:r w:rsidR="009215CC" w:rsidRPr="002F5491">
        <w:rPr>
          <w:rFonts w:cs="Times New Roman"/>
          <w:szCs w:val="22"/>
        </w:rPr>
        <w:t xml:space="preserve">in </w:t>
      </w:r>
      <w:r w:rsidR="0072666B" w:rsidRPr="002F5491">
        <w:rPr>
          <w:rFonts w:cs="Times New Roman"/>
          <w:szCs w:val="22"/>
        </w:rPr>
        <w:t xml:space="preserve">paragraph 38 of </w:t>
      </w:r>
      <w:r w:rsidR="009215CC" w:rsidRPr="002F5491">
        <w:rPr>
          <w:rFonts w:cs="Times New Roman"/>
          <w:szCs w:val="22"/>
        </w:rPr>
        <w:t xml:space="preserve">information </w:t>
      </w:r>
      <w:r w:rsidR="009215CC" w:rsidRPr="002F5491">
        <w:rPr>
          <w:rFonts w:cs="Times New Roman"/>
          <w:kern w:val="22"/>
          <w:szCs w:val="22"/>
        </w:rPr>
        <w:t>document CBD/SBI/2/</w:t>
      </w:r>
      <w:r w:rsidR="00170570" w:rsidRPr="002F5491">
        <w:rPr>
          <w:rFonts w:cs="Times New Roman"/>
          <w:kern w:val="22"/>
          <w:szCs w:val="22"/>
        </w:rPr>
        <w:t>INF/6</w:t>
      </w:r>
      <w:r w:rsidR="0072666B" w:rsidRPr="002F5491">
        <w:rPr>
          <w:rFonts w:cs="Times New Roman"/>
          <w:szCs w:val="22"/>
        </w:rPr>
        <w:t>, trainers from 12</w:t>
      </w:r>
      <w:r w:rsidRPr="002F5491">
        <w:rPr>
          <w:rFonts w:cs="Times New Roman"/>
          <w:szCs w:val="22"/>
        </w:rPr>
        <w:t xml:space="preserve"> countries who successfully completed training courses on DNA barcoding for </w:t>
      </w:r>
      <w:r w:rsidR="0072666B" w:rsidRPr="002F5491">
        <w:rPr>
          <w:rFonts w:cs="Times New Roman"/>
          <w:szCs w:val="22"/>
        </w:rPr>
        <w:t>rapid identification of species</w:t>
      </w:r>
      <w:r w:rsidR="00242E1A" w:rsidRPr="002F5491">
        <w:rPr>
          <w:rFonts w:cs="Times New Roman"/>
          <w:szCs w:val="22"/>
        </w:rPr>
        <w:t xml:space="preserve"> organised by the Secretariat in collaboration with the University of Guelph in 2015-2016</w:t>
      </w:r>
      <w:r w:rsidR="006E6502" w:rsidRPr="002F5491">
        <w:rPr>
          <w:rFonts w:cs="Times New Roman"/>
          <w:szCs w:val="22"/>
        </w:rPr>
        <w:t>. Those trainers</w:t>
      </w:r>
      <w:r w:rsidR="00242E1A" w:rsidRPr="002F5491">
        <w:rPr>
          <w:rFonts w:cs="Times New Roman"/>
          <w:szCs w:val="22"/>
        </w:rPr>
        <w:t xml:space="preserve"> have been provided with small grants to organize similar </w:t>
      </w:r>
      <w:r w:rsidR="00242E1A" w:rsidRPr="002F5491">
        <w:rPr>
          <w:rFonts w:cs="Times New Roman"/>
          <w:kern w:val="22"/>
          <w:szCs w:val="22"/>
        </w:rPr>
        <w:t xml:space="preserve">standardized </w:t>
      </w:r>
      <w:r w:rsidR="00236EF9" w:rsidRPr="002F5491">
        <w:rPr>
          <w:rFonts w:cs="Times New Roman"/>
          <w:kern w:val="22"/>
          <w:szCs w:val="22"/>
        </w:rPr>
        <w:t>t</w:t>
      </w:r>
      <w:r w:rsidR="00242E1A" w:rsidRPr="002F5491">
        <w:rPr>
          <w:rFonts w:cs="Times New Roman"/>
          <w:kern w:val="22"/>
          <w:szCs w:val="22"/>
        </w:rPr>
        <w:t xml:space="preserve">raining </w:t>
      </w:r>
      <w:r w:rsidR="00236EF9" w:rsidRPr="002F5491">
        <w:rPr>
          <w:rFonts w:cs="Times New Roman"/>
          <w:kern w:val="22"/>
          <w:szCs w:val="22"/>
        </w:rPr>
        <w:t>c</w:t>
      </w:r>
      <w:r w:rsidR="00242E1A" w:rsidRPr="002F5491">
        <w:rPr>
          <w:rFonts w:cs="Times New Roman"/>
          <w:kern w:val="22"/>
          <w:szCs w:val="22"/>
        </w:rPr>
        <w:t xml:space="preserve">ourses </w:t>
      </w:r>
      <w:r w:rsidR="00236EF9" w:rsidRPr="002F5491">
        <w:rPr>
          <w:rFonts w:cs="Times New Roman"/>
          <w:kern w:val="22"/>
          <w:szCs w:val="22"/>
        </w:rPr>
        <w:t xml:space="preserve">on DNA technologies </w:t>
      </w:r>
      <w:r w:rsidR="00242E1A" w:rsidRPr="002F5491">
        <w:rPr>
          <w:rFonts w:cs="Times New Roman"/>
          <w:szCs w:val="22"/>
        </w:rPr>
        <w:t>in their respective countries</w:t>
      </w:r>
      <w:r w:rsidR="00242E1A" w:rsidRPr="002F5491">
        <w:rPr>
          <w:rFonts w:cs="Times New Roman"/>
          <w:kern w:val="22"/>
          <w:szCs w:val="22"/>
        </w:rPr>
        <w:t xml:space="preserve"> by the end of </w:t>
      </w:r>
      <w:r w:rsidR="00242E1A" w:rsidRPr="002F5491">
        <w:rPr>
          <w:rFonts w:cs="Times New Roman"/>
          <w:kern w:val="22"/>
          <w:szCs w:val="22"/>
        </w:rPr>
        <w:lastRenderedPageBreak/>
        <w:t>2018</w:t>
      </w:r>
      <w:r w:rsidR="0006370A" w:rsidRPr="002F5491">
        <w:rPr>
          <w:rFonts w:cs="Times New Roman"/>
          <w:szCs w:val="22"/>
        </w:rPr>
        <w:t>.</w:t>
      </w:r>
      <w:r w:rsidR="00242E1A" w:rsidRPr="002F5491">
        <w:rPr>
          <w:rFonts w:cs="Times New Roman"/>
          <w:kern w:val="22"/>
          <w:szCs w:val="22"/>
        </w:rPr>
        <w:t xml:space="preserve"> It is expected that a total of 189 new trainers in DNA barcoding techniques will be trained as a result.</w:t>
      </w:r>
    </w:p>
    <w:p w:rsidR="00DF37FD" w:rsidRPr="002F5491" w:rsidRDefault="002B48CD" w:rsidP="0001470B">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 xml:space="preserve">The use </w:t>
      </w:r>
      <w:r w:rsidR="00AF22D1" w:rsidRPr="002F5491">
        <w:rPr>
          <w:rFonts w:cs="Times New Roman"/>
          <w:szCs w:val="22"/>
        </w:rPr>
        <w:t>of pilot and demonstration projects</w:t>
      </w:r>
      <w:r w:rsidRPr="002F5491">
        <w:rPr>
          <w:rFonts w:cs="Times New Roman"/>
          <w:szCs w:val="22"/>
        </w:rPr>
        <w:t xml:space="preserve"> </w:t>
      </w:r>
      <w:r w:rsidR="00AF22D1" w:rsidRPr="002F5491">
        <w:rPr>
          <w:rFonts w:cs="Times New Roman"/>
          <w:szCs w:val="22"/>
        </w:rPr>
        <w:t xml:space="preserve">as an approach to capacity development </w:t>
      </w:r>
      <w:r w:rsidR="0099524E" w:rsidRPr="002F5491">
        <w:rPr>
          <w:rFonts w:cs="Times New Roman"/>
          <w:szCs w:val="22"/>
        </w:rPr>
        <w:t>has</w:t>
      </w:r>
      <w:r w:rsidR="0024722C" w:rsidRPr="002F5491">
        <w:rPr>
          <w:rFonts w:cs="Times New Roman"/>
          <w:szCs w:val="22"/>
        </w:rPr>
        <w:t xml:space="preserve"> </w:t>
      </w:r>
      <w:r w:rsidR="00AF22D1" w:rsidRPr="002F5491">
        <w:rPr>
          <w:rFonts w:cs="Times New Roman"/>
          <w:szCs w:val="22"/>
        </w:rPr>
        <w:t xml:space="preserve">also </w:t>
      </w:r>
      <w:r w:rsidR="0024722C" w:rsidRPr="002F5491">
        <w:rPr>
          <w:rFonts w:cs="Times New Roman"/>
          <w:szCs w:val="22"/>
        </w:rPr>
        <w:t>grown significantly</w:t>
      </w:r>
      <w:r w:rsidR="00DF37FD" w:rsidRPr="002F5491">
        <w:rPr>
          <w:rFonts w:cs="Times New Roman"/>
          <w:szCs w:val="22"/>
        </w:rPr>
        <w:t>.</w:t>
      </w:r>
      <w:r w:rsidR="0024722C" w:rsidRPr="002F5491">
        <w:rPr>
          <w:rFonts w:cs="Times New Roman"/>
          <w:szCs w:val="22"/>
        </w:rPr>
        <w:t xml:space="preserve"> </w:t>
      </w:r>
      <w:r w:rsidR="00F34782" w:rsidRPr="002F5491">
        <w:rPr>
          <w:rFonts w:cs="Times New Roman"/>
          <w:szCs w:val="22"/>
        </w:rPr>
        <w:t>As noted in document</w:t>
      </w:r>
      <w:r w:rsidR="00F34782" w:rsidRPr="002F5491">
        <w:rPr>
          <w:rFonts w:cs="Times New Roman"/>
          <w:kern w:val="22"/>
          <w:szCs w:val="22"/>
        </w:rPr>
        <w:t xml:space="preserve"> CBD/SBI/2/INF/6</w:t>
      </w:r>
      <w:r w:rsidR="00F34782" w:rsidRPr="002F5491">
        <w:rPr>
          <w:rFonts w:cs="Times New Roman"/>
          <w:szCs w:val="22"/>
        </w:rPr>
        <w:t xml:space="preserve">, the Secretariat has supported at least 42 </w:t>
      </w:r>
      <w:r w:rsidR="0037573D" w:rsidRPr="002F5491">
        <w:rPr>
          <w:rFonts w:cs="Times New Roman"/>
          <w:szCs w:val="22"/>
        </w:rPr>
        <w:t xml:space="preserve">pilot </w:t>
      </w:r>
      <w:r w:rsidR="00F34782" w:rsidRPr="002F5491">
        <w:rPr>
          <w:rFonts w:cs="Times New Roman"/>
          <w:szCs w:val="22"/>
        </w:rPr>
        <w:t>projects which have directly benefited 33 countries</w:t>
      </w:r>
      <w:r w:rsidR="00F34782" w:rsidRPr="002F5491">
        <w:rPr>
          <w:rStyle w:val="FootnoteReference"/>
          <w:rFonts w:cs="Times New Roman"/>
          <w:sz w:val="22"/>
          <w:szCs w:val="22"/>
          <w:u w:val="none"/>
          <w:vertAlign w:val="superscript"/>
        </w:rPr>
        <w:footnoteReference w:id="6"/>
      </w:r>
      <w:r w:rsidR="00F34782" w:rsidRPr="002F5491">
        <w:rPr>
          <w:rFonts w:cs="Times New Roman"/>
          <w:szCs w:val="22"/>
          <w:vertAlign w:val="superscript"/>
        </w:rPr>
        <w:t xml:space="preserve"> </w:t>
      </w:r>
      <w:r w:rsidR="00F34782" w:rsidRPr="002F5491">
        <w:rPr>
          <w:rFonts w:cs="Times New Roman"/>
          <w:szCs w:val="22"/>
        </w:rPr>
        <w:t xml:space="preserve">on various </w:t>
      </w:r>
      <w:r w:rsidR="0037573D" w:rsidRPr="002F5491">
        <w:rPr>
          <w:rFonts w:cs="Times New Roman"/>
          <w:szCs w:val="22"/>
        </w:rPr>
        <w:t>issues</w:t>
      </w:r>
      <w:r w:rsidR="00F34782" w:rsidRPr="002F5491">
        <w:rPr>
          <w:rFonts w:cs="Times New Roman"/>
          <w:szCs w:val="22"/>
        </w:rPr>
        <w:t xml:space="preserve"> </w:t>
      </w:r>
      <w:r w:rsidR="0037573D" w:rsidRPr="002F5491">
        <w:rPr>
          <w:rFonts w:cs="Times New Roman"/>
          <w:szCs w:val="22"/>
        </w:rPr>
        <w:t>(</w:t>
      </w:r>
      <w:r w:rsidR="00F34782" w:rsidRPr="002F5491">
        <w:rPr>
          <w:rFonts w:cs="Times New Roman"/>
          <w:szCs w:val="22"/>
        </w:rPr>
        <w:t>including ecosystem restoration and biosafety mainstreaming</w:t>
      </w:r>
      <w:r w:rsidR="0037573D" w:rsidRPr="002F5491">
        <w:rPr>
          <w:rFonts w:cs="Times New Roman"/>
          <w:szCs w:val="22"/>
        </w:rPr>
        <w:t>)</w:t>
      </w:r>
      <w:r w:rsidR="00117628" w:rsidRPr="002F5491">
        <w:rPr>
          <w:rFonts w:cs="Times New Roman"/>
          <w:szCs w:val="22"/>
        </w:rPr>
        <w:t xml:space="preserve"> and </w:t>
      </w:r>
      <w:r w:rsidR="0037573D" w:rsidRPr="002F5491">
        <w:rPr>
          <w:rFonts w:cs="Times New Roman"/>
          <w:szCs w:val="22"/>
        </w:rPr>
        <w:t xml:space="preserve">have </w:t>
      </w:r>
      <w:r w:rsidR="00117628" w:rsidRPr="002F5491">
        <w:rPr>
          <w:rFonts w:cs="Times New Roman"/>
          <w:szCs w:val="22"/>
        </w:rPr>
        <w:t xml:space="preserve">generated experiences that may benefit the broader community of Parties. </w:t>
      </w:r>
      <w:r w:rsidR="00AF22D1" w:rsidRPr="002F5491">
        <w:rPr>
          <w:rFonts w:cs="Times New Roman"/>
          <w:szCs w:val="22"/>
        </w:rPr>
        <w:t>The approach was introduced</w:t>
      </w:r>
      <w:r w:rsidR="0037573D" w:rsidRPr="002F5491">
        <w:rPr>
          <w:rFonts w:cs="Times New Roman"/>
          <w:szCs w:val="22"/>
        </w:rPr>
        <w:t xml:space="preserve"> to the Secretariat</w:t>
      </w:r>
      <w:r w:rsidR="00AF22D1" w:rsidRPr="002F5491">
        <w:rPr>
          <w:rFonts w:cs="Times New Roman"/>
          <w:szCs w:val="22"/>
        </w:rPr>
        <w:t xml:space="preserve"> by the J</w:t>
      </w:r>
      <w:r w:rsidR="0037573D" w:rsidRPr="002F5491">
        <w:rPr>
          <w:rFonts w:cs="Times New Roman"/>
          <w:szCs w:val="22"/>
        </w:rPr>
        <w:t xml:space="preserve">apan Biodiversity Fund </w:t>
      </w:r>
      <w:r w:rsidR="00AF22D1" w:rsidRPr="002F5491">
        <w:rPr>
          <w:rFonts w:cs="Times New Roman"/>
          <w:szCs w:val="22"/>
        </w:rPr>
        <w:t xml:space="preserve">to provide </w:t>
      </w:r>
      <w:r w:rsidR="00F34782" w:rsidRPr="002F5491">
        <w:rPr>
          <w:rFonts w:cs="Times New Roman"/>
          <w:szCs w:val="22"/>
        </w:rPr>
        <w:t xml:space="preserve">targeted </w:t>
      </w:r>
      <w:r w:rsidR="00AF22D1" w:rsidRPr="002F5491">
        <w:rPr>
          <w:rFonts w:cs="Times New Roman"/>
          <w:szCs w:val="22"/>
        </w:rPr>
        <w:t xml:space="preserve">capacity-building </w:t>
      </w:r>
      <w:r w:rsidR="00F34782" w:rsidRPr="002F5491">
        <w:rPr>
          <w:rFonts w:cs="Times New Roman"/>
          <w:szCs w:val="22"/>
        </w:rPr>
        <w:t xml:space="preserve">support </w:t>
      </w:r>
      <w:r w:rsidR="00AF22D1" w:rsidRPr="002F5491">
        <w:rPr>
          <w:rFonts w:cs="Times New Roman"/>
          <w:szCs w:val="22"/>
        </w:rPr>
        <w:t>for implementation of selected NBSAPs, with a view to documenting the lessons learn</w:t>
      </w:r>
      <w:r w:rsidR="00633255" w:rsidRPr="002F5491">
        <w:rPr>
          <w:rFonts w:cs="Times New Roman"/>
          <w:szCs w:val="22"/>
        </w:rPr>
        <w:t>ed and promoting their use</w:t>
      </w:r>
      <w:r w:rsidR="00AF22D1" w:rsidRPr="002F5491">
        <w:rPr>
          <w:rFonts w:cs="Times New Roman"/>
          <w:szCs w:val="22"/>
        </w:rPr>
        <w:t xml:space="preserve"> </w:t>
      </w:r>
      <w:r w:rsidR="00633255" w:rsidRPr="002F5491">
        <w:rPr>
          <w:rFonts w:cs="Times New Roman"/>
          <w:szCs w:val="22"/>
        </w:rPr>
        <w:t xml:space="preserve">by other </w:t>
      </w:r>
      <w:r w:rsidR="00AF22D1" w:rsidRPr="002F5491">
        <w:rPr>
          <w:rFonts w:cs="Times New Roman"/>
          <w:szCs w:val="22"/>
        </w:rPr>
        <w:t>Parties</w:t>
      </w:r>
      <w:r w:rsidR="00633255" w:rsidRPr="002F5491">
        <w:rPr>
          <w:rFonts w:cs="Times New Roman"/>
          <w:szCs w:val="22"/>
        </w:rPr>
        <w:t>, as appropriate</w:t>
      </w:r>
      <w:r w:rsidR="00AF22D1" w:rsidRPr="002F5491">
        <w:rPr>
          <w:rFonts w:cs="Times New Roman"/>
          <w:szCs w:val="22"/>
        </w:rPr>
        <w:t>.</w:t>
      </w:r>
      <w:r w:rsidR="00633255" w:rsidRPr="002F5491">
        <w:rPr>
          <w:rStyle w:val="FootnoteReference"/>
          <w:rFonts w:cs="Times New Roman"/>
          <w:sz w:val="22"/>
          <w:szCs w:val="22"/>
          <w:u w:val="none"/>
          <w:vertAlign w:val="superscript"/>
        </w:rPr>
        <w:footnoteReference w:id="7"/>
      </w:r>
      <w:r w:rsidR="00AF22D1" w:rsidRPr="002F5491">
        <w:rPr>
          <w:rFonts w:cs="Times New Roman"/>
          <w:szCs w:val="22"/>
        </w:rPr>
        <w:t xml:space="preserve"> </w:t>
      </w:r>
      <w:r w:rsidR="0037573D" w:rsidRPr="002F5491">
        <w:rPr>
          <w:rFonts w:cs="Times New Roman"/>
          <w:szCs w:val="22"/>
        </w:rPr>
        <w:t>T</w:t>
      </w:r>
      <w:r w:rsidR="00AF22D1" w:rsidRPr="002F5491">
        <w:rPr>
          <w:rFonts w:cs="Times New Roman"/>
          <w:szCs w:val="22"/>
        </w:rPr>
        <w:t xml:space="preserve">he </w:t>
      </w:r>
      <w:r w:rsidR="0037573D" w:rsidRPr="002F5491">
        <w:rPr>
          <w:rFonts w:cs="Times New Roman"/>
          <w:szCs w:val="22"/>
        </w:rPr>
        <w:t xml:space="preserve">activities and </w:t>
      </w:r>
      <w:r w:rsidR="00AF22D1" w:rsidRPr="002F5491">
        <w:rPr>
          <w:rFonts w:cs="Times New Roman"/>
          <w:szCs w:val="22"/>
        </w:rPr>
        <w:t xml:space="preserve">processes </w:t>
      </w:r>
      <w:r w:rsidR="00F34782" w:rsidRPr="002F5491">
        <w:rPr>
          <w:rFonts w:cs="Times New Roman"/>
          <w:szCs w:val="22"/>
        </w:rPr>
        <w:t>under</w:t>
      </w:r>
      <w:r w:rsidR="00AF22D1" w:rsidRPr="002F5491">
        <w:rPr>
          <w:rFonts w:cs="Times New Roman"/>
          <w:szCs w:val="22"/>
        </w:rPr>
        <w:t xml:space="preserve"> these targeted projects </w:t>
      </w:r>
      <w:r w:rsidR="00F34782" w:rsidRPr="002F5491">
        <w:rPr>
          <w:rFonts w:cs="Times New Roman"/>
          <w:szCs w:val="22"/>
        </w:rPr>
        <w:t>have contributed to</w:t>
      </w:r>
      <w:r w:rsidR="00AF22D1" w:rsidRPr="002F5491">
        <w:rPr>
          <w:rFonts w:cs="Times New Roman"/>
          <w:szCs w:val="22"/>
        </w:rPr>
        <w:t xml:space="preserve"> </w:t>
      </w:r>
      <w:r w:rsidR="00F34782" w:rsidRPr="002F5491">
        <w:rPr>
          <w:rFonts w:cs="Times New Roman"/>
          <w:szCs w:val="22"/>
        </w:rPr>
        <w:t>learning through practical experience</w:t>
      </w:r>
      <w:r w:rsidR="0001470B" w:rsidRPr="002F5491">
        <w:rPr>
          <w:rFonts w:cs="Times New Roman"/>
          <w:szCs w:val="22"/>
        </w:rPr>
        <w:t>.</w:t>
      </w:r>
      <w:r w:rsidR="0024722C" w:rsidRPr="002F5491">
        <w:rPr>
          <w:rFonts w:cs="Times New Roman"/>
          <w:szCs w:val="22"/>
        </w:rPr>
        <w:t xml:space="preserve"> </w:t>
      </w:r>
      <w:r w:rsidR="00F305C8" w:rsidRPr="002F5491">
        <w:rPr>
          <w:rFonts w:cs="Times New Roman"/>
          <w:szCs w:val="22"/>
        </w:rPr>
        <w:t>Some</w:t>
      </w:r>
      <w:r w:rsidR="0024722C" w:rsidRPr="002F5491">
        <w:rPr>
          <w:rFonts w:cs="Times New Roman"/>
          <w:szCs w:val="22"/>
        </w:rPr>
        <w:t xml:space="preserve"> </w:t>
      </w:r>
      <w:r w:rsidR="00F305C8" w:rsidRPr="002F5491">
        <w:rPr>
          <w:rFonts w:cs="Times New Roman"/>
          <w:szCs w:val="22"/>
        </w:rPr>
        <w:t xml:space="preserve">beneficiary </w:t>
      </w:r>
      <w:r w:rsidR="0024722C" w:rsidRPr="002F5491">
        <w:rPr>
          <w:rFonts w:cs="Times New Roman"/>
          <w:szCs w:val="22"/>
        </w:rPr>
        <w:t xml:space="preserve">countries </w:t>
      </w:r>
      <w:r w:rsidR="00F305C8" w:rsidRPr="002F5491">
        <w:rPr>
          <w:rFonts w:cs="Times New Roman"/>
          <w:szCs w:val="22"/>
        </w:rPr>
        <w:t xml:space="preserve">have </w:t>
      </w:r>
      <w:r w:rsidR="0001470B" w:rsidRPr="002F5491">
        <w:rPr>
          <w:rFonts w:cs="Times New Roman"/>
          <w:szCs w:val="22"/>
        </w:rPr>
        <w:t xml:space="preserve">also </w:t>
      </w:r>
      <w:r w:rsidR="0037573D" w:rsidRPr="002F5491">
        <w:rPr>
          <w:rFonts w:cs="Times New Roman"/>
          <w:szCs w:val="22"/>
        </w:rPr>
        <w:t>note</w:t>
      </w:r>
      <w:r w:rsidR="0001470B" w:rsidRPr="002F5491">
        <w:rPr>
          <w:rFonts w:cs="Times New Roman"/>
          <w:szCs w:val="22"/>
        </w:rPr>
        <w:t xml:space="preserve">d </w:t>
      </w:r>
      <w:r w:rsidR="00F305C8" w:rsidRPr="002F5491">
        <w:rPr>
          <w:rFonts w:cs="Times New Roman"/>
          <w:szCs w:val="22"/>
        </w:rPr>
        <w:t xml:space="preserve">that </w:t>
      </w:r>
      <w:r w:rsidR="0001470B" w:rsidRPr="002F5491">
        <w:rPr>
          <w:rFonts w:cs="Times New Roman"/>
          <w:szCs w:val="22"/>
        </w:rPr>
        <w:t xml:space="preserve">such </w:t>
      </w:r>
      <w:r w:rsidR="00F305C8" w:rsidRPr="002F5491">
        <w:rPr>
          <w:rFonts w:cs="Times New Roman"/>
          <w:szCs w:val="22"/>
        </w:rPr>
        <w:t>targeted support is very helpful in strengthening institutional capacities, collaboration and networking at the national and regional levels.</w:t>
      </w:r>
    </w:p>
    <w:p w:rsidR="00A858F9" w:rsidRPr="002F5491" w:rsidRDefault="00F305C8" w:rsidP="00A858F9">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The</w:t>
      </w:r>
      <w:r w:rsidR="00DA3B89" w:rsidRPr="002F5491">
        <w:rPr>
          <w:rFonts w:cs="Times New Roman"/>
          <w:szCs w:val="22"/>
        </w:rPr>
        <w:t xml:space="preserve"> Secretariat has </w:t>
      </w:r>
      <w:r w:rsidR="0099524E" w:rsidRPr="002F5491">
        <w:rPr>
          <w:rFonts w:cs="Times New Roman"/>
          <w:szCs w:val="22"/>
        </w:rPr>
        <w:t xml:space="preserve">also </w:t>
      </w:r>
      <w:r w:rsidR="00DA3B89" w:rsidRPr="002F5491">
        <w:rPr>
          <w:rFonts w:cs="Times New Roman"/>
          <w:szCs w:val="22"/>
        </w:rPr>
        <w:t>expanded the</w:t>
      </w:r>
      <w:r w:rsidRPr="002F5491">
        <w:rPr>
          <w:rFonts w:cs="Times New Roman"/>
          <w:szCs w:val="22"/>
        </w:rPr>
        <w:t xml:space="preserve"> </w:t>
      </w:r>
      <w:r w:rsidR="00DA3B89" w:rsidRPr="002F5491">
        <w:rPr>
          <w:rFonts w:cs="Times New Roman"/>
          <w:szCs w:val="22"/>
        </w:rPr>
        <w:t xml:space="preserve">provision of </w:t>
      </w:r>
      <w:r w:rsidRPr="002F5491">
        <w:rPr>
          <w:rFonts w:cs="Times New Roman"/>
          <w:szCs w:val="22"/>
        </w:rPr>
        <w:t xml:space="preserve">help desk support </w:t>
      </w:r>
      <w:r w:rsidR="0099524E" w:rsidRPr="002F5491">
        <w:rPr>
          <w:rFonts w:cs="Times New Roman"/>
          <w:szCs w:val="22"/>
        </w:rPr>
        <w:t>for</w:t>
      </w:r>
      <w:r w:rsidRPr="002F5491">
        <w:rPr>
          <w:rFonts w:cs="Times New Roman"/>
          <w:szCs w:val="22"/>
        </w:rPr>
        <w:t xml:space="preserve"> </w:t>
      </w:r>
      <w:r w:rsidR="00A47F3F" w:rsidRPr="002F5491">
        <w:rPr>
          <w:rFonts w:cs="Times New Roman"/>
          <w:szCs w:val="22"/>
        </w:rPr>
        <w:t xml:space="preserve">various </w:t>
      </w:r>
      <w:r w:rsidRPr="002F5491">
        <w:rPr>
          <w:rFonts w:cs="Times New Roman"/>
          <w:szCs w:val="22"/>
        </w:rPr>
        <w:t>activities and programmes</w:t>
      </w:r>
      <w:r w:rsidR="00382809" w:rsidRPr="002F5491">
        <w:rPr>
          <w:rFonts w:cs="Times New Roman"/>
          <w:szCs w:val="22"/>
        </w:rPr>
        <w:t xml:space="preserve">, </w:t>
      </w:r>
      <w:r w:rsidR="00CA6775" w:rsidRPr="002F5491">
        <w:rPr>
          <w:rFonts w:cs="Times New Roman"/>
          <w:szCs w:val="22"/>
        </w:rPr>
        <w:t>such as</w:t>
      </w:r>
      <w:r w:rsidR="00382809" w:rsidRPr="002F5491">
        <w:rPr>
          <w:rFonts w:cs="Times New Roman"/>
          <w:szCs w:val="22"/>
        </w:rPr>
        <w:t xml:space="preserve"> the </w:t>
      </w:r>
      <w:r w:rsidR="00AA57AB" w:rsidRPr="002F5491">
        <w:rPr>
          <w:rFonts w:cs="Times New Roman"/>
          <w:szCs w:val="22"/>
        </w:rPr>
        <w:t>Access and Benefit-Sharing</w:t>
      </w:r>
      <w:r w:rsidR="00382809" w:rsidRPr="002F5491">
        <w:rPr>
          <w:rFonts w:cs="Times New Roman"/>
          <w:szCs w:val="22"/>
        </w:rPr>
        <w:t xml:space="preserve"> Clearing-House, national reporting and national </w:t>
      </w:r>
      <w:r w:rsidR="00824E2D" w:rsidRPr="002F5491">
        <w:rPr>
          <w:rFonts w:cs="Times New Roman"/>
          <w:szCs w:val="22"/>
        </w:rPr>
        <w:t>c</w:t>
      </w:r>
      <w:r w:rsidR="00382809" w:rsidRPr="002F5491">
        <w:rPr>
          <w:rFonts w:cs="Times New Roman"/>
          <w:szCs w:val="22"/>
        </w:rPr>
        <w:t>learing-</w:t>
      </w:r>
      <w:r w:rsidR="00824E2D" w:rsidRPr="002F5491">
        <w:rPr>
          <w:rFonts w:cs="Times New Roman"/>
          <w:szCs w:val="22"/>
        </w:rPr>
        <w:t>h</w:t>
      </w:r>
      <w:r w:rsidR="00382809" w:rsidRPr="002F5491">
        <w:rPr>
          <w:rFonts w:cs="Times New Roman"/>
          <w:szCs w:val="22"/>
        </w:rPr>
        <w:t xml:space="preserve">ouse </w:t>
      </w:r>
      <w:r w:rsidR="00824E2D" w:rsidRPr="002F5491">
        <w:rPr>
          <w:rFonts w:cs="Times New Roman"/>
          <w:szCs w:val="22"/>
        </w:rPr>
        <w:t>m</w:t>
      </w:r>
      <w:r w:rsidR="00382809" w:rsidRPr="002F5491">
        <w:rPr>
          <w:rFonts w:cs="Times New Roman"/>
          <w:szCs w:val="22"/>
        </w:rPr>
        <w:t>echanisms</w:t>
      </w:r>
      <w:r w:rsidR="00DA3B89" w:rsidRPr="002F5491">
        <w:rPr>
          <w:rFonts w:cs="Times New Roman"/>
          <w:szCs w:val="22"/>
        </w:rPr>
        <w:t>.</w:t>
      </w:r>
      <w:r w:rsidR="00A858F9" w:rsidRPr="002F5491">
        <w:rPr>
          <w:rFonts w:cs="Times New Roman"/>
          <w:szCs w:val="22"/>
        </w:rPr>
        <w:t xml:space="preserve"> Through this modality, the Secretariat is providing</w:t>
      </w:r>
      <w:r w:rsidR="00DA3B89" w:rsidRPr="002F5491">
        <w:rPr>
          <w:rFonts w:cs="Times New Roman"/>
          <w:szCs w:val="22"/>
        </w:rPr>
        <w:t xml:space="preserve"> </w:t>
      </w:r>
      <w:r w:rsidR="00A858F9" w:rsidRPr="002F5491">
        <w:rPr>
          <w:rFonts w:cs="Times New Roman"/>
          <w:szCs w:val="22"/>
        </w:rPr>
        <w:t xml:space="preserve">punctual </w:t>
      </w:r>
      <w:r w:rsidR="00DA3B89" w:rsidRPr="002F5491">
        <w:rPr>
          <w:rFonts w:cs="Times New Roman"/>
          <w:szCs w:val="22"/>
        </w:rPr>
        <w:t>response</w:t>
      </w:r>
      <w:r w:rsidR="00A858F9" w:rsidRPr="002F5491">
        <w:rPr>
          <w:rFonts w:cs="Times New Roman"/>
          <w:szCs w:val="22"/>
        </w:rPr>
        <w:t>s</w:t>
      </w:r>
      <w:r w:rsidR="00DA3B89" w:rsidRPr="002F5491">
        <w:rPr>
          <w:rFonts w:cs="Times New Roman"/>
          <w:szCs w:val="22"/>
        </w:rPr>
        <w:t xml:space="preserve"> to specific </w:t>
      </w:r>
      <w:r w:rsidR="00A858F9" w:rsidRPr="002F5491">
        <w:rPr>
          <w:rFonts w:cs="Times New Roman"/>
          <w:szCs w:val="22"/>
        </w:rPr>
        <w:t>questions</w:t>
      </w:r>
      <w:r w:rsidR="00382809" w:rsidRPr="002F5491">
        <w:rPr>
          <w:rFonts w:cs="Times New Roman"/>
          <w:szCs w:val="22"/>
        </w:rPr>
        <w:t xml:space="preserve"> or</w:t>
      </w:r>
      <w:r w:rsidR="00A858F9" w:rsidRPr="002F5491">
        <w:rPr>
          <w:rFonts w:cs="Times New Roman"/>
          <w:szCs w:val="22"/>
        </w:rPr>
        <w:t xml:space="preserve"> </w:t>
      </w:r>
      <w:r w:rsidR="00DA3B89" w:rsidRPr="002F5491">
        <w:rPr>
          <w:rFonts w:cs="Times New Roman"/>
          <w:szCs w:val="22"/>
        </w:rPr>
        <w:t xml:space="preserve">requests </w:t>
      </w:r>
      <w:r w:rsidR="00A858F9" w:rsidRPr="002F5491">
        <w:rPr>
          <w:rFonts w:cs="Times New Roman"/>
          <w:szCs w:val="22"/>
        </w:rPr>
        <w:t>for information</w:t>
      </w:r>
      <w:r w:rsidR="00382809" w:rsidRPr="002F5491">
        <w:rPr>
          <w:rFonts w:cs="Times New Roman"/>
          <w:szCs w:val="22"/>
        </w:rPr>
        <w:t xml:space="preserve">, and </w:t>
      </w:r>
      <w:r w:rsidR="00A858F9" w:rsidRPr="002F5491">
        <w:rPr>
          <w:rFonts w:cs="Times New Roman"/>
          <w:szCs w:val="22"/>
        </w:rPr>
        <w:t xml:space="preserve">advice </w:t>
      </w:r>
      <w:r w:rsidR="00382809" w:rsidRPr="002F5491">
        <w:rPr>
          <w:rFonts w:cs="Times New Roman"/>
          <w:szCs w:val="22"/>
        </w:rPr>
        <w:t>to</w:t>
      </w:r>
      <w:r w:rsidR="00A858F9" w:rsidRPr="002F5491">
        <w:rPr>
          <w:rFonts w:cs="Times New Roman"/>
          <w:szCs w:val="22"/>
        </w:rPr>
        <w:t xml:space="preserve"> Parties</w:t>
      </w:r>
      <w:r w:rsidR="00DA3B89" w:rsidRPr="002F5491">
        <w:rPr>
          <w:rFonts w:cs="Times New Roman"/>
          <w:szCs w:val="22"/>
        </w:rPr>
        <w:t xml:space="preserve"> </w:t>
      </w:r>
      <w:r w:rsidR="00A858F9" w:rsidRPr="002F5491">
        <w:rPr>
          <w:rFonts w:cs="Times New Roman"/>
          <w:szCs w:val="22"/>
        </w:rPr>
        <w:t xml:space="preserve">and relevant </w:t>
      </w:r>
      <w:r w:rsidR="00DA3B89" w:rsidRPr="002F5491">
        <w:rPr>
          <w:rFonts w:cs="Times New Roman"/>
          <w:szCs w:val="22"/>
        </w:rPr>
        <w:t>stakeholders</w:t>
      </w:r>
      <w:r w:rsidR="00A858F9" w:rsidRPr="002F5491">
        <w:rPr>
          <w:rFonts w:cs="Times New Roman"/>
          <w:szCs w:val="22"/>
        </w:rPr>
        <w:t xml:space="preserve">. According to </w:t>
      </w:r>
      <w:r w:rsidR="00CA6775" w:rsidRPr="002F5491">
        <w:rPr>
          <w:rFonts w:cs="Times New Roman"/>
          <w:szCs w:val="22"/>
        </w:rPr>
        <w:t>the feedback received</w:t>
      </w:r>
      <w:r w:rsidR="00A858F9" w:rsidRPr="002F5491">
        <w:rPr>
          <w:rFonts w:cs="Times New Roman"/>
          <w:szCs w:val="22"/>
        </w:rPr>
        <w:t>, a number of stakeholders have found this service very helpful.</w:t>
      </w:r>
    </w:p>
    <w:p w:rsidR="00913B41" w:rsidRPr="002F5491" w:rsidRDefault="00DB4E19" w:rsidP="00A438A4">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Furthermore, a</w:t>
      </w:r>
      <w:r w:rsidR="00D61AAB" w:rsidRPr="002F5491">
        <w:rPr>
          <w:rFonts w:cs="Times New Roman"/>
          <w:szCs w:val="22"/>
        </w:rPr>
        <w:t xml:space="preserve">s noted </w:t>
      </w:r>
      <w:r w:rsidR="009215CC" w:rsidRPr="002F5491">
        <w:rPr>
          <w:rFonts w:cs="Times New Roman"/>
          <w:szCs w:val="22"/>
        </w:rPr>
        <w:t xml:space="preserve">in </w:t>
      </w:r>
      <w:r w:rsidR="009215CC" w:rsidRPr="002F5491">
        <w:rPr>
          <w:rFonts w:cs="Times New Roman"/>
          <w:kern w:val="22"/>
          <w:szCs w:val="22"/>
        </w:rPr>
        <w:t>document CBD/SBI/2/</w:t>
      </w:r>
      <w:r w:rsidR="00170570" w:rsidRPr="002F5491">
        <w:rPr>
          <w:rFonts w:cs="Times New Roman"/>
          <w:kern w:val="22"/>
          <w:szCs w:val="22"/>
        </w:rPr>
        <w:t>INF/6</w:t>
      </w:r>
      <w:r w:rsidR="00D61AAB" w:rsidRPr="002F5491">
        <w:rPr>
          <w:rFonts w:cs="Times New Roman"/>
          <w:szCs w:val="22"/>
        </w:rPr>
        <w:t>, the Secretaria</w:t>
      </w:r>
      <w:r w:rsidR="00482435" w:rsidRPr="002F5491">
        <w:rPr>
          <w:rFonts w:cs="Times New Roman"/>
          <w:szCs w:val="22"/>
        </w:rPr>
        <w:t>t i</w:t>
      </w:r>
      <w:r w:rsidR="003F41FC" w:rsidRPr="002F5491">
        <w:rPr>
          <w:rFonts w:cs="Times New Roman"/>
          <w:szCs w:val="22"/>
        </w:rPr>
        <w:t xml:space="preserve">n collaboration </w:t>
      </w:r>
      <w:r w:rsidR="00615CA0" w:rsidRPr="002F5491">
        <w:rPr>
          <w:rFonts w:cs="Times New Roman"/>
          <w:szCs w:val="22"/>
        </w:rPr>
        <w:t xml:space="preserve">with </w:t>
      </w:r>
      <w:r w:rsidR="003F41FC" w:rsidRPr="002F5491">
        <w:rPr>
          <w:rFonts w:cs="Times New Roman"/>
          <w:szCs w:val="22"/>
        </w:rPr>
        <w:t>partners has broadened</w:t>
      </w:r>
      <w:r w:rsidR="00482435" w:rsidRPr="002F5491">
        <w:rPr>
          <w:rFonts w:cs="Times New Roman"/>
          <w:szCs w:val="22"/>
        </w:rPr>
        <w:t xml:space="preserve"> </w:t>
      </w:r>
      <w:r w:rsidR="00D61AAB" w:rsidRPr="002F5491">
        <w:rPr>
          <w:rFonts w:cs="Times New Roman"/>
          <w:szCs w:val="22"/>
        </w:rPr>
        <w:t xml:space="preserve">efforts to </w:t>
      </w:r>
      <w:r w:rsidR="007E2198" w:rsidRPr="002F5491">
        <w:rPr>
          <w:rFonts w:cs="Times New Roman"/>
          <w:szCs w:val="22"/>
        </w:rPr>
        <w:t>facilitate</w:t>
      </w:r>
      <w:r w:rsidR="00D61AAB" w:rsidRPr="002F5491">
        <w:rPr>
          <w:rFonts w:cs="Times New Roman"/>
          <w:szCs w:val="22"/>
        </w:rPr>
        <w:t xml:space="preserve"> </w:t>
      </w:r>
      <w:r w:rsidR="003F41FC" w:rsidRPr="002F5491">
        <w:rPr>
          <w:rFonts w:cs="Times New Roman"/>
          <w:szCs w:val="22"/>
        </w:rPr>
        <w:t>the establishment or strengthe</w:t>
      </w:r>
      <w:r w:rsidR="007E2198" w:rsidRPr="002F5491">
        <w:rPr>
          <w:rFonts w:cs="Times New Roman"/>
          <w:szCs w:val="22"/>
        </w:rPr>
        <w:t>n</w:t>
      </w:r>
      <w:r w:rsidR="003F41FC" w:rsidRPr="002F5491">
        <w:rPr>
          <w:rFonts w:cs="Times New Roman"/>
          <w:szCs w:val="22"/>
        </w:rPr>
        <w:t>ing</w:t>
      </w:r>
      <w:r w:rsidR="00D61AAB" w:rsidRPr="002F5491">
        <w:rPr>
          <w:rFonts w:cs="Times New Roman"/>
          <w:szCs w:val="22"/>
        </w:rPr>
        <w:t xml:space="preserve"> of r</w:t>
      </w:r>
      <w:r w:rsidR="0099524E" w:rsidRPr="002F5491">
        <w:rPr>
          <w:rFonts w:cs="Times New Roman"/>
          <w:szCs w:val="22"/>
        </w:rPr>
        <w:t xml:space="preserve">egional </w:t>
      </w:r>
      <w:r w:rsidR="007E2198" w:rsidRPr="002F5491">
        <w:rPr>
          <w:rFonts w:cs="Times New Roman"/>
          <w:szCs w:val="22"/>
        </w:rPr>
        <w:t xml:space="preserve">and global </w:t>
      </w:r>
      <w:r w:rsidR="0099524E" w:rsidRPr="002F5491">
        <w:rPr>
          <w:rFonts w:cs="Times New Roman"/>
          <w:szCs w:val="22"/>
        </w:rPr>
        <w:t>support networks</w:t>
      </w:r>
      <w:r w:rsidR="00482435" w:rsidRPr="002F5491">
        <w:rPr>
          <w:rFonts w:cs="Times New Roman"/>
          <w:szCs w:val="22"/>
        </w:rPr>
        <w:t xml:space="preserve"> on various issues</w:t>
      </w:r>
      <w:r w:rsidR="00D61AAB" w:rsidRPr="002F5491">
        <w:rPr>
          <w:rFonts w:cs="Times New Roman"/>
          <w:szCs w:val="22"/>
        </w:rPr>
        <w:t>.</w:t>
      </w:r>
      <w:r w:rsidR="007E2198" w:rsidRPr="002F5491">
        <w:rPr>
          <w:rFonts w:cs="Times New Roman"/>
          <w:szCs w:val="22"/>
        </w:rPr>
        <w:t xml:space="preserve"> Examples include </w:t>
      </w:r>
      <w:r w:rsidR="00913B41" w:rsidRPr="002F5491">
        <w:rPr>
          <w:rFonts w:cs="Times New Roman"/>
          <w:szCs w:val="22"/>
        </w:rPr>
        <w:t xml:space="preserve">the </w:t>
      </w:r>
      <w:r w:rsidR="003F41FC" w:rsidRPr="002F5491">
        <w:rPr>
          <w:rFonts w:cs="Times New Roman"/>
          <w:szCs w:val="22"/>
        </w:rPr>
        <w:t>regional implementation support n</w:t>
      </w:r>
      <w:r w:rsidR="007E2198" w:rsidRPr="002F5491">
        <w:rPr>
          <w:rFonts w:cs="Times New Roman"/>
          <w:szCs w:val="22"/>
        </w:rPr>
        <w:t>etworks for protected areas,</w:t>
      </w:r>
      <w:r w:rsidR="008C2D9B" w:rsidRPr="002F5491">
        <w:rPr>
          <w:rStyle w:val="FootnoteReference"/>
          <w:rFonts w:cs="Times New Roman"/>
          <w:sz w:val="22"/>
          <w:szCs w:val="22"/>
          <w:u w:val="none"/>
          <w:vertAlign w:val="superscript"/>
        </w:rPr>
        <w:footnoteReference w:id="8"/>
      </w:r>
      <w:r w:rsidR="007E2198" w:rsidRPr="002F5491">
        <w:rPr>
          <w:rFonts w:cs="Times New Roman"/>
          <w:szCs w:val="22"/>
          <w:vertAlign w:val="superscript"/>
        </w:rPr>
        <w:t xml:space="preserve"> </w:t>
      </w:r>
      <w:r w:rsidR="003F41FC" w:rsidRPr="002F5491">
        <w:rPr>
          <w:rFonts w:cs="Times New Roman"/>
          <w:kern w:val="22"/>
          <w:szCs w:val="22"/>
        </w:rPr>
        <w:t>CBD-BIOFIN regional technical support nodes</w:t>
      </w:r>
      <w:r w:rsidR="00812909" w:rsidRPr="002F5491">
        <w:rPr>
          <w:rFonts w:cs="Times New Roman"/>
          <w:kern w:val="22"/>
          <w:szCs w:val="22"/>
        </w:rPr>
        <w:t>,</w:t>
      </w:r>
      <w:r w:rsidR="004C6901" w:rsidRPr="002F5491">
        <w:rPr>
          <w:rStyle w:val="StyleFootnoteReferencenumberFootnoteReferenceSuperscript-EF"/>
          <w:rFonts w:cs="Times New Roman"/>
          <w:sz w:val="22"/>
          <w:szCs w:val="22"/>
        </w:rPr>
        <w:footnoteReference w:id="9"/>
      </w:r>
      <w:r w:rsidR="00913B41" w:rsidRPr="002F5491">
        <w:rPr>
          <w:rFonts w:cs="Times New Roman"/>
          <w:szCs w:val="22"/>
        </w:rPr>
        <w:t xml:space="preserve"> </w:t>
      </w:r>
      <w:r w:rsidR="00A438A4" w:rsidRPr="002F5491">
        <w:rPr>
          <w:rFonts w:cs="Times New Roman"/>
          <w:szCs w:val="22"/>
        </w:rPr>
        <w:t>regional networks of laboratories for the detection and identification of living modified organisms,</w:t>
      </w:r>
      <w:r w:rsidR="00A438A4" w:rsidRPr="002F5491">
        <w:rPr>
          <w:rStyle w:val="FootnoteReference"/>
          <w:rFonts w:cs="Times New Roman"/>
          <w:sz w:val="22"/>
          <w:szCs w:val="22"/>
          <w:u w:val="none"/>
          <w:vertAlign w:val="superscript"/>
        </w:rPr>
        <w:footnoteReference w:id="10"/>
      </w:r>
      <w:r w:rsidR="00A438A4" w:rsidRPr="002F5491">
        <w:rPr>
          <w:rFonts w:cs="Times New Roman"/>
          <w:szCs w:val="22"/>
        </w:rPr>
        <w:t xml:space="preserve"> </w:t>
      </w:r>
      <w:r w:rsidR="003F41FC" w:rsidRPr="002F5491">
        <w:rPr>
          <w:rFonts w:cs="Times New Roman"/>
          <w:szCs w:val="22"/>
        </w:rPr>
        <w:t xml:space="preserve">and the </w:t>
      </w:r>
      <w:r w:rsidR="00584BD4" w:rsidRPr="002F5491">
        <w:rPr>
          <w:rFonts w:cs="Times New Roman"/>
          <w:szCs w:val="22"/>
        </w:rPr>
        <w:t xml:space="preserve">JBF-supported </w:t>
      </w:r>
      <w:r w:rsidR="003F41FC" w:rsidRPr="002F5491">
        <w:rPr>
          <w:rFonts w:cs="Times New Roman"/>
          <w:szCs w:val="22"/>
        </w:rPr>
        <w:t xml:space="preserve">global network on </w:t>
      </w:r>
      <w:r w:rsidR="009C4AF8" w:rsidRPr="002F5491">
        <w:rPr>
          <w:rFonts w:cs="Times New Roman"/>
          <w:szCs w:val="22"/>
        </w:rPr>
        <w:t>A</w:t>
      </w:r>
      <w:r w:rsidR="003F41FC" w:rsidRPr="002F5491">
        <w:rPr>
          <w:rFonts w:cs="Times New Roman"/>
          <w:szCs w:val="22"/>
        </w:rPr>
        <w:t xml:space="preserve">ccess and </w:t>
      </w:r>
      <w:r w:rsidR="009C4AF8" w:rsidRPr="002F5491">
        <w:rPr>
          <w:rFonts w:cs="Times New Roman"/>
          <w:szCs w:val="22"/>
        </w:rPr>
        <w:t>B</w:t>
      </w:r>
      <w:r w:rsidR="00913B41" w:rsidRPr="002F5491">
        <w:rPr>
          <w:rFonts w:cs="Times New Roman"/>
          <w:szCs w:val="22"/>
        </w:rPr>
        <w:t>enefit-</w:t>
      </w:r>
      <w:r w:rsidR="009C4AF8" w:rsidRPr="002F5491">
        <w:rPr>
          <w:rFonts w:cs="Times New Roman"/>
          <w:szCs w:val="22"/>
        </w:rPr>
        <w:t>S</w:t>
      </w:r>
      <w:r w:rsidR="003F41FC" w:rsidRPr="002F5491">
        <w:rPr>
          <w:rFonts w:cs="Times New Roman"/>
          <w:szCs w:val="22"/>
        </w:rPr>
        <w:t>haring legal e</w:t>
      </w:r>
      <w:r w:rsidR="00913B41" w:rsidRPr="002F5491">
        <w:rPr>
          <w:rFonts w:cs="Times New Roman"/>
          <w:szCs w:val="22"/>
        </w:rPr>
        <w:t>xperts</w:t>
      </w:r>
      <w:r w:rsidR="004C6901" w:rsidRPr="002F5491">
        <w:rPr>
          <w:rFonts w:cs="Times New Roman"/>
          <w:szCs w:val="22"/>
        </w:rPr>
        <w:t xml:space="preserve"> co-facilitated with the </w:t>
      </w:r>
      <w:r w:rsidR="00306F20" w:rsidRPr="002F5491">
        <w:rPr>
          <w:rFonts w:cs="Times New Roman"/>
          <w:szCs w:val="22"/>
        </w:rPr>
        <w:t>International Development Law Organization</w:t>
      </w:r>
      <w:r w:rsidR="00913B41" w:rsidRPr="002F5491">
        <w:rPr>
          <w:rFonts w:cs="Times New Roman"/>
          <w:szCs w:val="22"/>
        </w:rPr>
        <w:t>.</w:t>
      </w:r>
      <w:r w:rsidR="009072DF" w:rsidRPr="002F5491">
        <w:rPr>
          <w:rStyle w:val="FootnoteReference"/>
          <w:rFonts w:cs="Times New Roman"/>
          <w:sz w:val="22"/>
          <w:szCs w:val="22"/>
          <w:u w:val="none"/>
          <w:vertAlign w:val="superscript"/>
        </w:rPr>
        <w:footnoteReference w:id="11"/>
      </w:r>
    </w:p>
    <w:p w:rsidR="009A55A7" w:rsidRPr="002F5491" w:rsidRDefault="00E35557" w:rsidP="00E35557">
      <w:pPr>
        <w:pStyle w:val="Para1"/>
        <w:numPr>
          <w:ilvl w:val="0"/>
          <w:numId w:val="14"/>
        </w:numPr>
        <w:suppressLineNumbers/>
        <w:tabs>
          <w:tab w:val="num" w:pos="720"/>
        </w:tabs>
        <w:suppressAutoHyphens/>
        <w:spacing w:before="120"/>
        <w:ind w:left="0" w:firstLine="0"/>
        <w:rPr>
          <w:rFonts w:cs="Times New Roman"/>
          <w:color w:val="000000"/>
          <w:szCs w:val="22"/>
        </w:rPr>
      </w:pPr>
      <w:r w:rsidRPr="002F5491">
        <w:rPr>
          <w:rFonts w:cs="Times New Roman"/>
          <w:szCs w:val="22"/>
        </w:rPr>
        <w:t xml:space="preserve">Countries’ capacities have also been enhanced through the support provided to processes and activities that are not directly </w:t>
      </w:r>
      <w:r w:rsidR="00A47F3F" w:rsidRPr="002F5491">
        <w:rPr>
          <w:rFonts w:cs="Times New Roman"/>
          <w:szCs w:val="22"/>
        </w:rPr>
        <w:t xml:space="preserve">designed for </w:t>
      </w:r>
      <w:r w:rsidRPr="002F5491">
        <w:rPr>
          <w:rFonts w:cs="Times New Roman"/>
          <w:color w:val="000000"/>
          <w:szCs w:val="22"/>
        </w:rPr>
        <w:t xml:space="preserve">capacity building purposes. For example, one of the three objectives under the methodology for Voluntary Peer Review is “to provide opportunities for peer learning for Parties involved and other Parties”. </w:t>
      </w:r>
      <w:r w:rsidRPr="002F5491">
        <w:rPr>
          <w:rFonts w:cs="Times New Roman"/>
          <w:iCs/>
          <w:color w:val="000000"/>
          <w:kern w:val="22"/>
          <w:szCs w:val="22"/>
        </w:rPr>
        <w:t>Through reviewing NBSAP processes and NBSAP implementation by other Parties, capacity is built as reviewers learn from their peers and vice-versa.</w:t>
      </w:r>
      <w:r w:rsidRPr="002F5491">
        <w:rPr>
          <w:rFonts w:cs="Times New Roman"/>
          <w:color w:val="000000"/>
          <w:szCs w:val="22"/>
        </w:rPr>
        <w:t xml:space="preserve"> </w:t>
      </w:r>
      <w:r w:rsidR="009A55A7" w:rsidRPr="002F5491">
        <w:rPr>
          <w:rFonts w:cs="Times New Roman"/>
          <w:iCs/>
          <w:color w:val="000000"/>
          <w:kern w:val="22"/>
          <w:szCs w:val="22"/>
        </w:rPr>
        <w:t xml:space="preserve">The capacity-building elements of the </w:t>
      </w:r>
      <w:r w:rsidR="00AA57AB" w:rsidRPr="002F5491">
        <w:rPr>
          <w:rFonts w:cs="Times New Roman"/>
          <w:color w:val="000000"/>
          <w:szCs w:val="22"/>
        </w:rPr>
        <w:t>Voluntary Peer Review</w:t>
      </w:r>
      <w:r w:rsidR="009A55A7" w:rsidRPr="002F5491">
        <w:rPr>
          <w:rFonts w:cs="Times New Roman"/>
          <w:iCs/>
          <w:color w:val="000000"/>
          <w:kern w:val="22"/>
          <w:szCs w:val="22"/>
        </w:rPr>
        <w:t xml:space="preserve"> have been clearly recognized, appreciated and documented by the Parties involved.</w:t>
      </w:r>
    </w:p>
    <w:p w:rsidR="00F11581" w:rsidRPr="002F5491" w:rsidRDefault="00666F69" w:rsidP="00F11581">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 xml:space="preserve">The Subsidiary Body on Implementation may wish to </w:t>
      </w:r>
      <w:r w:rsidR="00B24110" w:rsidRPr="002F5491">
        <w:rPr>
          <w:rFonts w:cs="Times New Roman"/>
          <w:szCs w:val="22"/>
        </w:rPr>
        <w:t xml:space="preserve">consider the information provided in the </w:t>
      </w:r>
      <w:r w:rsidR="009215CC" w:rsidRPr="002F5491">
        <w:rPr>
          <w:rFonts w:cs="Times New Roman"/>
          <w:szCs w:val="22"/>
        </w:rPr>
        <w:t xml:space="preserve">present document and the </w:t>
      </w:r>
      <w:r w:rsidR="00B24110" w:rsidRPr="002F5491">
        <w:rPr>
          <w:rFonts w:cs="Times New Roman"/>
          <w:szCs w:val="22"/>
        </w:rPr>
        <w:t xml:space="preserve">progress report </w:t>
      </w:r>
      <w:r w:rsidR="009215CC" w:rsidRPr="002F5491">
        <w:rPr>
          <w:rFonts w:cs="Times New Roman"/>
          <w:szCs w:val="22"/>
        </w:rPr>
        <w:t xml:space="preserve">contained in </w:t>
      </w:r>
      <w:r w:rsidR="009215CC" w:rsidRPr="002F5491">
        <w:rPr>
          <w:rFonts w:cs="Times New Roman"/>
          <w:kern w:val="22"/>
          <w:szCs w:val="22"/>
        </w:rPr>
        <w:t>document CBD/SBI/2/INF/</w:t>
      </w:r>
      <w:r w:rsidR="00170570" w:rsidRPr="002F5491">
        <w:rPr>
          <w:rFonts w:cs="Times New Roman"/>
          <w:kern w:val="22"/>
          <w:szCs w:val="22"/>
        </w:rPr>
        <w:t>6</w:t>
      </w:r>
      <w:r w:rsidR="009215CC" w:rsidRPr="002F5491">
        <w:rPr>
          <w:rFonts w:cs="Times New Roman"/>
          <w:szCs w:val="22"/>
        </w:rPr>
        <w:t xml:space="preserve"> </w:t>
      </w:r>
      <w:r w:rsidR="00B24110" w:rsidRPr="002F5491">
        <w:rPr>
          <w:rFonts w:cs="Times New Roman"/>
          <w:szCs w:val="22"/>
        </w:rPr>
        <w:t xml:space="preserve">and provide further guidance to facilitate the </w:t>
      </w:r>
      <w:r w:rsidR="00007BDC" w:rsidRPr="002F5491">
        <w:rPr>
          <w:rFonts w:cs="Times New Roman"/>
          <w:szCs w:val="22"/>
        </w:rPr>
        <w:t xml:space="preserve">effective </w:t>
      </w:r>
      <w:r w:rsidR="00B24110" w:rsidRPr="002F5491">
        <w:rPr>
          <w:rFonts w:cs="Times New Roman"/>
          <w:szCs w:val="22"/>
        </w:rPr>
        <w:t>implementation of the</w:t>
      </w:r>
      <w:r w:rsidR="00B24110" w:rsidRPr="002F5491">
        <w:rPr>
          <w:rFonts w:cs="Times New Roman"/>
          <w:kern w:val="22"/>
          <w:szCs w:val="22"/>
        </w:rPr>
        <w:t xml:space="preserve"> short-term action plan (2017-2020) to enhance and support capacity-building for </w:t>
      </w:r>
      <w:r w:rsidR="00007BDC" w:rsidRPr="002F5491">
        <w:rPr>
          <w:rFonts w:cs="Times New Roman"/>
          <w:kern w:val="22"/>
          <w:szCs w:val="22"/>
        </w:rPr>
        <w:t xml:space="preserve">the </w:t>
      </w:r>
      <w:r w:rsidR="00B24110" w:rsidRPr="002F5491">
        <w:rPr>
          <w:rFonts w:cs="Times New Roman"/>
          <w:kern w:val="22"/>
          <w:szCs w:val="22"/>
        </w:rPr>
        <w:t>Convention and its Protocols</w:t>
      </w:r>
      <w:r w:rsidR="00B36775" w:rsidRPr="002F5491">
        <w:rPr>
          <w:rFonts w:cs="Times New Roman"/>
          <w:kern w:val="22"/>
          <w:szCs w:val="22"/>
        </w:rPr>
        <w:t>,</w:t>
      </w:r>
      <w:r w:rsidR="00636E3E" w:rsidRPr="002F5491">
        <w:rPr>
          <w:rFonts w:cs="Times New Roman"/>
          <w:kern w:val="22"/>
          <w:szCs w:val="22"/>
        </w:rPr>
        <w:t xml:space="preserve"> and </w:t>
      </w:r>
      <w:r w:rsidR="00D353F5" w:rsidRPr="002F5491">
        <w:rPr>
          <w:rFonts w:cs="Times New Roman"/>
          <w:kern w:val="22"/>
          <w:szCs w:val="22"/>
        </w:rPr>
        <w:t xml:space="preserve">to </w:t>
      </w:r>
      <w:r w:rsidR="00636E3E" w:rsidRPr="002F5491">
        <w:rPr>
          <w:rFonts w:cs="Times New Roman"/>
          <w:kern w:val="22"/>
          <w:szCs w:val="22"/>
        </w:rPr>
        <w:t xml:space="preserve">feed into the development of </w:t>
      </w:r>
      <w:r w:rsidR="00636E3E" w:rsidRPr="002F5491">
        <w:rPr>
          <w:rFonts w:cs="Times New Roman"/>
          <w:kern w:val="22"/>
          <w:szCs w:val="22"/>
        </w:rPr>
        <w:lastRenderedPageBreak/>
        <w:t>the follow-up to the Strategic Plan for Biodiversity 2011-2020 and the Aichi Biodiversity Targets</w:t>
      </w:r>
      <w:r w:rsidR="00B24110" w:rsidRPr="002F5491">
        <w:rPr>
          <w:rFonts w:cs="Times New Roman"/>
          <w:kern w:val="22"/>
          <w:szCs w:val="22"/>
        </w:rPr>
        <w:t>.</w:t>
      </w:r>
      <w:r w:rsidR="00F11581" w:rsidRPr="002F5491">
        <w:rPr>
          <w:rFonts w:cs="Times New Roman"/>
          <w:szCs w:val="22"/>
        </w:rPr>
        <w:t xml:space="preserve"> It</w:t>
      </w:r>
      <w:r w:rsidR="00F11581" w:rsidRPr="002F5491">
        <w:rPr>
          <w:rFonts w:cs="Times New Roman"/>
          <w:kern w:val="22"/>
          <w:szCs w:val="22"/>
        </w:rPr>
        <w:t xml:space="preserve"> may also wish to recommend that more thorough monitoring and evaluation of the outcomes and effectiveness of ongoing capacity-building activities supported and facilitated by the Secretariat be </w:t>
      </w:r>
      <w:r w:rsidR="00F11581" w:rsidRPr="002F5491">
        <w:rPr>
          <w:rFonts w:cs="Times New Roman"/>
          <w:snapToGrid/>
          <w:kern w:val="20"/>
          <w:szCs w:val="22"/>
        </w:rPr>
        <w:t xml:space="preserve">undertaken as part of an independent evaluation of the impacts, outcomes and effectiveness of the short-term action plan (2017-2020), in accordance with paragraph 15(g) </w:t>
      </w:r>
      <w:r w:rsidR="00F11581" w:rsidRPr="002F5491">
        <w:rPr>
          <w:rFonts w:cs="Times New Roman"/>
          <w:kern w:val="22"/>
          <w:szCs w:val="22"/>
        </w:rPr>
        <w:t>of decision XIII/23 for consideration by</w:t>
      </w:r>
      <w:r w:rsidR="00F11581" w:rsidRPr="002F5491">
        <w:rPr>
          <w:rFonts w:cs="Times New Roman"/>
          <w:snapToGrid/>
          <w:kern w:val="20"/>
          <w:szCs w:val="22"/>
        </w:rPr>
        <w:t xml:space="preserve"> the Subsidiary Body on Implementation for its consideration at its third meeting.</w:t>
      </w:r>
    </w:p>
    <w:p w:rsidR="0039377C" w:rsidRPr="002F5491" w:rsidRDefault="00812909" w:rsidP="0039377C">
      <w:pPr>
        <w:keepNext/>
        <w:spacing w:before="120" w:after="120"/>
        <w:ind w:left="1170" w:hanging="450"/>
        <w:jc w:val="left"/>
        <w:rPr>
          <w:rFonts w:cs="Times New Roman"/>
          <w:b/>
          <w:iCs/>
          <w:caps/>
          <w:snapToGrid w:val="0"/>
          <w:kern w:val="22"/>
          <w:szCs w:val="22"/>
        </w:rPr>
      </w:pPr>
      <w:r w:rsidRPr="002F5491">
        <w:rPr>
          <w:rFonts w:cs="Times New Roman"/>
          <w:b/>
          <w:iCs/>
          <w:caps/>
          <w:snapToGrid w:val="0"/>
          <w:kern w:val="22"/>
          <w:szCs w:val="22"/>
        </w:rPr>
        <w:t>III</w:t>
      </w:r>
      <w:r w:rsidR="0039377C" w:rsidRPr="002F5491">
        <w:rPr>
          <w:rFonts w:cs="Times New Roman"/>
          <w:b/>
          <w:iCs/>
          <w:caps/>
          <w:snapToGrid w:val="0"/>
          <w:kern w:val="22"/>
          <w:szCs w:val="22"/>
        </w:rPr>
        <w:t>.</w:t>
      </w:r>
      <w:r w:rsidR="0039377C" w:rsidRPr="002F5491">
        <w:rPr>
          <w:rFonts w:cs="Times New Roman"/>
          <w:b/>
          <w:iCs/>
          <w:caps/>
          <w:snapToGrid w:val="0"/>
          <w:kern w:val="22"/>
          <w:szCs w:val="22"/>
        </w:rPr>
        <w:tab/>
        <w:t>PROGRESS WITH TECHNICAL AND SCIENTIFIC COOPERATION</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9 of decision XII/2 B, the Conference of the Parties requested the Executive Secretary to enhance technical and scientific cooperation and technology transfer under the Convention. The Conference of the Parties also welcomed the Bio-Bridge Initiative, established with initial support from the Government of the Republic of Korea, to promote and facilitate technical and scientific cooperation with a view to enhancing the implementation of the Strategic Plan for Biodiversity 2011-2020 and its Aichi Biodiversity Targets as well as the updated national biodiversity strategies and action plans (decision XII/2 B, para. 13 and decision XII/3, para. 5).</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The Bio-Bridge Initiative link</w:t>
      </w:r>
      <w:r w:rsidR="00A47F3F" w:rsidRPr="002F5491">
        <w:rPr>
          <w:rFonts w:cs="Times New Roman"/>
          <w:kern w:val="22"/>
          <w:szCs w:val="22"/>
        </w:rPr>
        <w:t>s</w:t>
      </w:r>
      <w:r w:rsidRPr="002F5491">
        <w:rPr>
          <w:rFonts w:cs="Times New Roman"/>
          <w:kern w:val="22"/>
          <w:szCs w:val="22"/>
        </w:rPr>
        <w:t xml:space="preserve"> Parties that have technical and scientific needs with Parties and institutions that are in a position to provide technical assistance to address the expressed needs through mutual cooperation.</w:t>
      </w:r>
      <w:r w:rsidR="00A47F3F" w:rsidRPr="002F5491">
        <w:rPr>
          <w:rFonts w:cs="Times New Roman"/>
          <w:kern w:val="22"/>
          <w:szCs w:val="22"/>
        </w:rPr>
        <w:t xml:space="preserve"> It also provides providing a platform for countries and institutions to share information about existing opportunities, knowledge, good practices and lessons learned with each other.</w:t>
      </w:r>
      <w:r w:rsidRPr="002F5491">
        <w:rPr>
          <w:rFonts w:cs="Times New Roman"/>
          <w:kern w:val="22"/>
          <w:szCs w:val="22"/>
        </w:rPr>
        <w:t xml:space="preserve"> A Bio-Bridge </w:t>
      </w:r>
      <w:r w:rsidR="00956994" w:rsidRPr="002F5491">
        <w:rPr>
          <w:rFonts w:cs="Times New Roman"/>
          <w:kern w:val="22"/>
          <w:szCs w:val="22"/>
        </w:rPr>
        <w:t xml:space="preserve">Initiative </w:t>
      </w:r>
      <w:r w:rsidRPr="002F5491">
        <w:rPr>
          <w:rFonts w:cs="Times New Roman"/>
          <w:kern w:val="22"/>
          <w:szCs w:val="22"/>
        </w:rPr>
        <w:t>Action Plan 2017-2020</w:t>
      </w:r>
      <w:r w:rsidR="00E35557" w:rsidRPr="002F5491">
        <w:rPr>
          <w:rStyle w:val="StyleFootnoteReferencenumberFootnoteReferenceSuperscript-EF"/>
          <w:rFonts w:cs="Times New Roman"/>
          <w:sz w:val="22"/>
          <w:szCs w:val="22"/>
        </w:rPr>
        <w:footnoteReference w:id="12"/>
      </w:r>
      <w:r w:rsidRPr="002F5491">
        <w:rPr>
          <w:rFonts w:cs="Times New Roman"/>
          <w:kern w:val="22"/>
          <w:szCs w:val="22"/>
        </w:rPr>
        <w:t xml:space="preserve"> was launched in December 2016 in the margins of </w:t>
      </w:r>
      <w:r w:rsidR="00812909" w:rsidRPr="002F5491">
        <w:rPr>
          <w:rFonts w:cs="Times New Roman"/>
          <w:kern w:val="22"/>
          <w:szCs w:val="22"/>
        </w:rPr>
        <w:t>the thirteenth meeting of the Conference of the Parties</w:t>
      </w:r>
      <w:r w:rsidR="00A47F3F" w:rsidRPr="002F5491">
        <w:rPr>
          <w:rFonts w:cs="Times New Roman"/>
          <w:kern w:val="22"/>
          <w:szCs w:val="22"/>
        </w:rPr>
        <w:t xml:space="preserve"> to guide </w:t>
      </w:r>
      <w:r w:rsidR="00956994" w:rsidRPr="002F5491">
        <w:rPr>
          <w:rFonts w:cs="Times New Roman"/>
          <w:kern w:val="22"/>
          <w:szCs w:val="22"/>
        </w:rPr>
        <w:t>the activities and operations of the Initiative for the period 2017-2020</w:t>
      </w:r>
      <w:r w:rsidRPr="002F5491">
        <w:rPr>
          <w:rFonts w:cs="Times New Roman"/>
          <w:kern w:val="22"/>
          <w:szCs w:val="22"/>
        </w:rPr>
        <w:t>.</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January 2017, the Secretariat embarked on the operational phase of the Bio-Bridge Initiative. The main achievements to date include the launch in March 2017 of the Bio-Bridge web platform </w:t>
      </w:r>
      <w:r w:rsidR="002C158D" w:rsidRPr="002F5491">
        <w:rPr>
          <w:rFonts w:cs="Times New Roman"/>
          <w:kern w:val="22"/>
          <w:szCs w:val="22"/>
        </w:rPr>
        <w:t xml:space="preserve">powered by </w:t>
      </w:r>
      <w:r w:rsidR="00862F56" w:rsidRPr="002F5491">
        <w:rPr>
          <w:rFonts w:cs="Times New Roman"/>
          <w:kern w:val="22"/>
          <w:szCs w:val="22"/>
        </w:rPr>
        <w:t>the central clearing-house mechanism</w:t>
      </w:r>
      <w:r w:rsidRPr="002F5491">
        <w:rPr>
          <w:rFonts w:cs="Times New Roman"/>
          <w:kern w:val="22"/>
          <w:szCs w:val="22"/>
        </w:rPr>
        <w:t>.</w:t>
      </w:r>
      <w:r w:rsidR="00E35557" w:rsidRPr="002F5491">
        <w:rPr>
          <w:rStyle w:val="StyleFootnoteReferencenumberFootnoteReferenceSuperscript-EF"/>
          <w:rFonts w:cs="Times New Roman"/>
          <w:sz w:val="22"/>
          <w:szCs w:val="22"/>
        </w:rPr>
        <w:footnoteReference w:id="13"/>
      </w:r>
      <w:r w:rsidRPr="002F5491">
        <w:rPr>
          <w:rFonts w:cs="Times New Roman"/>
          <w:kern w:val="22"/>
          <w:szCs w:val="22"/>
        </w:rPr>
        <w:t xml:space="preserve"> The web platform enables countries and relevant stakeholders to submit requests for assistance, post offers of technical assistance, announce available opportunities and access a wide range of knowledge assets and curated resources.</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Secretariat, through the Bio-Bridge Initiative small grant facility, has provided seed funding to </w:t>
      </w:r>
      <w:r w:rsidR="003841B1" w:rsidRPr="002F5491">
        <w:rPr>
          <w:rFonts w:cs="Times New Roman"/>
          <w:kern w:val="22"/>
          <w:szCs w:val="22"/>
        </w:rPr>
        <w:t>nine</w:t>
      </w:r>
      <w:r w:rsidRPr="002F5491">
        <w:rPr>
          <w:rFonts w:cs="Times New Roman"/>
          <w:kern w:val="22"/>
          <w:szCs w:val="22"/>
        </w:rPr>
        <w:t xml:space="preserve"> demonstration projects on technical and scientific cooperation from the following countries: Belarus, China, Colombia, Ghana, India, Malawi, Morocco, Venezuela, and Zimbabwe</w:t>
      </w:r>
      <w:r w:rsidRPr="002F5491">
        <w:rPr>
          <w:rStyle w:val="StyleFootnoteReferencenumberFootnoteReferenceSuperscript-EF"/>
          <w:rFonts w:cs="Times New Roman"/>
          <w:sz w:val="22"/>
          <w:szCs w:val="22"/>
        </w:rPr>
        <w:footnoteReference w:id="14"/>
      </w:r>
      <w:r w:rsidRPr="002F5491">
        <w:rPr>
          <w:rFonts w:cs="Times New Roman"/>
          <w:kern w:val="22"/>
          <w:szCs w:val="22"/>
        </w:rPr>
        <w:t>. These were selected by an external Project Review Panel from a total of 31 requests for assistance that were submitted by Parties in response to a call issued through notification 2016-126.</w:t>
      </w:r>
      <w:r w:rsidR="003841B1" w:rsidRPr="002F5491">
        <w:rPr>
          <w:rFonts w:cs="Times New Roman"/>
          <w:kern w:val="22"/>
          <w:szCs w:val="22"/>
        </w:rPr>
        <w:t xml:space="preserve"> </w:t>
      </w:r>
      <w:r w:rsidR="004C6421" w:rsidRPr="002F5491">
        <w:rPr>
          <w:rFonts w:cs="Times New Roman"/>
          <w:kern w:val="22"/>
          <w:szCs w:val="22"/>
        </w:rPr>
        <w:t xml:space="preserve">These demonstration projects </w:t>
      </w:r>
      <w:r w:rsidR="00CC1630" w:rsidRPr="002F5491">
        <w:rPr>
          <w:rFonts w:cs="Times New Roman"/>
          <w:kern w:val="22"/>
          <w:szCs w:val="22"/>
        </w:rPr>
        <w:t xml:space="preserve">build on the initial four pilot projects implemented in 2016 </w:t>
      </w:r>
      <w:r w:rsidR="00CC1630" w:rsidRPr="002F5491">
        <w:rPr>
          <w:rFonts w:eastAsia="Times New Roman" w:cs="Times New Roman"/>
          <w:kern w:val="22"/>
          <w:szCs w:val="22"/>
        </w:rPr>
        <w:t>to test various technical and scientific cooperation approaches and generate some lessons to inform the further development and implementation of BBI</w:t>
      </w:r>
      <w:r w:rsidR="004C6421" w:rsidRPr="002F5491">
        <w:rPr>
          <w:rFonts w:cs="Times New Roman"/>
          <w:kern w:val="22"/>
          <w:szCs w:val="22"/>
        </w:rPr>
        <w:t>.</w:t>
      </w:r>
      <w:r w:rsidR="004C6421" w:rsidRPr="002F5491">
        <w:rPr>
          <w:rStyle w:val="StyleFootnoteReferencenumberFootnoteReferenceSuperscript-EF"/>
          <w:rFonts w:cs="Times New Roman"/>
          <w:sz w:val="22"/>
          <w:szCs w:val="22"/>
        </w:rPr>
        <w:footnoteReference w:id="15"/>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The Secretariat organi</w:t>
      </w:r>
      <w:r w:rsidR="009105B4" w:rsidRPr="002F5491">
        <w:rPr>
          <w:rFonts w:cs="Times New Roman"/>
          <w:kern w:val="22"/>
          <w:szCs w:val="22"/>
        </w:rPr>
        <w:t>z</w:t>
      </w:r>
      <w:r w:rsidRPr="002F5491">
        <w:rPr>
          <w:rFonts w:cs="Times New Roman"/>
          <w:kern w:val="22"/>
          <w:szCs w:val="22"/>
        </w:rPr>
        <w:t>ed four regional Bio-Bridge Initiative round tables for</w:t>
      </w:r>
      <w:r w:rsidRPr="002F5491">
        <w:rPr>
          <w:rFonts w:cs="Times New Roman"/>
          <w:szCs w:val="22"/>
        </w:rPr>
        <w:t xml:space="preserve"> Asia-Pacific (Incheon, Republic of Korea</w:t>
      </w:r>
      <w:r w:rsidR="00812909" w:rsidRPr="002F5491">
        <w:rPr>
          <w:rFonts w:cs="Times New Roman"/>
          <w:szCs w:val="22"/>
        </w:rPr>
        <w:t>, 15-19 October 2017</w:t>
      </w:r>
      <w:r w:rsidRPr="002F5491">
        <w:rPr>
          <w:rFonts w:cs="Times New Roman"/>
          <w:szCs w:val="22"/>
        </w:rPr>
        <w:t>), Africa (</w:t>
      </w:r>
      <w:r w:rsidR="00812909" w:rsidRPr="002F5491">
        <w:rPr>
          <w:rFonts w:cs="Times New Roman"/>
          <w:szCs w:val="22"/>
        </w:rPr>
        <w:t xml:space="preserve">Entebbe, Uganda, </w:t>
      </w:r>
      <w:r w:rsidRPr="002F5491">
        <w:rPr>
          <w:rFonts w:cs="Times New Roman"/>
          <w:szCs w:val="22"/>
        </w:rPr>
        <w:t>7-9 November 2017), Latin America and the Caribbean (</w:t>
      </w:r>
      <w:r w:rsidR="00812909" w:rsidRPr="002F5491">
        <w:rPr>
          <w:rFonts w:cs="Times New Roman"/>
          <w:szCs w:val="22"/>
        </w:rPr>
        <w:t xml:space="preserve">Bogota Colombia </w:t>
      </w:r>
      <w:r w:rsidRPr="002F5491">
        <w:rPr>
          <w:rFonts w:cs="Times New Roman"/>
          <w:szCs w:val="22"/>
        </w:rPr>
        <w:t>27-29 November 2017) and Central and Eastern Europe and the Central Asian Republics (</w:t>
      </w:r>
      <w:r w:rsidR="00812909" w:rsidRPr="002F5491">
        <w:rPr>
          <w:rFonts w:cs="Times New Roman"/>
          <w:szCs w:val="22"/>
        </w:rPr>
        <w:t xml:space="preserve">in Minsk, </w:t>
      </w:r>
      <w:r w:rsidRPr="002F5491">
        <w:rPr>
          <w:rFonts w:cs="Times New Roman"/>
          <w:szCs w:val="22"/>
        </w:rPr>
        <w:t>26-28 February 2018). The round tables aimed to promote awareness of</w:t>
      </w:r>
      <w:r w:rsidR="00862F56" w:rsidRPr="002F5491">
        <w:rPr>
          <w:rFonts w:cs="Times New Roman"/>
          <w:szCs w:val="22"/>
        </w:rPr>
        <w:t xml:space="preserve"> the Initiative (including </w:t>
      </w:r>
      <w:r w:rsidR="00B4046B" w:rsidRPr="002F5491">
        <w:rPr>
          <w:rFonts w:cs="Times New Roman"/>
          <w:szCs w:val="22"/>
        </w:rPr>
        <w:t xml:space="preserve">its </w:t>
      </w:r>
      <w:r w:rsidR="00862F56" w:rsidRPr="002F5491">
        <w:rPr>
          <w:rFonts w:cs="Times New Roman"/>
          <w:szCs w:val="22"/>
        </w:rPr>
        <w:t>a</w:t>
      </w:r>
      <w:r w:rsidRPr="002F5491">
        <w:rPr>
          <w:rFonts w:cs="Times New Roman"/>
          <w:szCs w:val="22"/>
        </w:rPr>
        <w:t xml:space="preserve">ction </w:t>
      </w:r>
      <w:r w:rsidR="00862F56" w:rsidRPr="002F5491">
        <w:rPr>
          <w:rFonts w:cs="Times New Roman"/>
          <w:szCs w:val="22"/>
        </w:rPr>
        <w:t>p</w:t>
      </w:r>
      <w:r w:rsidRPr="002F5491">
        <w:rPr>
          <w:rFonts w:cs="Times New Roman"/>
          <w:szCs w:val="22"/>
        </w:rPr>
        <w:t xml:space="preserve">lan for 2017-2020, operational procedures, criteria and support tools) and share experiences and lessons learned with respect to technical and scientific cooperation for biodiversity. The round tables also provided an opportunity for countries requiring </w:t>
      </w:r>
      <w:r w:rsidRPr="002F5491">
        <w:rPr>
          <w:rFonts w:cs="Times New Roman"/>
          <w:szCs w:val="22"/>
        </w:rPr>
        <w:lastRenderedPageBreak/>
        <w:t>assistance to highlight their priority technical and scientific needs and for potential providers of technical assistance, including Parties, regional and international organizations, donor agencies and private sector entities</w:t>
      </w:r>
      <w:r w:rsidR="00384156" w:rsidRPr="002F5491">
        <w:rPr>
          <w:rFonts w:cs="Times New Roman"/>
          <w:szCs w:val="22"/>
        </w:rPr>
        <w:t>,</w:t>
      </w:r>
      <w:r w:rsidRPr="002F5491">
        <w:rPr>
          <w:rFonts w:cs="Times New Roman"/>
          <w:szCs w:val="22"/>
        </w:rPr>
        <w:t xml:space="preserve"> to share information about their activities and the kind of support they could offer to countries requiring assistance</w:t>
      </w:r>
      <w:r w:rsidRPr="002F5491">
        <w:rPr>
          <w:rFonts w:cs="Times New Roman"/>
          <w:kern w:val="22"/>
          <w:szCs w:val="22"/>
        </w:rPr>
        <w:t>.</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During the round tables, countries identified</w:t>
      </w:r>
      <w:r w:rsidR="000D0735" w:rsidRPr="002F5491">
        <w:rPr>
          <w:rFonts w:cs="Times New Roman"/>
          <w:szCs w:val="22"/>
        </w:rPr>
        <w:t xml:space="preserve"> </w:t>
      </w:r>
      <w:r w:rsidRPr="002F5491">
        <w:rPr>
          <w:rFonts w:cs="Times New Roman"/>
          <w:szCs w:val="22"/>
        </w:rPr>
        <w:t>the following</w:t>
      </w:r>
      <w:r w:rsidR="000D0735" w:rsidRPr="002F5491">
        <w:rPr>
          <w:rFonts w:cs="Times New Roman"/>
          <w:szCs w:val="22"/>
        </w:rPr>
        <w:t xml:space="preserve">, in the order of priority, </w:t>
      </w:r>
      <w:r w:rsidR="000A57D5" w:rsidRPr="002F5491">
        <w:rPr>
          <w:rFonts w:cs="Times New Roman"/>
          <w:szCs w:val="22"/>
        </w:rPr>
        <w:t xml:space="preserve"> as their</w:t>
      </w:r>
      <w:r w:rsidRPr="002F5491">
        <w:rPr>
          <w:rFonts w:cs="Times New Roman"/>
          <w:szCs w:val="22"/>
        </w:rPr>
        <w:t xml:space="preserve"> </w:t>
      </w:r>
      <w:r w:rsidR="000D0735" w:rsidRPr="002F5491">
        <w:rPr>
          <w:rFonts w:cs="Times New Roman"/>
          <w:szCs w:val="22"/>
        </w:rPr>
        <w:t xml:space="preserve">key </w:t>
      </w:r>
      <w:r w:rsidRPr="002F5491">
        <w:rPr>
          <w:rFonts w:cs="Times New Roman"/>
          <w:szCs w:val="22"/>
        </w:rPr>
        <w:t xml:space="preserve">needs that could be addressed through technical and scientific cooperation: invasive alien species, protected area management and tourism, </w:t>
      </w:r>
      <w:r w:rsidR="00DF54E8" w:rsidRPr="002F5491">
        <w:rPr>
          <w:rFonts w:cs="Times New Roman"/>
          <w:szCs w:val="22"/>
        </w:rPr>
        <w:t>access and benefit sharing, biodiversity identification</w:t>
      </w:r>
      <w:r w:rsidR="00866B3D" w:rsidRPr="002F5491">
        <w:rPr>
          <w:rFonts w:cs="Times New Roman"/>
          <w:szCs w:val="22"/>
        </w:rPr>
        <w:t xml:space="preserve"> and</w:t>
      </w:r>
      <w:r w:rsidR="00DF54E8" w:rsidRPr="002F5491">
        <w:rPr>
          <w:rFonts w:cs="Times New Roman"/>
          <w:szCs w:val="22"/>
        </w:rPr>
        <w:t xml:space="preserve"> monitoring</w:t>
      </w:r>
      <w:r w:rsidR="000D0735" w:rsidRPr="002F5491">
        <w:rPr>
          <w:rFonts w:cs="Times New Roman"/>
          <w:szCs w:val="22"/>
        </w:rPr>
        <w:t xml:space="preserve"> (including species identification using</w:t>
      </w:r>
      <w:r w:rsidR="000D0735" w:rsidRPr="002F5491">
        <w:rPr>
          <w:rFonts w:cs="Times New Roman"/>
          <w:kern w:val="22"/>
          <w:szCs w:val="22"/>
        </w:rPr>
        <w:t xml:space="preserve"> DNA technologies), </w:t>
      </w:r>
      <w:r w:rsidR="00DF54E8" w:rsidRPr="002F5491">
        <w:rPr>
          <w:rFonts w:cs="Times New Roman"/>
          <w:szCs w:val="22"/>
        </w:rPr>
        <w:t xml:space="preserve">ecosystem restoration, ecosystem valuation and accounting, biodiversity information management, climate change and biodiversity, </w:t>
      </w:r>
      <w:r w:rsidRPr="002F5491">
        <w:rPr>
          <w:rFonts w:cs="Times New Roman"/>
          <w:szCs w:val="22"/>
        </w:rPr>
        <w:t>control of illegal wildlife trade, protection</w:t>
      </w:r>
      <w:r w:rsidR="00DF54E8" w:rsidRPr="002F5491">
        <w:rPr>
          <w:rFonts w:cs="Times New Roman"/>
          <w:szCs w:val="22"/>
        </w:rPr>
        <w:t xml:space="preserve"> and </w:t>
      </w:r>
      <w:r w:rsidRPr="002F5491">
        <w:rPr>
          <w:rFonts w:cs="Times New Roman"/>
          <w:szCs w:val="22"/>
        </w:rPr>
        <w:t>recovery of threatened species</w:t>
      </w:r>
      <w:r w:rsidR="00DF54E8" w:rsidRPr="002F5491">
        <w:rPr>
          <w:rFonts w:cs="Times New Roman"/>
          <w:szCs w:val="22"/>
        </w:rPr>
        <w:t>, biosafety,</w:t>
      </w:r>
      <w:r w:rsidRPr="002F5491">
        <w:rPr>
          <w:rFonts w:cs="Times New Roman"/>
          <w:szCs w:val="22"/>
        </w:rPr>
        <w:t xml:space="preserve"> agricultural biodiversity,</w:t>
      </w:r>
      <w:r w:rsidR="00DF54E8" w:rsidRPr="002F5491">
        <w:rPr>
          <w:rFonts w:cs="Times New Roman"/>
          <w:szCs w:val="22"/>
        </w:rPr>
        <w:t xml:space="preserve"> traditional knowledge</w:t>
      </w:r>
      <w:r w:rsidR="000D0735" w:rsidRPr="002F5491">
        <w:rPr>
          <w:rFonts w:cs="Times New Roman"/>
          <w:szCs w:val="22"/>
        </w:rPr>
        <w:t xml:space="preserve"> and community-based monitoring,</w:t>
      </w:r>
      <w:r w:rsidR="00DF54E8" w:rsidRPr="002F5491">
        <w:rPr>
          <w:rFonts w:cs="Times New Roman"/>
          <w:szCs w:val="22"/>
        </w:rPr>
        <w:t xml:space="preserve"> and </w:t>
      </w:r>
      <w:r w:rsidR="00866B3D" w:rsidRPr="002F5491">
        <w:rPr>
          <w:rFonts w:cs="Times New Roman"/>
          <w:szCs w:val="22"/>
        </w:rPr>
        <w:t xml:space="preserve">control of </w:t>
      </w:r>
      <w:r w:rsidR="00DF54E8" w:rsidRPr="002F5491">
        <w:rPr>
          <w:rFonts w:cs="Times New Roman"/>
          <w:szCs w:val="22"/>
        </w:rPr>
        <w:t>pollution</w:t>
      </w:r>
      <w:r w:rsidR="000D0735" w:rsidRPr="002F5491">
        <w:rPr>
          <w:rFonts w:cs="Times New Roman"/>
          <w:szCs w:val="22"/>
        </w:rPr>
        <w:t>.</w:t>
      </w:r>
      <w:r w:rsidR="00866B3D" w:rsidRPr="002F5491">
        <w:rPr>
          <w:rFonts w:cs="Times New Roman"/>
          <w:szCs w:val="22"/>
        </w:rPr>
        <w:t xml:space="preserve"> The</w:t>
      </w:r>
      <w:r w:rsidR="00915C61" w:rsidRPr="002F5491">
        <w:rPr>
          <w:rFonts w:cs="Times New Roman"/>
          <w:szCs w:val="22"/>
        </w:rPr>
        <w:t>y also identified the following</w:t>
      </w:r>
      <w:r w:rsidR="00866B3D" w:rsidRPr="002F5491">
        <w:rPr>
          <w:rFonts w:cs="Times New Roman"/>
          <w:szCs w:val="22"/>
        </w:rPr>
        <w:t xml:space="preserve"> cross-cutting needs: </w:t>
      </w:r>
      <w:r w:rsidRPr="002F5491">
        <w:rPr>
          <w:rFonts w:cs="Times New Roman"/>
          <w:szCs w:val="22"/>
        </w:rPr>
        <w:t>communication, education and public awareness</w:t>
      </w:r>
      <w:r w:rsidR="00866B3D" w:rsidRPr="002F5491">
        <w:rPr>
          <w:rFonts w:cs="Times New Roman"/>
          <w:szCs w:val="22"/>
        </w:rPr>
        <w:t xml:space="preserve">; </w:t>
      </w:r>
      <w:r w:rsidRPr="002F5491">
        <w:rPr>
          <w:rFonts w:cs="Times New Roman"/>
          <w:szCs w:val="22"/>
        </w:rPr>
        <w:t xml:space="preserve">project proposal development, resource mobilization and support for </w:t>
      </w:r>
      <w:r w:rsidR="00866B3D" w:rsidRPr="002F5491">
        <w:rPr>
          <w:rFonts w:cs="Times New Roman"/>
          <w:szCs w:val="22"/>
        </w:rPr>
        <w:t xml:space="preserve">the development and implementation of </w:t>
      </w:r>
      <w:r w:rsidRPr="002F5491">
        <w:rPr>
          <w:rFonts w:cs="Times New Roman"/>
          <w:szCs w:val="22"/>
        </w:rPr>
        <w:t>national biodiversity s</w:t>
      </w:r>
      <w:r w:rsidR="00866B3D" w:rsidRPr="002F5491">
        <w:rPr>
          <w:rFonts w:cs="Times New Roman"/>
          <w:szCs w:val="22"/>
        </w:rPr>
        <w:t xml:space="preserve">trategies and action plans and </w:t>
      </w:r>
      <w:r w:rsidRPr="002F5491">
        <w:rPr>
          <w:rFonts w:cs="Times New Roman"/>
          <w:szCs w:val="22"/>
        </w:rPr>
        <w:t>policy frameworks.</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One of the </w:t>
      </w:r>
      <w:r w:rsidR="00FD1A84" w:rsidRPr="002F5491">
        <w:rPr>
          <w:rFonts w:cs="Times New Roman"/>
          <w:szCs w:val="22"/>
        </w:rPr>
        <w:t>lessons learned</w:t>
      </w:r>
      <w:r w:rsidRPr="002F5491">
        <w:rPr>
          <w:rFonts w:cs="Times New Roman"/>
          <w:szCs w:val="22"/>
        </w:rPr>
        <w:t xml:space="preserve"> during the operational phase of Bio-Bridge Initiative is </w:t>
      </w:r>
      <w:r w:rsidR="00AE18EC" w:rsidRPr="002F5491">
        <w:rPr>
          <w:rFonts w:cs="Times New Roman"/>
          <w:szCs w:val="22"/>
        </w:rPr>
        <w:t xml:space="preserve">the need to adopt </w:t>
      </w:r>
      <w:r w:rsidRPr="002F5491">
        <w:rPr>
          <w:rFonts w:cs="Times New Roman"/>
          <w:szCs w:val="22"/>
        </w:rPr>
        <w:t>more programmatic</w:t>
      </w:r>
      <w:r w:rsidR="00A411D2" w:rsidRPr="002F5491">
        <w:rPr>
          <w:rFonts w:cs="Times New Roman"/>
          <w:szCs w:val="22"/>
        </w:rPr>
        <w:t xml:space="preserve"> and multi-stakeholder</w:t>
      </w:r>
      <w:r w:rsidRPr="002F5491">
        <w:rPr>
          <w:rFonts w:cs="Times New Roman"/>
          <w:szCs w:val="22"/>
        </w:rPr>
        <w:t xml:space="preserve"> approach</w:t>
      </w:r>
      <w:r w:rsidR="00A411D2" w:rsidRPr="002F5491">
        <w:rPr>
          <w:rFonts w:cs="Times New Roman"/>
          <w:szCs w:val="22"/>
        </w:rPr>
        <w:t xml:space="preserve">es, such as those </w:t>
      </w:r>
      <w:r w:rsidRPr="002F5491">
        <w:rPr>
          <w:rFonts w:cs="Times New Roman"/>
          <w:szCs w:val="22"/>
        </w:rPr>
        <w:t xml:space="preserve">adopted by the Global Taxonomy Initiative </w:t>
      </w:r>
      <w:r w:rsidR="00A411D2" w:rsidRPr="002F5491">
        <w:rPr>
          <w:rFonts w:cs="Times New Roman"/>
          <w:szCs w:val="22"/>
        </w:rPr>
        <w:t>in its</w:t>
      </w:r>
      <w:r w:rsidRPr="002F5491">
        <w:rPr>
          <w:rFonts w:cs="Times New Roman"/>
          <w:szCs w:val="22"/>
        </w:rPr>
        <w:t xml:space="preserve"> train</w:t>
      </w:r>
      <w:r w:rsidR="00A411D2" w:rsidRPr="002F5491">
        <w:rPr>
          <w:rFonts w:cs="Times New Roman"/>
          <w:szCs w:val="22"/>
        </w:rPr>
        <w:t>-the-</w:t>
      </w:r>
      <w:r w:rsidRPr="002F5491">
        <w:rPr>
          <w:rFonts w:cs="Times New Roman"/>
          <w:szCs w:val="22"/>
        </w:rPr>
        <w:t>trainer</w:t>
      </w:r>
      <w:r w:rsidR="00A411D2" w:rsidRPr="002F5491">
        <w:rPr>
          <w:rFonts w:cs="Times New Roman"/>
          <w:szCs w:val="22"/>
        </w:rPr>
        <w:t>’ programme</w:t>
      </w:r>
      <w:r w:rsidRPr="002F5491">
        <w:rPr>
          <w:rFonts w:cs="Times New Roman"/>
          <w:szCs w:val="22"/>
        </w:rPr>
        <w:t xml:space="preserve"> to address the capacity gap</w:t>
      </w:r>
      <w:r w:rsidR="00A411D2" w:rsidRPr="002F5491">
        <w:rPr>
          <w:rFonts w:cs="Times New Roman"/>
          <w:szCs w:val="22"/>
        </w:rPr>
        <w:t>s</w:t>
      </w:r>
      <w:r w:rsidRPr="002F5491">
        <w:rPr>
          <w:rFonts w:cs="Times New Roman"/>
          <w:szCs w:val="22"/>
        </w:rPr>
        <w:t xml:space="preserve"> </w:t>
      </w:r>
      <w:r w:rsidR="00A411D2" w:rsidRPr="002F5491">
        <w:rPr>
          <w:rFonts w:cs="Times New Roman"/>
          <w:szCs w:val="22"/>
        </w:rPr>
        <w:t>in</w:t>
      </w:r>
      <w:r w:rsidRPr="002F5491">
        <w:rPr>
          <w:rFonts w:cs="Times New Roman"/>
          <w:szCs w:val="22"/>
        </w:rPr>
        <w:t xml:space="preserve"> achieve</w:t>
      </w:r>
      <w:r w:rsidR="00A411D2" w:rsidRPr="002F5491">
        <w:rPr>
          <w:rFonts w:cs="Times New Roman"/>
          <w:szCs w:val="22"/>
        </w:rPr>
        <w:t>ment of the</w:t>
      </w:r>
      <w:r w:rsidRPr="002F5491">
        <w:rPr>
          <w:rFonts w:cs="Times New Roman"/>
          <w:szCs w:val="22"/>
        </w:rPr>
        <w:t xml:space="preserve"> Aichi Biodiversity Targets.</w:t>
      </w:r>
      <w:r w:rsidR="000E3FA5" w:rsidRPr="002F5491">
        <w:rPr>
          <w:rFonts w:cs="Times New Roman"/>
          <w:szCs w:val="22"/>
        </w:rPr>
        <w:t xml:space="preserve"> In line with </w:t>
      </w:r>
      <w:r w:rsidR="000E3FA5" w:rsidRPr="002F5491">
        <w:rPr>
          <w:rFonts w:cs="Times New Roman"/>
          <w:color w:val="000000"/>
          <w:szCs w:val="22"/>
        </w:rPr>
        <w:t>past decisions of the Conference of the Parties relating to the private sector and the scientific community, this could include consultations with the Consortium of Scientific Partners, the Business and Biodiversity Platform and its For</w:t>
      </w:r>
      <w:r w:rsidR="00A772D1" w:rsidRPr="002F5491">
        <w:rPr>
          <w:rFonts w:cs="Times New Roman"/>
          <w:color w:val="000000"/>
          <w:szCs w:val="22"/>
        </w:rPr>
        <w:t>a</w:t>
      </w:r>
      <w:r w:rsidR="000E3FA5" w:rsidRPr="002F5491">
        <w:rPr>
          <w:rFonts w:cs="Times New Roman"/>
          <w:color w:val="000000"/>
          <w:szCs w:val="22"/>
        </w:rPr>
        <w:t xml:space="preserve"> and the Parties’ agencies focused on green technological innovation.</w:t>
      </w:r>
    </w:p>
    <w:p w:rsidR="0039377C" w:rsidRPr="002F5491" w:rsidRDefault="0039377C"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addition to the facilitation of technical and scientific cooperation through the Bio-Bridge Initiative, the Secretariat has </w:t>
      </w:r>
      <w:r w:rsidR="00AE18EC" w:rsidRPr="002F5491">
        <w:rPr>
          <w:rFonts w:cs="Times New Roman"/>
          <w:kern w:val="22"/>
          <w:szCs w:val="22"/>
        </w:rPr>
        <w:t xml:space="preserve">continued to </w:t>
      </w:r>
      <w:r w:rsidRPr="002F5491">
        <w:rPr>
          <w:rFonts w:cs="Times New Roman"/>
          <w:kern w:val="22"/>
          <w:szCs w:val="22"/>
        </w:rPr>
        <w:t>support the work of the Consortium of Scientific Partners on Biodiversity (CSP), including update of the CSP website</w:t>
      </w:r>
      <w:r w:rsidR="00A411D2" w:rsidRPr="002F5491">
        <w:rPr>
          <w:rStyle w:val="StyleFootnoteReferencenumberFootnoteReferenceSuperscript-EF"/>
          <w:rFonts w:cs="Times New Roman"/>
          <w:sz w:val="22"/>
          <w:szCs w:val="22"/>
        </w:rPr>
        <w:footnoteReference w:id="16"/>
      </w:r>
      <w:r w:rsidRPr="002F5491">
        <w:rPr>
          <w:rFonts w:cs="Times New Roman"/>
          <w:kern w:val="22"/>
          <w:szCs w:val="22"/>
        </w:rPr>
        <w:t xml:space="preserve"> and initiation of a </w:t>
      </w:r>
      <w:r w:rsidR="00AE18EC" w:rsidRPr="002F5491">
        <w:rPr>
          <w:rFonts w:cs="Times New Roman"/>
          <w:kern w:val="22"/>
          <w:szCs w:val="22"/>
        </w:rPr>
        <w:t xml:space="preserve">process to develop </w:t>
      </w:r>
      <w:r w:rsidR="00A218F5" w:rsidRPr="002F5491">
        <w:rPr>
          <w:rFonts w:cs="Times New Roman"/>
          <w:kern w:val="22"/>
          <w:szCs w:val="22"/>
        </w:rPr>
        <w:t xml:space="preserve">the </w:t>
      </w:r>
      <w:r w:rsidRPr="002F5491">
        <w:rPr>
          <w:rFonts w:cs="Times New Roman"/>
          <w:kern w:val="22"/>
          <w:szCs w:val="22"/>
        </w:rPr>
        <w:t>CSP</w:t>
      </w:r>
      <w:r w:rsidR="00D70A09" w:rsidRPr="002F5491">
        <w:rPr>
          <w:rFonts w:cs="Times New Roman"/>
          <w:kern w:val="22"/>
          <w:szCs w:val="22"/>
        </w:rPr>
        <w:t>’s</w:t>
      </w:r>
      <w:r w:rsidRPr="002F5491">
        <w:rPr>
          <w:rFonts w:cs="Times New Roman"/>
          <w:kern w:val="22"/>
          <w:szCs w:val="22"/>
        </w:rPr>
        <w:t xml:space="preserve"> work plan </w:t>
      </w:r>
      <w:r w:rsidR="00AE18EC" w:rsidRPr="002F5491">
        <w:rPr>
          <w:rFonts w:cs="Times New Roman"/>
          <w:kern w:val="22"/>
          <w:szCs w:val="22"/>
        </w:rPr>
        <w:t xml:space="preserve">2018-2020 </w:t>
      </w:r>
      <w:r w:rsidRPr="002F5491">
        <w:rPr>
          <w:rFonts w:cs="Times New Roman"/>
          <w:kern w:val="22"/>
          <w:szCs w:val="22"/>
        </w:rPr>
        <w:t>for assisting Parties through technical and scientific cooperation in line with its mandate.</w:t>
      </w:r>
    </w:p>
    <w:p w:rsidR="0045787F" w:rsidRPr="002F5491" w:rsidRDefault="0045787F"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Secretariat also </w:t>
      </w:r>
      <w:r w:rsidR="008D11F5" w:rsidRPr="002F5491">
        <w:rPr>
          <w:rFonts w:cs="Times New Roman"/>
          <w:kern w:val="22"/>
          <w:szCs w:val="22"/>
        </w:rPr>
        <w:t>embarked on</w:t>
      </w:r>
      <w:r w:rsidRPr="002F5491">
        <w:rPr>
          <w:rFonts w:cs="Times New Roman"/>
          <w:kern w:val="22"/>
          <w:szCs w:val="22"/>
        </w:rPr>
        <w:t xml:space="preserve"> the following two </w:t>
      </w:r>
      <w:r w:rsidRPr="002F5491">
        <w:rPr>
          <w:rFonts w:eastAsia="Times New Roman" w:cs="Times New Roman"/>
          <w:kern w:val="22"/>
          <w:szCs w:val="22"/>
        </w:rPr>
        <w:t>pro</w:t>
      </w:r>
      <w:r w:rsidR="008D11F5" w:rsidRPr="002F5491">
        <w:rPr>
          <w:rFonts w:eastAsia="Times New Roman" w:cs="Times New Roman"/>
          <w:kern w:val="22"/>
          <w:szCs w:val="22"/>
        </w:rPr>
        <w:t>jects</w:t>
      </w:r>
      <w:r w:rsidRPr="002F5491">
        <w:rPr>
          <w:rFonts w:eastAsia="Times New Roman" w:cs="Times New Roman"/>
          <w:kern w:val="22"/>
          <w:szCs w:val="22"/>
        </w:rPr>
        <w:t xml:space="preserve"> which are expected to contribute to the</w:t>
      </w:r>
      <w:r w:rsidRPr="002F5491">
        <w:rPr>
          <w:rFonts w:cs="Times New Roman"/>
          <w:kern w:val="22"/>
          <w:szCs w:val="22"/>
        </w:rPr>
        <w:t xml:space="preserve"> promotion and facilitation of technical and scientific cooperation:</w:t>
      </w:r>
    </w:p>
    <w:p w:rsidR="00722A01" w:rsidRPr="002F5491" w:rsidRDefault="00722A01" w:rsidP="00805D42">
      <w:pPr>
        <w:pStyle w:val="Para1"/>
        <w:numPr>
          <w:ilvl w:val="1"/>
          <w:numId w:val="13"/>
        </w:numPr>
        <w:tabs>
          <w:tab w:val="clear" w:pos="1440"/>
        </w:tabs>
        <w:spacing w:before="120"/>
        <w:ind w:firstLine="709"/>
        <w:rPr>
          <w:rFonts w:eastAsia="Times New Roman" w:cs="Times New Roman"/>
          <w:kern w:val="22"/>
          <w:szCs w:val="22"/>
        </w:rPr>
      </w:pPr>
      <w:r w:rsidRPr="002F5491">
        <w:rPr>
          <w:rFonts w:eastAsia="Times New Roman" w:cs="Times New Roman"/>
          <w:kern w:val="22"/>
          <w:szCs w:val="22"/>
        </w:rPr>
        <w:t xml:space="preserve">Organization of a ”Biodiversity Technology Fair” at </w:t>
      </w:r>
      <w:r w:rsidR="00812909" w:rsidRPr="002F5491">
        <w:rPr>
          <w:rFonts w:eastAsia="Times New Roman" w:cs="Times New Roman"/>
          <w:kern w:val="22"/>
          <w:szCs w:val="22"/>
        </w:rPr>
        <w:t>the fourteenth meeting of the Conference of the Parties</w:t>
      </w:r>
      <w:r w:rsidR="00805D42">
        <w:rPr>
          <w:rFonts w:eastAsia="Times New Roman" w:cs="Times New Roman"/>
          <w:kern w:val="22"/>
          <w:szCs w:val="22"/>
        </w:rPr>
        <w:t>,</w:t>
      </w:r>
      <w:r w:rsidRPr="002F5491">
        <w:rPr>
          <w:rFonts w:eastAsia="Times New Roman" w:cs="Times New Roman"/>
          <w:kern w:val="22"/>
          <w:szCs w:val="22"/>
        </w:rPr>
        <w:t xml:space="preserve"> in Sharm El-Sheikh, Egypt</w:t>
      </w:r>
      <w:r w:rsidR="00957613" w:rsidRPr="002F5491">
        <w:rPr>
          <w:rFonts w:eastAsia="Times New Roman" w:cs="Times New Roman"/>
          <w:kern w:val="22"/>
          <w:szCs w:val="22"/>
        </w:rPr>
        <w:t>,</w:t>
      </w:r>
      <w:r w:rsidRPr="002F5491">
        <w:rPr>
          <w:rFonts w:eastAsia="Times New Roman" w:cs="Times New Roman"/>
          <w:kern w:val="22"/>
          <w:szCs w:val="22"/>
        </w:rPr>
        <w:t xml:space="preserve"> in November 2018  to showcase technologies that could be  leveraged to solve vexing biodiversity challenges. The concept of a fair will be tested and refined with the view of rolling out a much larger “Biodiversity Technology Innovation Expo” at </w:t>
      </w:r>
      <w:r w:rsidR="00805D42">
        <w:rPr>
          <w:rFonts w:eastAsia="Times New Roman" w:cs="Times New Roman"/>
          <w:kern w:val="22"/>
          <w:szCs w:val="22"/>
        </w:rPr>
        <w:t>the fifteenth meeting,</w:t>
      </w:r>
      <w:r w:rsidRPr="002F5491">
        <w:rPr>
          <w:rFonts w:eastAsia="Times New Roman" w:cs="Times New Roman"/>
          <w:kern w:val="22"/>
          <w:szCs w:val="22"/>
        </w:rPr>
        <w:t xml:space="preserve"> in 2020 in China</w:t>
      </w:r>
      <w:r w:rsidR="00957613" w:rsidRPr="002F5491">
        <w:rPr>
          <w:rFonts w:eastAsia="Times New Roman" w:cs="Times New Roman"/>
          <w:kern w:val="22"/>
          <w:szCs w:val="22"/>
        </w:rPr>
        <w:t>;</w:t>
      </w:r>
    </w:p>
    <w:p w:rsidR="0045787F" w:rsidRPr="002F5491" w:rsidRDefault="0045787F" w:rsidP="00812909">
      <w:pPr>
        <w:pStyle w:val="Para1"/>
        <w:numPr>
          <w:ilvl w:val="1"/>
          <w:numId w:val="13"/>
        </w:numPr>
        <w:tabs>
          <w:tab w:val="clear" w:pos="1440"/>
        </w:tabs>
        <w:spacing w:before="120"/>
        <w:ind w:firstLine="709"/>
        <w:rPr>
          <w:rFonts w:eastAsia="Times New Roman" w:cs="Times New Roman"/>
          <w:kern w:val="22"/>
          <w:szCs w:val="22"/>
        </w:rPr>
      </w:pPr>
      <w:r w:rsidRPr="002F5491">
        <w:rPr>
          <w:rFonts w:eastAsia="Times New Roman" w:cs="Times New Roman"/>
          <w:kern w:val="22"/>
          <w:szCs w:val="22"/>
        </w:rPr>
        <w:t>Development of a video game to generate awareness</w:t>
      </w:r>
      <w:r w:rsidR="009D141E" w:rsidRPr="002F5491">
        <w:rPr>
          <w:rFonts w:eastAsia="Times New Roman" w:cs="Times New Roman"/>
          <w:kern w:val="22"/>
          <w:szCs w:val="22"/>
        </w:rPr>
        <w:t>,</w:t>
      </w:r>
      <w:r w:rsidRPr="002F5491">
        <w:rPr>
          <w:rFonts w:eastAsia="Times New Roman" w:cs="Times New Roman"/>
          <w:kern w:val="22"/>
          <w:szCs w:val="22"/>
        </w:rPr>
        <w:t xml:space="preserve"> </w:t>
      </w:r>
      <w:r w:rsidR="009D141E" w:rsidRPr="002F5491">
        <w:rPr>
          <w:rFonts w:eastAsia="Times New Roman" w:cs="Times New Roman"/>
          <w:kern w:val="22"/>
          <w:szCs w:val="22"/>
        </w:rPr>
        <w:t>and demonstrate the potential of using to technolog</w:t>
      </w:r>
      <w:r w:rsidR="00BA669A" w:rsidRPr="002F5491">
        <w:rPr>
          <w:rFonts w:eastAsia="Times New Roman" w:cs="Times New Roman"/>
          <w:kern w:val="22"/>
          <w:szCs w:val="22"/>
        </w:rPr>
        <w:t>ies</w:t>
      </w:r>
      <w:r w:rsidR="009D141E" w:rsidRPr="002F5491">
        <w:rPr>
          <w:rFonts w:eastAsia="Times New Roman" w:cs="Times New Roman"/>
          <w:kern w:val="22"/>
          <w:szCs w:val="22"/>
        </w:rPr>
        <w:t xml:space="preserve"> to facilitate decision-making and </w:t>
      </w:r>
      <w:r w:rsidRPr="002F5491">
        <w:rPr>
          <w:rFonts w:eastAsia="Times New Roman" w:cs="Times New Roman"/>
          <w:kern w:val="22"/>
          <w:szCs w:val="22"/>
        </w:rPr>
        <w:t>catalyse action around issues underpinning the Aichi Biodiversity Targets</w:t>
      </w:r>
      <w:r w:rsidR="00722A01" w:rsidRPr="002F5491">
        <w:rPr>
          <w:rFonts w:eastAsia="Times New Roman" w:cs="Times New Roman"/>
          <w:kern w:val="22"/>
          <w:szCs w:val="22"/>
        </w:rPr>
        <w:t>.</w:t>
      </w:r>
    </w:p>
    <w:p w:rsidR="0039377C" w:rsidRPr="002F5491" w:rsidRDefault="0039377C" w:rsidP="00981E75">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In order to assist the Executive Secretary </w:t>
      </w:r>
      <w:r w:rsidR="00957613" w:rsidRPr="002F5491">
        <w:rPr>
          <w:rFonts w:cs="Times New Roman"/>
          <w:szCs w:val="22"/>
        </w:rPr>
        <w:t xml:space="preserve">in </w:t>
      </w:r>
      <w:r w:rsidRPr="002F5491">
        <w:rPr>
          <w:rFonts w:cs="Times New Roman"/>
          <w:szCs w:val="22"/>
        </w:rPr>
        <w:t>promot</w:t>
      </w:r>
      <w:r w:rsidR="00957613" w:rsidRPr="002F5491">
        <w:rPr>
          <w:rFonts w:cs="Times New Roman"/>
          <w:szCs w:val="22"/>
        </w:rPr>
        <w:t>ing</w:t>
      </w:r>
      <w:r w:rsidR="00A411D2" w:rsidRPr="002F5491">
        <w:rPr>
          <w:rFonts w:cs="Times New Roman"/>
          <w:szCs w:val="22"/>
        </w:rPr>
        <w:t xml:space="preserve"> and facilitat</w:t>
      </w:r>
      <w:r w:rsidR="00957613" w:rsidRPr="002F5491">
        <w:rPr>
          <w:rFonts w:cs="Times New Roman"/>
          <w:szCs w:val="22"/>
        </w:rPr>
        <w:t>ing</w:t>
      </w:r>
      <w:r w:rsidRPr="002F5491">
        <w:rPr>
          <w:rFonts w:cs="Times New Roman"/>
          <w:szCs w:val="22"/>
        </w:rPr>
        <w:t xml:space="preserve"> technical and scientific cooperation and </w:t>
      </w:r>
      <w:r w:rsidR="00721D84" w:rsidRPr="002F5491">
        <w:rPr>
          <w:rFonts w:cs="Times New Roman"/>
          <w:szCs w:val="22"/>
        </w:rPr>
        <w:t>related capacity</w:t>
      </w:r>
      <w:r w:rsidR="00957613" w:rsidRPr="002F5491">
        <w:rPr>
          <w:rFonts w:cs="Times New Roman"/>
          <w:szCs w:val="22"/>
        </w:rPr>
        <w:t>-</w:t>
      </w:r>
      <w:r w:rsidR="00721D84" w:rsidRPr="002F5491">
        <w:rPr>
          <w:rFonts w:cs="Times New Roman"/>
          <w:szCs w:val="22"/>
        </w:rPr>
        <w:t>building activities</w:t>
      </w:r>
      <w:r w:rsidRPr="002F5491">
        <w:rPr>
          <w:rFonts w:cs="Times New Roman"/>
          <w:szCs w:val="22"/>
        </w:rPr>
        <w:t xml:space="preserve"> in a coherent and coordinated manner based on diverse perspectives and experiences, </w:t>
      </w:r>
      <w:r w:rsidR="00390525" w:rsidRPr="002F5491">
        <w:rPr>
          <w:rFonts w:cs="Times New Roman"/>
          <w:szCs w:val="22"/>
        </w:rPr>
        <w:t xml:space="preserve">the Subsidiary Body on Implementation may </w:t>
      </w:r>
      <w:r w:rsidR="00957613" w:rsidRPr="002F5491">
        <w:rPr>
          <w:rFonts w:cs="Times New Roman"/>
          <w:szCs w:val="22"/>
        </w:rPr>
        <w:t xml:space="preserve">wish to </w:t>
      </w:r>
      <w:r w:rsidR="00390525" w:rsidRPr="002F5491">
        <w:rPr>
          <w:rFonts w:cs="Times New Roman"/>
          <w:szCs w:val="22"/>
        </w:rPr>
        <w:t xml:space="preserve">consider </w:t>
      </w:r>
      <w:r w:rsidRPr="002F5491">
        <w:rPr>
          <w:rFonts w:cs="Times New Roman"/>
          <w:szCs w:val="22"/>
        </w:rPr>
        <w:t>recommend</w:t>
      </w:r>
      <w:r w:rsidR="00390525" w:rsidRPr="002F5491">
        <w:rPr>
          <w:rFonts w:cs="Times New Roman"/>
          <w:szCs w:val="22"/>
        </w:rPr>
        <w:t xml:space="preserve">ing the establishment of </w:t>
      </w:r>
      <w:r w:rsidRPr="002F5491">
        <w:rPr>
          <w:rFonts w:cs="Times New Roman"/>
          <w:szCs w:val="22"/>
        </w:rPr>
        <w:t xml:space="preserve">an </w:t>
      </w:r>
      <w:r w:rsidR="00957613" w:rsidRPr="002F5491">
        <w:rPr>
          <w:rFonts w:cs="Times New Roman"/>
          <w:szCs w:val="22"/>
        </w:rPr>
        <w:t>informal advisory committee on technical and scientific cooperation</w:t>
      </w:r>
      <w:r w:rsidRPr="002F5491">
        <w:rPr>
          <w:rFonts w:cs="Times New Roman"/>
          <w:szCs w:val="22"/>
        </w:rPr>
        <w:t xml:space="preserve"> to perform the tasks specified in </w:t>
      </w:r>
      <w:r w:rsidR="00497BB8" w:rsidRPr="002F5491">
        <w:rPr>
          <w:rFonts w:cs="Times New Roman"/>
          <w:szCs w:val="22"/>
        </w:rPr>
        <w:t>a</w:t>
      </w:r>
      <w:r w:rsidRPr="002F5491">
        <w:rPr>
          <w:rFonts w:cs="Times New Roman"/>
          <w:szCs w:val="22"/>
        </w:rPr>
        <w:t xml:space="preserve">nnex I </w:t>
      </w:r>
      <w:r w:rsidR="00981E75" w:rsidRPr="002F5491">
        <w:rPr>
          <w:rFonts w:cs="Times New Roman"/>
          <w:szCs w:val="22"/>
        </w:rPr>
        <w:t>below</w:t>
      </w:r>
      <w:r w:rsidRPr="002F5491">
        <w:rPr>
          <w:rFonts w:cs="Times New Roman"/>
          <w:szCs w:val="22"/>
        </w:rPr>
        <w:t xml:space="preserve">. </w:t>
      </w:r>
      <w:r w:rsidR="00810716" w:rsidRPr="002F5491">
        <w:rPr>
          <w:rFonts w:cs="Times New Roman"/>
          <w:szCs w:val="22"/>
        </w:rPr>
        <w:t xml:space="preserve">The proposed </w:t>
      </w:r>
      <w:r w:rsidR="00975286" w:rsidRPr="002F5491">
        <w:rPr>
          <w:rFonts w:cs="Times New Roman"/>
          <w:szCs w:val="22"/>
        </w:rPr>
        <w:t>informal advisory committee</w:t>
      </w:r>
      <w:r w:rsidR="00810716" w:rsidRPr="002F5491">
        <w:rPr>
          <w:rFonts w:cs="Times New Roman"/>
          <w:szCs w:val="22"/>
        </w:rPr>
        <w:t xml:space="preserve"> could also assume the mandate of the current Informal Advisory Committee to the Clearing-</w:t>
      </w:r>
      <w:r w:rsidR="00810716" w:rsidRPr="002F5491">
        <w:rPr>
          <w:rFonts w:cs="Times New Roman"/>
          <w:kern w:val="22"/>
          <w:szCs w:val="22"/>
        </w:rPr>
        <w:t>House Mechanism.</w:t>
      </w:r>
    </w:p>
    <w:p w:rsidR="0039377C" w:rsidRPr="002F5491" w:rsidRDefault="0039377C" w:rsidP="00151D76">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kern w:val="22"/>
          <w:szCs w:val="22"/>
        </w:rPr>
        <w:lastRenderedPageBreak/>
        <w:t xml:space="preserve">The Subsidiary Body on Implementation may wish to take note of the progress made in facilitating technical and scientific cooperation </w:t>
      </w:r>
      <w:r w:rsidR="00CD4E1F" w:rsidRPr="002F5491">
        <w:rPr>
          <w:rFonts w:cs="Times New Roman"/>
          <w:kern w:val="22"/>
          <w:szCs w:val="22"/>
        </w:rPr>
        <w:t>a</w:t>
      </w:r>
      <w:r w:rsidRPr="002F5491">
        <w:rPr>
          <w:rFonts w:cs="Times New Roman"/>
          <w:kern w:val="22"/>
          <w:szCs w:val="22"/>
        </w:rPr>
        <w:t>nd provide further guidance on possible measures to improve implementation and make recommendations for consideration by the Conference of the Parties at its fourteenth meeting along the lines proposed in section 6 below.</w:t>
      </w:r>
    </w:p>
    <w:p w:rsidR="00836F89" w:rsidRPr="002F5491" w:rsidRDefault="00812909" w:rsidP="00836F89">
      <w:pPr>
        <w:keepNext/>
        <w:spacing w:before="120" w:after="120"/>
        <w:ind w:left="1170" w:hanging="450"/>
        <w:jc w:val="left"/>
        <w:rPr>
          <w:rFonts w:cs="Times New Roman"/>
          <w:b/>
          <w:iCs/>
          <w:caps/>
          <w:snapToGrid w:val="0"/>
          <w:kern w:val="22"/>
          <w:szCs w:val="22"/>
        </w:rPr>
      </w:pPr>
      <w:r w:rsidRPr="002F5491">
        <w:rPr>
          <w:rFonts w:cs="Times New Roman"/>
          <w:b/>
          <w:iCs/>
          <w:caps/>
          <w:snapToGrid w:val="0"/>
          <w:kern w:val="22"/>
          <w:szCs w:val="22"/>
        </w:rPr>
        <w:t>IV</w:t>
      </w:r>
      <w:r w:rsidR="00836F89" w:rsidRPr="002F5491">
        <w:rPr>
          <w:rFonts w:cs="Times New Roman"/>
          <w:b/>
          <w:iCs/>
          <w:caps/>
          <w:snapToGrid w:val="0"/>
          <w:kern w:val="22"/>
          <w:szCs w:val="22"/>
        </w:rPr>
        <w:t>.</w:t>
      </w:r>
      <w:r w:rsidR="00836F89" w:rsidRPr="002F5491">
        <w:rPr>
          <w:rFonts w:cs="Times New Roman"/>
          <w:b/>
          <w:iCs/>
          <w:caps/>
          <w:snapToGrid w:val="0"/>
          <w:kern w:val="22"/>
          <w:szCs w:val="22"/>
        </w:rPr>
        <w:tab/>
        <w:t xml:space="preserve">preparation of </w:t>
      </w:r>
      <w:r w:rsidR="00130E90" w:rsidRPr="002F5491">
        <w:rPr>
          <w:rFonts w:cs="Times New Roman"/>
          <w:b/>
          <w:iCs/>
          <w:caps/>
          <w:snapToGrid w:val="0"/>
          <w:kern w:val="22"/>
          <w:szCs w:val="22"/>
        </w:rPr>
        <w:t xml:space="preserve">the post-2020 </w:t>
      </w:r>
      <w:r w:rsidR="00836F89" w:rsidRPr="002F5491">
        <w:rPr>
          <w:rFonts w:cs="Times New Roman"/>
          <w:b/>
          <w:iCs/>
          <w:caps/>
          <w:snapToGrid w:val="0"/>
          <w:kern w:val="22"/>
          <w:szCs w:val="22"/>
        </w:rPr>
        <w:t>capacity development strategic framework</w:t>
      </w:r>
    </w:p>
    <w:p w:rsidR="00901E16" w:rsidRPr="002F5491" w:rsidRDefault="004B234F" w:rsidP="004B234F">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The successful implementation of </w:t>
      </w:r>
      <w:r w:rsidRPr="002F5491">
        <w:rPr>
          <w:rFonts w:cs="Times New Roman"/>
          <w:kern w:val="22"/>
          <w:szCs w:val="22"/>
        </w:rPr>
        <w:t xml:space="preserve">the </w:t>
      </w:r>
      <w:r w:rsidR="002777E6" w:rsidRPr="002F5491">
        <w:rPr>
          <w:rFonts w:cs="Times New Roman"/>
          <w:kern w:val="22"/>
          <w:szCs w:val="22"/>
        </w:rPr>
        <w:t xml:space="preserve">outcomes of </w:t>
      </w:r>
      <w:r w:rsidR="00390525" w:rsidRPr="002F5491">
        <w:rPr>
          <w:rFonts w:cs="Times New Roman"/>
          <w:kern w:val="22"/>
          <w:szCs w:val="22"/>
        </w:rPr>
        <w:t xml:space="preserve">a </w:t>
      </w:r>
      <w:r w:rsidR="00390525" w:rsidRPr="002F5491">
        <w:rPr>
          <w:rFonts w:cs="Times New Roman"/>
          <w:szCs w:val="22"/>
        </w:rPr>
        <w:t>post-2020 global biodiversity framework,</w:t>
      </w:r>
      <w:r w:rsidR="00390525" w:rsidRPr="002F5491" w:rsidDel="00390525">
        <w:rPr>
          <w:rFonts w:cs="Times New Roman"/>
          <w:kern w:val="22"/>
          <w:szCs w:val="22"/>
        </w:rPr>
        <w:t xml:space="preserve"> </w:t>
      </w:r>
      <w:r w:rsidR="00390525" w:rsidRPr="002F5491">
        <w:rPr>
          <w:rFonts w:cs="Times New Roman"/>
          <w:kern w:val="22"/>
          <w:szCs w:val="22"/>
        </w:rPr>
        <w:t xml:space="preserve">as a </w:t>
      </w:r>
      <w:r w:rsidRPr="002F5491">
        <w:rPr>
          <w:rFonts w:cs="Times New Roman"/>
          <w:kern w:val="22"/>
          <w:szCs w:val="22"/>
        </w:rPr>
        <w:t xml:space="preserve">follow-up to the Strategic Plan for Biodiversity 2011-2020 and </w:t>
      </w:r>
      <w:r w:rsidR="00390525" w:rsidRPr="002F5491">
        <w:rPr>
          <w:rFonts w:cs="Times New Roman"/>
          <w:kern w:val="22"/>
          <w:szCs w:val="22"/>
        </w:rPr>
        <w:t xml:space="preserve">to </w:t>
      </w:r>
      <w:r w:rsidRPr="002F5491">
        <w:rPr>
          <w:rFonts w:cs="Times New Roman"/>
          <w:kern w:val="22"/>
          <w:szCs w:val="22"/>
        </w:rPr>
        <w:t>the Strategic Plan for the Cartagena Protocol on Biosafety 2011-2020</w:t>
      </w:r>
      <w:r w:rsidR="00390525" w:rsidRPr="002F5491">
        <w:rPr>
          <w:rFonts w:cs="Times New Roman"/>
          <w:kern w:val="22"/>
          <w:szCs w:val="22"/>
        </w:rPr>
        <w:t>,</w:t>
      </w:r>
      <w:r w:rsidR="00390525" w:rsidRPr="002F5491">
        <w:rPr>
          <w:rFonts w:cs="Times New Roman"/>
          <w:szCs w:val="22"/>
        </w:rPr>
        <w:t xml:space="preserve"> </w:t>
      </w:r>
      <w:r w:rsidRPr="002F5491">
        <w:rPr>
          <w:rFonts w:cs="Times New Roman"/>
          <w:szCs w:val="22"/>
        </w:rPr>
        <w:t xml:space="preserve">will </w:t>
      </w:r>
      <w:r w:rsidR="00692554" w:rsidRPr="002F5491">
        <w:rPr>
          <w:rFonts w:cs="Times New Roman"/>
          <w:szCs w:val="22"/>
        </w:rPr>
        <w:t>be underpinned by</w:t>
      </w:r>
      <w:r w:rsidRPr="002F5491">
        <w:rPr>
          <w:rFonts w:cs="Times New Roman"/>
          <w:szCs w:val="22"/>
        </w:rPr>
        <w:t xml:space="preserve"> strengthened and expanded means of implementation, especially capacity development, technical and scientific cooperation, technology transfer, resource mobilization, multi-stakeholder cooperation and partnerships across sectors.</w:t>
      </w:r>
      <w:r w:rsidR="00692554" w:rsidRPr="002F5491">
        <w:rPr>
          <w:rFonts w:cs="Times New Roman"/>
          <w:szCs w:val="22"/>
        </w:rPr>
        <w:t xml:space="preserve"> It would therefore be prudent</w:t>
      </w:r>
      <w:r w:rsidR="00901E16" w:rsidRPr="002F5491">
        <w:rPr>
          <w:rFonts w:cs="Times New Roman"/>
          <w:szCs w:val="22"/>
        </w:rPr>
        <w:t>,</w:t>
      </w:r>
      <w:r w:rsidR="00234FF8" w:rsidRPr="002F5491">
        <w:rPr>
          <w:rFonts w:cs="Times New Roman"/>
          <w:szCs w:val="22"/>
        </w:rPr>
        <w:t xml:space="preserve"> as part of </w:t>
      </w:r>
      <w:r w:rsidR="00234FF8" w:rsidRPr="002F5491">
        <w:rPr>
          <w:rFonts w:cs="Times New Roman"/>
          <w:kern w:val="22"/>
          <w:szCs w:val="22"/>
        </w:rPr>
        <w:t>the</w:t>
      </w:r>
      <w:r w:rsidR="00901E16" w:rsidRPr="002F5491">
        <w:rPr>
          <w:rFonts w:cs="Times New Roman"/>
          <w:snapToGrid/>
          <w:kern w:val="22"/>
          <w:szCs w:val="22"/>
        </w:rPr>
        <w:t xml:space="preserve"> process for developing the post</w:t>
      </w:r>
      <w:r w:rsidR="00390525" w:rsidRPr="002F5491">
        <w:rPr>
          <w:rFonts w:cs="Times New Roman"/>
          <w:snapToGrid/>
          <w:kern w:val="22"/>
          <w:szCs w:val="22"/>
        </w:rPr>
        <w:t>-</w:t>
      </w:r>
      <w:r w:rsidR="00901E16" w:rsidRPr="002F5491">
        <w:rPr>
          <w:rFonts w:cs="Times New Roman"/>
          <w:snapToGrid/>
          <w:kern w:val="22"/>
          <w:szCs w:val="22"/>
        </w:rPr>
        <w:t>2020 global biodiversity framework</w:t>
      </w:r>
      <w:r w:rsidR="00901E16" w:rsidRPr="002F5491">
        <w:rPr>
          <w:rFonts w:cs="Times New Roman"/>
          <w:kern w:val="22"/>
          <w:szCs w:val="22"/>
        </w:rPr>
        <w:t xml:space="preserve"> </w:t>
      </w:r>
      <w:r w:rsidR="00234FF8" w:rsidRPr="002F5491">
        <w:rPr>
          <w:rFonts w:cs="Times New Roman"/>
          <w:kern w:val="22"/>
          <w:szCs w:val="22"/>
        </w:rPr>
        <w:t>proposed in document CBD/SBI/2/17</w:t>
      </w:r>
      <w:r w:rsidR="00901E16" w:rsidRPr="002F5491">
        <w:rPr>
          <w:rFonts w:cs="Times New Roman"/>
          <w:kern w:val="22"/>
          <w:szCs w:val="22"/>
        </w:rPr>
        <w:t xml:space="preserve">, to elaborate </w:t>
      </w:r>
      <w:r w:rsidR="002B3244" w:rsidRPr="002F5491">
        <w:rPr>
          <w:rFonts w:cs="Times New Roman"/>
          <w:kern w:val="22"/>
          <w:szCs w:val="22"/>
        </w:rPr>
        <w:t>strategies</w:t>
      </w:r>
      <w:r w:rsidR="00901E16" w:rsidRPr="002F5491">
        <w:rPr>
          <w:rFonts w:cs="Times New Roman"/>
          <w:kern w:val="22"/>
          <w:szCs w:val="22"/>
        </w:rPr>
        <w:t xml:space="preserve"> to ensure that </w:t>
      </w:r>
      <w:r w:rsidR="00390525" w:rsidRPr="002F5491">
        <w:rPr>
          <w:rFonts w:cs="Times New Roman"/>
          <w:kern w:val="22"/>
          <w:szCs w:val="22"/>
        </w:rPr>
        <w:t>its</w:t>
      </w:r>
      <w:r w:rsidR="00901E16" w:rsidRPr="002F5491">
        <w:rPr>
          <w:rFonts w:cs="Times New Roman"/>
          <w:kern w:val="22"/>
          <w:szCs w:val="22"/>
        </w:rPr>
        <w:t xml:space="preserve"> goals and targets </w:t>
      </w:r>
      <w:r w:rsidR="00390525" w:rsidRPr="002F5491">
        <w:rPr>
          <w:rFonts w:cs="Times New Roman"/>
          <w:kern w:val="22"/>
          <w:szCs w:val="22"/>
        </w:rPr>
        <w:t xml:space="preserve">are </w:t>
      </w:r>
      <w:r w:rsidR="00901E16" w:rsidRPr="002F5491">
        <w:rPr>
          <w:rFonts w:cs="Times New Roman"/>
          <w:kern w:val="22"/>
          <w:szCs w:val="22"/>
        </w:rPr>
        <w:t>matched with commensurate means of implementation</w:t>
      </w:r>
      <w:r w:rsidR="002B3244" w:rsidRPr="002F5491">
        <w:rPr>
          <w:rFonts w:cs="Times New Roman"/>
          <w:kern w:val="22"/>
          <w:szCs w:val="22"/>
        </w:rPr>
        <w:t xml:space="preserve"> to achieve them</w:t>
      </w:r>
      <w:r w:rsidR="00901E16" w:rsidRPr="002F5491">
        <w:rPr>
          <w:rFonts w:cs="Times New Roman"/>
          <w:kern w:val="22"/>
          <w:szCs w:val="22"/>
        </w:rPr>
        <w:t>.</w:t>
      </w:r>
    </w:p>
    <w:p w:rsidR="00A5234E" w:rsidRPr="002F5491" w:rsidRDefault="00692554" w:rsidP="002B3244">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This section </w:t>
      </w:r>
      <w:r w:rsidR="000306BF" w:rsidRPr="002F5491">
        <w:rPr>
          <w:rFonts w:cs="Times New Roman"/>
          <w:szCs w:val="22"/>
        </w:rPr>
        <w:t>highlights</w:t>
      </w:r>
      <w:r w:rsidR="002B3244" w:rsidRPr="002F5491">
        <w:rPr>
          <w:rFonts w:cs="Times New Roman"/>
          <w:szCs w:val="22"/>
        </w:rPr>
        <w:t xml:space="preserve"> </w:t>
      </w:r>
      <w:r w:rsidR="00605678" w:rsidRPr="002F5491">
        <w:rPr>
          <w:rFonts w:cs="Times New Roman"/>
          <w:szCs w:val="22"/>
        </w:rPr>
        <w:t>pertinent</w:t>
      </w:r>
      <w:r w:rsidR="002B3244" w:rsidRPr="002F5491">
        <w:rPr>
          <w:rFonts w:cs="Times New Roman"/>
          <w:szCs w:val="22"/>
        </w:rPr>
        <w:t xml:space="preserve"> considerations</w:t>
      </w:r>
      <w:r w:rsidRPr="002F5491">
        <w:rPr>
          <w:rFonts w:cs="Times New Roman"/>
          <w:kern w:val="22"/>
          <w:szCs w:val="22"/>
        </w:rPr>
        <w:t xml:space="preserve"> </w:t>
      </w:r>
      <w:r w:rsidR="002B3244" w:rsidRPr="002F5491">
        <w:rPr>
          <w:rFonts w:cs="Times New Roman"/>
          <w:kern w:val="22"/>
          <w:szCs w:val="22"/>
        </w:rPr>
        <w:t>t</w:t>
      </w:r>
      <w:r w:rsidR="000306BF" w:rsidRPr="002F5491">
        <w:rPr>
          <w:rFonts w:cs="Times New Roman"/>
          <w:kern w:val="22"/>
          <w:szCs w:val="22"/>
        </w:rPr>
        <w:t xml:space="preserve">hat could be </w:t>
      </w:r>
      <w:r w:rsidR="002B3244" w:rsidRPr="002F5491">
        <w:rPr>
          <w:rFonts w:cs="Times New Roman"/>
          <w:kern w:val="22"/>
          <w:szCs w:val="22"/>
        </w:rPr>
        <w:t>take</w:t>
      </w:r>
      <w:r w:rsidR="000306BF" w:rsidRPr="002F5491">
        <w:rPr>
          <w:rFonts w:cs="Times New Roman"/>
          <w:kern w:val="22"/>
          <w:szCs w:val="22"/>
        </w:rPr>
        <w:t>n</w:t>
      </w:r>
      <w:r w:rsidR="002B3244" w:rsidRPr="002F5491">
        <w:rPr>
          <w:rFonts w:cs="Times New Roman"/>
          <w:kern w:val="22"/>
          <w:szCs w:val="22"/>
        </w:rPr>
        <w:t xml:space="preserve"> into account when</w:t>
      </w:r>
      <w:r w:rsidRPr="002F5491">
        <w:rPr>
          <w:rFonts w:cs="Times New Roman"/>
          <w:kern w:val="22"/>
          <w:szCs w:val="22"/>
        </w:rPr>
        <w:t xml:space="preserve"> preparing </w:t>
      </w:r>
      <w:r w:rsidR="002B3244" w:rsidRPr="002F5491">
        <w:rPr>
          <w:rFonts w:cs="Times New Roman"/>
          <w:kern w:val="22"/>
          <w:szCs w:val="22"/>
        </w:rPr>
        <w:t>the</w:t>
      </w:r>
      <w:r w:rsidRPr="002F5491">
        <w:rPr>
          <w:rFonts w:cs="Times New Roman"/>
          <w:kern w:val="22"/>
          <w:szCs w:val="22"/>
        </w:rPr>
        <w:t xml:space="preserve"> long-term strategic framework for capacity-building beyond 2020</w:t>
      </w:r>
      <w:r w:rsidR="002B3244" w:rsidRPr="002F5491">
        <w:rPr>
          <w:rFonts w:cs="Times New Roman"/>
          <w:kern w:val="22"/>
          <w:szCs w:val="22"/>
        </w:rPr>
        <w:t>,</w:t>
      </w:r>
      <w:r w:rsidRPr="002F5491">
        <w:rPr>
          <w:rFonts w:cs="Times New Roman"/>
          <w:kern w:val="22"/>
          <w:szCs w:val="22"/>
        </w:rPr>
        <w:t xml:space="preserve"> p</w:t>
      </w:r>
      <w:r w:rsidRPr="002F5491">
        <w:rPr>
          <w:rFonts w:cs="Times New Roman"/>
          <w:szCs w:val="22"/>
        </w:rPr>
        <w:t>ursuant to paragraph 15(m) of decision XIII/23</w:t>
      </w:r>
      <w:r w:rsidR="002B3244" w:rsidRPr="002F5491">
        <w:rPr>
          <w:rFonts w:cs="Times New Roman"/>
          <w:szCs w:val="22"/>
        </w:rPr>
        <w:t xml:space="preserve"> of the Conference of the Parties to the Convention</w:t>
      </w:r>
      <w:r w:rsidR="007E57D8" w:rsidRPr="002F5491">
        <w:rPr>
          <w:rFonts w:cs="Times New Roman"/>
          <w:szCs w:val="22"/>
        </w:rPr>
        <w:t>, and outlines elements</w:t>
      </w:r>
      <w:r w:rsidR="00CD4E1F" w:rsidRPr="002F5491">
        <w:rPr>
          <w:rFonts w:cs="Times New Roman"/>
          <w:szCs w:val="22"/>
        </w:rPr>
        <w:t xml:space="preserve"> of the process </w:t>
      </w:r>
      <w:r w:rsidR="00151D76" w:rsidRPr="002F5491">
        <w:rPr>
          <w:rFonts w:cs="Times New Roman"/>
          <w:szCs w:val="22"/>
        </w:rPr>
        <w:t xml:space="preserve">for the </w:t>
      </w:r>
      <w:r w:rsidR="00151D76" w:rsidRPr="002F5491">
        <w:rPr>
          <w:rFonts w:cs="Times New Roman"/>
          <w:kern w:val="22"/>
          <w:szCs w:val="22"/>
        </w:rPr>
        <w:t xml:space="preserve">preparation of </w:t>
      </w:r>
      <w:r w:rsidR="00CD4E1F" w:rsidRPr="002F5491">
        <w:rPr>
          <w:rFonts w:cs="Times New Roman"/>
          <w:kern w:val="22"/>
          <w:szCs w:val="22"/>
        </w:rPr>
        <w:t>a</w:t>
      </w:r>
      <w:r w:rsidR="00151D76" w:rsidRPr="002F5491">
        <w:rPr>
          <w:rFonts w:cs="Times New Roman"/>
          <w:kern w:val="22"/>
          <w:szCs w:val="22"/>
        </w:rPr>
        <w:t xml:space="preserve"> long-term strategic framework for capacity-building </w:t>
      </w:r>
      <w:r w:rsidR="007E57D8" w:rsidRPr="002F5491">
        <w:rPr>
          <w:rFonts w:cs="Times New Roman"/>
          <w:kern w:val="22"/>
          <w:szCs w:val="22"/>
        </w:rPr>
        <w:t>as</w:t>
      </w:r>
      <w:r w:rsidR="00151D76" w:rsidRPr="002F5491">
        <w:rPr>
          <w:rFonts w:cs="Times New Roman"/>
          <w:kern w:val="22"/>
          <w:szCs w:val="22"/>
        </w:rPr>
        <w:t xml:space="preserve"> presented in Annex II below.</w:t>
      </w:r>
      <w:r w:rsidR="002B3244" w:rsidRPr="002F5491">
        <w:rPr>
          <w:rFonts w:cs="Times New Roman"/>
          <w:szCs w:val="22"/>
        </w:rPr>
        <w:t xml:space="preserve"> </w:t>
      </w:r>
      <w:r w:rsidR="000306BF" w:rsidRPr="002F5491">
        <w:rPr>
          <w:rFonts w:cs="Times New Roman"/>
          <w:szCs w:val="22"/>
        </w:rPr>
        <w:t>As</w:t>
      </w:r>
      <w:r w:rsidR="002B3244" w:rsidRPr="002F5491">
        <w:rPr>
          <w:rFonts w:cs="Times New Roman"/>
          <w:szCs w:val="22"/>
        </w:rPr>
        <w:t xml:space="preserve"> requested in paragraph 15(n)</w:t>
      </w:r>
      <w:r w:rsidR="002B3244" w:rsidRPr="002F5491">
        <w:rPr>
          <w:rFonts w:cs="Times New Roman"/>
          <w:kern w:val="22"/>
          <w:szCs w:val="22"/>
        </w:rPr>
        <w:t xml:space="preserve"> of the same decision, </w:t>
      </w:r>
      <w:r w:rsidR="002B3244" w:rsidRPr="002F5491">
        <w:rPr>
          <w:rFonts w:cs="Times New Roman"/>
          <w:szCs w:val="22"/>
        </w:rPr>
        <w:t>draft terms of reference</w:t>
      </w:r>
      <w:r w:rsidR="002B3244" w:rsidRPr="002F5491">
        <w:rPr>
          <w:rFonts w:cs="Times New Roman"/>
          <w:kern w:val="22"/>
          <w:szCs w:val="22"/>
        </w:rPr>
        <w:t xml:space="preserve"> for a study to provide the necessary knowledge base for the preparation of that strategic framework are </w:t>
      </w:r>
      <w:r w:rsidR="000306BF" w:rsidRPr="002F5491">
        <w:rPr>
          <w:rFonts w:cs="Times New Roman"/>
          <w:kern w:val="22"/>
          <w:szCs w:val="22"/>
        </w:rPr>
        <w:t xml:space="preserve">also </w:t>
      </w:r>
      <w:r w:rsidR="002B3244" w:rsidRPr="002F5491">
        <w:rPr>
          <w:rFonts w:cs="Times New Roman"/>
          <w:kern w:val="22"/>
          <w:szCs w:val="22"/>
        </w:rPr>
        <w:t>made available in A</w:t>
      </w:r>
      <w:r w:rsidR="00673B6D" w:rsidRPr="002F5491">
        <w:rPr>
          <w:rFonts w:cs="Times New Roman"/>
          <w:kern w:val="22"/>
          <w:szCs w:val="22"/>
        </w:rPr>
        <w:t xml:space="preserve">ppendix 1 to </w:t>
      </w:r>
      <w:r w:rsidR="00812909" w:rsidRPr="002F5491">
        <w:rPr>
          <w:rFonts w:cs="Times New Roman"/>
          <w:kern w:val="22"/>
          <w:szCs w:val="22"/>
        </w:rPr>
        <w:t>a</w:t>
      </w:r>
      <w:r w:rsidR="002B3244" w:rsidRPr="002F5491">
        <w:rPr>
          <w:rFonts w:cs="Times New Roman"/>
          <w:kern w:val="22"/>
          <w:szCs w:val="22"/>
        </w:rPr>
        <w:t xml:space="preserve">nnex </w:t>
      </w:r>
      <w:r w:rsidR="00673B6D" w:rsidRPr="002F5491">
        <w:rPr>
          <w:rFonts w:cs="Times New Roman"/>
          <w:kern w:val="22"/>
          <w:szCs w:val="22"/>
        </w:rPr>
        <w:t>I</w:t>
      </w:r>
      <w:r w:rsidR="002B3244" w:rsidRPr="002F5491">
        <w:rPr>
          <w:rFonts w:cs="Times New Roman"/>
          <w:kern w:val="22"/>
          <w:szCs w:val="22"/>
        </w:rPr>
        <w:t>I below for consideration by the Subsidiary Body on Implementation at the present meeting and subsequently by the Conference of the Parties at its fourteenth meeting</w:t>
      </w:r>
      <w:r w:rsidR="002777E6" w:rsidRPr="002F5491">
        <w:rPr>
          <w:rFonts w:cs="Times New Roman"/>
          <w:kern w:val="22"/>
          <w:szCs w:val="22"/>
        </w:rPr>
        <w:t xml:space="preserve"> and meetings of the Parties to the two Protocols</w:t>
      </w:r>
      <w:r w:rsidR="002B3244" w:rsidRPr="002F5491">
        <w:rPr>
          <w:rFonts w:cs="Times New Roman"/>
          <w:kern w:val="22"/>
          <w:szCs w:val="22"/>
        </w:rPr>
        <w:t>.</w:t>
      </w:r>
      <w:r w:rsidR="00197203" w:rsidRPr="002F5491">
        <w:rPr>
          <w:rFonts w:cs="Times New Roman"/>
          <w:kern w:val="22"/>
          <w:szCs w:val="22"/>
        </w:rPr>
        <w:t xml:space="preserve"> The </w:t>
      </w:r>
      <w:r w:rsidR="002B3244" w:rsidRPr="002F5491">
        <w:rPr>
          <w:rFonts w:cs="Times New Roman"/>
          <w:kern w:val="22"/>
          <w:szCs w:val="22"/>
        </w:rPr>
        <w:t xml:space="preserve">draft </w:t>
      </w:r>
      <w:r w:rsidR="00197203" w:rsidRPr="002F5491">
        <w:rPr>
          <w:rFonts w:cs="Times New Roman"/>
          <w:kern w:val="22"/>
          <w:szCs w:val="22"/>
        </w:rPr>
        <w:t>terms of reference include the following elements: objectives and scope of the study, the methodology to be used,</w:t>
      </w:r>
      <w:r w:rsidR="00872C36" w:rsidRPr="002F5491">
        <w:rPr>
          <w:rFonts w:cs="Times New Roman"/>
          <w:kern w:val="22"/>
          <w:szCs w:val="22"/>
        </w:rPr>
        <w:t xml:space="preserve"> and</w:t>
      </w:r>
      <w:r w:rsidR="00197203" w:rsidRPr="002F5491">
        <w:rPr>
          <w:rFonts w:cs="Times New Roman"/>
          <w:kern w:val="22"/>
          <w:szCs w:val="22"/>
        </w:rPr>
        <w:t xml:space="preserve"> the main sources of information</w:t>
      </w:r>
      <w:r w:rsidR="00197203" w:rsidRPr="002F5491">
        <w:rPr>
          <w:rFonts w:cs="Times New Roman"/>
          <w:szCs w:val="22"/>
        </w:rPr>
        <w:t>.</w:t>
      </w:r>
    </w:p>
    <w:p w:rsidR="00745D16" w:rsidRPr="002F5491" w:rsidRDefault="002B3244" w:rsidP="00197203">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As requested in </w:t>
      </w:r>
      <w:r w:rsidR="00745D16" w:rsidRPr="002F5491">
        <w:rPr>
          <w:rFonts w:cs="Times New Roman"/>
          <w:szCs w:val="22"/>
        </w:rPr>
        <w:t>paragraphs 15(m) and 15(n) of decision XIII/23, t</w:t>
      </w:r>
      <w:r w:rsidR="00745D16" w:rsidRPr="002F5491">
        <w:rPr>
          <w:rFonts w:cs="Times New Roman"/>
          <w:kern w:val="22"/>
          <w:szCs w:val="22"/>
        </w:rPr>
        <w:t xml:space="preserve">he preparation of the post-2020 strategic framework for capacity-building will take into account, inter alia, </w:t>
      </w:r>
      <w:r w:rsidR="00745D16" w:rsidRPr="002F5491">
        <w:rPr>
          <w:rFonts w:cs="Times New Roman"/>
          <w:snapToGrid/>
          <w:kern w:val="20"/>
          <w:szCs w:val="22"/>
        </w:rPr>
        <w:t>the reports of the evaluations of the capacity-</w:t>
      </w:r>
      <w:r w:rsidR="00745D16" w:rsidRPr="002F5491">
        <w:rPr>
          <w:rFonts w:cs="Times New Roman"/>
          <w:kern w:val="22"/>
          <w:szCs w:val="22"/>
        </w:rPr>
        <w:t xml:space="preserve">building frameworks of the Nagoya </w:t>
      </w:r>
      <w:r w:rsidR="005333C5" w:rsidRPr="002F5491">
        <w:rPr>
          <w:rFonts w:cs="Times New Roman"/>
          <w:kern w:val="22"/>
          <w:szCs w:val="22"/>
        </w:rPr>
        <w:t xml:space="preserve">Protocol </w:t>
      </w:r>
      <w:r w:rsidR="00745D16" w:rsidRPr="002F5491">
        <w:rPr>
          <w:rFonts w:cs="Times New Roman"/>
          <w:kern w:val="22"/>
          <w:szCs w:val="22"/>
        </w:rPr>
        <w:t xml:space="preserve">and </w:t>
      </w:r>
      <w:r w:rsidR="005333C5" w:rsidRPr="002F5491">
        <w:rPr>
          <w:rFonts w:cs="Times New Roman"/>
          <w:kern w:val="22"/>
          <w:szCs w:val="22"/>
        </w:rPr>
        <w:t xml:space="preserve"> the </w:t>
      </w:r>
      <w:r w:rsidR="00745D16" w:rsidRPr="002F5491">
        <w:rPr>
          <w:rFonts w:cs="Times New Roman"/>
          <w:kern w:val="22"/>
          <w:szCs w:val="22"/>
        </w:rPr>
        <w:t xml:space="preserve">Cartagena Protocol; </w:t>
      </w:r>
      <w:r w:rsidR="00447C88" w:rsidRPr="002F5491">
        <w:rPr>
          <w:rFonts w:cs="Times New Roman"/>
          <w:szCs w:val="22"/>
        </w:rPr>
        <w:t xml:space="preserve">evaluation of the impacts, outcomes and effectiveness of the short-term action plan (2017-2020) to enhance and support capacity-building, </w:t>
      </w:r>
      <w:r w:rsidR="00745D16" w:rsidRPr="002F5491">
        <w:rPr>
          <w:rFonts w:cs="Times New Roman"/>
          <w:kern w:val="22"/>
          <w:szCs w:val="22"/>
        </w:rPr>
        <w:t xml:space="preserve">and relevant experiences reported by Parties in their national reports. </w:t>
      </w:r>
      <w:r w:rsidR="00390525" w:rsidRPr="002F5491">
        <w:rPr>
          <w:rFonts w:cs="Times New Roman"/>
          <w:szCs w:val="22"/>
        </w:rPr>
        <w:t>T</w:t>
      </w:r>
      <w:r w:rsidR="00390525" w:rsidRPr="002F5491">
        <w:rPr>
          <w:rFonts w:cs="Times New Roman"/>
          <w:kern w:val="22"/>
          <w:szCs w:val="22"/>
        </w:rPr>
        <w:t>he preparation of the post-2020 strategic framework for capacity-building</w:t>
      </w:r>
      <w:r w:rsidR="00745D16" w:rsidRPr="002F5491">
        <w:rPr>
          <w:rFonts w:cs="Times New Roman"/>
          <w:kern w:val="22"/>
          <w:szCs w:val="22"/>
        </w:rPr>
        <w:t xml:space="preserve"> will also be aligned with the follow-up to the Strategic Plan for Biodiversity 2011-2020 and the work of the Protocols</w:t>
      </w:r>
      <w:r w:rsidR="00390525" w:rsidRPr="002F5491">
        <w:rPr>
          <w:rFonts w:cs="Times New Roman"/>
          <w:kern w:val="22"/>
          <w:szCs w:val="22"/>
        </w:rPr>
        <w:t>, as appropriate</w:t>
      </w:r>
      <w:r w:rsidR="00745D16" w:rsidRPr="002F5491">
        <w:rPr>
          <w:rFonts w:cs="Times New Roman"/>
          <w:kern w:val="22"/>
          <w:szCs w:val="22"/>
        </w:rPr>
        <w:t>.</w:t>
      </w:r>
    </w:p>
    <w:p w:rsidR="00CD47B0" w:rsidRPr="002F5491" w:rsidRDefault="00AA6F09" w:rsidP="00E66831">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The </w:t>
      </w:r>
      <w:r w:rsidR="00527F6E" w:rsidRPr="002F5491">
        <w:rPr>
          <w:rFonts w:cs="Times New Roman"/>
          <w:szCs w:val="22"/>
        </w:rPr>
        <w:t>process of</w:t>
      </w:r>
      <w:r w:rsidRPr="002F5491">
        <w:rPr>
          <w:rFonts w:cs="Times New Roman"/>
          <w:szCs w:val="22"/>
        </w:rPr>
        <w:t xml:space="preserve"> developing the </w:t>
      </w:r>
      <w:r w:rsidR="00130E90" w:rsidRPr="002F5491">
        <w:rPr>
          <w:rFonts w:cs="Times New Roman"/>
          <w:kern w:val="22"/>
          <w:szCs w:val="22"/>
        </w:rPr>
        <w:t>post-2020 capacity development strategic framework</w:t>
      </w:r>
      <w:r w:rsidR="00C20AC3" w:rsidRPr="002F5491">
        <w:rPr>
          <w:rFonts w:cs="Times New Roman"/>
          <w:kern w:val="22"/>
          <w:szCs w:val="22"/>
        </w:rPr>
        <w:t xml:space="preserve"> could entail</w:t>
      </w:r>
      <w:r w:rsidR="00210DAF" w:rsidRPr="002F5491">
        <w:rPr>
          <w:rFonts w:cs="Times New Roman"/>
          <w:kern w:val="22"/>
          <w:szCs w:val="22"/>
        </w:rPr>
        <w:t>, inter alia,</w:t>
      </w:r>
      <w:r w:rsidR="00B712B4" w:rsidRPr="002F5491">
        <w:rPr>
          <w:rFonts w:cs="Times New Roman"/>
          <w:kern w:val="22"/>
          <w:szCs w:val="22"/>
        </w:rPr>
        <w:t xml:space="preserve"> </w:t>
      </w:r>
      <w:r w:rsidR="00130E90" w:rsidRPr="002F5491">
        <w:rPr>
          <w:rFonts w:cs="Times New Roman"/>
          <w:kern w:val="22"/>
          <w:szCs w:val="22"/>
        </w:rPr>
        <w:t xml:space="preserve">carrying out </w:t>
      </w:r>
      <w:r w:rsidR="0031515E" w:rsidRPr="002F5491">
        <w:rPr>
          <w:rFonts w:cs="Times New Roman"/>
          <w:kern w:val="22"/>
          <w:szCs w:val="22"/>
        </w:rPr>
        <w:t>a</w:t>
      </w:r>
      <w:r w:rsidR="00FB4D80" w:rsidRPr="002F5491">
        <w:rPr>
          <w:rFonts w:cs="Times New Roman"/>
          <w:kern w:val="22"/>
          <w:szCs w:val="22"/>
        </w:rPr>
        <w:t xml:space="preserve"> stocktaking exercise</w:t>
      </w:r>
      <w:r w:rsidR="0031515E" w:rsidRPr="002F5491">
        <w:rPr>
          <w:rFonts w:cs="Times New Roman"/>
          <w:kern w:val="22"/>
          <w:szCs w:val="22"/>
        </w:rPr>
        <w:t xml:space="preserve"> </w:t>
      </w:r>
      <w:r w:rsidR="00E66831" w:rsidRPr="002F5491">
        <w:rPr>
          <w:rFonts w:cs="Times New Roman"/>
          <w:kern w:val="22"/>
          <w:szCs w:val="22"/>
        </w:rPr>
        <w:t>to establish a baseline against which progress will be measured</w:t>
      </w:r>
      <w:r w:rsidR="00872C36" w:rsidRPr="002F5491">
        <w:rPr>
          <w:rFonts w:cs="Times New Roman"/>
          <w:kern w:val="22"/>
          <w:szCs w:val="22"/>
        </w:rPr>
        <w:t xml:space="preserve"> and a review and analysis of the Parties’ main capacity development needs and gaps</w:t>
      </w:r>
      <w:r w:rsidR="005333C5" w:rsidRPr="002F5491">
        <w:rPr>
          <w:rFonts w:cs="Times New Roman"/>
          <w:kern w:val="22"/>
          <w:szCs w:val="22"/>
        </w:rPr>
        <w:t xml:space="preserve">, </w:t>
      </w:r>
      <w:r w:rsidR="001C693F" w:rsidRPr="002F5491">
        <w:rPr>
          <w:rFonts w:cs="Times New Roman"/>
          <w:kern w:val="22"/>
          <w:szCs w:val="22"/>
        </w:rPr>
        <w:t xml:space="preserve">taking into account existing baseline information and already identified needs, </w:t>
      </w:r>
      <w:r w:rsidR="005333C5" w:rsidRPr="002F5491">
        <w:rPr>
          <w:rFonts w:cs="Times New Roman"/>
          <w:kern w:val="22"/>
          <w:szCs w:val="22"/>
        </w:rPr>
        <w:t>as appropriate</w:t>
      </w:r>
      <w:r w:rsidR="00E66831" w:rsidRPr="002F5491">
        <w:rPr>
          <w:rFonts w:cs="Times New Roman"/>
          <w:kern w:val="22"/>
          <w:szCs w:val="22"/>
        </w:rPr>
        <w:t>.</w:t>
      </w:r>
      <w:r w:rsidR="00B712B4" w:rsidRPr="002F5491">
        <w:rPr>
          <w:rFonts w:cs="Times New Roman"/>
          <w:kern w:val="22"/>
          <w:szCs w:val="22"/>
        </w:rPr>
        <w:t xml:space="preserve"> </w:t>
      </w:r>
      <w:r w:rsidR="00A14F1D" w:rsidRPr="002F5491">
        <w:rPr>
          <w:rFonts w:cs="Times New Roman"/>
          <w:kern w:val="22"/>
          <w:szCs w:val="22"/>
        </w:rPr>
        <w:t xml:space="preserve">This </w:t>
      </w:r>
      <w:r w:rsidR="00AA57AB" w:rsidRPr="002F5491">
        <w:rPr>
          <w:rFonts w:cs="Times New Roman"/>
          <w:kern w:val="22"/>
          <w:szCs w:val="22"/>
        </w:rPr>
        <w:t xml:space="preserve">may </w:t>
      </w:r>
      <w:r w:rsidR="00C20AC3" w:rsidRPr="002F5491">
        <w:rPr>
          <w:rFonts w:cs="Times New Roman"/>
          <w:kern w:val="22"/>
          <w:szCs w:val="22"/>
        </w:rPr>
        <w:t xml:space="preserve">involve </w:t>
      </w:r>
      <w:r w:rsidR="00A265B8" w:rsidRPr="002F5491">
        <w:rPr>
          <w:rFonts w:cs="Times New Roman"/>
          <w:kern w:val="22"/>
          <w:szCs w:val="22"/>
        </w:rPr>
        <w:t>determining</w:t>
      </w:r>
      <w:r w:rsidR="00456F43" w:rsidRPr="002F5491">
        <w:rPr>
          <w:rFonts w:cs="Times New Roman"/>
          <w:kern w:val="22"/>
          <w:szCs w:val="22"/>
        </w:rPr>
        <w:t xml:space="preserve"> </w:t>
      </w:r>
      <w:r w:rsidR="0093154D" w:rsidRPr="002F5491">
        <w:rPr>
          <w:rFonts w:cs="Times New Roman"/>
          <w:kern w:val="22"/>
          <w:szCs w:val="22"/>
        </w:rPr>
        <w:t xml:space="preserve">the </w:t>
      </w:r>
      <w:r w:rsidR="00456F43" w:rsidRPr="002F5491">
        <w:rPr>
          <w:rFonts w:cs="Times New Roman"/>
          <w:kern w:val="22"/>
          <w:szCs w:val="22"/>
        </w:rPr>
        <w:t>current levels</w:t>
      </w:r>
      <w:r w:rsidR="00B63189" w:rsidRPr="002F5491">
        <w:rPr>
          <w:rFonts w:cs="Times New Roman"/>
          <w:kern w:val="22"/>
          <w:szCs w:val="22"/>
        </w:rPr>
        <w:t xml:space="preserve"> of institutional and human resources capacity</w:t>
      </w:r>
      <w:r w:rsidR="00456F43" w:rsidRPr="002F5491">
        <w:rPr>
          <w:rFonts w:cs="Times New Roman"/>
          <w:kern w:val="22"/>
          <w:szCs w:val="22"/>
        </w:rPr>
        <w:t xml:space="preserve">, </w:t>
      </w:r>
      <w:r w:rsidR="00A265B8" w:rsidRPr="002F5491">
        <w:rPr>
          <w:rFonts w:cs="Times New Roman"/>
          <w:kern w:val="22"/>
          <w:szCs w:val="22"/>
        </w:rPr>
        <w:t xml:space="preserve">documenting </w:t>
      </w:r>
      <w:r w:rsidR="001079FC" w:rsidRPr="002F5491">
        <w:rPr>
          <w:rFonts w:cs="Times New Roman"/>
          <w:kern w:val="22"/>
          <w:szCs w:val="22"/>
        </w:rPr>
        <w:t>existing capacity development initiatives</w:t>
      </w:r>
      <w:r w:rsidR="002A0E27" w:rsidRPr="002F5491">
        <w:rPr>
          <w:rFonts w:cs="Times New Roman"/>
          <w:kern w:val="22"/>
          <w:szCs w:val="22"/>
        </w:rPr>
        <w:t xml:space="preserve"> and</w:t>
      </w:r>
      <w:r w:rsidR="001079FC" w:rsidRPr="002F5491">
        <w:rPr>
          <w:rFonts w:cs="Times New Roman"/>
          <w:kern w:val="22"/>
          <w:szCs w:val="22"/>
        </w:rPr>
        <w:t xml:space="preserve"> tools</w:t>
      </w:r>
      <w:r w:rsidR="0093154D" w:rsidRPr="002F5491">
        <w:rPr>
          <w:rFonts w:cs="Times New Roman"/>
          <w:kern w:val="22"/>
          <w:szCs w:val="22"/>
        </w:rPr>
        <w:t xml:space="preserve">, </w:t>
      </w:r>
      <w:r w:rsidR="005C239F" w:rsidRPr="002F5491">
        <w:rPr>
          <w:rFonts w:cs="Times New Roman"/>
          <w:kern w:val="22"/>
          <w:szCs w:val="22"/>
        </w:rPr>
        <w:t xml:space="preserve">identifying </w:t>
      </w:r>
      <w:r w:rsidR="002A0E27" w:rsidRPr="002F5491">
        <w:rPr>
          <w:rFonts w:cs="Times New Roman"/>
          <w:kern w:val="22"/>
          <w:szCs w:val="22"/>
        </w:rPr>
        <w:t xml:space="preserve">the main providers of </w:t>
      </w:r>
      <w:r w:rsidR="00B63189" w:rsidRPr="002F5491">
        <w:rPr>
          <w:rFonts w:cs="Times New Roman"/>
          <w:kern w:val="22"/>
          <w:szCs w:val="22"/>
        </w:rPr>
        <w:t xml:space="preserve">biodiversity-related </w:t>
      </w:r>
      <w:r w:rsidR="002A0E27" w:rsidRPr="002F5491">
        <w:rPr>
          <w:rFonts w:cs="Times New Roman"/>
          <w:kern w:val="22"/>
          <w:szCs w:val="22"/>
        </w:rPr>
        <w:t>capacity-building support</w:t>
      </w:r>
      <w:r w:rsidR="005C239F" w:rsidRPr="002F5491">
        <w:rPr>
          <w:rFonts w:cs="Times New Roman"/>
          <w:kern w:val="22"/>
          <w:szCs w:val="22"/>
        </w:rPr>
        <w:t xml:space="preserve">, mapping </w:t>
      </w:r>
      <w:r w:rsidR="00B63189" w:rsidRPr="002F5491">
        <w:rPr>
          <w:rFonts w:cs="Times New Roman"/>
          <w:kern w:val="22"/>
          <w:szCs w:val="22"/>
        </w:rPr>
        <w:t>existing</w:t>
      </w:r>
      <w:r w:rsidR="002A0E27" w:rsidRPr="002F5491">
        <w:rPr>
          <w:rFonts w:cs="Times New Roman"/>
          <w:kern w:val="22"/>
          <w:szCs w:val="22"/>
        </w:rPr>
        <w:t xml:space="preserve"> networks</w:t>
      </w:r>
      <w:r w:rsidR="00A265B8" w:rsidRPr="002F5491">
        <w:rPr>
          <w:rFonts w:cs="Times New Roman"/>
          <w:kern w:val="22"/>
          <w:szCs w:val="22"/>
        </w:rPr>
        <w:t xml:space="preserve"> and partnerships</w:t>
      </w:r>
      <w:r w:rsidR="00A14F1D" w:rsidRPr="002F5491">
        <w:rPr>
          <w:rFonts w:cs="Times New Roman"/>
          <w:kern w:val="22"/>
          <w:szCs w:val="22"/>
        </w:rPr>
        <w:t>,</w:t>
      </w:r>
      <w:r w:rsidR="0093154D" w:rsidRPr="002F5491">
        <w:rPr>
          <w:rFonts w:cs="Times New Roman"/>
          <w:kern w:val="22"/>
          <w:szCs w:val="22"/>
        </w:rPr>
        <w:t xml:space="preserve"> </w:t>
      </w:r>
      <w:r w:rsidR="00E338A6" w:rsidRPr="002F5491">
        <w:rPr>
          <w:rFonts w:cs="Times New Roman"/>
          <w:kern w:val="22"/>
          <w:szCs w:val="22"/>
        </w:rPr>
        <w:t>analys</w:t>
      </w:r>
      <w:r w:rsidR="008B4982" w:rsidRPr="002F5491">
        <w:rPr>
          <w:rFonts w:cs="Times New Roman"/>
          <w:kern w:val="22"/>
          <w:szCs w:val="22"/>
        </w:rPr>
        <w:t>ing t</w:t>
      </w:r>
      <w:r w:rsidR="00B712B4" w:rsidRPr="002F5491">
        <w:rPr>
          <w:rFonts w:cs="Times New Roman"/>
          <w:kern w:val="22"/>
          <w:szCs w:val="22"/>
        </w:rPr>
        <w:t xml:space="preserve">he strengths and weaknesses of capacity development modalities and approaches </w:t>
      </w:r>
      <w:r w:rsidR="00E338A6" w:rsidRPr="002F5491">
        <w:rPr>
          <w:rFonts w:cs="Times New Roman"/>
          <w:kern w:val="22"/>
          <w:szCs w:val="22"/>
        </w:rPr>
        <w:t>currently</w:t>
      </w:r>
      <w:r w:rsidR="00081F73" w:rsidRPr="002F5491">
        <w:rPr>
          <w:rFonts w:cs="Times New Roman"/>
          <w:kern w:val="22"/>
          <w:szCs w:val="22"/>
        </w:rPr>
        <w:t xml:space="preserve"> </w:t>
      </w:r>
      <w:r w:rsidR="00B712B4" w:rsidRPr="002F5491">
        <w:rPr>
          <w:rFonts w:cs="Times New Roman"/>
          <w:kern w:val="22"/>
          <w:szCs w:val="22"/>
        </w:rPr>
        <w:t>used</w:t>
      </w:r>
      <w:r w:rsidR="00A14F1D" w:rsidRPr="002F5491">
        <w:rPr>
          <w:rFonts w:cs="Times New Roman"/>
          <w:kern w:val="22"/>
          <w:szCs w:val="22"/>
        </w:rPr>
        <w:t>,</w:t>
      </w:r>
      <w:r w:rsidR="00B712B4" w:rsidRPr="002F5491">
        <w:rPr>
          <w:rFonts w:cs="Times New Roman"/>
          <w:kern w:val="22"/>
          <w:szCs w:val="22"/>
        </w:rPr>
        <w:t xml:space="preserve"> </w:t>
      </w:r>
      <w:r w:rsidR="00081F73" w:rsidRPr="002F5491">
        <w:rPr>
          <w:rFonts w:cs="Times New Roman"/>
          <w:kern w:val="22"/>
          <w:szCs w:val="22"/>
        </w:rPr>
        <w:t>analy</w:t>
      </w:r>
      <w:r w:rsidR="00D82870">
        <w:rPr>
          <w:rFonts w:cs="Times New Roman"/>
          <w:kern w:val="22"/>
          <w:szCs w:val="22"/>
        </w:rPr>
        <w:t>s</w:t>
      </w:r>
      <w:r w:rsidR="00081F73" w:rsidRPr="002F5491">
        <w:rPr>
          <w:rFonts w:cs="Times New Roman"/>
          <w:kern w:val="22"/>
          <w:szCs w:val="22"/>
        </w:rPr>
        <w:t xml:space="preserve">ing </w:t>
      </w:r>
      <w:r w:rsidR="00B712B4" w:rsidRPr="002F5491">
        <w:rPr>
          <w:rFonts w:cs="Times New Roman"/>
          <w:kern w:val="22"/>
          <w:szCs w:val="22"/>
        </w:rPr>
        <w:t>the main barriers and constraints</w:t>
      </w:r>
      <w:r w:rsidR="00081F73" w:rsidRPr="002F5491">
        <w:rPr>
          <w:rFonts w:cs="Times New Roman"/>
          <w:kern w:val="22"/>
          <w:szCs w:val="22"/>
        </w:rPr>
        <w:t>,</w:t>
      </w:r>
      <w:r w:rsidR="00A14F1D" w:rsidRPr="002F5491">
        <w:rPr>
          <w:rFonts w:cs="Times New Roman"/>
          <w:kern w:val="22"/>
          <w:szCs w:val="22"/>
        </w:rPr>
        <w:t xml:space="preserve"> and </w:t>
      </w:r>
      <w:r w:rsidR="001079FC" w:rsidRPr="002F5491">
        <w:rPr>
          <w:rFonts w:cs="Times New Roman"/>
          <w:kern w:val="22"/>
          <w:szCs w:val="22"/>
        </w:rPr>
        <w:t>identify</w:t>
      </w:r>
      <w:r w:rsidR="008B4982" w:rsidRPr="002F5491">
        <w:rPr>
          <w:rFonts w:cs="Times New Roman"/>
          <w:kern w:val="22"/>
          <w:szCs w:val="22"/>
        </w:rPr>
        <w:t>ing</w:t>
      </w:r>
      <w:r w:rsidR="001079FC" w:rsidRPr="002F5491">
        <w:rPr>
          <w:rFonts w:cs="Times New Roman"/>
          <w:kern w:val="22"/>
          <w:szCs w:val="22"/>
        </w:rPr>
        <w:t xml:space="preserve"> opportunities and good practices that c</w:t>
      </w:r>
      <w:r w:rsidR="0093154D" w:rsidRPr="002F5491">
        <w:rPr>
          <w:rFonts w:cs="Times New Roman"/>
          <w:kern w:val="22"/>
          <w:szCs w:val="22"/>
        </w:rPr>
        <w:t>ould</w:t>
      </w:r>
      <w:r w:rsidR="001079FC" w:rsidRPr="002F5491">
        <w:rPr>
          <w:rFonts w:cs="Times New Roman"/>
          <w:kern w:val="22"/>
          <w:szCs w:val="22"/>
        </w:rPr>
        <w:t xml:space="preserve"> be leveraged</w:t>
      </w:r>
      <w:r w:rsidR="0093154D" w:rsidRPr="002F5491">
        <w:rPr>
          <w:rFonts w:cs="Times New Roman"/>
          <w:kern w:val="22"/>
          <w:szCs w:val="22"/>
        </w:rPr>
        <w:t>.</w:t>
      </w:r>
      <w:r w:rsidR="00081F73" w:rsidRPr="002F5491">
        <w:rPr>
          <w:rFonts w:cs="Times New Roman"/>
          <w:kern w:val="22"/>
          <w:szCs w:val="22"/>
        </w:rPr>
        <w:t xml:space="preserve"> Furthermore, </w:t>
      </w:r>
      <w:r w:rsidR="00872C36" w:rsidRPr="002F5491">
        <w:rPr>
          <w:rFonts w:cs="Times New Roman"/>
          <w:kern w:val="22"/>
          <w:szCs w:val="22"/>
        </w:rPr>
        <w:t>the process should include</w:t>
      </w:r>
      <w:r w:rsidR="005C239F" w:rsidRPr="002F5491">
        <w:rPr>
          <w:rFonts w:cs="Times New Roman"/>
          <w:kern w:val="22"/>
          <w:szCs w:val="22"/>
        </w:rPr>
        <w:t xml:space="preserve"> a review of</w:t>
      </w:r>
      <w:r w:rsidR="00081F73" w:rsidRPr="002F5491">
        <w:rPr>
          <w:rFonts w:cs="Times New Roman"/>
          <w:kern w:val="22"/>
          <w:szCs w:val="22"/>
        </w:rPr>
        <w:t xml:space="preserve"> existing </w:t>
      </w:r>
      <w:r w:rsidR="00081F73" w:rsidRPr="002F5491">
        <w:rPr>
          <w:rFonts w:cs="Times New Roman"/>
          <w:szCs w:val="22"/>
        </w:rPr>
        <w:t xml:space="preserve">opportunities </w:t>
      </w:r>
      <w:r w:rsidR="005C239F" w:rsidRPr="002F5491">
        <w:rPr>
          <w:rFonts w:cs="Times New Roman"/>
          <w:szCs w:val="22"/>
        </w:rPr>
        <w:t xml:space="preserve">and a synthesis of </w:t>
      </w:r>
      <w:r w:rsidR="00041A7B" w:rsidRPr="002F5491">
        <w:rPr>
          <w:rFonts w:cs="Times New Roman"/>
          <w:kern w:val="22"/>
          <w:szCs w:val="22"/>
        </w:rPr>
        <w:t xml:space="preserve">relevant </w:t>
      </w:r>
      <w:r w:rsidR="005C239F" w:rsidRPr="002F5491">
        <w:rPr>
          <w:rFonts w:cs="Times New Roman"/>
          <w:szCs w:val="22"/>
        </w:rPr>
        <w:t>experiences and lessons learned</w:t>
      </w:r>
      <w:r w:rsidR="00657083" w:rsidRPr="002F5491">
        <w:rPr>
          <w:rFonts w:cs="Times New Roman"/>
          <w:szCs w:val="22"/>
        </w:rPr>
        <w:t xml:space="preserve">. </w:t>
      </w:r>
      <w:r w:rsidR="00041A7B" w:rsidRPr="002F5491">
        <w:rPr>
          <w:rFonts w:cs="Times New Roman"/>
          <w:szCs w:val="22"/>
        </w:rPr>
        <w:t>It should also identify mechanisms for enhancing</w:t>
      </w:r>
      <w:r w:rsidR="00081F73" w:rsidRPr="002F5491">
        <w:rPr>
          <w:rFonts w:cs="Times New Roman"/>
          <w:szCs w:val="22"/>
        </w:rPr>
        <w:t xml:space="preserve"> coordination</w:t>
      </w:r>
      <w:r w:rsidR="00041A7B" w:rsidRPr="002F5491">
        <w:rPr>
          <w:rFonts w:cs="Times New Roman"/>
          <w:szCs w:val="22"/>
        </w:rPr>
        <w:t>, coherence</w:t>
      </w:r>
      <w:r w:rsidR="00081F73" w:rsidRPr="002F5491">
        <w:rPr>
          <w:rFonts w:cs="Times New Roman"/>
          <w:szCs w:val="22"/>
        </w:rPr>
        <w:t xml:space="preserve"> and collaboration in the delivery of capacity-building support, and </w:t>
      </w:r>
      <w:r w:rsidR="00041A7B" w:rsidRPr="002F5491">
        <w:rPr>
          <w:rFonts w:cs="Times New Roman"/>
          <w:kern w:val="22"/>
          <w:szCs w:val="22"/>
        </w:rPr>
        <w:t>improving</w:t>
      </w:r>
      <w:r w:rsidR="00081F73" w:rsidRPr="002F5491">
        <w:rPr>
          <w:rFonts w:cs="Times New Roman"/>
          <w:kern w:val="22"/>
          <w:szCs w:val="22"/>
        </w:rPr>
        <w:t xml:space="preserve"> broad access to </w:t>
      </w:r>
      <w:r w:rsidR="00041A7B" w:rsidRPr="002F5491">
        <w:rPr>
          <w:rFonts w:cs="Times New Roman"/>
          <w:kern w:val="22"/>
          <w:szCs w:val="22"/>
        </w:rPr>
        <w:t xml:space="preserve">existing </w:t>
      </w:r>
      <w:r w:rsidR="00081F73" w:rsidRPr="002F5491">
        <w:rPr>
          <w:rFonts w:cs="Times New Roman"/>
          <w:kern w:val="22"/>
          <w:szCs w:val="22"/>
        </w:rPr>
        <w:t>capacity-building support.</w:t>
      </w:r>
    </w:p>
    <w:p w:rsidR="00081F73" w:rsidRPr="002F5491" w:rsidRDefault="00081F73" w:rsidP="00081F73">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The post</w:t>
      </w:r>
      <w:r w:rsidR="00A772D1" w:rsidRPr="002F5491">
        <w:rPr>
          <w:rFonts w:cs="Times New Roman"/>
          <w:szCs w:val="22"/>
        </w:rPr>
        <w:t>-</w:t>
      </w:r>
      <w:r w:rsidRPr="002F5491">
        <w:rPr>
          <w:rFonts w:cs="Times New Roman"/>
          <w:szCs w:val="22"/>
        </w:rPr>
        <w:t>2020 capacity development strategic framework</w:t>
      </w:r>
      <w:r w:rsidR="006C391E" w:rsidRPr="002F5491">
        <w:rPr>
          <w:rFonts w:cs="Times New Roman"/>
          <w:szCs w:val="22"/>
        </w:rPr>
        <w:t xml:space="preserve"> </w:t>
      </w:r>
      <w:r w:rsidRPr="002F5491">
        <w:rPr>
          <w:rFonts w:cs="Times New Roman"/>
          <w:szCs w:val="22"/>
        </w:rPr>
        <w:t xml:space="preserve">should </w:t>
      </w:r>
      <w:r w:rsidR="005420E2" w:rsidRPr="002F5491">
        <w:rPr>
          <w:rFonts w:cs="Times New Roman"/>
          <w:szCs w:val="22"/>
        </w:rPr>
        <w:t>provide</w:t>
      </w:r>
      <w:r w:rsidRPr="002F5491">
        <w:rPr>
          <w:rFonts w:cs="Times New Roman"/>
          <w:szCs w:val="22"/>
        </w:rPr>
        <w:t xml:space="preserve"> a clear conceptual </w:t>
      </w:r>
      <w:r w:rsidR="0002371B" w:rsidRPr="002F5491">
        <w:rPr>
          <w:rFonts w:cs="Times New Roman"/>
          <w:szCs w:val="22"/>
        </w:rPr>
        <w:t>description</w:t>
      </w:r>
      <w:r w:rsidRPr="002F5491">
        <w:rPr>
          <w:rFonts w:cs="Times New Roman"/>
          <w:szCs w:val="22"/>
        </w:rPr>
        <w:t xml:space="preserve"> of the role of capacity development in facilitating </w:t>
      </w:r>
      <w:r w:rsidRPr="002F5491">
        <w:rPr>
          <w:rFonts w:cs="Times New Roman"/>
          <w:color w:val="000000"/>
          <w:szCs w:val="22"/>
        </w:rPr>
        <w:t xml:space="preserve">transformational change </w:t>
      </w:r>
      <w:r w:rsidRPr="002F5491">
        <w:rPr>
          <w:rFonts w:cs="Times New Roman"/>
          <w:szCs w:val="22"/>
        </w:rPr>
        <w:t xml:space="preserve">that would lead to the achievement of the 2050 vision of </w:t>
      </w:r>
      <w:r w:rsidR="00812909" w:rsidRPr="002F5491">
        <w:rPr>
          <w:rFonts w:cs="Times New Roman"/>
          <w:szCs w:val="22"/>
        </w:rPr>
        <w:t>“</w:t>
      </w:r>
      <w:r w:rsidRPr="002F5491">
        <w:rPr>
          <w:rFonts w:cs="Times New Roman"/>
          <w:szCs w:val="22"/>
        </w:rPr>
        <w:t>living in harmony with nature</w:t>
      </w:r>
      <w:r w:rsidR="00812909" w:rsidRPr="002F5491">
        <w:rPr>
          <w:rFonts w:cs="Times New Roman"/>
          <w:szCs w:val="22"/>
        </w:rPr>
        <w:t>”</w:t>
      </w:r>
      <w:r w:rsidRPr="002F5491">
        <w:rPr>
          <w:rFonts w:cs="Times New Roman"/>
          <w:szCs w:val="22"/>
        </w:rPr>
        <w:t xml:space="preserve">. </w:t>
      </w:r>
      <w:r w:rsidR="0002371B" w:rsidRPr="002F5491">
        <w:rPr>
          <w:rFonts w:cs="Times New Roman"/>
          <w:szCs w:val="22"/>
        </w:rPr>
        <w:t>It</w:t>
      </w:r>
      <w:r w:rsidRPr="002F5491">
        <w:rPr>
          <w:rFonts w:cs="Times New Roman"/>
          <w:szCs w:val="22"/>
        </w:rPr>
        <w:t xml:space="preserve"> should </w:t>
      </w:r>
      <w:r w:rsidR="0002371B" w:rsidRPr="002F5491">
        <w:rPr>
          <w:rFonts w:cs="Times New Roman"/>
          <w:szCs w:val="22"/>
        </w:rPr>
        <w:t xml:space="preserve">also </w:t>
      </w:r>
      <w:r w:rsidRPr="002F5491">
        <w:rPr>
          <w:rFonts w:cs="Times New Roman"/>
          <w:szCs w:val="22"/>
        </w:rPr>
        <w:t xml:space="preserve">provide a </w:t>
      </w:r>
      <w:r w:rsidR="00E53C5B" w:rsidRPr="002F5491">
        <w:rPr>
          <w:rFonts w:cs="Times New Roman"/>
          <w:szCs w:val="22"/>
        </w:rPr>
        <w:t>visionary</w:t>
      </w:r>
      <w:r w:rsidRPr="002F5491">
        <w:rPr>
          <w:rFonts w:cs="Times New Roman"/>
          <w:szCs w:val="22"/>
        </w:rPr>
        <w:t xml:space="preserve"> strategic direction and set bold but realistic </w:t>
      </w:r>
      <w:r w:rsidR="0002371B" w:rsidRPr="002F5491">
        <w:rPr>
          <w:rFonts w:cs="Times New Roman"/>
          <w:szCs w:val="22"/>
        </w:rPr>
        <w:t xml:space="preserve">medium-term </w:t>
      </w:r>
      <w:r w:rsidRPr="002F5491">
        <w:rPr>
          <w:rFonts w:cs="Times New Roman"/>
          <w:szCs w:val="22"/>
        </w:rPr>
        <w:t>capacity development goals</w:t>
      </w:r>
      <w:r w:rsidR="00E53C5B" w:rsidRPr="002F5491">
        <w:rPr>
          <w:rFonts w:cs="Times New Roman"/>
          <w:szCs w:val="22"/>
        </w:rPr>
        <w:t xml:space="preserve">. </w:t>
      </w:r>
      <w:r w:rsidR="0002371B" w:rsidRPr="002F5491">
        <w:rPr>
          <w:rFonts w:cs="Times New Roman"/>
          <w:szCs w:val="22"/>
        </w:rPr>
        <w:t xml:space="preserve">Furthermore, the </w:t>
      </w:r>
      <w:r w:rsidR="0002371B" w:rsidRPr="002F5491">
        <w:rPr>
          <w:rFonts w:cs="Times New Roman"/>
          <w:szCs w:val="22"/>
        </w:rPr>
        <w:lastRenderedPageBreak/>
        <w:t>framework</w:t>
      </w:r>
      <w:r w:rsidR="00E53C5B" w:rsidRPr="002F5491">
        <w:rPr>
          <w:rFonts w:cs="Times New Roman"/>
          <w:szCs w:val="22"/>
        </w:rPr>
        <w:t xml:space="preserve"> should </w:t>
      </w:r>
      <w:r w:rsidRPr="002F5491">
        <w:rPr>
          <w:rFonts w:cs="Times New Roman"/>
          <w:szCs w:val="22"/>
        </w:rPr>
        <w:t xml:space="preserve">direct global efforts towards developing core </w:t>
      </w:r>
      <w:r w:rsidR="005420E2" w:rsidRPr="002F5491">
        <w:rPr>
          <w:rFonts w:cs="Times New Roman"/>
          <w:szCs w:val="22"/>
        </w:rPr>
        <w:t xml:space="preserve">institutional </w:t>
      </w:r>
      <w:r w:rsidRPr="002F5491">
        <w:rPr>
          <w:rFonts w:cs="Times New Roman"/>
          <w:szCs w:val="22"/>
        </w:rPr>
        <w:t xml:space="preserve">capacities </w:t>
      </w:r>
      <w:r w:rsidR="00F32498" w:rsidRPr="002F5491">
        <w:rPr>
          <w:rFonts w:cs="Times New Roman"/>
          <w:szCs w:val="22"/>
        </w:rPr>
        <w:t xml:space="preserve">of </w:t>
      </w:r>
      <w:r w:rsidRPr="002F5491">
        <w:rPr>
          <w:rFonts w:cs="Times New Roman"/>
          <w:szCs w:val="22"/>
        </w:rPr>
        <w:t>countries</w:t>
      </w:r>
      <w:r w:rsidR="00F32498" w:rsidRPr="002F5491">
        <w:rPr>
          <w:rFonts w:cs="Times New Roman"/>
          <w:szCs w:val="22"/>
        </w:rPr>
        <w:t xml:space="preserve"> for the various biodiversity targets or thematic areas</w:t>
      </w:r>
      <w:r w:rsidR="00A52142" w:rsidRPr="002F5491">
        <w:rPr>
          <w:rFonts w:cs="Times New Roman"/>
          <w:szCs w:val="22"/>
        </w:rPr>
        <w:t>, including</w:t>
      </w:r>
      <w:r w:rsidRPr="002F5491">
        <w:rPr>
          <w:rFonts w:cs="Times New Roman"/>
          <w:szCs w:val="22"/>
        </w:rPr>
        <w:t xml:space="preserve"> through dedicated </w:t>
      </w:r>
      <w:r w:rsidR="007018A6" w:rsidRPr="002F5491">
        <w:rPr>
          <w:rFonts w:cs="Times New Roman"/>
          <w:szCs w:val="22"/>
        </w:rPr>
        <w:t xml:space="preserve">capacity development plans and </w:t>
      </w:r>
      <w:r w:rsidRPr="002F5491">
        <w:rPr>
          <w:rFonts w:cs="Times New Roman"/>
          <w:szCs w:val="22"/>
        </w:rPr>
        <w:t xml:space="preserve">programmes </w:t>
      </w:r>
      <w:r w:rsidR="009C15AD" w:rsidRPr="002F5491">
        <w:rPr>
          <w:rFonts w:cs="Times New Roman"/>
          <w:szCs w:val="22"/>
        </w:rPr>
        <w:t xml:space="preserve">tailored to the </w:t>
      </w:r>
      <w:r w:rsidR="00A52142" w:rsidRPr="002F5491">
        <w:rPr>
          <w:rFonts w:cs="Times New Roman"/>
          <w:szCs w:val="22"/>
        </w:rPr>
        <w:t xml:space="preserve">Parties’ </w:t>
      </w:r>
      <w:r w:rsidR="009C15AD" w:rsidRPr="002F5491">
        <w:rPr>
          <w:rFonts w:cs="Times New Roman"/>
          <w:szCs w:val="22"/>
        </w:rPr>
        <w:t>identified needs and priorities</w:t>
      </w:r>
      <w:r w:rsidRPr="002F5491">
        <w:rPr>
          <w:rFonts w:cs="Times New Roman"/>
          <w:szCs w:val="22"/>
        </w:rPr>
        <w:t>.</w:t>
      </w:r>
      <w:r w:rsidR="00721D84" w:rsidRPr="002F5491">
        <w:rPr>
          <w:rFonts w:cs="Times New Roman"/>
          <w:szCs w:val="22"/>
        </w:rPr>
        <w:t xml:space="preserve"> The </w:t>
      </w:r>
      <w:r w:rsidR="007018A6" w:rsidRPr="002F5491">
        <w:rPr>
          <w:rFonts w:cs="Times New Roman"/>
          <w:szCs w:val="22"/>
        </w:rPr>
        <w:t>framework</w:t>
      </w:r>
      <w:r w:rsidR="00721D84" w:rsidRPr="002F5491">
        <w:rPr>
          <w:rFonts w:cs="Times New Roman"/>
          <w:szCs w:val="22"/>
        </w:rPr>
        <w:t xml:space="preserve"> should</w:t>
      </w:r>
      <w:r w:rsidR="007018A6" w:rsidRPr="002F5491">
        <w:rPr>
          <w:rFonts w:cs="Times New Roman"/>
          <w:szCs w:val="22"/>
        </w:rPr>
        <w:t xml:space="preserve"> also</w:t>
      </w:r>
      <w:r w:rsidR="00721D84" w:rsidRPr="002F5491">
        <w:rPr>
          <w:rFonts w:cs="Times New Roman"/>
          <w:szCs w:val="22"/>
        </w:rPr>
        <w:t xml:space="preserve"> </w:t>
      </w:r>
      <w:r w:rsidR="00872C36" w:rsidRPr="002F5491">
        <w:rPr>
          <w:rFonts w:cs="Times New Roman"/>
          <w:szCs w:val="22"/>
        </w:rPr>
        <w:t>incorporate</w:t>
      </w:r>
      <w:r w:rsidR="00721D84" w:rsidRPr="002F5491">
        <w:rPr>
          <w:rFonts w:cs="Times New Roman"/>
          <w:szCs w:val="22"/>
        </w:rPr>
        <w:t xml:space="preserve"> </w:t>
      </w:r>
      <w:r w:rsidR="007018A6" w:rsidRPr="002F5491">
        <w:rPr>
          <w:rFonts w:cs="Times New Roman"/>
          <w:szCs w:val="22"/>
        </w:rPr>
        <w:t xml:space="preserve">elements to promote and facilitate </w:t>
      </w:r>
      <w:r w:rsidR="00721D84" w:rsidRPr="002F5491">
        <w:rPr>
          <w:rFonts w:cs="Times New Roman"/>
          <w:szCs w:val="22"/>
        </w:rPr>
        <w:t xml:space="preserve">technical and scientific cooperation in line with Article 18 and </w:t>
      </w:r>
      <w:r w:rsidR="007018A6" w:rsidRPr="002F5491">
        <w:rPr>
          <w:rFonts w:cs="Times New Roman"/>
          <w:szCs w:val="22"/>
        </w:rPr>
        <w:t xml:space="preserve">other </w:t>
      </w:r>
      <w:r w:rsidR="00721D84" w:rsidRPr="002F5491">
        <w:rPr>
          <w:rFonts w:cs="Times New Roman"/>
          <w:szCs w:val="22"/>
        </w:rPr>
        <w:t>related articles</w:t>
      </w:r>
      <w:r w:rsidR="007018A6" w:rsidRPr="002F5491">
        <w:rPr>
          <w:rFonts w:cs="Times New Roman"/>
          <w:szCs w:val="22"/>
        </w:rPr>
        <w:t xml:space="preserve"> of the Convention</w:t>
      </w:r>
      <w:r w:rsidR="00721D84" w:rsidRPr="002F5491">
        <w:rPr>
          <w:rFonts w:cs="Times New Roman"/>
          <w:szCs w:val="22"/>
        </w:rPr>
        <w:t>.</w:t>
      </w:r>
    </w:p>
    <w:p w:rsidR="00566ADB" w:rsidRPr="002F5491" w:rsidRDefault="00C26D4E" w:rsidP="00566ADB">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It </w:t>
      </w:r>
      <w:r w:rsidR="00335295" w:rsidRPr="002F5491">
        <w:rPr>
          <w:rFonts w:cs="Times New Roman"/>
          <w:kern w:val="22"/>
          <w:szCs w:val="22"/>
        </w:rPr>
        <w:t>would</w:t>
      </w:r>
      <w:r w:rsidR="00847C39" w:rsidRPr="002F5491">
        <w:rPr>
          <w:rFonts w:cs="Times New Roman"/>
          <w:kern w:val="22"/>
          <w:szCs w:val="22"/>
        </w:rPr>
        <w:t xml:space="preserve"> </w:t>
      </w:r>
      <w:r w:rsidR="0041058D" w:rsidRPr="002F5491">
        <w:rPr>
          <w:rFonts w:cs="Times New Roman"/>
          <w:kern w:val="22"/>
          <w:szCs w:val="22"/>
        </w:rPr>
        <w:t xml:space="preserve">also </w:t>
      </w:r>
      <w:r w:rsidR="00847C39" w:rsidRPr="002F5491">
        <w:rPr>
          <w:rFonts w:cs="Times New Roman"/>
          <w:kern w:val="22"/>
          <w:szCs w:val="22"/>
        </w:rPr>
        <w:t xml:space="preserve">be prudent </w:t>
      </w:r>
      <w:r w:rsidR="0041058D" w:rsidRPr="002F5491">
        <w:rPr>
          <w:rFonts w:cs="Times New Roman"/>
          <w:szCs w:val="22"/>
        </w:rPr>
        <w:t xml:space="preserve">to include </w:t>
      </w:r>
      <w:r w:rsidR="0041058D" w:rsidRPr="002F5491">
        <w:rPr>
          <w:rFonts w:cs="Times New Roman"/>
          <w:kern w:val="22"/>
          <w:szCs w:val="22"/>
        </w:rPr>
        <w:t>in</w:t>
      </w:r>
      <w:r w:rsidR="003D7BFA" w:rsidRPr="002F5491">
        <w:rPr>
          <w:rFonts w:cs="Times New Roman"/>
          <w:kern w:val="22"/>
          <w:szCs w:val="22"/>
        </w:rPr>
        <w:t xml:space="preserve"> </w:t>
      </w:r>
      <w:r w:rsidR="00820A35" w:rsidRPr="002F5491">
        <w:rPr>
          <w:rFonts w:cs="Times New Roman"/>
          <w:kern w:val="22"/>
          <w:szCs w:val="22"/>
        </w:rPr>
        <w:t xml:space="preserve">the post-2020 </w:t>
      </w:r>
      <w:r w:rsidR="00943DBA" w:rsidRPr="002F5491">
        <w:rPr>
          <w:rFonts w:cs="Times New Roman"/>
          <w:kern w:val="22"/>
          <w:szCs w:val="22"/>
        </w:rPr>
        <w:t xml:space="preserve">capacity development </w:t>
      </w:r>
      <w:r w:rsidR="00820A35" w:rsidRPr="002F5491">
        <w:rPr>
          <w:rFonts w:cs="Times New Roman"/>
          <w:kern w:val="22"/>
          <w:szCs w:val="22"/>
        </w:rPr>
        <w:t>framework</w:t>
      </w:r>
      <w:r w:rsidR="006C391E" w:rsidRPr="002F5491">
        <w:rPr>
          <w:rFonts w:cs="Times New Roman"/>
          <w:kern w:val="22"/>
          <w:szCs w:val="22"/>
        </w:rPr>
        <w:t xml:space="preserve"> </w:t>
      </w:r>
      <w:r w:rsidR="00820A35" w:rsidRPr="002F5491">
        <w:rPr>
          <w:rFonts w:cs="Times New Roman"/>
          <w:kern w:val="22"/>
          <w:szCs w:val="22"/>
        </w:rPr>
        <w:t>a theory of change</w:t>
      </w:r>
      <w:r w:rsidR="00E338A6" w:rsidRPr="002F5491">
        <w:rPr>
          <w:rFonts w:cs="Times New Roman"/>
          <w:kern w:val="22"/>
          <w:szCs w:val="22"/>
        </w:rPr>
        <w:t xml:space="preserve"> </w:t>
      </w:r>
      <w:r w:rsidR="001C693F" w:rsidRPr="002F5491">
        <w:rPr>
          <w:rFonts w:cs="Times New Roman"/>
          <w:kern w:val="22"/>
          <w:szCs w:val="22"/>
        </w:rPr>
        <w:t xml:space="preserve">identifying </w:t>
      </w:r>
      <w:r w:rsidR="00AB6762" w:rsidRPr="002F5491">
        <w:rPr>
          <w:rFonts w:cs="Times New Roman"/>
          <w:kern w:val="22"/>
          <w:szCs w:val="22"/>
        </w:rPr>
        <w:t xml:space="preserve">bold </w:t>
      </w:r>
      <w:r w:rsidR="00FF6644" w:rsidRPr="002F5491">
        <w:rPr>
          <w:rFonts w:cs="Times New Roman"/>
          <w:kern w:val="22"/>
          <w:szCs w:val="22"/>
        </w:rPr>
        <w:t xml:space="preserve">long-term </w:t>
      </w:r>
      <w:r w:rsidR="009F7E8B" w:rsidRPr="002F5491">
        <w:rPr>
          <w:rFonts w:cs="Times New Roman"/>
          <w:kern w:val="22"/>
          <w:szCs w:val="22"/>
        </w:rPr>
        <w:t>capacity development outcomes</w:t>
      </w:r>
      <w:r w:rsidR="00FF6644" w:rsidRPr="002F5491">
        <w:rPr>
          <w:rFonts w:cs="Times New Roman"/>
          <w:kern w:val="22"/>
          <w:szCs w:val="22"/>
        </w:rPr>
        <w:t>, benchmarks and indicators</w:t>
      </w:r>
      <w:r w:rsidR="00AB6762" w:rsidRPr="002F5491">
        <w:rPr>
          <w:rFonts w:cs="Times New Roman"/>
          <w:kern w:val="22"/>
          <w:szCs w:val="22"/>
        </w:rPr>
        <w:t xml:space="preserve"> </w:t>
      </w:r>
      <w:r w:rsidR="003833CB" w:rsidRPr="002F5491">
        <w:rPr>
          <w:rFonts w:cs="Times New Roman"/>
          <w:kern w:val="22"/>
          <w:szCs w:val="22"/>
        </w:rPr>
        <w:t xml:space="preserve">to </w:t>
      </w:r>
      <w:r w:rsidR="00A14F1D" w:rsidRPr="002F5491">
        <w:rPr>
          <w:rFonts w:cs="Times New Roman"/>
          <w:kern w:val="22"/>
          <w:szCs w:val="22"/>
        </w:rPr>
        <w:t xml:space="preserve">support </w:t>
      </w:r>
      <w:r w:rsidR="00FF6644" w:rsidRPr="002F5491">
        <w:rPr>
          <w:rFonts w:cs="Times New Roman"/>
          <w:kern w:val="22"/>
          <w:szCs w:val="22"/>
        </w:rPr>
        <w:t xml:space="preserve">the </w:t>
      </w:r>
      <w:r w:rsidR="00A14F1D" w:rsidRPr="002F5491">
        <w:rPr>
          <w:rFonts w:cs="Times New Roman"/>
          <w:kern w:val="22"/>
          <w:szCs w:val="22"/>
        </w:rPr>
        <w:t>transformational change</w:t>
      </w:r>
      <w:r w:rsidR="001C693F" w:rsidRPr="002F5491">
        <w:rPr>
          <w:rFonts w:cs="Times New Roman"/>
          <w:kern w:val="22"/>
          <w:szCs w:val="22"/>
        </w:rPr>
        <w:t>, which is</w:t>
      </w:r>
      <w:r w:rsidR="00A14F1D" w:rsidRPr="002F5491">
        <w:rPr>
          <w:rFonts w:cs="Times New Roman"/>
          <w:szCs w:val="22"/>
        </w:rPr>
        <w:t xml:space="preserve"> </w:t>
      </w:r>
      <w:r w:rsidR="00E53C5B" w:rsidRPr="002F5491">
        <w:rPr>
          <w:rFonts w:cs="Times New Roman"/>
          <w:szCs w:val="22"/>
        </w:rPr>
        <w:t>required to</w:t>
      </w:r>
      <w:r w:rsidR="00A14F1D" w:rsidRPr="002F5491">
        <w:rPr>
          <w:rFonts w:cs="Times New Roman"/>
          <w:szCs w:val="22"/>
        </w:rPr>
        <w:t xml:space="preserve"> achiev</w:t>
      </w:r>
      <w:r w:rsidR="00E53C5B" w:rsidRPr="002F5491">
        <w:rPr>
          <w:rFonts w:cs="Times New Roman"/>
          <w:szCs w:val="22"/>
        </w:rPr>
        <w:t>e</w:t>
      </w:r>
      <w:r w:rsidR="00A14F1D" w:rsidRPr="002F5491">
        <w:rPr>
          <w:rFonts w:cs="Times New Roman"/>
          <w:szCs w:val="22"/>
        </w:rPr>
        <w:t xml:space="preserve"> the 2050 vision of "living in harmony with nature"</w:t>
      </w:r>
      <w:r w:rsidR="009F7E8B" w:rsidRPr="002F5491">
        <w:rPr>
          <w:rFonts w:cs="Times New Roman"/>
          <w:kern w:val="22"/>
          <w:szCs w:val="22"/>
        </w:rPr>
        <w:t xml:space="preserve">. This theory of change </w:t>
      </w:r>
      <w:r w:rsidR="00795664" w:rsidRPr="002F5491">
        <w:rPr>
          <w:rFonts w:cs="Times New Roman"/>
          <w:kern w:val="22"/>
          <w:szCs w:val="22"/>
        </w:rPr>
        <w:t>sh</w:t>
      </w:r>
      <w:r w:rsidR="009F7E8B" w:rsidRPr="002F5491">
        <w:rPr>
          <w:rFonts w:cs="Times New Roman"/>
          <w:kern w:val="22"/>
          <w:szCs w:val="22"/>
        </w:rPr>
        <w:t>ould</w:t>
      </w:r>
      <w:r w:rsidR="00820A35" w:rsidRPr="002F5491">
        <w:rPr>
          <w:rFonts w:cs="Times New Roman"/>
          <w:kern w:val="22"/>
          <w:szCs w:val="22"/>
        </w:rPr>
        <w:t xml:space="preserve"> </w:t>
      </w:r>
      <w:r w:rsidR="00FF6644" w:rsidRPr="002F5491">
        <w:rPr>
          <w:rFonts w:cs="Times New Roman"/>
          <w:kern w:val="22"/>
          <w:szCs w:val="22"/>
        </w:rPr>
        <w:t xml:space="preserve">entail </w:t>
      </w:r>
      <w:r w:rsidR="00795664" w:rsidRPr="002F5491">
        <w:rPr>
          <w:rFonts w:cs="Times New Roman"/>
          <w:kern w:val="22"/>
          <w:szCs w:val="22"/>
        </w:rPr>
        <w:t xml:space="preserve">a shift towards </w:t>
      </w:r>
      <w:r w:rsidR="00847C39" w:rsidRPr="002F5491">
        <w:rPr>
          <w:rFonts w:cs="Times New Roman"/>
          <w:kern w:val="22"/>
          <w:szCs w:val="22"/>
        </w:rPr>
        <w:t xml:space="preserve">more </w:t>
      </w:r>
      <w:r w:rsidR="00795664" w:rsidRPr="002F5491">
        <w:rPr>
          <w:rFonts w:cs="Times New Roman"/>
          <w:kern w:val="22"/>
          <w:szCs w:val="22"/>
        </w:rPr>
        <w:t xml:space="preserve">ambitious </w:t>
      </w:r>
      <w:r w:rsidR="00847C39" w:rsidRPr="002F5491">
        <w:rPr>
          <w:rFonts w:cs="Times New Roman"/>
          <w:kern w:val="22"/>
          <w:szCs w:val="22"/>
        </w:rPr>
        <w:t xml:space="preserve">integrated and </w:t>
      </w:r>
      <w:r w:rsidR="00795664" w:rsidRPr="002F5491">
        <w:rPr>
          <w:rFonts w:cs="Times New Roman"/>
          <w:kern w:val="22"/>
          <w:szCs w:val="22"/>
        </w:rPr>
        <w:t xml:space="preserve">long-term </w:t>
      </w:r>
      <w:r w:rsidR="0054275F" w:rsidRPr="002F5491">
        <w:rPr>
          <w:rFonts w:cs="Times New Roman"/>
          <w:kern w:val="22"/>
          <w:szCs w:val="22"/>
        </w:rPr>
        <w:t xml:space="preserve">capacity development </w:t>
      </w:r>
      <w:r w:rsidR="00795664" w:rsidRPr="002F5491">
        <w:rPr>
          <w:rFonts w:cs="Times New Roman"/>
          <w:kern w:val="22"/>
          <w:szCs w:val="22"/>
        </w:rPr>
        <w:t xml:space="preserve">programmes </w:t>
      </w:r>
      <w:r w:rsidR="003F44A8" w:rsidRPr="002F5491">
        <w:rPr>
          <w:rFonts w:cs="Times New Roman"/>
          <w:kern w:val="22"/>
          <w:szCs w:val="22"/>
        </w:rPr>
        <w:t xml:space="preserve">that go </w:t>
      </w:r>
      <w:r w:rsidR="00820A35" w:rsidRPr="002F5491">
        <w:rPr>
          <w:rFonts w:cs="Times New Roman"/>
          <w:kern w:val="22"/>
          <w:szCs w:val="22"/>
        </w:rPr>
        <w:t xml:space="preserve">beyond the traditional </w:t>
      </w:r>
      <w:r w:rsidR="009F7E8B" w:rsidRPr="002F5491">
        <w:rPr>
          <w:rFonts w:cs="Times New Roman"/>
          <w:kern w:val="22"/>
          <w:szCs w:val="22"/>
        </w:rPr>
        <w:t xml:space="preserve">focus on </w:t>
      </w:r>
      <w:r w:rsidR="00820A35" w:rsidRPr="002F5491">
        <w:rPr>
          <w:rFonts w:cs="Times New Roman"/>
          <w:kern w:val="22"/>
          <w:szCs w:val="22"/>
        </w:rPr>
        <w:t xml:space="preserve">human resources and institutional development </w:t>
      </w:r>
      <w:r w:rsidR="00847C39" w:rsidRPr="002F5491">
        <w:rPr>
          <w:rFonts w:cs="Times New Roman"/>
          <w:kern w:val="22"/>
          <w:szCs w:val="22"/>
        </w:rPr>
        <w:t>and</w:t>
      </w:r>
      <w:r w:rsidR="00820A35" w:rsidRPr="002F5491">
        <w:rPr>
          <w:rFonts w:cs="Times New Roman"/>
          <w:kern w:val="22"/>
          <w:szCs w:val="22"/>
        </w:rPr>
        <w:t xml:space="preserve"> include </w:t>
      </w:r>
      <w:r w:rsidR="00A22503" w:rsidRPr="002F5491">
        <w:rPr>
          <w:rFonts w:cs="Times New Roman"/>
          <w:kern w:val="22"/>
          <w:szCs w:val="22"/>
        </w:rPr>
        <w:t xml:space="preserve">the </w:t>
      </w:r>
      <w:r w:rsidR="009F7E8B" w:rsidRPr="002F5491">
        <w:rPr>
          <w:rFonts w:cs="Times New Roman"/>
          <w:kern w:val="22"/>
          <w:szCs w:val="22"/>
        </w:rPr>
        <w:t xml:space="preserve">development of </w:t>
      </w:r>
      <w:r w:rsidR="007018A6" w:rsidRPr="002F5491">
        <w:rPr>
          <w:rFonts w:cs="Times New Roman"/>
          <w:kern w:val="22"/>
          <w:szCs w:val="22"/>
        </w:rPr>
        <w:t xml:space="preserve">capacities at the </w:t>
      </w:r>
      <w:r w:rsidR="00A22503" w:rsidRPr="002F5491">
        <w:rPr>
          <w:rFonts w:cs="Times New Roman"/>
          <w:kern w:val="22"/>
          <w:szCs w:val="22"/>
        </w:rPr>
        <w:t>systemic level</w:t>
      </w:r>
      <w:r w:rsidR="00872C36" w:rsidRPr="002F5491">
        <w:rPr>
          <w:rFonts w:cs="Times New Roman"/>
          <w:kern w:val="22"/>
          <w:szCs w:val="22"/>
        </w:rPr>
        <w:t xml:space="preserve">. </w:t>
      </w:r>
      <w:r w:rsidR="007018A6" w:rsidRPr="002F5491">
        <w:rPr>
          <w:rFonts w:cs="Times New Roman"/>
          <w:szCs w:val="22"/>
        </w:rPr>
        <w:t xml:space="preserve">The framework </w:t>
      </w:r>
      <w:r w:rsidR="00E24F62" w:rsidRPr="002F5491">
        <w:rPr>
          <w:rFonts w:cs="Times New Roman"/>
          <w:szCs w:val="22"/>
        </w:rPr>
        <w:t xml:space="preserve">should </w:t>
      </w:r>
      <w:r w:rsidR="0054275F" w:rsidRPr="002F5491">
        <w:rPr>
          <w:rFonts w:cs="Times New Roman"/>
          <w:szCs w:val="22"/>
        </w:rPr>
        <w:t>also include</w:t>
      </w:r>
      <w:r w:rsidR="001968E3" w:rsidRPr="002F5491">
        <w:rPr>
          <w:rFonts w:cs="Times New Roman"/>
          <w:szCs w:val="22"/>
        </w:rPr>
        <w:t xml:space="preserve"> </w:t>
      </w:r>
      <w:r w:rsidR="0041058D" w:rsidRPr="002F5491">
        <w:rPr>
          <w:rFonts w:cs="Times New Roman"/>
          <w:szCs w:val="22"/>
        </w:rPr>
        <w:t>mechanisms</w:t>
      </w:r>
      <w:r w:rsidR="001968E3" w:rsidRPr="002F5491">
        <w:rPr>
          <w:rFonts w:cs="Times New Roman"/>
          <w:szCs w:val="22"/>
        </w:rPr>
        <w:t xml:space="preserve"> to </w:t>
      </w:r>
      <w:r w:rsidR="00A34AF1" w:rsidRPr="002F5491">
        <w:rPr>
          <w:rFonts w:cs="Times New Roman"/>
          <w:kern w:val="22"/>
          <w:szCs w:val="22"/>
        </w:rPr>
        <w:t xml:space="preserve">accelerate technological advances and innovations, </w:t>
      </w:r>
      <w:r w:rsidR="009C15AD" w:rsidRPr="002F5491">
        <w:rPr>
          <w:rFonts w:cs="Times New Roman"/>
          <w:szCs w:val="22"/>
        </w:rPr>
        <w:t>promote synerg</w:t>
      </w:r>
      <w:r w:rsidR="00A772D1" w:rsidRPr="002F5491">
        <w:rPr>
          <w:rFonts w:cs="Times New Roman"/>
          <w:szCs w:val="22"/>
        </w:rPr>
        <w:t>ies</w:t>
      </w:r>
      <w:r w:rsidR="009C15AD" w:rsidRPr="002F5491">
        <w:rPr>
          <w:rFonts w:cs="Times New Roman"/>
          <w:szCs w:val="22"/>
        </w:rPr>
        <w:t xml:space="preserve"> among various capacity development initiatives and </w:t>
      </w:r>
      <w:r w:rsidR="001968E3" w:rsidRPr="002F5491">
        <w:rPr>
          <w:rFonts w:cs="Times New Roman"/>
          <w:szCs w:val="22"/>
        </w:rPr>
        <w:t xml:space="preserve">foster </w:t>
      </w:r>
      <w:r w:rsidR="0054275F" w:rsidRPr="002F5491">
        <w:rPr>
          <w:rFonts w:cs="Times New Roman"/>
          <w:szCs w:val="22"/>
        </w:rPr>
        <w:t xml:space="preserve">stronger collaborative partnerships involving government </w:t>
      </w:r>
      <w:r w:rsidR="004B58B9" w:rsidRPr="002F5491">
        <w:rPr>
          <w:rFonts w:cs="Times New Roman"/>
          <w:szCs w:val="22"/>
        </w:rPr>
        <w:t xml:space="preserve">agencies, </w:t>
      </w:r>
      <w:r w:rsidR="0054275F" w:rsidRPr="002F5491">
        <w:rPr>
          <w:rFonts w:cs="Times New Roman"/>
          <w:szCs w:val="22"/>
        </w:rPr>
        <w:t>non-government entities</w:t>
      </w:r>
      <w:r w:rsidR="004B58B9" w:rsidRPr="002F5491">
        <w:rPr>
          <w:rFonts w:cs="Times New Roman"/>
          <w:szCs w:val="22"/>
        </w:rPr>
        <w:t>, and business and social enterprise innovators</w:t>
      </w:r>
      <w:r w:rsidR="0054275F" w:rsidRPr="002F5491">
        <w:rPr>
          <w:rFonts w:cs="Times New Roman"/>
          <w:szCs w:val="22"/>
        </w:rPr>
        <w:t xml:space="preserve"> acting as drivers of change. </w:t>
      </w:r>
    </w:p>
    <w:p w:rsidR="00E725AD" w:rsidRPr="002F5491" w:rsidRDefault="00847C39" w:rsidP="004E4ECF">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As noted by the Subsidiary Body on Scientific, Technical and Technological Advice</w:t>
      </w:r>
      <w:r w:rsidR="007018A6" w:rsidRPr="002F5491">
        <w:rPr>
          <w:rFonts w:cs="Times New Roman"/>
          <w:kern w:val="22"/>
          <w:szCs w:val="22"/>
        </w:rPr>
        <w:t xml:space="preserve"> (SBSTTA)</w:t>
      </w:r>
      <w:r w:rsidRPr="002F5491">
        <w:rPr>
          <w:rFonts w:cs="Times New Roman"/>
          <w:kern w:val="22"/>
          <w:szCs w:val="22"/>
        </w:rPr>
        <w:t xml:space="preserve"> at its </w:t>
      </w:r>
      <w:r w:rsidR="003833CB" w:rsidRPr="002F5491">
        <w:rPr>
          <w:rFonts w:cs="Times New Roman"/>
          <w:kern w:val="22"/>
          <w:szCs w:val="22"/>
        </w:rPr>
        <w:t xml:space="preserve">twenty-first </w:t>
      </w:r>
      <w:r w:rsidRPr="002F5491">
        <w:rPr>
          <w:rFonts w:cs="Times New Roman"/>
          <w:kern w:val="22"/>
          <w:szCs w:val="22"/>
        </w:rPr>
        <w:t xml:space="preserve">meeting, </w:t>
      </w:r>
      <w:r w:rsidR="002C6750" w:rsidRPr="002F5491">
        <w:rPr>
          <w:rFonts w:cs="Times New Roman"/>
          <w:kern w:val="22"/>
          <w:szCs w:val="22"/>
        </w:rPr>
        <w:t xml:space="preserve">the pathways towards a sustainable future </w:t>
      </w:r>
      <w:r w:rsidR="004E4ECF" w:rsidRPr="002F5491">
        <w:rPr>
          <w:rFonts w:cs="Times New Roman"/>
          <w:kern w:val="22"/>
          <w:szCs w:val="22"/>
        </w:rPr>
        <w:t xml:space="preserve">will </w:t>
      </w:r>
      <w:r w:rsidR="002C6750" w:rsidRPr="002F5491">
        <w:rPr>
          <w:rFonts w:cs="Times New Roman"/>
          <w:kern w:val="22"/>
          <w:szCs w:val="22"/>
        </w:rPr>
        <w:t>require transformational change at various levels</w:t>
      </w:r>
      <w:r w:rsidR="00A34AF1" w:rsidRPr="002F5491">
        <w:rPr>
          <w:rFonts w:cs="Times New Roman"/>
          <w:kern w:val="22"/>
          <w:szCs w:val="22"/>
        </w:rPr>
        <w:t xml:space="preserve"> including through</w:t>
      </w:r>
      <w:r w:rsidR="002C6750" w:rsidRPr="002F5491">
        <w:rPr>
          <w:rFonts w:cs="Times New Roman"/>
          <w:kern w:val="22"/>
          <w:szCs w:val="22"/>
        </w:rPr>
        <w:t xml:space="preserve"> establishment of enabling </w:t>
      </w:r>
      <w:r w:rsidR="00A34AF1" w:rsidRPr="002F5491">
        <w:rPr>
          <w:rFonts w:cs="Times New Roman"/>
          <w:kern w:val="22"/>
          <w:szCs w:val="22"/>
        </w:rPr>
        <w:t>policies</w:t>
      </w:r>
      <w:r w:rsidR="002C6750" w:rsidRPr="002F5491">
        <w:rPr>
          <w:rFonts w:cs="Times New Roman"/>
          <w:kern w:val="22"/>
          <w:szCs w:val="22"/>
        </w:rPr>
        <w:t xml:space="preserve"> to foster positive change</w:t>
      </w:r>
      <w:r w:rsidR="00112D47" w:rsidRPr="002F5491">
        <w:rPr>
          <w:rFonts w:cs="Times New Roman"/>
          <w:kern w:val="22"/>
          <w:szCs w:val="22"/>
        </w:rPr>
        <w:t xml:space="preserve"> and innovation</w:t>
      </w:r>
      <w:r w:rsidR="00A34AF1" w:rsidRPr="002F5491">
        <w:rPr>
          <w:rFonts w:cs="Times New Roman"/>
          <w:kern w:val="22"/>
          <w:szCs w:val="22"/>
        </w:rPr>
        <w:t xml:space="preserve">. </w:t>
      </w:r>
      <w:r w:rsidR="007018A6" w:rsidRPr="002F5491">
        <w:rPr>
          <w:rFonts w:cs="Times New Roman"/>
          <w:kern w:val="22"/>
          <w:szCs w:val="22"/>
        </w:rPr>
        <w:t>This change</w:t>
      </w:r>
      <w:r w:rsidR="00A34AF1" w:rsidRPr="002F5491">
        <w:rPr>
          <w:rFonts w:cs="Times New Roman"/>
          <w:kern w:val="22"/>
          <w:szCs w:val="22"/>
        </w:rPr>
        <w:t xml:space="preserve"> will require</w:t>
      </w:r>
      <w:r w:rsidR="005D2F9C" w:rsidRPr="002F5491">
        <w:rPr>
          <w:rFonts w:cs="Times New Roman"/>
          <w:kern w:val="22"/>
          <w:szCs w:val="22"/>
        </w:rPr>
        <w:t xml:space="preserve"> </w:t>
      </w:r>
      <w:r w:rsidR="00041A7B" w:rsidRPr="002F5491">
        <w:rPr>
          <w:rFonts w:eastAsia="Malgun Gothic" w:cs="Times New Roman"/>
          <w:kern w:val="22"/>
          <w:szCs w:val="22"/>
        </w:rPr>
        <w:t xml:space="preserve">development of capacities for </w:t>
      </w:r>
      <w:r w:rsidR="00374474" w:rsidRPr="002F5491">
        <w:rPr>
          <w:rFonts w:eastAsia="Malgun Gothic" w:cs="Times New Roman"/>
          <w:kern w:val="22"/>
          <w:szCs w:val="22"/>
        </w:rPr>
        <w:t xml:space="preserve">evidence-based </w:t>
      </w:r>
      <w:r w:rsidR="00041A7B" w:rsidRPr="002F5491">
        <w:rPr>
          <w:rFonts w:eastAsia="Malgun Gothic" w:cs="Times New Roman"/>
          <w:kern w:val="22"/>
          <w:szCs w:val="22"/>
        </w:rPr>
        <w:t>decision-making</w:t>
      </w:r>
      <w:r w:rsidR="00041A7B" w:rsidRPr="002F5491">
        <w:rPr>
          <w:rFonts w:cs="Times New Roman"/>
          <w:kern w:val="22"/>
          <w:szCs w:val="22"/>
        </w:rPr>
        <w:t xml:space="preserve"> and</w:t>
      </w:r>
      <w:r w:rsidR="005D2F9C" w:rsidRPr="002F5491">
        <w:rPr>
          <w:rFonts w:cs="Times New Roman"/>
          <w:kern w:val="22"/>
          <w:szCs w:val="22"/>
        </w:rPr>
        <w:t xml:space="preserve"> </w:t>
      </w:r>
      <w:r w:rsidR="008C1F91" w:rsidRPr="002F5491">
        <w:rPr>
          <w:rFonts w:cs="Times New Roman"/>
          <w:kern w:val="22"/>
          <w:szCs w:val="22"/>
        </w:rPr>
        <w:t xml:space="preserve">further </w:t>
      </w:r>
      <w:r w:rsidR="00B9281D" w:rsidRPr="002F5491">
        <w:rPr>
          <w:rFonts w:eastAsia="Malgun Gothic" w:cs="Times New Roman"/>
          <w:kern w:val="22"/>
          <w:szCs w:val="22"/>
        </w:rPr>
        <w:t>development of scenarios and models to inform policymaking, planning and implementation</w:t>
      </w:r>
      <w:r w:rsidR="004E4ECF" w:rsidRPr="002F5491">
        <w:rPr>
          <w:rFonts w:cs="Times New Roman"/>
          <w:szCs w:val="22"/>
        </w:rPr>
        <w:t xml:space="preserve"> aimed at achieving the </w:t>
      </w:r>
      <w:r w:rsidR="004E4ECF" w:rsidRPr="002F5491">
        <w:rPr>
          <w:rFonts w:eastAsia="Malgun Gothic" w:cs="Times New Roman"/>
          <w:kern w:val="22"/>
          <w:szCs w:val="22"/>
        </w:rPr>
        <w:t xml:space="preserve">Sustainable Development Goals. </w:t>
      </w:r>
      <w:r w:rsidR="004E4ECF" w:rsidRPr="002F5491">
        <w:rPr>
          <w:rFonts w:cs="Times New Roman"/>
          <w:kern w:val="22"/>
          <w:szCs w:val="22"/>
        </w:rPr>
        <w:t xml:space="preserve">In this regard, </w:t>
      </w:r>
      <w:r w:rsidR="00E725AD" w:rsidRPr="002F5491">
        <w:rPr>
          <w:rFonts w:eastAsia="Malgun Gothic" w:cs="Times New Roman"/>
          <w:snapToGrid/>
          <w:kern w:val="22"/>
          <w:szCs w:val="22"/>
        </w:rPr>
        <w:t>SBSTTA emphasized</w:t>
      </w:r>
      <w:r w:rsidR="00E725AD" w:rsidRPr="002F5491">
        <w:rPr>
          <w:rFonts w:eastAsia="Malgun Gothic" w:cs="Times New Roman"/>
          <w:i/>
          <w:snapToGrid/>
          <w:kern w:val="22"/>
          <w:szCs w:val="22"/>
        </w:rPr>
        <w:t xml:space="preserve"> </w:t>
      </w:r>
      <w:r w:rsidR="00E725AD" w:rsidRPr="002F5491">
        <w:rPr>
          <w:rFonts w:eastAsia="Malgun Gothic" w:cs="Times New Roman"/>
          <w:snapToGrid/>
          <w:kern w:val="22"/>
          <w:szCs w:val="22"/>
        </w:rPr>
        <w:t>the need for capacity-building to enable all countries to participate in the development and application of scenarios</w:t>
      </w:r>
      <w:r w:rsidR="0061697E" w:rsidRPr="002F5491">
        <w:rPr>
          <w:rFonts w:eastAsia="Malgun Gothic" w:cs="Times New Roman"/>
          <w:snapToGrid/>
          <w:kern w:val="22"/>
          <w:szCs w:val="22"/>
        </w:rPr>
        <w:t xml:space="preserve"> and request</w:t>
      </w:r>
      <w:r w:rsidR="00380050" w:rsidRPr="002F5491">
        <w:rPr>
          <w:rFonts w:eastAsia="Malgun Gothic" w:cs="Times New Roman"/>
          <w:snapToGrid/>
          <w:kern w:val="22"/>
          <w:szCs w:val="22"/>
        </w:rPr>
        <w:t>ed</w:t>
      </w:r>
      <w:r w:rsidR="0061697E" w:rsidRPr="002F5491">
        <w:rPr>
          <w:rFonts w:eastAsia="Malgun Gothic" w:cs="Times New Roman"/>
          <w:snapToGrid/>
          <w:kern w:val="22"/>
          <w:szCs w:val="22"/>
        </w:rPr>
        <w:t xml:space="preserve"> the Executive Secretary, when preparing proposals for the process of developing a post-2020 global biodiversity framework to</w:t>
      </w:r>
      <w:r w:rsidR="001C4B0D" w:rsidRPr="002F5491">
        <w:rPr>
          <w:rFonts w:eastAsia="Malgun Gothic" w:cs="Times New Roman"/>
          <w:snapToGrid/>
          <w:kern w:val="22"/>
          <w:szCs w:val="22"/>
        </w:rPr>
        <w:t xml:space="preserve"> ensure that the framework</w:t>
      </w:r>
      <w:r w:rsidR="00380050" w:rsidRPr="002F5491">
        <w:rPr>
          <w:rFonts w:eastAsia="Malgun Gothic" w:cs="Times New Roman"/>
          <w:snapToGrid/>
          <w:kern w:val="22"/>
          <w:szCs w:val="22"/>
        </w:rPr>
        <w:t xml:space="preserve">, among other things, </w:t>
      </w:r>
      <w:r w:rsidR="001C4B0D" w:rsidRPr="002F5491">
        <w:rPr>
          <w:rFonts w:eastAsia="Malgun Gothic" w:cs="Times New Roman"/>
          <w:kern w:val="22"/>
          <w:szCs w:val="22"/>
        </w:rPr>
        <w:t>takes into account the lessons learned from the implementation of the Convention, its Protocols and the Strategic Plan for Biodiversity 2011-2020,</w:t>
      </w:r>
      <w:r w:rsidR="001C4B0D" w:rsidRPr="002F5491">
        <w:rPr>
          <w:rFonts w:eastAsia="Malgun Gothic" w:cs="Times New Roman"/>
          <w:kern w:val="22"/>
          <w:szCs w:val="22"/>
          <w:vertAlign w:val="superscript"/>
        </w:rPr>
        <w:footnoteReference w:id="17"/>
      </w:r>
      <w:r w:rsidR="001C4B0D" w:rsidRPr="002F5491">
        <w:rPr>
          <w:rFonts w:eastAsia="Malgun Gothic" w:cs="Times New Roman"/>
          <w:kern w:val="22"/>
          <w:szCs w:val="22"/>
        </w:rPr>
        <w:t xml:space="preserve"> including successes, challenges, opportunities and capacity-building needs</w:t>
      </w:r>
      <w:r w:rsidR="004E4ECF" w:rsidRPr="002F5491">
        <w:rPr>
          <w:rFonts w:eastAsia="Malgun Gothic" w:cs="Times New Roman"/>
          <w:snapToGrid/>
          <w:kern w:val="22"/>
          <w:szCs w:val="22"/>
        </w:rPr>
        <w:t>.</w:t>
      </w:r>
    </w:p>
    <w:p w:rsidR="00CD47B0" w:rsidRPr="002F5491" w:rsidRDefault="009407F7" w:rsidP="00CD47B0">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It is hoped that the above information</w:t>
      </w:r>
      <w:r w:rsidR="008654A9" w:rsidRPr="002F5491">
        <w:rPr>
          <w:rFonts w:cs="Times New Roman"/>
          <w:kern w:val="22"/>
          <w:szCs w:val="22"/>
        </w:rPr>
        <w:t xml:space="preserve"> </w:t>
      </w:r>
      <w:r w:rsidR="001C693F" w:rsidRPr="002F5491">
        <w:rPr>
          <w:rFonts w:cs="Times New Roman"/>
          <w:kern w:val="22"/>
          <w:szCs w:val="22"/>
        </w:rPr>
        <w:t xml:space="preserve">will </w:t>
      </w:r>
      <w:r w:rsidR="007018A6" w:rsidRPr="002F5491">
        <w:rPr>
          <w:rFonts w:cs="Times New Roman"/>
          <w:kern w:val="22"/>
          <w:szCs w:val="22"/>
        </w:rPr>
        <w:t>be helpful</w:t>
      </w:r>
      <w:r w:rsidR="00920E16" w:rsidRPr="002F5491">
        <w:rPr>
          <w:rFonts w:cs="Times New Roman"/>
          <w:kern w:val="22"/>
          <w:szCs w:val="22"/>
        </w:rPr>
        <w:t xml:space="preserve"> in identifying areas requiring targeted intervention and areas to be prioritized, determining implementation strategies and delivery approaches that might be most effective, and identifying key stakeholders and strategic partners that might support and contribute significantly to the implementation of the</w:t>
      </w:r>
      <w:r w:rsidR="00920E16" w:rsidRPr="002F5491">
        <w:rPr>
          <w:rFonts w:cs="Times New Roman"/>
          <w:szCs w:val="22"/>
        </w:rPr>
        <w:t xml:space="preserve"> </w:t>
      </w:r>
      <w:r w:rsidR="00920E16" w:rsidRPr="002F5491">
        <w:rPr>
          <w:rFonts w:cs="Times New Roman"/>
          <w:kern w:val="22"/>
          <w:szCs w:val="22"/>
        </w:rPr>
        <w:t xml:space="preserve">framework. </w:t>
      </w:r>
      <w:r w:rsidR="00722F57" w:rsidRPr="002F5491">
        <w:rPr>
          <w:rFonts w:cs="Times New Roman"/>
          <w:kern w:val="22"/>
          <w:szCs w:val="22"/>
        </w:rPr>
        <w:t xml:space="preserve">The information </w:t>
      </w:r>
      <w:r w:rsidR="00CD47B0" w:rsidRPr="002F5491">
        <w:rPr>
          <w:rFonts w:cs="Times New Roman"/>
          <w:kern w:val="22"/>
          <w:szCs w:val="22"/>
        </w:rPr>
        <w:t>may also be used to develop common evaluation and reporting formats and appropriate metrics that would be used by Parties and relevant organizations to measure the impact of capacity development activities across various thematic areas.</w:t>
      </w:r>
    </w:p>
    <w:p w:rsidR="00722F57" w:rsidRPr="002F5491" w:rsidRDefault="002D6985" w:rsidP="00C26D4E">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P</w:t>
      </w:r>
      <w:r w:rsidR="00696AF3" w:rsidRPr="002F5491">
        <w:rPr>
          <w:rFonts w:cs="Times New Roman"/>
          <w:kern w:val="22"/>
          <w:szCs w:val="22"/>
        </w:rPr>
        <w:t>reparation of the post-2020 capacity-building strategic framework</w:t>
      </w:r>
      <w:r w:rsidR="008472C2" w:rsidRPr="002F5491">
        <w:rPr>
          <w:rFonts w:cs="Times New Roman"/>
          <w:kern w:val="22"/>
          <w:szCs w:val="22"/>
        </w:rPr>
        <w:t xml:space="preserve"> </w:t>
      </w:r>
      <w:r w:rsidR="001C693F" w:rsidRPr="002F5491">
        <w:rPr>
          <w:rFonts w:cs="Times New Roman"/>
          <w:kern w:val="22"/>
          <w:szCs w:val="22"/>
        </w:rPr>
        <w:t xml:space="preserve">may </w:t>
      </w:r>
      <w:r w:rsidR="00696AF3" w:rsidRPr="002F5491">
        <w:rPr>
          <w:rFonts w:cs="Times New Roman"/>
          <w:kern w:val="22"/>
          <w:szCs w:val="22"/>
        </w:rPr>
        <w:t xml:space="preserve">also </w:t>
      </w:r>
      <w:r w:rsidR="008B4982" w:rsidRPr="002F5491">
        <w:rPr>
          <w:rFonts w:cs="Times New Roman"/>
          <w:kern w:val="22"/>
          <w:szCs w:val="22"/>
        </w:rPr>
        <w:t xml:space="preserve">take into account, as appropriate, </w:t>
      </w:r>
      <w:r w:rsidR="00C362FC" w:rsidRPr="002F5491">
        <w:rPr>
          <w:rFonts w:cs="Times New Roman"/>
          <w:kern w:val="22"/>
          <w:szCs w:val="22"/>
        </w:rPr>
        <w:t xml:space="preserve">reports </w:t>
      </w:r>
      <w:r w:rsidR="008B4982" w:rsidRPr="002F5491">
        <w:rPr>
          <w:rFonts w:cs="Times New Roman"/>
          <w:kern w:val="22"/>
          <w:szCs w:val="22"/>
        </w:rPr>
        <w:t xml:space="preserve">of other relevant studies and </w:t>
      </w:r>
      <w:r w:rsidR="009C15AD" w:rsidRPr="002F5491">
        <w:rPr>
          <w:rFonts w:cs="Times New Roman"/>
          <w:kern w:val="22"/>
          <w:szCs w:val="22"/>
        </w:rPr>
        <w:t xml:space="preserve">processes, including </w:t>
      </w:r>
      <w:r w:rsidRPr="002F5491">
        <w:rPr>
          <w:rFonts w:cs="Times New Roman"/>
          <w:kern w:val="22"/>
          <w:szCs w:val="22"/>
        </w:rPr>
        <w:t>the</w:t>
      </w:r>
      <w:r w:rsidR="00A10A7D" w:rsidRPr="002F5491">
        <w:rPr>
          <w:rFonts w:cs="Times New Roman"/>
          <w:kern w:val="22"/>
          <w:szCs w:val="22"/>
        </w:rPr>
        <w:t xml:space="preserve"> independent evaluation of the Japan Biodiversity Fund, the </w:t>
      </w:r>
      <w:r w:rsidR="00696AF3" w:rsidRPr="002F5491">
        <w:rPr>
          <w:rFonts w:cs="Times New Roman"/>
          <w:kern w:val="22"/>
          <w:szCs w:val="22"/>
        </w:rPr>
        <w:t xml:space="preserve">survey </w:t>
      </w:r>
      <w:r w:rsidRPr="002F5491">
        <w:rPr>
          <w:rFonts w:cs="Times New Roman"/>
          <w:kern w:val="22"/>
          <w:szCs w:val="22"/>
        </w:rPr>
        <w:t>of</w:t>
      </w:r>
      <w:r w:rsidR="00696AF3" w:rsidRPr="002F5491">
        <w:rPr>
          <w:rFonts w:cs="Times New Roman"/>
          <w:kern w:val="22"/>
          <w:szCs w:val="22"/>
        </w:rPr>
        <w:t xml:space="preserve"> national capacity development related to the implementation of biodiversity-related conventions</w:t>
      </w:r>
      <w:r w:rsidR="00C362FC" w:rsidRPr="002F5491">
        <w:rPr>
          <w:rFonts w:cs="Times New Roman"/>
          <w:kern w:val="22"/>
          <w:szCs w:val="22"/>
        </w:rPr>
        <w:t xml:space="preserve"> by UN Environment (UNEP) in collaboration with the International Union for Conservation of Nature (IUCN) and the UN Environment World Conservation Monitoring Centre (UNEP-WCMC)</w:t>
      </w:r>
      <w:r w:rsidRPr="002F5491">
        <w:rPr>
          <w:rFonts w:cs="Times New Roman"/>
          <w:kern w:val="22"/>
          <w:szCs w:val="22"/>
        </w:rPr>
        <w:t xml:space="preserve">, </w:t>
      </w:r>
      <w:r w:rsidR="00C362FC" w:rsidRPr="002F5491">
        <w:rPr>
          <w:rFonts w:cs="Times New Roman"/>
          <w:szCs w:val="22"/>
        </w:rPr>
        <w:t>the UNDP report based on the analysis of over 140 national biodiversity strategies and action plans, and the evaluation reports of biodiversity-related projects carried out by the GEF Evaluation Office and other organizations.</w:t>
      </w:r>
      <w:r w:rsidR="00B712B4" w:rsidRPr="002F5491">
        <w:rPr>
          <w:rFonts w:cs="Times New Roman"/>
          <w:kern w:val="22"/>
          <w:szCs w:val="22"/>
        </w:rPr>
        <w:t xml:space="preserve"> </w:t>
      </w:r>
    </w:p>
    <w:p w:rsidR="00722F57" w:rsidRPr="002F5491" w:rsidRDefault="00C362FC" w:rsidP="00D82870">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survey by UNEP, IUCN and UNEP-WCMC </w:t>
      </w:r>
      <w:r w:rsidR="00D01B7D" w:rsidRPr="002F5491">
        <w:rPr>
          <w:rFonts w:cs="Times New Roman"/>
          <w:kern w:val="22"/>
          <w:szCs w:val="22"/>
        </w:rPr>
        <w:t xml:space="preserve">being carried out as part of a </w:t>
      </w:r>
      <w:r w:rsidR="00D82870">
        <w:rPr>
          <w:rFonts w:cs="Times New Roman"/>
          <w:kern w:val="22"/>
          <w:szCs w:val="22"/>
        </w:rPr>
        <w:t>larger</w:t>
      </w:r>
      <w:r w:rsidR="00D82870" w:rsidRPr="002F5491">
        <w:rPr>
          <w:rFonts w:cs="Times New Roman"/>
          <w:kern w:val="22"/>
          <w:szCs w:val="22"/>
        </w:rPr>
        <w:t xml:space="preserve"> </w:t>
      </w:r>
      <w:r w:rsidR="00B712B4" w:rsidRPr="002F5491">
        <w:rPr>
          <w:rFonts w:cs="Times New Roman"/>
          <w:kern w:val="22"/>
          <w:szCs w:val="22"/>
        </w:rPr>
        <w:t>project entitled: “Realizing synergies among biodiversity-related conventions”,</w:t>
      </w:r>
      <w:r w:rsidR="00B712B4" w:rsidRPr="002F5491">
        <w:rPr>
          <w:rStyle w:val="StyleFootnoteReferencenumberFootnoteReferenceSuperscript-EF"/>
          <w:sz w:val="22"/>
        </w:rPr>
        <w:footnoteReference w:id="18"/>
      </w:r>
      <w:r w:rsidR="00B712B4" w:rsidRPr="002F5491">
        <w:rPr>
          <w:rFonts w:cs="Times New Roman"/>
          <w:kern w:val="22"/>
          <w:szCs w:val="22"/>
        </w:rPr>
        <w:t xml:space="preserve"> </w:t>
      </w:r>
      <w:r w:rsidR="00D01B7D" w:rsidRPr="002F5491">
        <w:rPr>
          <w:rFonts w:cs="Times New Roman"/>
          <w:kern w:val="22"/>
          <w:szCs w:val="22"/>
        </w:rPr>
        <w:t xml:space="preserve">is gathering information </w:t>
      </w:r>
      <w:r w:rsidR="00D02CEB" w:rsidRPr="002F5491">
        <w:rPr>
          <w:rFonts w:cs="Times New Roman"/>
          <w:kern w:val="22"/>
          <w:szCs w:val="22"/>
        </w:rPr>
        <w:t>regarding national capacity development needs</w:t>
      </w:r>
      <w:r w:rsidR="003F41FC" w:rsidRPr="002F5491">
        <w:rPr>
          <w:rFonts w:cs="Times New Roman"/>
          <w:kern w:val="22"/>
          <w:szCs w:val="22"/>
        </w:rPr>
        <w:t xml:space="preserve"> and gaps</w:t>
      </w:r>
      <w:r w:rsidR="00D02CEB" w:rsidRPr="002F5491">
        <w:rPr>
          <w:rFonts w:cs="Times New Roman"/>
          <w:kern w:val="22"/>
          <w:szCs w:val="22"/>
        </w:rPr>
        <w:t xml:space="preserve"> related to the implementation of biodiversity-related conventions, </w:t>
      </w:r>
      <w:r w:rsidR="00C26D4E" w:rsidRPr="002F5491">
        <w:rPr>
          <w:rFonts w:cs="Times New Roman"/>
          <w:kern w:val="22"/>
          <w:szCs w:val="22"/>
        </w:rPr>
        <w:t>tak</w:t>
      </w:r>
      <w:r w:rsidR="00D01B7D" w:rsidRPr="002F5491">
        <w:rPr>
          <w:rFonts w:cs="Times New Roman"/>
          <w:kern w:val="22"/>
          <w:szCs w:val="22"/>
        </w:rPr>
        <w:t>ing</w:t>
      </w:r>
      <w:r w:rsidR="00C26D4E" w:rsidRPr="002F5491">
        <w:rPr>
          <w:rFonts w:cs="Times New Roman"/>
          <w:kern w:val="22"/>
          <w:szCs w:val="22"/>
        </w:rPr>
        <w:t xml:space="preserve"> </w:t>
      </w:r>
      <w:r w:rsidR="00D02CEB" w:rsidRPr="002F5491">
        <w:rPr>
          <w:rFonts w:cs="Times New Roman"/>
          <w:kern w:val="22"/>
          <w:szCs w:val="22"/>
        </w:rPr>
        <w:t>stock of capacity-building activities of various organizations and assess</w:t>
      </w:r>
      <w:r w:rsidR="00D01B7D" w:rsidRPr="002F5491">
        <w:rPr>
          <w:rFonts w:cs="Times New Roman"/>
          <w:kern w:val="22"/>
          <w:szCs w:val="22"/>
        </w:rPr>
        <w:t>ing</w:t>
      </w:r>
      <w:r w:rsidR="00D02CEB" w:rsidRPr="002F5491">
        <w:rPr>
          <w:rFonts w:cs="Times New Roman"/>
          <w:kern w:val="22"/>
          <w:szCs w:val="22"/>
        </w:rPr>
        <w:t xml:space="preserve"> </w:t>
      </w:r>
      <w:r w:rsidR="00D02CEB" w:rsidRPr="002F5491">
        <w:rPr>
          <w:rFonts w:cs="Times New Roman"/>
          <w:kern w:val="22"/>
          <w:szCs w:val="22"/>
        </w:rPr>
        <w:lastRenderedPageBreak/>
        <w:t>how the post-2020 strategic framework for capacity building</w:t>
      </w:r>
      <w:r w:rsidR="008472C2" w:rsidRPr="002F5491">
        <w:rPr>
          <w:rFonts w:cs="Times New Roman"/>
          <w:kern w:val="22"/>
          <w:szCs w:val="22"/>
        </w:rPr>
        <w:t xml:space="preserve"> for biodiversity</w:t>
      </w:r>
      <w:r w:rsidR="00D02CEB" w:rsidRPr="002F5491">
        <w:rPr>
          <w:rFonts w:cs="Times New Roman"/>
          <w:kern w:val="22"/>
          <w:szCs w:val="22"/>
        </w:rPr>
        <w:t xml:space="preserve"> could support more integrated </w:t>
      </w:r>
      <w:r w:rsidR="00BE0DC2" w:rsidRPr="002F5491">
        <w:rPr>
          <w:rFonts w:cs="Times New Roman"/>
          <w:kern w:val="22"/>
          <w:szCs w:val="22"/>
        </w:rPr>
        <w:t xml:space="preserve">and synergetic </w:t>
      </w:r>
      <w:r w:rsidR="00D02CEB" w:rsidRPr="002F5491">
        <w:rPr>
          <w:rFonts w:cs="Times New Roman"/>
          <w:kern w:val="22"/>
          <w:szCs w:val="22"/>
        </w:rPr>
        <w:t xml:space="preserve">approaches in the implementation of the </w:t>
      </w:r>
      <w:r w:rsidR="00D01B7D" w:rsidRPr="002F5491">
        <w:rPr>
          <w:rFonts w:cs="Times New Roman"/>
          <w:kern w:val="22"/>
          <w:szCs w:val="22"/>
        </w:rPr>
        <w:t>biodiversity-related agreements</w:t>
      </w:r>
      <w:r w:rsidR="00B712B4" w:rsidRPr="002F5491">
        <w:rPr>
          <w:rFonts w:cs="Times New Roman"/>
          <w:kern w:val="22"/>
          <w:szCs w:val="22"/>
        </w:rPr>
        <w:t xml:space="preserve">. </w:t>
      </w:r>
    </w:p>
    <w:p w:rsidR="00474589" w:rsidRPr="002F5491" w:rsidRDefault="00026D44" w:rsidP="00C26D4E">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fifth edition of the </w:t>
      </w:r>
      <w:r w:rsidRPr="002F5491">
        <w:rPr>
          <w:rFonts w:cs="Times New Roman"/>
          <w:i/>
          <w:kern w:val="22"/>
          <w:szCs w:val="22"/>
        </w:rPr>
        <w:t>Global Biodiversity Outlook</w:t>
      </w:r>
      <w:r w:rsidRPr="002F5491">
        <w:rPr>
          <w:rFonts w:cs="Times New Roman"/>
          <w:kern w:val="22"/>
          <w:szCs w:val="22"/>
        </w:rPr>
        <w:t xml:space="preserve"> and the regional and global assessments by the Intergovernmental Science-Policy Platform on Biodiversity and Ecosystem Services (IPBES) will also provide useful information regarding areas requiring further capacity development support.</w:t>
      </w:r>
    </w:p>
    <w:p w:rsidR="00072ABE" w:rsidRPr="002F5491" w:rsidRDefault="00C929D2" w:rsidP="0039377C">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szCs w:val="22"/>
        </w:rPr>
        <w:t xml:space="preserve">The </w:t>
      </w:r>
      <w:r w:rsidR="005F2B79" w:rsidRPr="002F5491">
        <w:rPr>
          <w:rFonts w:cs="Times New Roman"/>
          <w:szCs w:val="22"/>
        </w:rPr>
        <w:t xml:space="preserve">Subsidiary Body on </w:t>
      </w:r>
      <w:r w:rsidR="00DD5F43" w:rsidRPr="002F5491">
        <w:rPr>
          <w:rFonts w:cs="Times New Roman"/>
          <w:szCs w:val="22"/>
        </w:rPr>
        <w:t>I</w:t>
      </w:r>
      <w:r w:rsidR="005F2B79" w:rsidRPr="002F5491">
        <w:rPr>
          <w:rFonts w:cs="Times New Roman"/>
          <w:szCs w:val="22"/>
        </w:rPr>
        <w:t>mplementation</w:t>
      </w:r>
      <w:r w:rsidRPr="002F5491">
        <w:rPr>
          <w:rFonts w:cs="Times New Roman"/>
          <w:szCs w:val="22"/>
        </w:rPr>
        <w:t xml:space="preserve"> may wish to recommend to the Conference of the Parties the proposed draft terms of reference</w:t>
      </w:r>
      <w:r w:rsidR="000E6C12" w:rsidRPr="002F5491">
        <w:rPr>
          <w:rFonts w:cs="Times New Roman"/>
          <w:szCs w:val="22"/>
        </w:rPr>
        <w:t xml:space="preserve"> of a study to provide an information base for the preparation of the post-2020 capacity development strategic framework</w:t>
      </w:r>
      <w:r w:rsidR="0039003C" w:rsidRPr="002F5491">
        <w:rPr>
          <w:rFonts w:cs="Times New Roman"/>
          <w:szCs w:val="22"/>
        </w:rPr>
        <w:t>, as</w:t>
      </w:r>
      <w:r w:rsidR="00610CB7" w:rsidRPr="002F5491">
        <w:rPr>
          <w:rFonts w:cs="Times New Roman"/>
          <w:szCs w:val="22"/>
        </w:rPr>
        <w:t xml:space="preserve"> contained in </w:t>
      </w:r>
      <w:r w:rsidR="0039003C" w:rsidRPr="002F5491">
        <w:rPr>
          <w:rFonts w:cs="Times New Roman"/>
          <w:szCs w:val="22"/>
        </w:rPr>
        <w:t xml:space="preserve">Appendix I of </w:t>
      </w:r>
      <w:r w:rsidR="00812909" w:rsidRPr="002F5491">
        <w:rPr>
          <w:rFonts w:cs="Times New Roman"/>
          <w:szCs w:val="22"/>
        </w:rPr>
        <w:t>a</w:t>
      </w:r>
      <w:r w:rsidR="00610CB7" w:rsidRPr="002F5491">
        <w:rPr>
          <w:rFonts w:cs="Times New Roman"/>
          <w:szCs w:val="22"/>
        </w:rPr>
        <w:t>nnex I</w:t>
      </w:r>
      <w:r w:rsidR="0039003C" w:rsidRPr="002F5491">
        <w:rPr>
          <w:rFonts w:cs="Times New Roman"/>
          <w:szCs w:val="22"/>
        </w:rPr>
        <w:t xml:space="preserve">I </w:t>
      </w:r>
      <w:r w:rsidR="00981E75" w:rsidRPr="002F5491">
        <w:rPr>
          <w:rFonts w:cs="Times New Roman"/>
          <w:szCs w:val="22"/>
        </w:rPr>
        <w:t>below</w:t>
      </w:r>
      <w:r w:rsidR="0039003C" w:rsidRPr="002F5491">
        <w:rPr>
          <w:rFonts w:cs="Times New Roman"/>
          <w:szCs w:val="22"/>
        </w:rPr>
        <w:t>,</w:t>
      </w:r>
      <w:r w:rsidRPr="002F5491">
        <w:rPr>
          <w:rFonts w:cs="Times New Roman"/>
          <w:szCs w:val="22"/>
        </w:rPr>
        <w:t xml:space="preserve"> and request the Executive Secretary, in collaboration </w:t>
      </w:r>
      <w:r w:rsidR="00072ABE" w:rsidRPr="002F5491">
        <w:rPr>
          <w:rFonts w:cs="Times New Roman"/>
          <w:szCs w:val="22"/>
        </w:rPr>
        <w:t>with</w:t>
      </w:r>
      <w:r w:rsidRPr="002F5491">
        <w:rPr>
          <w:rFonts w:cs="Times New Roman"/>
          <w:szCs w:val="22"/>
        </w:rPr>
        <w:t xml:space="preserve"> relevant organizations and stakeholders, to </w:t>
      </w:r>
      <w:r w:rsidR="005F2B79" w:rsidRPr="002F5491">
        <w:rPr>
          <w:rFonts w:cs="Times New Roman"/>
          <w:szCs w:val="22"/>
        </w:rPr>
        <w:t>commission</w:t>
      </w:r>
      <w:r w:rsidRPr="002F5491">
        <w:rPr>
          <w:rFonts w:cs="Times New Roman"/>
          <w:szCs w:val="22"/>
        </w:rPr>
        <w:t xml:space="preserve"> the study in accordance with </w:t>
      </w:r>
      <w:r w:rsidR="0039003C" w:rsidRPr="002F5491">
        <w:rPr>
          <w:rFonts w:cs="Times New Roman"/>
          <w:szCs w:val="22"/>
        </w:rPr>
        <w:t xml:space="preserve">the </w:t>
      </w:r>
      <w:r w:rsidRPr="002F5491">
        <w:rPr>
          <w:rFonts w:cs="Times New Roman"/>
          <w:szCs w:val="22"/>
        </w:rPr>
        <w:t>terms of reference</w:t>
      </w:r>
      <w:r w:rsidR="000E6C12" w:rsidRPr="002F5491">
        <w:rPr>
          <w:rFonts w:cs="Times New Roman"/>
          <w:szCs w:val="22"/>
        </w:rPr>
        <w:t>,</w:t>
      </w:r>
      <w:r w:rsidRPr="002F5491">
        <w:rPr>
          <w:rFonts w:cs="Times New Roman"/>
          <w:szCs w:val="22"/>
        </w:rPr>
        <w:t xml:space="preserve"> and submit </w:t>
      </w:r>
      <w:r w:rsidR="005F2B79" w:rsidRPr="002F5491">
        <w:rPr>
          <w:rFonts w:cs="Times New Roman"/>
          <w:szCs w:val="22"/>
        </w:rPr>
        <w:t xml:space="preserve">the report for consideration </w:t>
      </w:r>
      <w:r w:rsidRPr="002F5491">
        <w:rPr>
          <w:rFonts w:cs="Times New Roman"/>
          <w:szCs w:val="22"/>
        </w:rPr>
        <w:t>by the Subsidiary Body on Implementation at its third meeting.</w:t>
      </w:r>
    </w:p>
    <w:p w:rsidR="00DE19BE" w:rsidRPr="002F5491" w:rsidRDefault="00812909" w:rsidP="00DE19BE">
      <w:pPr>
        <w:keepNext/>
        <w:spacing w:before="120" w:after="120"/>
        <w:ind w:left="1170" w:hanging="450"/>
        <w:jc w:val="left"/>
        <w:rPr>
          <w:rFonts w:cs="Times New Roman"/>
          <w:b/>
          <w:iCs/>
          <w:caps/>
          <w:snapToGrid w:val="0"/>
          <w:kern w:val="22"/>
          <w:szCs w:val="22"/>
        </w:rPr>
      </w:pPr>
      <w:r w:rsidRPr="002F5491">
        <w:rPr>
          <w:rFonts w:cs="Times New Roman"/>
          <w:b/>
          <w:iCs/>
          <w:caps/>
          <w:snapToGrid w:val="0"/>
          <w:kern w:val="22"/>
          <w:szCs w:val="22"/>
        </w:rPr>
        <w:t>V</w:t>
      </w:r>
      <w:r w:rsidR="00DE19BE" w:rsidRPr="002F5491">
        <w:rPr>
          <w:rFonts w:cs="Times New Roman"/>
          <w:b/>
          <w:iCs/>
          <w:caps/>
          <w:snapToGrid w:val="0"/>
          <w:kern w:val="22"/>
          <w:szCs w:val="22"/>
        </w:rPr>
        <w:t>.</w:t>
      </w:r>
      <w:r w:rsidR="00DE19BE" w:rsidRPr="002F5491">
        <w:rPr>
          <w:rFonts w:cs="Times New Roman"/>
          <w:b/>
          <w:iCs/>
          <w:caps/>
          <w:snapToGrid w:val="0"/>
          <w:kern w:val="22"/>
          <w:szCs w:val="22"/>
        </w:rPr>
        <w:tab/>
      </w:r>
      <w:r w:rsidR="00F23E82" w:rsidRPr="002F5491">
        <w:rPr>
          <w:rFonts w:cs="Times New Roman"/>
          <w:b/>
          <w:iCs/>
          <w:caps/>
          <w:snapToGrid w:val="0"/>
          <w:kern w:val="22"/>
          <w:szCs w:val="22"/>
        </w:rPr>
        <w:t>PROGRESS REPORT ON IMPLEMENTATION OF THE WEB STRATEGY AND THE CLEARING-HOUSE MECHANISM</w:t>
      </w:r>
    </w:p>
    <w:p w:rsidR="00F23E82" w:rsidRPr="002F5491" w:rsidRDefault="00F23E82"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19 of decision XII/2 B, the Conference of the Parties requested the Executive Secretary to develop a web strategy to ensure that all information common or relevant to the clearing</w:t>
      </w:r>
      <w:r w:rsidRPr="002F5491">
        <w:rPr>
          <w:rFonts w:cs="Times New Roman"/>
          <w:kern w:val="22"/>
          <w:szCs w:val="22"/>
        </w:rPr>
        <w:noBreakHyphen/>
        <w:t>house mechanism, the Access and Benefit</w:t>
      </w:r>
      <w:r w:rsidRPr="002F5491">
        <w:rPr>
          <w:rFonts w:cs="Times New Roman"/>
          <w:kern w:val="22"/>
          <w:szCs w:val="22"/>
        </w:rPr>
        <w:noBreakHyphen/>
        <w:t>sharing Clearing-House and the Biosafety Clearing</w:t>
      </w:r>
      <w:r w:rsidRPr="002F5491">
        <w:rPr>
          <w:rFonts w:cs="Times New Roman"/>
          <w:kern w:val="22"/>
          <w:szCs w:val="22"/>
        </w:rPr>
        <w:noBreakHyphen/>
        <w:t>House, as well as other platforms developed under the Convention, could be accessed centrally to avoid duplication of efforts.</w:t>
      </w:r>
      <w:r w:rsidR="00F52769" w:rsidRPr="002F5491">
        <w:rPr>
          <w:rFonts w:cs="Times New Roman"/>
          <w:kern w:val="22"/>
          <w:szCs w:val="22"/>
        </w:rPr>
        <w:t xml:space="preserve"> </w:t>
      </w:r>
      <w:r w:rsidRPr="002F5491">
        <w:rPr>
          <w:rFonts w:cs="Times New Roman"/>
          <w:kern w:val="22"/>
          <w:szCs w:val="22"/>
        </w:rPr>
        <w:t xml:space="preserve">In response to this request, the Executive Secretary prepared a “Web </w:t>
      </w:r>
      <w:r w:rsidR="00072ABE" w:rsidRPr="002F5491">
        <w:rPr>
          <w:rFonts w:cs="Times New Roman"/>
          <w:kern w:val="22"/>
          <w:szCs w:val="22"/>
        </w:rPr>
        <w:t>S</w:t>
      </w:r>
      <w:r w:rsidRPr="002F5491">
        <w:rPr>
          <w:rFonts w:cs="Times New Roman"/>
          <w:kern w:val="22"/>
          <w:szCs w:val="22"/>
        </w:rPr>
        <w:t>trategy for the Convention and its Protocols” and made it available to the thirteenth meeting of the Conference of the Parties (CBD/COP/13/14/Add.1).</w:t>
      </w:r>
    </w:p>
    <w:p w:rsidR="00F23E82" w:rsidRPr="002F5491" w:rsidRDefault="00F23E82" w:rsidP="0025341D">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paragraphs 15(i), (j) and (k) of decision XIII/23, the Conference of the Parties re</w:t>
      </w:r>
      <w:r w:rsidR="0025341D" w:rsidRPr="002F5491">
        <w:rPr>
          <w:rFonts w:cs="Times New Roman"/>
          <w:kern w:val="22"/>
          <w:szCs w:val="22"/>
        </w:rPr>
        <w:t xml:space="preserve">quested the Executive Secretary to </w:t>
      </w:r>
      <w:r w:rsidRPr="002F5491">
        <w:rPr>
          <w:rFonts w:cs="Times New Roman"/>
          <w:kern w:val="22"/>
          <w:szCs w:val="22"/>
        </w:rPr>
        <w:t>i</w:t>
      </w:r>
      <w:r w:rsidR="0025341D" w:rsidRPr="002F5491">
        <w:rPr>
          <w:rFonts w:cs="Times New Roman"/>
          <w:kern w:val="22"/>
          <w:szCs w:val="22"/>
        </w:rPr>
        <w:t>mplement the web strategy</w:t>
      </w:r>
      <w:r w:rsidRPr="002F5491">
        <w:rPr>
          <w:rFonts w:cs="Times New Roman"/>
          <w:kern w:val="22"/>
          <w:szCs w:val="22"/>
        </w:rPr>
        <w:t xml:space="preserve"> in line with the Framework for a Communications Strategy</w:t>
      </w:r>
      <w:r w:rsidR="000E6C12" w:rsidRPr="002F5491">
        <w:rPr>
          <w:rFonts w:cs="Times New Roman"/>
          <w:kern w:val="22"/>
          <w:szCs w:val="22"/>
        </w:rPr>
        <w:t>, as</w:t>
      </w:r>
      <w:r w:rsidR="0025341D" w:rsidRPr="002F5491">
        <w:rPr>
          <w:rFonts w:cs="Times New Roman"/>
          <w:kern w:val="22"/>
          <w:szCs w:val="22"/>
        </w:rPr>
        <w:t xml:space="preserve"> </w:t>
      </w:r>
      <w:r w:rsidRPr="002F5491">
        <w:rPr>
          <w:rFonts w:cs="Times New Roman"/>
          <w:kern w:val="22"/>
          <w:szCs w:val="22"/>
        </w:rPr>
        <w:t>adopted in decision XIII/22</w:t>
      </w:r>
      <w:r w:rsidR="000E6C12" w:rsidRPr="002F5491">
        <w:rPr>
          <w:rFonts w:cs="Times New Roman"/>
          <w:kern w:val="22"/>
          <w:szCs w:val="22"/>
        </w:rPr>
        <w:t>; to</w:t>
      </w:r>
      <w:r w:rsidR="0025341D" w:rsidRPr="002F5491">
        <w:rPr>
          <w:rFonts w:cs="Times New Roman"/>
          <w:kern w:val="22"/>
          <w:szCs w:val="22"/>
        </w:rPr>
        <w:t xml:space="preserve"> </w:t>
      </w:r>
      <w:r w:rsidRPr="002F5491">
        <w:rPr>
          <w:rFonts w:cs="Times New Roman"/>
          <w:kern w:val="22"/>
          <w:szCs w:val="22"/>
        </w:rPr>
        <w:t>update the web strategy with priority actions to be taken before 2018 based on decisions</w:t>
      </w:r>
      <w:r w:rsidR="0025341D" w:rsidRPr="002F5491">
        <w:rPr>
          <w:rFonts w:cs="Times New Roman"/>
          <w:kern w:val="22"/>
          <w:szCs w:val="22"/>
        </w:rPr>
        <w:t xml:space="preserve"> from the last meetings of the Parties</w:t>
      </w:r>
      <w:r w:rsidRPr="002F5491">
        <w:rPr>
          <w:rFonts w:cs="Times New Roman"/>
          <w:kern w:val="22"/>
          <w:szCs w:val="22"/>
        </w:rPr>
        <w:t>;</w:t>
      </w:r>
      <w:r w:rsidR="0001437E" w:rsidRPr="002F5491">
        <w:rPr>
          <w:rFonts w:cs="Times New Roman"/>
          <w:kern w:val="22"/>
          <w:szCs w:val="22"/>
        </w:rPr>
        <w:t xml:space="preserve"> and</w:t>
      </w:r>
      <w:r w:rsidRPr="002F5491">
        <w:rPr>
          <w:rFonts w:cs="Times New Roman"/>
          <w:kern w:val="22"/>
          <w:szCs w:val="22"/>
        </w:rPr>
        <w:t xml:space="preserve"> further develop the </w:t>
      </w:r>
      <w:r w:rsidR="000E6C12" w:rsidRPr="002F5491">
        <w:rPr>
          <w:rFonts w:cs="Times New Roman"/>
          <w:kern w:val="22"/>
          <w:szCs w:val="22"/>
        </w:rPr>
        <w:t>C</w:t>
      </w:r>
      <w:r w:rsidRPr="002F5491">
        <w:rPr>
          <w:rFonts w:cs="Times New Roman"/>
          <w:kern w:val="22"/>
          <w:szCs w:val="22"/>
        </w:rPr>
        <w:t>learing-</w:t>
      </w:r>
      <w:r w:rsidR="000E6C12" w:rsidRPr="002F5491">
        <w:rPr>
          <w:rFonts w:cs="Times New Roman"/>
          <w:kern w:val="22"/>
          <w:szCs w:val="22"/>
        </w:rPr>
        <w:t>H</w:t>
      </w:r>
      <w:r w:rsidRPr="002F5491">
        <w:rPr>
          <w:rFonts w:cs="Times New Roman"/>
          <w:kern w:val="22"/>
          <w:szCs w:val="22"/>
        </w:rPr>
        <w:t xml:space="preserve">ouse </w:t>
      </w:r>
      <w:r w:rsidR="000E6C12" w:rsidRPr="002F5491">
        <w:rPr>
          <w:rFonts w:cs="Times New Roman"/>
          <w:kern w:val="22"/>
          <w:szCs w:val="22"/>
        </w:rPr>
        <w:t>M</w:t>
      </w:r>
      <w:r w:rsidRPr="002F5491">
        <w:rPr>
          <w:rFonts w:cs="Times New Roman"/>
          <w:kern w:val="22"/>
          <w:szCs w:val="22"/>
        </w:rPr>
        <w:t xml:space="preserve">echanism, in line with the web strategy and with the work programme for the </w:t>
      </w:r>
      <w:r w:rsidR="00763282" w:rsidRPr="002F5491">
        <w:rPr>
          <w:rFonts w:cs="Times New Roman"/>
          <w:kern w:val="22"/>
          <w:szCs w:val="22"/>
        </w:rPr>
        <w:t>c</w:t>
      </w:r>
      <w:r w:rsidRPr="002F5491">
        <w:rPr>
          <w:rFonts w:cs="Times New Roman"/>
          <w:kern w:val="22"/>
          <w:szCs w:val="22"/>
        </w:rPr>
        <w:t>learing-</w:t>
      </w:r>
      <w:r w:rsidR="00763282" w:rsidRPr="002F5491">
        <w:rPr>
          <w:rFonts w:cs="Times New Roman"/>
          <w:kern w:val="22"/>
          <w:szCs w:val="22"/>
        </w:rPr>
        <w:t>h</w:t>
      </w:r>
      <w:r w:rsidRPr="002F5491">
        <w:rPr>
          <w:rFonts w:cs="Times New Roman"/>
          <w:kern w:val="22"/>
          <w:szCs w:val="22"/>
        </w:rPr>
        <w:t xml:space="preserve">ouse </w:t>
      </w:r>
      <w:r w:rsidR="00763282" w:rsidRPr="002F5491">
        <w:rPr>
          <w:rFonts w:cs="Times New Roman"/>
          <w:kern w:val="22"/>
          <w:szCs w:val="22"/>
        </w:rPr>
        <w:t>m</w:t>
      </w:r>
      <w:r w:rsidRPr="002F5491">
        <w:rPr>
          <w:rFonts w:cs="Times New Roman"/>
          <w:kern w:val="22"/>
          <w:szCs w:val="22"/>
        </w:rPr>
        <w:t>echanism in support of the Strategic Plan for Biodiversity 2011</w:t>
      </w:r>
      <w:r w:rsidRPr="002F5491">
        <w:rPr>
          <w:rFonts w:cs="Times New Roman"/>
          <w:kern w:val="22"/>
          <w:szCs w:val="22"/>
        </w:rPr>
        <w:noBreakHyphen/>
        <w:t>2020.</w:t>
      </w:r>
    </w:p>
    <w:p w:rsidR="00630349" w:rsidRPr="002F5491" w:rsidRDefault="003F51C3"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This section </w:t>
      </w:r>
      <w:r w:rsidR="00630349" w:rsidRPr="002F5491">
        <w:rPr>
          <w:rFonts w:cs="Times New Roman"/>
          <w:kern w:val="22"/>
          <w:szCs w:val="22"/>
        </w:rPr>
        <w:t xml:space="preserve">provides an overview of the progress made since the thirteenth meeting of the Conference of the Parties </w:t>
      </w:r>
      <w:r w:rsidR="00154BC5" w:rsidRPr="002F5491">
        <w:rPr>
          <w:rFonts w:cs="Times New Roman"/>
          <w:kern w:val="22"/>
          <w:szCs w:val="22"/>
        </w:rPr>
        <w:t>with</w:t>
      </w:r>
      <w:r w:rsidR="00F52769" w:rsidRPr="002F5491">
        <w:rPr>
          <w:rFonts w:cs="Times New Roman"/>
          <w:kern w:val="22"/>
          <w:szCs w:val="22"/>
        </w:rPr>
        <w:t xml:space="preserve"> </w:t>
      </w:r>
      <w:r w:rsidR="00813AFA" w:rsidRPr="002F5491">
        <w:rPr>
          <w:rFonts w:cs="Times New Roman"/>
          <w:kern w:val="22"/>
          <w:szCs w:val="22"/>
        </w:rPr>
        <w:t xml:space="preserve">the implementation of the </w:t>
      </w:r>
      <w:r w:rsidR="00630349" w:rsidRPr="002F5491">
        <w:rPr>
          <w:rFonts w:cs="Times New Roman"/>
          <w:kern w:val="22"/>
          <w:szCs w:val="22"/>
        </w:rPr>
        <w:t xml:space="preserve">above-mentioned requests </w:t>
      </w:r>
      <w:r w:rsidR="0001437E" w:rsidRPr="002F5491">
        <w:rPr>
          <w:rFonts w:cs="Times New Roman"/>
          <w:kern w:val="22"/>
          <w:szCs w:val="22"/>
        </w:rPr>
        <w:t xml:space="preserve">as well as </w:t>
      </w:r>
      <w:r w:rsidR="00154BC5" w:rsidRPr="002F5491">
        <w:rPr>
          <w:rFonts w:cs="Times New Roman"/>
          <w:kern w:val="22"/>
          <w:szCs w:val="22"/>
        </w:rPr>
        <w:t>previous decisions regarding</w:t>
      </w:r>
      <w:r w:rsidR="00630349" w:rsidRPr="002F5491">
        <w:rPr>
          <w:rFonts w:cs="Times New Roman"/>
          <w:kern w:val="22"/>
          <w:szCs w:val="22"/>
        </w:rPr>
        <w:t xml:space="preserve"> the clearing-house mechanism</w:t>
      </w:r>
      <w:r w:rsidR="004C7BEC" w:rsidRPr="002F5491">
        <w:rPr>
          <w:rFonts w:cs="Times New Roman"/>
          <w:kern w:val="22"/>
          <w:szCs w:val="22"/>
        </w:rPr>
        <w:t>. It also highlights</w:t>
      </w:r>
      <w:r w:rsidRPr="002F5491">
        <w:rPr>
          <w:rFonts w:cs="Times New Roman"/>
          <w:kern w:val="22"/>
          <w:szCs w:val="22"/>
        </w:rPr>
        <w:t xml:space="preserve"> </w:t>
      </w:r>
      <w:r w:rsidR="00F52769" w:rsidRPr="002F5491">
        <w:rPr>
          <w:rFonts w:cs="Times New Roman"/>
          <w:kern w:val="22"/>
          <w:szCs w:val="22"/>
        </w:rPr>
        <w:t>relevant initiatives undertaken</w:t>
      </w:r>
      <w:r w:rsidRPr="002F5491">
        <w:rPr>
          <w:rFonts w:cs="Times New Roman"/>
          <w:kern w:val="22"/>
          <w:szCs w:val="22"/>
        </w:rPr>
        <w:t xml:space="preserve"> in collaboration with partners</w:t>
      </w:r>
      <w:r w:rsidR="004C7BEC" w:rsidRPr="002F5491">
        <w:rPr>
          <w:rFonts w:cs="Times New Roman"/>
          <w:kern w:val="22"/>
          <w:szCs w:val="22"/>
        </w:rPr>
        <w:t xml:space="preserve"> and</w:t>
      </w:r>
      <w:r w:rsidR="00F52769" w:rsidRPr="002F5491">
        <w:rPr>
          <w:rFonts w:cs="Times New Roman"/>
          <w:kern w:val="22"/>
          <w:szCs w:val="22"/>
        </w:rPr>
        <w:t xml:space="preserve"> the </w:t>
      </w:r>
      <w:r w:rsidRPr="002F5491">
        <w:rPr>
          <w:rFonts w:cs="Times New Roman"/>
          <w:kern w:val="22"/>
          <w:szCs w:val="22"/>
        </w:rPr>
        <w:t xml:space="preserve">work of the </w:t>
      </w:r>
      <w:r w:rsidR="00F52769" w:rsidRPr="002F5491">
        <w:rPr>
          <w:rFonts w:cs="Times New Roman"/>
          <w:kern w:val="22"/>
          <w:szCs w:val="22"/>
        </w:rPr>
        <w:t>Informal Advisory Committee to the Clearing-House Mechanism</w:t>
      </w:r>
      <w:r w:rsidR="00630349" w:rsidRPr="002F5491">
        <w:rPr>
          <w:rFonts w:cs="Times New Roman"/>
          <w:kern w:val="22"/>
          <w:szCs w:val="22"/>
        </w:rPr>
        <w:t>.</w:t>
      </w:r>
    </w:p>
    <w:p w:rsidR="007B61DF" w:rsidRPr="002F5491" w:rsidRDefault="007B61DF" w:rsidP="007B61DF">
      <w:pPr>
        <w:pStyle w:val="Heading2"/>
        <w:rPr>
          <w:rFonts w:cs="Times New Roman"/>
          <w:i w:val="0"/>
          <w:kern w:val="22"/>
          <w:szCs w:val="22"/>
        </w:rPr>
      </w:pPr>
      <w:r w:rsidRPr="002F5491">
        <w:rPr>
          <w:rFonts w:cs="Times New Roman"/>
          <w:i w:val="0"/>
          <w:kern w:val="22"/>
          <w:szCs w:val="22"/>
        </w:rPr>
        <w:t>A.</w:t>
      </w:r>
      <w:r w:rsidRPr="002F5491">
        <w:rPr>
          <w:rFonts w:cs="Times New Roman"/>
          <w:i w:val="0"/>
          <w:kern w:val="22"/>
          <w:szCs w:val="22"/>
        </w:rPr>
        <w:tab/>
        <w:t>Update of the Web Strategy</w:t>
      </w:r>
    </w:p>
    <w:p w:rsidR="00E775A0" w:rsidRPr="002F5491" w:rsidRDefault="00E775A0" w:rsidP="00876EB5">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response to the request in paragraph 15(j) of decision XIII/23, the Secretariat prepared a draft updated web strategy and made it available to the meeting of the Informal Advisory Group to the Clearing-House Mechanism that was held </w:t>
      </w:r>
      <w:r w:rsidR="00763282" w:rsidRPr="002F5491">
        <w:rPr>
          <w:rFonts w:cs="Times New Roman"/>
          <w:kern w:val="22"/>
          <w:szCs w:val="22"/>
        </w:rPr>
        <w:t xml:space="preserve">in Montreal from </w:t>
      </w:r>
      <w:r w:rsidRPr="002F5491">
        <w:rPr>
          <w:rFonts w:cs="Times New Roman"/>
          <w:kern w:val="22"/>
          <w:szCs w:val="22"/>
        </w:rPr>
        <w:t>7</w:t>
      </w:r>
      <w:r w:rsidR="00763282" w:rsidRPr="002F5491">
        <w:rPr>
          <w:rFonts w:cs="Times New Roman"/>
          <w:kern w:val="22"/>
          <w:szCs w:val="22"/>
        </w:rPr>
        <w:t xml:space="preserve"> to </w:t>
      </w:r>
      <w:r w:rsidRPr="002F5491">
        <w:rPr>
          <w:rFonts w:cs="Times New Roman"/>
          <w:kern w:val="22"/>
          <w:szCs w:val="22"/>
        </w:rPr>
        <w:t xml:space="preserve">9 December 2017. The </w:t>
      </w:r>
      <w:r w:rsidR="00273DFD" w:rsidRPr="002F5491">
        <w:rPr>
          <w:rFonts w:cs="Times New Roman"/>
          <w:kern w:val="22"/>
          <w:szCs w:val="22"/>
        </w:rPr>
        <w:t xml:space="preserve">draft </w:t>
      </w:r>
      <w:r w:rsidRPr="002F5491">
        <w:rPr>
          <w:rFonts w:cs="Times New Roman"/>
          <w:kern w:val="22"/>
          <w:szCs w:val="22"/>
        </w:rPr>
        <w:t>update</w:t>
      </w:r>
      <w:r w:rsidR="00B04574" w:rsidRPr="002F5491">
        <w:rPr>
          <w:rFonts w:cs="Times New Roman"/>
          <w:kern w:val="22"/>
          <w:szCs w:val="22"/>
        </w:rPr>
        <w:t xml:space="preserve">d </w:t>
      </w:r>
      <w:r w:rsidR="00680A0E" w:rsidRPr="002F5491">
        <w:rPr>
          <w:rFonts w:cs="Times New Roman"/>
          <w:kern w:val="22"/>
          <w:szCs w:val="22"/>
        </w:rPr>
        <w:t xml:space="preserve">web </w:t>
      </w:r>
      <w:r w:rsidR="00B04574" w:rsidRPr="002F5491">
        <w:rPr>
          <w:rFonts w:cs="Times New Roman"/>
          <w:kern w:val="22"/>
          <w:szCs w:val="22"/>
        </w:rPr>
        <w:t xml:space="preserve">strategy </w:t>
      </w:r>
      <w:r w:rsidR="00273DFD" w:rsidRPr="002F5491">
        <w:rPr>
          <w:rFonts w:cs="Times New Roman"/>
          <w:kern w:val="22"/>
          <w:szCs w:val="22"/>
        </w:rPr>
        <w:t>is made available</w:t>
      </w:r>
      <w:r w:rsidR="00B04574" w:rsidRPr="002F5491">
        <w:rPr>
          <w:rFonts w:cs="Times New Roman"/>
          <w:kern w:val="22"/>
          <w:szCs w:val="22"/>
        </w:rPr>
        <w:t xml:space="preserve"> </w:t>
      </w:r>
      <w:r w:rsidR="00B04574" w:rsidRPr="002F5491">
        <w:rPr>
          <w:rFonts w:cs="Times New Roman"/>
          <w:color w:val="000000"/>
          <w:kern w:val="22"/>
          <w:szCs w:val="22"/>
        </w:rPr>
        <w:t>as</w:t>
      </w:r>
      <w:r w:rsidR="0025341D" w:rsidRPr="002F5491">
        <w:rPr>
          <w:rFonts w:cs="Times New Roman"/>
          <w:color w:val="000000"/>
          <w:kern w:val="22"/>
          <w:szCs w:val="22"/>
        </w:rPr>
        <w:t xml:space="preserve"> information</w:t>
      </w:r>
      <w:r w:rsidR="00B04574" w:rsidRPr="002F5491">
        <w:rPr>
          <w:rFonts w:cs="Times New Roman"/>
          <w:color w:val="000000"/>
          <w:kern w:val="22"/>
          <w:szCs w:val="22"/>
        </w:rPr>
        <w:t xml:space="preserve"> document </w:t>
      </w:r>
      <w:r w:rsidR="0025341D" w:rsidRPr="002F5491">
        <w:rPr>
          <w:rFonts w:cs="Times New Roman"/>
          <w:color w:val="000000"/>
          <w:kern w:val="22"/>
          <w:szCs w:val="22"/>
        </w:rPr>
        <w:t>CBD/SBI/2</w:t>
      </w:r>
      <w:r w:rsidR="00B04574" w:rsidRPr="002F5491">
        <w:rPr>
          <w:rFonts w:cs="Times New Roman"/>
          <w:color w:val="000000"/>
          <w:kern w:val="22"/>
          <w:szCs w:val="22"/>
        </w:rPr>
        <w:t>/</w:t>
      </w:r>
      <w:r w:rsidR="00170570" w:rsidRPr="002F5491">
        <w:rPr>
          <w:rFonts w:cs="Times New Roman"/>
          <w:color w:val="000000"/>
          <w:kern w:val="22"/>
          <w:szCs w:val="22"/>
        </w:rPr>
        <w:t>INF/</w:t>
      </w:r>
      <w:r w:rsidR="00AA57AB" w:rsidRPr="002F5491">
        <w:rPr>
          <w:rFonts w:cs="Times New Roman"/>
          <w:color w:val="000000"/>
          <w:kern w:val="22"/>
          <w:szCs w:val="22"/>
        </w:rPr>
        <w:t>16</w:t>
      </w:r>
      <w:r w:rsidRPr="002F5491">
        <w:rPr>
          <w:rFonts w:cs="Times New Roman"/>
          <w:color w:val="000000"/>
          <w:kern w:val="22"/>
          <w:szCs w:val="22"/>
        </w:rPr>
        <w:t>.</w:t>
      </w:r>
    </w:p>
    <w:p w:rsidR="00813AFA" w:rsidRPr="002F5491" w:rsidRDefault="007B61DF" w:rsidP="00813AFA">
      <w:pPr>
        <w:pStyle w:val="Heading2"/>
        <w:rPr>
          <w:rFonts w:cs="Times New Roman"/>
          <w:i w:val="0"/>
          <w:kern w:val="22"/>
          <w:szCs w:val="22"/>
        </w:rPr>
      </w:pPr>
      <w:r w:rsidRPr="002F5491">
        <w:rPr>
          <w:rFonts w:cs="Times New Roman"/>
          <w:i w:val="0"/>
          <w:kern w:val="22"/>
          <w:szCs w:val="22"/>
        </w:rPr>
        <w:t>B</w:t>
      </w:r>
      <w:r w:rsidR="00813AFA" w:rsidRPr="002F5491">
        <w:rPr>
          <w:rFonts w:cs="Times New Roman"/>
          <w:i w:val="0"/>
          <w:kern w:val="22"/>
          <w:szCs w:val="22"/>
        </w:rPr>
        <w:t>.</w:t>
      </w:r>
      <w:r w:rsidR="00813AFA" w:rsidRPr="002F5491">
        <w:rPr>
          <w:rFonts w:cs="Times New Roman"/>
          <w:i w:val="0"/>
          <w:kern w:val="22"/>
          <w:szCs w:val="22"/>
        </w:rPr>
        <w:tab/>
        <w:t>Web strategy</w:t>
      </w:r>
      <w:r w:rsidR="00A90898" w:rsidRPr="002F5491">
        <w:rPr>
          <w:rFonts w:cs="Times New Roman"/>
          <w:i w:val="0"/>
          <w:kern w:val="22"/>
          <w:szCs w:val="22"/>
        </w:rPr>
        <w:t xml:space="preserve"> implementation</w:t>
      </w:r>
    </w:p>
    <w:p w:rsidR="00A624A2" w:rsidRPr="002F5491" w:rsidRDefault="00E775A0" w:rsidP="00273DFD">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Pursuant to the request in paragraph 15(i) of decision XIII/23, the Secretariat has </w:t>
      </w:r>
      <w:r w:rsidR="00A624A2" w:rsidRPr="002F5491">
        <w:rPr>
          <w:rFonts w:cs="Times New Roman"/>
          <w:kern w:val="22"/>
          <w:szCs w:val="22"/>
        </w:rPr>
        <w:t xml:space="preserve">undertaken </w:t>
      </w:r>
      <w:r w:rsidR="004C7BEC" w:rsidRPr="002F5491">
        <w:rPr>
          <w:rFonts w:cs="Times New Roman"/>
          <w:kern w:val="22"/>
          <w:szCs w:val="22"/>
        </w:rPr>
        <w:t xml:space="preserve">a number of </w:t>
      </w:r>
      <w:r w:rsidR="00273DFD" w:rsidRPr="002F5491">
        <w:rPr>
          <w:rFonts w:cs="Times New Roman"/>
          <w:kern w:val="22"/>
          <w:szCs w:val="22"/>
        </w:rPr>
        <w:t>actions</w:t>
      </w:r>
      <w:r w:rsidR="004C7BEC" w:rsidRPr="002F5491">
        <w:rPr>
          <w:rFonts w:cs="Times New Roman"/>
          <w:kern w:val="22"/>
          <w:szCs w:val="22"/>
        </w:rPr>
        <w:t xml:space="preserve"> to implement the Web strategy for the Convention and its Protocols</w:t>
      </w:r>
      <w:r w:rsidR="00273DFD" w:rsidRPr="002F5491">
        <w:rPr>
          <w:rFonts w:cs="Times New Roman"/>
          <w:kern w:val="22"/>
          <w:szCs w:val="22"/>
        </w:rPr>
        <w:t xml:space="preserve">. Some of </w:t>
      </w:r>
      <w:r w:rsidR="00B645EB" w:rsidRPr="002F5491">
        <w:rPr>
          <w:rFonts w:cs="Times New Roman"/>
          <w:kern w:val="22"/>
          <w:szCs w:val="22"/>
        </w:rPr>
        <w:t xml:space="preserve">the </w:t>
      </w:r>
      <w:r w:rsidR="00273DFD" w:rsidRPr="002F5491">
        <w:rPr>
          <w:rFonts w:cs="Times New Roman"/>
          <w:kern w:val="22"/>
          <w:szCs w:val="22"/>
        </w:rPr>
        <w:t>re</w:t>
      </w:r>
      <w:r w:rsidR="00420CC5" w:rsidRPr="002F5491">
        <w:rPr>
          <w:rFonts w:cs="Times New Roman"/>
          <w:kern w:val="22"/>
          <w:szCs w:val="22"/>
        </w:rPr>
        <w:t>sults delivered so far include:</w:t>
      </w:r>
      <w:r w:rsidR="00273DFD" w:rsidRPr="002F5491">
        <w:rPr>
          <w:rFonts w:cs="Times New Roman"/>
          <w:kern w:val="22"/>
          <w:szCs w:val="22"/>
        </w:rPr>
        <w:t xml:space="preserve"> an </w:t>
      </w:r>
      <w:r w:rsidR="00A624A2" w:rsidRPr="002F5491">
        <w:rPr>
          <w:rFonts w:cs="Times New Roman"/>
          <w:kern w:val="22"/>
          <w:szCs w:val="22"/>
        </w:rPr>
        <w:t xml:space="preserve">updated version of the online reporting tool aligned with the reporting format of the sixth national </w:t>
      </w:r>
      <w:r w:rsidR="00273DFD" w:rsidRPr="002F5491">
        <w:rPr>
          <w:rFonts w:cs="Times New Roman"/>
          <w:kern w:val="22"/>
          <w:szCs w:val="22"/>
        </w:rPr>
        <w:t>report, a</w:t>
      </w:r>
      <w:r w:rsidR="00A624A2" w:rsidRPr="002F5491">
        <w:rPr>
          <w:rFonts w:cs="Times New Roman"/>
          <w:kern w:val="22"/>
          <w:szCs w:val="22"/>
        </w:rPr>
        <w:t>n analyser for the financial reporting framework</w:t>
      </w:r>
      <w:r w:rsidR="00273DFD" w:rsidRPr="002F5491">
        <w:rPr>
          <w:rFonts w:cs="Times New Roman"/>
          <w:kern w:val="22"/>
          <w:szCs w:val="22"/>
        </w:rPr>
        <w:t>, a</w:t>
      </w:r>
      <w:r w:rsidR="00A624A2" w:rsidRPr="002F5491">
        <w:rPr>
          <w:rFonts w:cs="Times New Roman"/>
          <w:kern w:val="22"/>
          <w:szCs w:val="22"/>
        </w:rPr>
        <w:t>n enhanced website for the United Nations D</w:t>
      </w:r>
      <w:r w:rsidR="00273DFD" w:rsidRPr="002F5491">
        <w:rPr>
          <w:rFonts w:cs="Times New Roman"/>
          <w:kern w:val="22"/>
          <w:szCs w:val="22"/>
        </w:rPr>
        <w:t>ecade on Biodiversity 2011</w:t>
      </w:r>
      <w:r w:rsidR="00273DFD" w:rsidRPr="002F5491">
        <w:rPr>
          <w:rFonts w:cs="Times New Roman"/>
          <w:kern w:val="22"/>
          <w:szCs w:val="22"/>
        </w:rPr>
        <w:noBreakHyphen/>
        <w:t>2020, a</w:t>
      </w:r>
      <w:r w:rsidR="00A624A2" w:rsidRPr="002F5491">
        <w:rPr>
          <w:rFonts w:cs="Times New Roman"/>
          <w:kern w:val="22"/>
          <w:szCs w:val="22"/>
        </w:rPr>
        <w:t xml:space="preserve"> web platfor</w:t>
      </w:r>
      <w:r w:rsidR="00273DFD" w:rsidRPr="002F5491">
        <w:rPr>
          <w:rFonts w:cs="Times New Roman"/>
          <w:kern w:val="22"/>
          <w:szCs w:val="22"/>
        </w:rPr>
        <w:t>m for the Bio-Bridge Initiative, a</w:t>
      </w:r>
      <w:r w:rsidR="00A624A2" w:rsidRPr="002F5491">
        <w:rPr>
          <w:rFonts w:cs="Times New Roman"/>
          <w:kern w:val="22"/>
          <w:szCs w:val="22"/>
        </w:rPr>
        <w:t>n e-learning web platfo</w:t>
      </w:r>
      <w:r w:rsidR="00273DFD" w:rsidRPr="002F5491">
        <w:rPr>
          <w:rFonts w:cs="Times New Roman"/>
          <w:kern w:val="22"/>
          <w:szCs w:val="22"/>
        </w:rPr>
        <w:t>rm based on the Moodle software and a</w:t>
      </w:r>
      <w:r w:rsidR="00A624A2" w:rsidRPr="002F5491">
        <w:rPr>
          <w:rFonts w:cs="Times New Roman"/>
          <w:kern w:val="22"/>
          <w:szCs w:val="22"/>
        </w:rPr>
        <w:t xml:space="preserve"> national report analyser for the Nagoya Protocol.</w:t>
      </w:r>
    </w:p>
    <w:p w:rsidR="004C7BEC" w:rsidRPr="002F5491" w:rsidRDefault="00B7690E" w:rsidP="00420CC5">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lastRenderedPageBreak/>
        <w:t>In</w:t>
      </w:r>
      <w:r w:rsidR="004C7BEC" w:rsidRPr="002F5491">
        <w:rPr>
          <w:rFonts w:cs="Times New Roman"/>
          <w:kern w:val="22"/>
          <w:szCs w:val="22"/>
        </w:rPr>
        <w:t xml:space="preserve"> August 2017, an “Intra-Secretariat Web Strategy Task Force” </w:t>
      </w:r>
      <w:r w:rsidR="00A624A2" w:rsidRPr="002F5491">
        <w:rPr>
          <w:rFonts w:cs="Times New Roman"/>
          <w:kern w:val="22"/>
          <w:szCs w:val="22"/>
        </w:rPr>
        <w:t xml:space="preserve">was established </w:t>
      </w:r>
      <w:r w:rsidR="004C7BEC" w:rsidRPr="002F5491">
        <w:rPr>
          <w:rFonts w:cs="Times New Roman"/>
          <w:kern w:val="22"/>
          <w:szCs w:val="22"/>
        </w:rPr>
        <w:t>to coordinate and facilitate the implementation of th</w:t>
      </w:r>
      <w:r w:rsidR="00FB30F4" w:rsidRPr="002F5491">
        <w:rPr>
          <w:rFonts w:cs="Times New Roman"/>
          <w:kern w:val="22"/>
          <w:szCs w:val="22"/>
        </w:rPr>
        <w:t>e</w:t>
      </w:r>
      <w:r w:rsidR="004C7BEC" w:rsidRPr="002F5491">
        <w:rPr>
          <w:rFonts w:cs="Times New Roman"/>
          <w:kern w:val="22"/>
          <w:szCs w:val="22"/>
        </w:rPr>
        <w:t xml:space="preserve"> web strategy in line with the communications strategy. Th</w:t>
      </w:r>
      <w:r w:rsidR="00FB30F4" w:rsidRPr="002F5491">
        <w:rPr>
          <w:rFonts w:cs="Times New Roman"/>
          <w:kern w:val="22"/>
          <w:szCs w:val="22"/>
        </w:rPr>
        <w:t>e</w:t>
      </w:r>
      <w:r w:rsidR="004C7BEC" w:rsidRPr="002F5491">
        <w:rPr>
          <w:rFonts w:cs="Times New Roman"/>
          <w:kern w:val="22"/>
          <w:szCs w:val="22"/>
        </w:rPr>
        <w:t xml:space="preserve"> task force </w:t>
      </w:r>
      <w:r w:rsidR="00A624A2" w:rsidRPr="002F5491">
        <w:rPr>
          <w:rFonts w:cs="Times New Roman"/>
          <w:kern w:val="22"/>
          <w:szCs w:val="22"/>
        </w:rPr>
        <w:t>developed</w:t>
      </w:r>
      <w:r w:rsidR="004C7BEC" w:rsidRPr="002F5491">
        <w:rPr>
          <w:rFonts w:cs="Times New Roman"/>
          <w:kern w:val="22"/>
          <w:szCs w:val="22"/>
        </w:rPr>
        <w:t xml:space="preserve"> a</w:t>
      </w:r>
      <w:r w:rsidR="00FB30F4" w:rsidRPr="002F5491">
        <w:rPr>
          <w:rFonts w:cs="Times New Roman"/>
          <w:kern w:val="22"/>
          <w:szCs w:val="22"/>
        </w:rPr>
        <w:t>n implementation approach and a roadmap</w:t>
      </w:r>
      <w:r w:rsidR="004C7BEC" w:rsidRPr="002F5491">
        <w:rPr>
          <w:rFonts w:cs="Times New Roman"/>
          <w:kern w:val="22"/>
          <w:szCs w:val="22"/>
        </w:rPr>
        <w:t xml:space="preserve"> </w:t>
      </w:r>
      <w:r w:rsidR="00FB30F4" w:rsidRPr="002F5491">
        <w:rPr>
          <w:rFonts w:cs="Times New Roman"/>
          <w:kern w:val="22"/>
          <w:szCs w:val="22"/>
        </w:rPr>
        <w:t>which includes</w:t>
      </w:r>
      <w:r w:rsidRPr="002F5491">
        <w:rPr>
          <w:rFonts w:cs="Times New Roman"/>
          <w:kern w:val="22"/>
          <w:szCs w:val="22"/>
        </w:rPr>
        <w:t xml:space="preserve"> two</w:t>
      </w:r>
      <w:r w:rsidR="00FB30F4" w:rsidRPr="002F5491">
        <w:rPr>
          <w:rFonts w:cs="Times New Roman"/>
          <w:kern w:val="22"/>
          <w:szCs w:val="22"/>
        </w:rPr>
        <w:t xml:space="preserve"> </w:t>
      </w:r>
      <w:r w:rsidR="004C7BEC" w:rsidRPr="002F5491">
        <w:rPr>
          <w:rFonts w:cs="Times New Roman"/>
          <w:kern w:val="22"/>
          <w:szCs w:val="22"/>
        </w:rPr>
        <w:t>phase</w:t>
      </w:r>
      <w:r w:rsidR="00FB30F4" w:rsidRPr="002F5491">
        <w:rPr>
          <w:rFonts w:cs="Times New Roman"/>
          <w:kern w:val="22"/>
          <w:szCs w:val="22"/>
        </w:rPr>
        <w:t xml:space="preserve">s. The </w:t>
      </w:r>
      <w:r w:rsidR="004C7BEC" w:rsidRPr="002F5491">
        <w:rPr>
          <w:rFonts w:cs="Times New Roman"/>
          <w:kern w:val="22"/>
          <w:szCs w:val="22"/>
        </w:rPr>
        <w:t xml:space="preserve">first phase </w:t>
      </w:r>
      <w:r w:rsidR="00FB30F4" w:rsidRPr="002F5491">
        <w:rPr>
          <w:rFonts w:cs="Times New Roman"/>
          <w:kern w:val="22"/>
          <w:szCs w:val="22"/>
        </w:rPr>
        <w:t xml:space="preserve">will </w:t>
      </w:r>
      <w:r w:rsidR="004C7BEC" w:rsidRPr="002F5491">
        <w:rPr>
          <w:rFonts w:cs="Times New Roman"/>
          <w:kern w:val="22"/>
          <w:szCs w:val="22"/>
        </w:rPr>
        <w:t xml:space="preserve">run until </w:t>
      </w:r>
      <w:r w:rsidR="001415F9" w:rsidRPr="002F5491">
        <w:rPr>
          <w:rFonts w:cs="Times New Roman"/>
          <w:kern w:val="22"/>
          <w:szCs w:val="22"/>
        </w:rPr>
        <w:t>the fourteenth meeting of the Conference of the Parties</w:t>
      </w:r>
      <w:r w:rsidR="000E6C12" w:rsidRPr="002F5491">
        <w:rPr>
          <w:rFonts w:cs="Times New Roman"/>
          <w:kern w:val="22"/>
          <w:szCs w:val="22"/>
        </w:rPr>
        <w:t>,</w:t>
      </w:r>
      <w:r w:rsidR="00FB30F4" w:rsidRPr="002F5491">
        <w:rPr>
          <w:rFonts w:cs="Times New Roman"/>
          <w:kern w:val="22"/>
          <w:szCs w:val="22"/>
        </w:rPr>
        <w:t xml:space="preserve"> focus</w:t>
      </w:r>
      <w:r w:rsidR="001F7CF7" w:rsidRPr="002F5491">
        <w:rPr>
          <w:rFonts w:cs="Times New Roman"/>
          <w:kern w:val="22"/>
          <w:szCs w:val="22"/>
        </w:rPr>
        <w:t xml:space="preserve">ing </w:t>
      </w:r>
      <w:r w:rsidR="00FB30F4" w:rsidRPr="002F5491">
        <w:rPr>
          <w:rFonts w:cs="Times New Roman"/>
          <w:kern w:val="22"/>
          <w:szCs w:val="22"/>
        </w:rPr>
        <w:t xml:space="preserve">on </w:t>
      </w:r>
      <w:r w:rsidR="001415F9" w:rsidRPr="002F5491">
        <w:rPr>
          <w:rFonts w:cs="Times New Roman"/>
          <w:szCs w:val="22"/>
        </w:rPr>
        <w:t xml:space="preserve">urgent activities and </w:t>
      </w:r>
      <w:r w:rsidR="001415F9" w:rsidRPr="002F5491">
        <w:rPr>
          <w:rFonts w:cs="Times New Roman"/>
          <w:kern w:val="22"/>
          <w:szCs w:val="22"/>
        </w:rPr>
        <w:t>deliverables expected</w:t>
      </w:r>
      <w:r w:rsidR="000E6C12" w:rsidRPr="002F5491">
        <w:rPr>
          <w:rFonts w:cs="Times New Roman"/>
          <w:kern w:val="22"/>
          <w:szCs w:val="22"/>
        </w:rPr>
        <w:t xml:space="preserve"> to be completed</w:t>
      </w:r>
      <w:r w:rsidR="001415F9" w:rsidRPr="002F5491">
        <w:rPr>
          <w:rFonts w:cs="Times New Roman"/>
          <w:kern w:val="22"/>
          <w:szCs w:val="22"/>
        </w:rPr>
        <w:t xml:space="preserve"> by that meeting, </w:t>
      </w:r>
      <w:r w:rsidR="001415F9" w:rsidRPr="002F5491">
        <w:rPr>
          <w:rFonts w:cs="Times New Roman"/>
          <w:szCs w:val="22"/>
        </w:rPr>
        <w:t xml:space="preserve">as requested by </w:t>
      </w:r>
      <w:r w:rsidR="00763282" w:rsidRPr="002F5491">
        <w:rPr>
          <w:rFonts w:cs="Times New Roman"/>
          <w:szCs w:val="22"/>
        </w:rPr>
        <w:t>the Conference of the Parties</w:t>
      </w:r>
      <w:r w:rsidR="001415F9" w:rsidRPr="002F5491">
        <w:rPr>
          <w:rFonts w:cs="Times New Roman"/>
          <w:szCs w:val="22"/>
        </w:rPr>
        <w:t xml:space="preserve">. </w:t>
      </w:r>
      <w:r w:rsidR="001415F9" w:rsidRPr="002F5491">
        <w:rPr>
          <w:rFonts w:cs="Times New Roman"/>
          <w:kern w:val="22"/>
          <w:szCs w:val="22"/>
        </w:rPr>
        <w:t xml:space="preserve">The first phase will also include </w:t>
      </w:r>
      <w:r w:rsidR="001415F9" w:rsidRPr="002F5491">
        <w:rPr>
          <w:rFonts w:cs="Times New Roman"/>
          <w:szCs w:val="22"/>
        </w:rPr>
        <w:t xml:space="preserve">the development of the first version of a new CBD website, which is expected to </w:t>
      </w:r>
      <w:r w:rsidR="001415F9" w:rsidRPr="002F5491">
        <w:rPr>
          <w:rFonts w:cs="Times New Roman"/>
          <w:kern w:val="22"/>
          <w:szCs w:val="22"/>
        </w:rPr>
        <w:t xml:space="preserve">be </w:t>
      </w:r>
      <w:r w:rsidR="001415F9" w:rsidRPr="002F5491">
        <w:rPr>
          <w:rFonts w:cs="Times New Roman"/>
          <w:szCs w:val="22"/>
        </w:rPr>
        <w:t>more dynamic, attractive and user-friendly.</w:t>
      </w:r>
      <w:r w:rsidR="001415F9" w:rsidRPr="002F5491">
        <w:rPr>
          <w:rFonts w:cs="Times New Roman"/>
          <w:kern w:val="22"/>
          <w:szCs w:val="22"/>
        </w:rPr>
        <w:t xml:space="preserve"> The </w:t>
      </w:r>
      <w:r w:rsidRPr="002F5491">
        <w:rPr>
          <w:rFonts w:cs="Times New Roman"/>
          <w:kern w:val="22"/>
          <w:szCs w:val="22"/>
        </w:rPr>
        <w:t>second</w:t>
      </w:r>
      <w:r w:rsidR="004C7BEC" w:rsidRPr="002F5491">
        <w:rPr>
          <w:rFonts w:cs="Times New Roman"/>
          <w:kern w:val="22"/>
          <w:szCs w:val="22"/>
        </w:rPr>
        <w:t xml:space="preserve"> </w:t>
      </w:r>
      <w:r w:rsidR="00FB30F4" w:rsidRPr="002F5491">
        <w:rPr>
          <w:rFonts w:cs="Times New Roman"/>
          <w:kern w:val="22"/>
          <w:szCs w:val="22"/>
        </w:rPr>
        <w:t>phase</w:t>
      </w:r>
      <w:r w:rsidR="004C7BEC" w:rsidRPr="002F5491">
        <w:rPr>
          <w:rFonts w:cs="Times New Roman"/>
          <w:kern w:val="22"/>
          <w:szCs w:val="22"/>
        </w:rPr>
        <w:t xml:space="preserve"> </w:t>
      </w:r>
      <w:r w:rsidR="001F7CF7" w:rsidRPr="002F5491">
        <w:rPr>
          <w:rFonts w:cs="Times New Roman"/>
          <w:kern w:val="22"/>
          <w:szCs w:val="22"/>
        </w:rPr>
        <w:t xml:space="preserve">will run </w:t>
      </w:r>
      <w:r w:rsidR="004C7BEC" w:rsidRPr="002F5491">
        <w:rPr>
          <w:rFonts w:cs="Times New Roman"/>
          <w:kern w:val="22"/>
          <w:szCs w:val="22"/>
        </w:rPr>
        <w:t>until the fifteenth meeting of the Conference of the Parties</w:t>
      </w:r>
      <w:r w:rsidR="001415F9" w:rsidRPr="002F5491">
        <w:rPr>
          <w:rFonts w:cs="Times New Roman"/>
          <w:kern w:val="22"/>
          <w:szCs w:val="22"/>
        </w:rPr>
        <w:t xml:space="preserve"> in 2020 and</w:t>
      </w:r>
      <w:r w:rsidR="004C7BEC" w:rsidRPr="002F5491">
        <w:rPr>
          <w:rFonts w:cs="Times New Roman"/>
          <w:kern w:val="22"/>
          <w:szCs w:val="22"/>
        </w:rPr>
        <w:t xml:space="preserve"> </w:t>
      </w:r>
      <w:r w:rsidR="003E78A0" w:rsidRPr="002F5491">
        <w:rPr>
          <w:rFonts w:cs="Times New Roman"/>
          <w:kern w:val="22"/>
          <w:szCs w:val="22"/>
        </w:rPr>
        <w:t>will focus on</w:t>
      </w:r>
      <w:r w:rsidR="004C7BEC" w:rsidRPr="002F5491">
        <w:rPr>
          <w:rFonts w:cs="Times New Roman"/>
          <w:kern w:val="22"/>
          <w:szCs w:val="22"/>
        </w:rPr>
        <w:t xml:space="preserve"> </w:t>
      </w:r>
      <w:r w:rsidR="00A772D1" w:rsidRPr="002F5491">
        <w:rPr>
          <w:rFonts w:cs="Times New Roman"/>
          <w:kern w:val="22"/>
          <w:szCs w:val="22"/>
        </w:rPr>
        <w:t xml:space="preserve">the </w:t>
      </w:r>
      <w:r w:rsidR="004C7BEC" w:rsidRPr="002F5491">
        <w:rPr>
          <w:rFonts w:cs="Times New Roman"/>
          <w:kern w:val="22"/>
          <w:szCs w:val="22"/>
        </w:rPr>
        <w:t>implement</w:t>
      </w:r>
      <w:r w:rsidR="003E78A0" w:rsidRPr="002F5491">
        <w:rPr>
          <w:rFonts w:cs="Times New Roman"/>
          <w:kern w:val="22"/>
          <w:szCs w:val="22"/>
        </w:rPr>
        <w:t>ation of</w:t>
      </w:r>
      <w:r w:rsidR="004C7BEC" w:rsidRPr="002F5491">
        <w:rPr>
          <w:rFonts w:cs="Times New Roman"/>
          <w:kern w:val="22"/>
          <w:szCs w:val="22"/>
        </w:rPr>
        <w:t xml:space="preserve"> the remaining deliverables identified in th</w:t>
      </w:r>
      <w:r w:rsidR="003E78A0" w:rsidRPr="002F5491">
        <w:rPr>
          <w:rFonts w:cs="Times New Roman"/>
          <w:kern w:val="22"/>
          <w:szCs w:val="22"/>
        </w:rPr>
        <w:t>e</w:t>
      </w:r>
      <w:r w:rsidR="004C7BEC" w:rsidRPr="002F5491">
        <w:rPr>
          <w:rFonts w:cs="Times New Roman"/>
          <w:kern w:val="22"/>
          <w:szCs w:val="22"/>
        </w:rPr>
        <w:t xml:space="preserve"> web strategy</w:t>
      </w:r>
      <w:r w:rsidR="003E78A0" w:rsidRPr="002F5491">
        <w:rPr>
          <w:rFonts w:cs="Times New Roman"/>
          <w:kern w:val="22"/>
          <w:szCs w:val="22"/>
        </w:rPr>
        <w:t xml:space="preserve"> and</w:t>
      </w:r>
      <w:r w:rsidR="004C7BEC" w:rsidRPr="002F5491">
        <w:rPr>
          <w:rFonts w:cs="Times New Roman"/>
          <w:kern w:val="22"/>
          <w:szCs w:val="22"/>
        </w:rPr>
        <w:t xml:space="preserve"> </w:t>
      </w:r>
      <w:r w:rsidR="003E78A0" w:rsidRPr="002F5491">
        <w:rPr>
          <w:rFonts w:cs="Times New Roman"/>
          <w:kern w:val="22"/>
          <w:szCs w:val="22"/>
        </w:rPr>
        <w:t xml:space="preserve">further improvement of </w:t>
      </w:r>
      <w:r w:rsidR="00072ABE" w:rsidRPr="002F5491">
        <w:rPr>
          <w:rFonts w:cs="Times New Roman"/>
          <w:kern w:val="22"/>
          <w:szCs w:val="22"/>
        </w:rPr>
        <w:t>first</w:t>
      </w:r>
      <w:r w:rsidR="00D94E20">
        <w:rPr>
          <w:rFonts w:cs="Times New Roman"/>
          <w:kern w:val="22"/>
          <w:szCs w:val="22"/>
        </w:rPr>
        <w:t>-</w:t>
      </w:r>
      <w:r w:rsidR="003E78A0" w:rsidRPr="002F5491">
        <w:rPr>
          <w:rFonts w:cs="Times New Roman"/>
          <w:kern w:val="22"/>
          <w:szCs w:val="22"/>
        </w:rPr>
        <w:t>p</w:t>
      </w:r>
      <w:r w:rsidR="004C7BEC" w:rsidRPr="002F5491">
        <w:rPr>
          <w:rFonts w:cs="Times New Roman"/>
          <w:kern w:val="22"/>
          <w:szCs w:val="22"/>
        </w:rPr>
        <w:t>hase</w:t>
      </w:r>
      <w:r w:rsidR="00D94E20">
        <w:rPr>
          <w:rFonts w:cs="Times New Roman"/>
          <w:kern w:val="22"/>
          <w:szCs w:val="22"/>
        </w:rPr>
        <w:t xml:space="preserve"> </w:t>
      </w:r>
      <w:r w:rsidR="003E78A0" w:rsidRPr="002F5491">
        <w:rPr>
          <w:rFonts w:cs="Times New Roman"/>
          <w:kern w:val="22"/>
          <w:szCs w:val="22"/>
        </w:rPr>
        <w:t>deliverables. The</w:t>
      </w:r>
      <w:r w:rsidR="001415F9" w:rsidRPr="002F5491">
        <w:rPr>
          <w:rFonts w:cs="Times New Roman"/>
          <w:kern w:val="22"/>
          <w:szCs w:val="22"/>
        </w:rPr>
        <w:t xml:space="preserve"> list of</w:t>
      </w:r>
      <w:r w:rsidR="003E78A0" w:rsidRPr="002F5491">
        <w:rPr>
          <w:rFonts w:cs="Times New Roman"/>
          <w:kern w:val="22"/>
          <w:szCs w:val="22"/>
        </w:rPr>
        <w:t xml:space="preserve"> </w:t>
      </w:r>
      <w:r w:rsidR="001415F9" w:rsidRPr="002F5491">
        <w:rPr>
          <w:rFonts w:cs="Times New Roman"/>
          <w:kern w:val="22"/>
          <w:szCs w:val="22"/>
        </w:rPr>
        <w:t xml:space="preserve">activities and </w:t>
      </w:r>
      <w:r w:rsidRPr="002F5491">
        <w:rPr>
          <w:rFonts w:cs="Times New Roman"/>
          <w:kern w:val="22"/>
          <w:szCs w:val="22"/>
        </w:rPr>
        <w:t xml:space="preserve">deliverables </w:t>
      </w:r>
      <w:r w:rsidR="00273DFD" w:rsidRPr="002F5491">
        <w:rPr>
          <w:rFonts w:cs="Times New Roman"/>
          <w:kern w:val="22"/>
          <w:szCs w:val="22"/>
        </w:rPr>
        <w:t xml:space="preserve">for the two phases are </w:t>
      </w:r>
      <w:r w:rsidR="001415F9" w:rsidRPr="002F5491">
        <w:rPr>
          <w:rFonts w:cs="Times New Roman"/>
          <w:kern w:val="22"/>
          <w:szCs w:val="22"/>
        </w:rPr>
        <w:t>presented</w:t>
      </w:r>
      <w:r w:rsidR="00273DFD" w:rsidRPr="002F5491">
        <w:rPr>
          <w:rFonts w:cs="Times New Roman"/>
          <w:kern w:val="22"/>
          <w:szCs w:val="22"/>
        </w:rPr>
        <w:t xml:space="preserve"> in the </w:t>
      </w:r>
      <w:r w:rsidR="00420CC5" w:rsidRPr="002F5491">
        <w:rPr>
          <w:rFonts w:cs="Times New Roman"/>
          <w:kern w:val="22"/>
          <w:szCs w:val="22"/>
        </w:rPr>
        <w:t xml:space="preserve">draft updated </w:t>
      </w:r>
      <w:r w:rsidR="001415F9" w:rsidRPr="002F5491">
        <w:rPr>
          <w:rFonts w:cs="Times New Roman"/>
          <w:kern w:val="22"/>
          <w:szCs w:val="22"/>
        </w:rPr>
        <w:t xml:space="preserve">web </w:t>
      </w:r>
      <w:r w:rsidR="00420CC5" w:rsidRPr="002F5491">
        <w:rPr>
          <w:rFonts w:cs="Times New Roman"/>
          <w:kern w:val="22"/>
          <w:szCs w:val="22"/>
        </w:rPr>
        <w:t>strategy</w:t>
      </w:r>
      <w:r w:rsidR="00294A40" w:rsidRPr="002F5491">
        <w:rPr>
          <w:rFonts w:cs="Times New Roman"/>
          <w:kern w:val="22"/>
          <w:szCs w:val="22"/>
        </w:rPr>
        <w:t>,</w:t>
      </w:r>
      <w:r w:rsidR="00BE0DC2" w:rsidRPr="002F5491">
        <w:rPr>
          <w:rFonts w:cs="Times New Roman"/>
          <w:kern w:val="22"/>
          <w:szCs w:val="22"/>
        </w:rPr>
        <w:t xml:space="preserve"> </w:t>
      </w:r>
      <w:r w:rsidR="00420CC5" w:rsidRPr="002F5491">
        <w:rPr>
          <w:rFonts w:cs="Times New Roman"/>
          <w:kern w:val="22"/>
          <w:szCs w:val="22"/>
        </w:rPr>
        <w:t xml:space="preserve">made available </w:t>
      </w:r>
      <w:r w:rsidR="00420CC5" w:rsidRPr="002F5491">
        <w:rPr>
          <w:rFonts w:cs="Times New Roman"/>
          <w:color w:val="000000"/>
          <w:kern w:val="22"/>
          <w:szCs w:val="22"/>
        </w:rPr>
        <w:t>as information document CBD/SBI/2/</w:t>
      </w:r>
      <w:r w:rsidR="00170570" w:rsidRPr="002F5491">
        <w:rPr>
          <w:rFonts w:cs="Times New Roman"/>
          <w:color w:val="000000"/>
          <w:kern w:val="22"/>
          <w:szCs w:val="22"/>
        </w:rPr>
        <w:t>INF/</w:t>
      </w:r>
      <w:r w:rsidR="004A4750" w:rsidRPr="002F5491">
        <w:rPr>
          <w:rFonts w:cs="Times New Roman"/>
          <w:color w:val="000000"/>
          <w:kern w:val="22"/>
          <w:szCs w:val="22"/>
        </w:rPr>
        <w:t>16</w:t>
      </w:r>
      <w:r w:rsidR="00420CC5" w:rsidRPr="002F5491">
        <w:rPr>
          <w:rFonts w:cs="Times New Roman"/>
          <w:color w:val="000000"/>
          <w:kern w:val="22"/>
          <w:szCs w:val="22"/>
        </w:rPr>
        <w:t>.</w:t>
      </w:r>
    </w:p>
    <w:p w:rsidR="00813AFA" w:rsidRPr="002F5491" w:rsidRDefault="007B61DF" w:rsidP="001C7FD7">
      <w:pPr>
        <w:pStyle w:val="Heading2"/>
        <w:rPr>
          <w:rFonts w:cs="Times New Roman"/>
          <w:i w:val="0"/>
          <w:kern w:val="22"/>
          <w:szCs w:val="22"/>
        </w:rPr>
      </w:pPr>
      <w:r w:rsidRPr="002F5491">
        <w:rPr>
          <w:rFonts w:cs="Times New Roman"/>
          <w:i w:val="0"/>
          <w:kern w:val="22"/>
          <w:szCs w:val="22"/>
        </w:rPr>
        <w:t>C</w:t>
      </w:r>
      <w:r w:rsidR="003E78A0" w:rsidRPr="002F5491">
        <w:rPr>
          <w:rFonts w:cs="Times New Roman"/>
          <w:i w:val="0"/>
          <w:kern w:val="22"/>
          <w:szCs w:val="22"/>
        </w:rPr>
        <w:t>.</w:t>
      </w:r>
      <w:r w:rsidR="003E78A0" w:rsidRPr="002F5491">
        <w:rPr>
          <w:rFonts w:cs="Times New Roman"/>
          <w:i w:val="0"/>
          <w:kern w:val="22"/>
          <w:szCs w:val="22"/>
        </w:rPr>
        <w:tab/>
      </w:r>
      <w:r w:rsidR="001C7FD7" w:rsidRPr="002F5491">
        <w:rPr>
          <w:rFonts w:cs="Times New Roman"/>
          <w:i w:val="0"/>
          <w:kern w:val="22"/>
          <w:szCs w:val="22"/>
        </w:rPr>
        <w:t>Web translation</w:t>
      </w:r>
    </w:p>
    <w:p w:rsidR="00813AFA" w:rsidRPr="002F5491" w:rsidRDefault="009465F1" w:rsidP="00D82870">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With regard to web translation, the Secretariat of the Convention upgraded its web translation software through the purchase and setup of several licen</w:t>
      </w:r>
      <w:r w:rsidR="00D82870">
        <w:rPr>
          <w:rFonts w:cs="Times New Roman"/>
          <w:kern w:val="22"/>
          <w:szCs w:val="22"/>
        </w:rPr>
        <w:t>c</w:t>
      </w:r>
      <w:r w:rsidRPr="002F5491">
        <w:rPr>
          <w:rFonts w:cs="Times New Roman"/>
          <w:kern w:val="22"/>
          <w:szCs w:val="22"/>
        </w:rPr>
        <w:t xml:space="preserve">es </w:t>
      </w:r>
      <w:r w:rsidR="00D82870">
        <w:rPr>
          <w:rFonts w:cs="Times New Roman"/>
          <w:kern w:val="22"/>
          <w:szCs w:val="22"/>
        </w:rPr>
        <w:t>for</w:t>
      </w:r>
      <w:r w:rsidR="00D82870" w:rsidRPr="002F5491">
        <w:rPr>
          <w:rFonts w:cs="Times New Roman"/>
          <w:kern w:val="22"/>
          <w:szCs w:val="22"/>
        </w:rPr>
        <w:t xml:space="preserve"> </w:t>
      </w:r>
      <w:r w:rsidRPr="002F5491">
        <w:rPr>
          <w:rFonts w:cs="Times New Roman"/>
          <w:kern w:val="22"/>
          <w:szCs w:val="22"/>
        </w:rPr>
        <w:t>the SDL Trados Studio 2017 software. After the necessary technical adjustments and testing, the web translation process resumed in all six official languages of the United Nations (Arabic, Chinese, English, French, Russian and Spanish) with the translator roster and the available budget, including voluntary funding from the European Union. For the period from 1 June</w:t>
      </w:r>
      <w:r w:rsidR="0086580B" w:rsidRPr="002F5491">
        <w:rPr>
          <w:rFonts w:cs="Times New Roman"/>
          <w:kern w:val="22"/>
          <w:szCs w:val="22"/>
        </w:rPr>
        <w:t xml:space="preserve"> 2017</w:t>
      </w:r>
      <w:r w:rsidRPr="002F5491">
        <w:rPr>
          <w:rFonts w:cs="Times New Roman"/>
          <w:kern w:val="22"/>
          <w:szCs w:val="22"/>
        </w:rPr>
        <w:t xml:space="preserve"> to 28 February 2018, overall web translation amounted to 307,093 words (69,385 in Arabic, 59,133 in Chinese, 53,998 in French, 64,837 in Russian and 59,740 in Spanish</w:t>
      </w:r>
      <w:r w:rsidR="00813AFA" w:rsidRPr="002F5491">
        <w:rPr>
          <w:rFonts w:cs="Times New Roman"/>
          <w:kern w:val="22"/>
          <w:szCs w:val="22"/>
        </w:rPr>
        <w:t>).</w:t>
      </w:r>
    </w:p>
    <w:p w:rsidR="00813AFA" w:rsidRPr="002F5491" w:rsidRDefault="007B61DF" w:rsidP="00813AFA">
      <w:pPr>
        <w:pStyle w:val="Heading2"/>
        <w:rPr>
          <w:rFonts w:cs="Times New Roman"/>
          <w:i w:val="0"/>
          <w:kern w:val="22"/>
          <w:szCs w:val="22"/>
        </w:rPr>
      </w:pPr>
      <w:r w:rsidRPr="002F5491">
        <w:rPr>
          <w:rFonts w:cs="Times New Roman"/>
          <w:i w:val="0"/>
          <w:kern w:val="22"/>
          <w:szCs w:val="22"/>
        </w:rPr>
        <w:t>D</w:t>
      </w:r>
      <w:r w:rsidR="00813AFA" w:rsidRPr="002F5491">
        <w:rPr>
          <w:rFonts w:cs="Times New Roman"/>
          <w:i w:val="0"/>
          <w:kern w:val="22"/>
          <w:szCs w:val="22"/>
        </w:rPr>
        <w:t>.</w:t>
      </w:r>
      <w:r w:rsidR="00813AFA" w:rsidRPr="002F5491">
        <w:rPr>
          <w:rFonts w:cs="Times New Roman"/>
          <w:i w:val="0"/>
          <w:kern w:val="22"/>
          <w:szCs w:val="22"/>
        </w:rPr>
        <w:tab/>
        <w:t>Online reporting tool</w:t>
      </w:r>
    </w:p>
    <w:p w:rsidR="007657F1" w:rsidRPr="002F5491" w:rsidRDefault="00813AFA" w:rsidP="00490AC5">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paragraph 18(a) of decision XII/2 B, the Conference of the Parties requested the Executive Secretary to establish a fully functional online reporting tool </w:t>
      </w:r>
      <w:r w:rsidR="00490AC5" w:rsidRPr="002F5491">
        <w:rPr>
          <w:rFonts w:cs="Times New Roman"/>
          <w:kern w:val="22"/>
          <w:szCs w:val="22"/>
        </w:rPr>
        <w:t>to enable</w:t>
      </w:r>
      <w:r w:rsidRPr="002F5491">
        <w:rPr>
          <w:rFonts w:cs="Times New Roman"/>
          <w:kern w:val="22"/>
          <w:szCs w:val="22"/>
        </w:rPr>
        <w:t xml:space="preserve"> Parties to submit, on a voluntary basis, information on their progress towards national targets and the Aichi Biodiversity Targets, directly involving Parties in the development a</w:t>
      </w:r>
      <w:r w:rsidR="00490AC5" w:rsidRPr="002F5491">
        <w:rPr>
          <w:rFonts w:cs="Times New Roman"/>
          <w:kern w:val="22"/>
          <w:szCs w:val="22"/>
        </w:rPr>
        <w:t xml:space="preserve">nd testing of this tool. </w:t>
      </w:r>
      <w:r w:rsidR="005A4CE0" w:rsidRPr="002F5491">
        <w:rPr>
          <w:rFonts w:cs="Times New Roman"/>
          <w:kern w:val="22"/>
          <w:szCs w:val="22"/>
        </w:rPr>
        <w:t xml:space="preserve">In </w:t>
      </w:r>
      <w:r w:rsidR="00490AC5" w:rsidRPr="002F5491">
        <w:rPr>
          <w:rFonts w:cs="Times New Roman"/>
          <w:kern w:val="22"/>
          <w:szCs w:val="22"/>
        </w:rPr>
        <w:t xml:space="preserve">response </w:t>
      </w:r>
      <w:r w:rsidR="0040235D" w:rsidRPr="002F5491">
        <w:rPr>
          <w:rFonts w:cs="Times New Roman"/>
          <w:kern w:val="22"/>
          <w:szCs w:val="22"/>
        </w:rPr>
        <w:t xml:space="preserve">to </w:t>
      </w:r>
      <w:r w:rsidR="005A4CE0" w:rsidRPr="002F5491">
        <w:rPr>
          <w:rFonts w:cs="Times New Roman"/>
          <w:kern w:val="22"/>
          <w:szCs w:val="22"/>
        </w:rPr>
        <w:t>this decision and to</w:t>
      </w:r>
      <w:r w:rsidRPr="002F5491">
        <w:rPr>
          <w:rFonts w:cs="Times New Roman"/>
          <w:kern w:val="22"/>
          <w:szCs w:val="22"/>
        </w:rPr>
        <w:t xml:space="preserve"> paragrap</w:t>
      </w:r>
      <w:r w:rsidR="00490AC5" w:rsidRPr="002F5491">
        <w:rPr>
          <w:rFonts w:cs="Times New Roman"/>
          <w:kern w:val="22"/>
          <w:szCs w:val="22"/>
        </w:rPr>
        <w:t xml:space="preserve">h 2(b) of decision XIII/27, </w:t>
      </w:r>
      <w:r w:rsidRPr="002F5491">
        <w:rPr>
          <w:rFonts w:cs="Times New Roman"/>
          <w:kern w:val="22"/>
          <w:szCs w:val="22"/>
        </w:rPr>
        <w:t>the Executive Secretary further develop</w:t>
      </w:r>
      <w:r w:rsidR="005A4CE0" w:rsidRPr="002F5491">
        <w:rPr>
          <w:rFonts w:cs="Times New Roman"/>
          <w:kern w:val="22"/>
          <w:szCs w:val="22"/>
        </w:rPr>
        <w:t>ed</w:t>
      </w:r>
      <w:r w:rsidRPr="002F5491">
        <w:rPr>
          <w:rFonts w:cs="Times New Roman"/>
          <w:kern w:val="22"/>
          <w:szCs w:val="22"/>
        </w:rPr>
        <w:t xml:space="preserve"> the voluntary online reporting tool </w:t>
      </w:r>
      <w:r w:rsidR="005A4CE0" w:rsidRPr="002F5491">
        <w:rPr>
          <w:rFonts w:cs="Times New Roman"/>
          <w:kern w:val="22"/>
          <w:szCs w:val="22"/>
        </w:rPr>
        <w:t xml:space="preserve">and aligned </w:t>
      </w:r>
      <w:r w:rsidRPr="002F5491">
        <w:rPr>
          <w:rFonts w:cs="Times New Roman"/>
          <w:kern w:val="22"/>
          <w:szCs w:val="22"/>
        </w:rPr>
        <w:t>it with the reporting templates for the sixth national report</w:t>
      </w:r>
      <w:r w:rsidR="005A4CE0" w:rsidRPr="002F5491">
        <w:rPr>
          <w:rFonts w:cs="Times New Roman"/>
          <w:kern w:val="22"/>
          <w:szCs w:val="22"/>
        </w:rPr>
        <w:t xml:space="preserve">. </w:t>
      </w:r>
      <w:r w:rsidRPr="002F5491">
        <w:rPr>
          <w:rFonts w:cs="Times New Roman"/>
          <w:kern w:val="22"/>
          <w:szCs w:val="22"/>
        </w:rPr>
        <w:t>The tool was announced through notification 2017-031, issued on 31 March 2017</w:t>
      </w:r>
      <w:r w:rsidR="0040235D" w:rsidRPr="002F5491">
        <w:rPr>
          <w:rFonts w:cs="Times New Roman"/>
          <w:kern w:val="22"/>
          <w:szCs w:val="22"/>
        </w:rPr>
        <w:t>,</w:t>
      </w:r>
      <w:r w:rsidRPr="002F5491">
        <w:rPr>
          <w:rFonts w:cs="Times New Roman"/>
          <w:kern w:val="22"/>
          <w:szCs w:val="22"/>
        </w:rPr>
        <w:t xml:space="preserve"> and is accessible through </w:t>
      </w:r>
      <w:r w:rsidR="00B7690E" w:rsidRPr="002F5491">
        <w:rPr>
          <w:rFonts w:cs="Times New Roman"/>
          <w:kern w:val="22"/>
          <w:szCs w:val="22"/>
        </w:rPr>
        <w:t xml:space="preserve">Information Submission Services of </w:t>
      </w:r>
      <w:r w:rsidRPr="002F5491">
        <w:rPr>
          <w:rFonts w:cs="Times New Roman"/>
          <w:kern w:val="22"/>
          <w:szCs w:val="22"/>
        </w:rPr>
        <w:t xml:space="preserve">the clearing-house mechanism at </w:t>
      </w:r>
      <w:hyperlink r:id="rId16" w:history="1">
        <w:r w:rsidRPr="002F5491">
          <w:rPr>
            <w:rStyle w:val="Hyperlink"/>
            <w:rFonts w:cs="Times New Roman"/>
            <w:kern w:val="22"/>
            <w:szCs w:val="22"/>
          </w:rPr>
          <w:t>https://chm.cbd.int</w:t>
        </w:r>
      </w:hyperlink>
      <w:r w:rsidRPr="002F5491">
        <w:rPr>
          <w:rFonts w:cs="Times New Roman"/>
          <w:kern w:val="22"/>
          <w:szCs w:val="22"/>
        </w:rPr>
        <w:t xml:space="preserve"> in the six United Nations languages</w:t>
      </w:r>
      <w:r w:rsidR="009170D3" w:rsidRPr="002F5491">
        <w:rPr>
          <w:rFonts w:cs="Times New Roman"/>
          <w:kern w:val="22"/>
          <w:szCs w:val="22"/>
        </w:rPr>
        <w:t xml:space="preserve">. Further information is provided in document </w:t>
      </w:r>
      <w:r w:rsidR="009170D3" w:rsidRPr="002F5491">
        <w:rPr>
          <w:rFonts w:cs="Times New Roman"/>
          <w:color w:val="000000"/>
          <w:kern w:val="22"/>
          <w:szCs w:val="22"/>
        </w:rPr>
        <w:t>CBD/SBI/2/12 on national reporting</w:t>
      </w:r>
      <w:r w:rsidR="009170D3" w:rsidRPr="002F5491">
        <w:rPr>
          <w:rFonts w:cs="Times New Roman"/>
          <w:kern w:val="22"/>
          <w:szCs w:val="22"/>
        </w:rPr>
        <w:t>.</w:t>
      </w:r>
    </w:p>
    <w:p w:rsidR="00224E59" w:rsidRPr="002F5491" w:rsidRDefault="00813AFA" w:rsidP="009170D3">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National Focal Points have been given the right to publish national information and to grant access to this tool to other users by assigning them the role of National Publishing Authority or National Authorized User, as appropriate. If needed, users can get assistance through a live help button at the bottom of each page or through the </w:t>
      </w:r>
      <w:hyperlink r:id="rId17" w:history="1">
        <w:r w:rsidRPr="002F5491">
          <w:rPr>
            <w:rStyle w:val="Hyperlink"/>
            <w:rFonts w:cs="Times New Roman"/>
            <w:kern w:val="22"/>
            <w:szCs w:val="22"/>
          </w:rPr>
          <w:t>onlinereporting@cbd.int</w:t>
        </w:r>
      </w:hyperlink>
      <w:r w:rsidRPr="002F5491">
        <w:rPr>
          <w:rFonts w:cs="Times New Roman"/>
          <w:kern w:val="22"/>
          <w:szCs w:val="22"/>
        </w:rPr>
        <w:t xml:space="preserve"> email address</w:t>
      </w:r>
      <w:r w:rsidR="00E83B6C" w:rsidRPr="002F5491">
        <w:rPr>
          <w:rFonts w:cs="Times New Roman"/>
          <w:kern w:val="22"/>
          <w:szCs w:val="22"/>
        </w:rPr>
        <w:t>.</w:t>
      </w:r>
      <w:r w:rsidR="009170D3" w:rsidRPr="002F5491">
        <w:rPr>
          <w:rFonts w:cs="Times New Roman"/>
          <w:kern w:val="22"/>
          <w:szCs w:val="22"/>
        </w:rPr>
        <w:t xml:space="preserve"> </w:t>
      </w:r>
      <w:r w:rsidR="001F417F" w:rsidRPr="002F5491">
        <w:rPr>
          <w:rFonts w:cs="Times New Roman"/>
          <w:kern w:val="22"/>
          <w:szCs w:val="22"/>
        </w:rPr>
        <w:t>Further e</w:t>
      </w:r>
      <w:r w:rsidR="00490AC5" w:rsidRPr="002F5491">
        <w:rPr>
          <w:rFonts w:cs="Times New Roman"/>
          <w:kern w:val="22"/>
          <w:szCs w:val="22"/>
        </w:rPr>
        <w:t xml:space="preserve">fforts have been made </w:t>
      </w:r>
      <w:r w:rsidR="00224E59" w:rsidRPr="002F5491">
        <w:rPr>
          <w:rFonts w:cs="Times New Roman"/>
          <w:kern w:val="22"/>
          <w:szCs w:val="22"/>
        </w:rPr>
        <w:t>to develop a common infrastructure for the three clearing-houses as part of implementation of the web strategy for the Convention and its Protocols.</w:t>
      </w:r>
      <w:r w:rsidR="007657F1" w:rsidRPr="002F5491">
        <w:rPr>
          <w:rFonts w:cs="Times New Roman"/>
          <w:kern w:val="22"/>
          <w:szCs w:val="22"/>
        </w:rPr>
        <w:t xml:space="preserve"> Technical details, </w:t>
      </w:r>
      <w:r w:rsidR="009170D3" w:rsidRPr="002F5491">
        <w:rPr>
          <w:rFonts w:cs="Times New Roman"/>
          <w:kern w:val="22"/>
          <w:szCs w:val="22"/>
        </w:rPr>
        <w:t>including</w:t>
      </w:r>
      <w:r w:rsidR="00224E59" w:rsidRPr="002F5491">
        <w:rPr>
          <w:rFonts w:cs="Times New Roman"/>
          <w:kern w:val="22"/>
          <w:szCs w:val="22"/>
        </w:rPr>
        <w:t xml:space="preserve"> common portal accounts, design and access</w:t>
      </w:r>
      <w:r w:rsidR="009170D3" w:rsidRPr="002F5491">
        <w:rPr>
          <w:rFonts w:cs="Times New Roman"/>
          <w:kern w:val="22"/>
          <w:szCs w:val="22"/>
        </w:rPr>
        <w:t>,</w:t>
      </w:r>
      <w:r w:rsidR="00224E59" w:rsidRPr="002F5491">
        <w:rPr>
          <w:rFonts w:cs="Times New Roman"/>
          <w:kern w:val="22"/>
          <w:szCs w:val="22"/>
        </w:rPr>
        <w:t xml:space="preserve"> are </w:t>
      </w:r>
      <w:r w:rsidR="007657F1" w:rsidRPr="002F5491">
        <w:rPr>
          <w:rFonts w:cs="Times New Roman"/>
          <w:kern w:val="22"/>
          <w:szCs w:val="22"/>
        </w:rPr>
        <w:t>provided</w:t>
      </w:r>
      <w:r w:rsidR="00224E59" w:rsidRPr="002F5491">
        <w:rPr>
          <w:rFonts w:cs="Times New Roman"/>
          <w:kern w:val="22"/>
          <w:szCs w:val="22"/>
        </w:rPr>
        <w:t xml:space="preserve"> in the updated web strategy</w:t>
      </w:r>
      <w:r w:rsidR="007657F1" w:rsidRPr="002F5491">
        <w:rPr>
          <w:rFonts w:cs="Times New Roman"/>
          <w:kern w:val="22"/>
          <w:szCs w:val="22"/>
        </w:rPr>
        <w:t xml:space="preserve"> (</w:t>
      </w:r>
      <w:r w:rsidR="007657F1" w:rsidRPr="002F5491">
        <w:rPr>
          <w:rFonts w:cs="Times New Roman"/>
          <w:color w:val="000000"/>
          <w:kern w:val="22"/>
          <w:szCs w:val="22"/>
        </w:rPr>
        <w:t>CBD/SBI/2/</w:t>
      </w:r>
      <w:r w:rsidR="00170570" w:rsidRPr="002F5491">
        <w:rPr>
          <w:rFonts w:cs="Times New Roman"/>
          <w:color w:val="000000"/>
          <w:kern w:val="22"/>
          <w:szCs w:val="22"/>
        </w:rPr>
        <w:t>INF/</w:t>
      </w:r>
      <w:r w:rsidR="00AA57AB" w:rsidRPr="002F5491">
        <w:rPr>
          <w:rFonts w:cs="Times New Roman"/>
          <w:color w:val="000000"/>
          <w:kern w:val="22"/>
          <w:szCs w:val="22"/>
        </w:rPr>
        <w:t>1</w:t>
      </w:r>
      <w:r w:rsidR="00170570" w:rsidRPr="002F5491">
        <w:rPr>
          <w:rFonts w:cs="Times New Roman"/>
          <w:color w:val="000000"/>
          <w:kern w:val="22"/>
          <w:szCs w:val="22"/>
        </w:rPr>
        <w:t>6</w:t>
      </w:r>
      <w:r w:rsidR="007657F1" w:rsidRPr="002F5491">
        <w:rPr>
          <w:rFonts w:cs="Times New Roman"/>
          <w:kern w:val="22"/>
          <w:szCs w:val="22"/>
        </w:rPr>
        <w:t>)</w:t>
      </w:r>
      <w:r w:rsidR="00224E59" w:rsidRPr="002F5491">
        <w:rPr>
          <w:rFonts w:cs="Times New Roman"/>
          <w:kern w:val="22"/>
          <w:szCs w:val="22"/>
        </w:rPr>
        <w:t xml:space="preserve"> and supporting technical documentation on its implementation.</w:t>
      </w:r>
    </w:p>
    <w:p w:rsidR="00813AFA" w:rsidRPr="002F5491" w:rsidRDefault="007B61DF" w:rsidP="00813AFA">
      <w:pPr>
        <w:pStyle w:val="Heading2"/>
        <w:rPr>
          <w:rFonts w:cs="Times New Roman"/>
          <w:i w:val="0"/>
          <w:kern w:val="22"/>
          <w:szCs w:val="22"/>
        </w:rPr>
      </w:pPr>
      <w:r w:rsidRPr="002F5491">
        <w:rPr>
          <w:rFonts w:cs="Times New Roman"/>
          <w:i w:val="0"/>
          <w:kern w:val="22"/>
          <w:szCs w:val="22"/>
        </w:rPr>
        <w:t>E</w:t>
      </w:r>
      <w:r w:rsidR="00813AFA" w:rsidRPr="002F5491">
        <w:rPr>
          <w:rFonts w:cs="Times New Roman"/>
          <w:i w:val="0"/>
          <w:kern w:val="22"/>
          <w:szCs w:val="22"/>
        </w:rPr>
        <w:t>.</w:t>
      </w:r>
      <w:r w:rsidR="00813AFA" w:rsidRPr="002F5491">
        <w:rPr>
          <w:rFonts w:cs="Times New Roman"/>
          <w:i w:val="0"/>
          <w:kern w:val="22"/>
          <w:szCs w:val="22"/>
        </w:rPr>
        <w:tab/>
        <w:t>Interoperability</w:t>
      </w:r>
    </w:p>
    <w:p w:rsidR="00813AFA" w:rsidRPr="002F5491" w:rsidRDefault="00813AFA" w:rsidP="00EF3A51">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18 (b) of decision XII/2 B, the Executive Secretary was requested to develop interoperability with national clearing-house mechanisms, among which is the existing portal tool</w:t>
      </w:r>
      <w:r w:rsidR="002E5B56" w:rsidRPr="002F5491">
        <w:rPr>
          <w:rFonts w:cs="Times New Roman"/>
          <w:kern w:val="22"/>
          <w:szCs w:val="22"/>
        </w:rPr>
        <w:t xml:space="preserve"> </w:t>
      </w:r>
      <w:r w:rsidRPr="002F5491">
        <w:rPr>
          <w:rFonts w:cs="Times New Roman"/>
          <w:kern w:val="22"/>
          <w:szCs w:val="22"/>
        </w:rPr>
        <w:t xml:space="preserve">kit </w:t>
      </w:r>
      <w:r w:rsidR="00963FB2" w:rsidRPr="002F5491">
        <w:rPr>
          <w:rFonts w:cs="Times New Roman"/>
          <w:kern w:val="22"/>
          <w:szCs w:val="22"/>
        </w:rPr>
        <w:t xml:space="preserve">(PTK) </w:t>
      </w:r>
      <w:r w:rsidRPr="002F5491">
        <w:rPr>
          <w:rFonts w:cs="Times New Roman"/>
          <w:kern w:val="22"/>
          <w:szCs w:val="22"/>
        </w:rPr>
        <w:t>used by many national and regional clearing-house mechanisms. In response to this request, th</w:t>
      </w:r>
      <w:r w:rsidR="00EF3A51" w:rsidRPr="002F5491">
        <w:rPr>
          <w:rFonts w:cs="Times New Roman"/>
          <w:kern w:val="22"/>
          <w:szCs w:val="22"/>
        </w:rPr>
        <w:t xml:space="preserve">e Executive Secretary </w:t>
      </w:r>
      <w:r w:rsidRPr="002F5491">
        <w:rPr>
          <w:rFonts w:cs="Times New Roman"/>
          <w:kern w:val="22"/>
          <w:szCs w:val="22"/>
        </w:rPr>
        <w:t>embarked on the development of an application programming interface (API) to enable interoperability with national clearing-house mechanisms or other partners.</w:t>
      </w:r>
      <w:r w:rsidR="00EF3A51" w:rsidRPr="002F5491">
        <w:rPr>
          <w:rFonts w:cs="Times New Roman"/>
          <w:kern w:val="22"/>
          <w:szCs w:val="22"/>
        </w:rPr>
        <w:t xml:space="preserve"> </w:t>
      </w:r>
      <w:r w:rsidR="00A90898" w:rsidRPr="002F5491">
        <w:rPr>
          <w:rFonts w:cs="Times New Roman"/>
          <w:kern w:val="22"/>
          <w:szCs w:val="22"/>
        </w:rPr>
        <w:t>The API has evolved to become the primary way of accessing the</w:t>
      </w:r>
      <w:r w:rsidR="00722F57" w:rsidRPr="002F5491">
        <w:rPr>
          <w:rFonts w:cs="Times New Roman"/>
          <w:kern w:val="22"/>
          <w:szCs w:val="22"/>
        </w:rPr>
        <w:t xml:space="preserve"> </w:t>
      </w:r>
      <w:r w:rsidR="00763282" w:rsidRPr="002F5491">
        <w:rPr>
          <w:rFonts w:cs="Times New Roman"/>
          <w:kern w:val="22"/>
          <w:szCs w:val="22"/>
        </w:rPr>
        <w:t>c</w:t>
      </w:r>
      <w:r w:rsidR="00722F57" w:rsidRPr="002F5491">
        <w:rPr>
          <w:rFonts w:cs="Times New Roman"/>
          <w:kern w:val="22"/>
          <w:szCs w:val="22"/>
        </w:rPr>
        <w:t xml:space="preserve">learing </w:t>
      </w:r>
      <w:r w:rsidR="00763282" w:rsidRPr="002F5491">
        <w:rPr>
          <w:rFonts w:cs="Times New Roman"/>
          <w:kern w:val="22"/>
          <w:szCs w:val="22"/>
        </w:rPr>
        <w:t>h</w:t>
      </w:r>
      <w:r w:rsidR="00722F57" w:rsidRPr="002F5491">
        <w:rPr>
          <w:rFonts w:cs="Times New Roman"/>
          <w:kern w:val="22"/>
          <w:szCs w:val="22"/>
        </w:rPr>
        <w:t xml:space="preserve">ouse </w:t>
      </w:r>
      <w:r w:rsidR="00763282" w:rsidRPr="002F5491">
        <w:rPr>
          <w:rFonts w:cs="Times New Roman"/>
          <w:kern w:val="22"/>
          <w:szCs w:val="22"/>
        </w:rPr>
        <w:t>m</w:t>
      </w:r>
      <w:r w:rsidR="00722F57" w:rsidRPr="002F5491">
        <w:rPr>
          <w:rFonts w:cs="Times New Roman"/>
          <w:kern w:val="22"/>
          <w:szCs w:val="22"/>
        </w:rPr>
        <w:t>echanism</w:t>
      </w:r>
      <w:r w:rsidR="00A90898" w:rsidRPr="002F5491">
        <w:rPr>
          <w:rFonts w:cs="Times New Roman"/>
          <w:kern w:val="22"/>
          <w:szCs w:val="22"/>
        </w:rPr>
        <w:t xml:space="preserve"> records. This approach means that </w:t>
      </w:r>
      <w:r w:rsidR="00EF3A51" w:rsidRPr="002F5491">
        <w:rPr>
          <w:rFonts w:cs="Times New Roman"/>
          <w:kern w:val="22"/>
          <w:szCs w:val="22"/>
        </w:rPr>
        <w:t>information submission s</w:t>
      </w:r>
      <w:r w:rsidR="00A90898" w:rsidRPr="002F5491">
        <w:rPr>
          <w:rFonts w:cs="Times New Roman"/>
          <w:kern w:val="22"/>
          <w:szCs w:val="22"/>
        </w:rPr>
        <w:t xml:space="preserve">ervices of the clearing-house mechanism built on the new web infrastructure, such as the online reporting tool and the decision-tracking tool all use this API to store and retrieve their records. Moreover, the source code of these online systems is available as open-source projects on the </w:t>
      </w:r>
      <w:r w:rsidR="00A90898" w:rsidRPr="002F5491">
        <w:rPr>
          <w:rFonts w:cs="Times New Roman"/>
          <w:kern w:val="22"/>
          <w:szCs w:val="22"/>
        </w:rPr>
        <w:lastRenderedPageBreak/>
        <w:t xml:space="preserve">GitHub online repository at </w:t>
      </w:r>
      <w:hyperlink r:id="rId18" w:history="1">
        <w:r w:rsidR="00A90898" w:rsidRPr="002F5491">
          <w:rPr>
            <w:rFonts w:cs="Times New Roman"/>
            <w:szCs w:val="22"/>
          </w:rPr>
          <w:t>https://github.com/scbd</w:t>
        </w:r>
      </w:hyperlink>
      <w:r w:rsidR="00A90898" w:rsidRPr="002F5491">
        <w:rPr>
          <w:rFonts w:cs="Times New Roman"/>
          <w:kern w:val="22"/>
          <w:szCs w:val="22"/>
        </w:rPr>
        <w:t>. Further work on the API will be aligned with the web strategy implementation process.</w:t>
      </w:r>
    </w:p>
    <w:p w:rsidR="00813AFA" w:rsidRPr="002F5491" w:rsidRDefault="00813AFA"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18 (c) of decision XII/2 B, the Executive Secretary was requested to maintain interoperability with InforMEA to allow relevant information on the Convention on Biological Diversity to be globally searchable on the InforMEA website (</w:t>
      </w:r>
      <w:hyperlink r:id="rId19" w:history="1">
        <w:r w:rsidR="00963FB2" w:rsidRPr="002F5491">
          <w:rPr>
            <w:rStyle w:val="Hyperlink"/>
            <w:rFonts w:cs="Times New Roman"/>
            <w:kern w:val="22"/>
            <w:szCs w:val="22"/>
          </w:rPr>
          <w:t>http://www.informea.org</w:t>
        </w:r>
      </w:hyperlink>
      <w:r w:rsidRPr="002F5491">
        <w:rPr>
          <w:rFonts w:cs="Times New Roman"/>
          <w:kern w:val="22"/>
          <w:szCs w:val="22"/>
        </w:rPr>
        <w:t>)</w:t>
      </w:r>
      <w:r w:rsidR="005913BB" w:rsidRPr="002F5491">
        <w:rPr>
          <w:rFonts w:cs="Times New Roman"/>
          <w:kern w:val="22"/>
          <w:szCs w:val="22"/>
        </w:rPr>
        <w:t>, which is accessible through the CBD website</w:t>
      </w:r>
      <w:r w:rsidRPr="002F5491">
        <w:rPr>
          <w:rFonts w:cs="Times New Roman"/>
          <w:kern w:val="22"/>
          <w:szCs w:val="22"/>
        </w:rPr>
        <w:t xml:space="preserve">. The Secretariat has been implementing and maintaining the InforMEA API based on the specifications available at </w:t>
      </w:r>
      <w:hyperlink r:id="rId20" w:history="1">
        <w:r w:rsidR="00963FB2" w:rsidRPr="002F5491">
          <w:rPr>
            <w:rStyle w:val="Hyperlink"/>
            <w:rFonts w:cs="Times New Roman"/>
            <w:kern w:val="22"/>
            <w:szCs w:val="22"/>
          </w:rPr>
          <w:t>http://www.informea.org/about/api</w:t>
        </w:r>
      </w:hyperlink>
      <w:r w:rsidRPr="002F5491">
        <w:rPr>
          <w:rFonts w:cs="Times New Roman"/>
          <w:kern w:val="22"/>
          <w:szCs w:val="22"/>
        </w:rPr>
        <w:t>.</w:t>
      </w:r>
    </w:p>
    <w:p w:rsidR="00813AFA" w:rsidRPr="002F5491" w:rsidRDefault="007B61DF" w:rsidP="00813AFA">
      <w:pPr>
        <w:pStyle w:val="Heading2"/>
        <w:rPr>
          <w:rFonts w:cs="Times New Roman"/>
          <w:i w:val="0"/>
          <w:kern w:val="22"/>
          <w:szCs w:val="22"/>
        </w:rPr>
      </w:pPr>
      <w:r w:rsidRPr="002F5491">
        <w:rPr>
          <w:rFonts w:cs="Times New Roman"/>
          <w:i w:val="0"/>
          <w:kern w:val="22"/>
          <w:szCs w:val="22"/>
        </w:rPr>
        <w:t>F</w:t>
      </w:r>
      <w:r w:rsidR="00813AFA" w:rsidRPr="002F5491">
        <w:rPr>
          <w:rFonts w:cs="Times New Roman"/>
          <w:i w:val="0"/>
          <w:kern w:val="22"/>
          <w:szCs w:val="22"/>
        </w:rPr>
        <w:t>.</w:t>
      </w:r>
      <w:r w:rsidR="00813AFA" w:rsidRPr="002F5491">
        <w:rPr>
          <w:rFonts w:cs="Times New Roman"/>
          <w:i w:val="0"/>
          <w:kern w:val="22"/>
          <w:szCs w:val="22"/>
        </w:rPr>
        <w:tab/>
        <w:t>Support to national clearing-house mechanisms</w:t>
      </w:r>
    </w:p>
    <w:p w:rsidR="00813AFA" w:rsidRPr="002F5491" w:rsidRDefault="000437C2" w:rsidP="000437C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decision XII/2 B, the Conference of the Parties invited Parties and partners to provide support to developing country Parties that were developing their national clearing-house mechanisms (para. 15), and it also invited Parties and donors to continue to provide financial support to establish and strengthen their national clearing-house mechanisms, including for content preparation and for translation to facilitate the sharing of </w:t>
      </w:r>
      <w:r w:rsidR="00541F8F" w:rsidRPr="002F5491">
        <w:rPr>
          <w:rFonts w:cs="Times New Roman"/>
          <w:kern w:val="22"/>
          <w:szCs w:val="22"/>
        </w:rPr>
        <w:t>information and knowledge (para</w:t>
      </w:r>
      <w:r w:rsidR="00763282" w:rsidRPr="002F5491">
        <w:rPr>
          <w:rFonts w:cs="Times New Roman"/>
          <w:kern w:val="22"/>
          <w:szCs w:val="22"/>
        </w:rPr>
        <w:t>.</w:t>
      </w:r>
      <w:r w:rsidR="00541F8F" w:rsidRPr="002F5491">
        <w:rPr>
          <w:rFonts w:cs="Times New Roman"/>
          <w:kern w:val="22"/>
          <w:szCs w:val="22"/>
        </w:rPr>
        <w:t xml:space="preserve"> </w:t>
      </w:r>
      <w:r w:rsidRPr="002F5491">
        <w:rPr>
          <w:rFonts w:cs="Times New Roman"/>
          <w:kern w:val="22"/>
          <w:szCs w:val="22"/>
        </w:rPr>
        <w:t xml:space="preserve">16). </w:t>
      </w:r>
      <w:r w:rsidR="00813AFA" w:rsidRPr="002F5491">
        <w:rPr>
          <w:rFonts w:cs="Times New Roman"/>
          <w:kern w:val="22"/>
          <w:szCs w:val="22"/>
        </w:rPr>
        <w:t xml:space="preserve">In paragraph 12 of decision XIII/23, the Conference of the Parties encouraged Parties to continue their efforts to </w:t>
      </w:r>
      <w:proofErr w:type="gramStart"/>
      <w:r w:rsidR="00813AFA" w:rsidRPr="002F5491">
        <w:rPr>
          <w:rFonts w:cs="Times New Roman"/>
          <w:kern w:val="22"/>
          <w:szCs w:val="22"/>
        </w:rPr>
        <w:t>establish,</w:t>
      </w:r>
      <w:proofErr w:type="gramEnd"/>
      <w:r w:rsidR="00813AFA" w:rsidRPr="002F5491">
        <w:rPr>
          <w:rFonts w:cs="Times New Roman"/>
          <w:kern w:val="22"/>
          <w:szCs w:val="22"/>
        </w:rPr>
        <w:t xml:space="preserve"> sustain and further develop effective national clearing-house mechanisms in support of their national biodiversity strategies and action plans.</w:t>
      </w:r>
      <w:r w:rsidRPr="002F5491">
        <w:rPr>
          <w:rFonts w:cs="Times New Roman"/>
          <w:kern w:val="22"/>
          <w:szCs w:val="22"/>
        </w:rPr>
        <w:t xml:space="preserve"> </w:t>
      </w:r>
    </w:p>
    <w:p w:rsidR="00813AFA" w:rsidRPr="002F5491" w:rsidRDefault="000437C2" w:rsidP="00694DE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Secretariat provided support for the development of national CHMs during 2017-2018. This included organization of two regional capacity-building workshops on the CHM referred to in </w:t>
      </w:r>
      <w:r w:rsidR="009215CC" w:rsidRPr="002F5491">
        <w:rPr>
          <w:rFonts w:cs="Times New Roman"/>
          <w:kern w:val="22"/>
          <w:szCs w:val="22"/>
        </w:rPr>
        <w:t>document CBD/SBI/2/</w:t>
      </w:r>
      <w:r w:rsidR="00170570" w:rsidRPr="002F5491">
        <w:rPr>
          <w:rFonts w:cs="Times New Roman"/>
          <w:kern w:val="22"/>
          <w:szCs w:val="22"/>
        </w:rPr>
        <w:t>INF/6</w:t>
      </w:r>
      <w:r w:rsidR="009215CC" w:rsidRPr="002F5491">
        <w:rPr>
          <w:rFonts w:cs="Times New Roman"/>
          <w:kern w:val="22"/>
          <w:szCs w:val="22"/>
        </w:rPr>
        <w:t xml:space="preserve"> </w:t>
      </w:r>
      <w:r w:rsidRPr="002F5491">
        <w:rPr>
          <w:rFonts w:cs="Times New Roman"/>
          <w:kern w:val="22"/>
          <w:szCs w:val="22"/>
        </w:rPr>
        <w:t xml:space="preserve">as well as support to further develop and rollout the Bioland tool facilitating the establishment of national CHMs. </w:t>
      </w:r>
      <w:r w:rsidR="00813AFA" w:rsidRPr="002F5491">
        <w:rPr>
          <w:rFonts w:cs="Times New Roman"/>
          <w:kern w:val="22"/>
          <w:szCs w:val="22"/>
        </w:rPr>
        <w:t>The first version of the Bioland tool to assist Parties in the establishment of their national clearing</w:t>
      </w:r>
      <w:r w:rsidR="00813AFA" w:rsidRPr="002F5491">
        <w:rPr>
          <w:rFonts w:cs="Times New Roman"/>
          <w:kern w:val="22"/>
          <w:szCs w:val="22"/>
        </w:rPr>
        <w:noBreakHyphen/>
        <w:t xml:space="preserve">house mechanisms was presented in the two above-mentioned workshops held in Ethiopia and Togo. Since then, the Secretariat has </w:t>
      </w:r>
      <w:r w:rsidR="00E83B6C" w:rsidRPr="002F5491">
        <w:rPr>
          <w:rFonts w:cs="Times New Roman"/>
          <w:kern w:val="22"/>
          <w:szCs w:val="22"/>
        </w:rPr>
        <w:t>prepared</w:t>
      </w:r>
      <w:r w:rsidR="00813AFA" w:rsidRPr="002F5491">
        <w:rPr>
          <w:rFonts w:cs="Times New Roman"/>
          <w:kern w:val="22"/>
          <w:szCs w:val="22"/>
        </w:rPr>
        <w:t xml:space="preserve"> an upgraded version of this tool. Among other things, this new version is expected to facilitate the migration from existing national CHM built with the European CHM PTK to the new Bioland tool. The current version of this tool can be visualized at</w:t>
      </w:r>
      <w:r w:rsidR="00963FB2" w:rsidRPr="002F5491">
        <w:rPr>
          <w:rFonts w:cs="Times New Roman"/>
          <w:kern w:val="22"/>
          <w:szCs w:val="22"/>
        </w:rPr>
        <w:t xml:space="preserve"> </w:t>
      </w:r>
      <w:hyperlink r:id="rId21" w:history="1">
        <w:r w:rsidR="00963FB2" w:rsidRPr="002F5491">
          <w:rPr>
            <w:rFonts w:cs="Times New Roman"/>
            <w:szCs w:val="22"/>
          </w:rPr>
          <w:t>https://demo.chm-cbd.net</w:t>
        </w:r>
      </w:hyperlink>
      <w:r w:rsidR="00813AFA" w:rsidRPr="002F5491">
        <w:rPr>
          <w:rFonts w:cs="Times New Roman"/>
          <w:kern w:val="22"/>
          <w:szCs w:val="22"/>
        </w:rPr>
        <w:t>.</w:t>
      </w:r>
      <w:r w:rsidR="00963FB2" w:rsidRPr="002F5491">
        <w:rPr>
          <w:rFonts w:cs="Times New Roman"/>
          <w:kern w:val="22"/>
          <w:szCs w:val="22"/>
        </w:rPr>
        <w:t xml:space="preserve"> </w:t>
      </w:r>
      <w:r w:rsidR="00EF3A51" w:rsidRPr="002F5491">
        <w:rPr>
          <w:rFonts w:cs="Times New Roman"/>
          <w:kern w:val="22"/>
          <w:szCs w:val="22"/>
        </w:rPr>
        <w:t>Several P</w:t>
      </w:r>
      <w:r w:rsidRPr="002F5491">
        <w:rPr>
          <w:rFonts w:cs="Times New Roman"/>
          <w:kern w:val="22"/>
          <w:szCs w:val="22"/>
        </w:rPr>
        <w:t xml:space="preserve">arties that had already established a national clearing-house mechanism have expressed interest in </w:t>
      </w:r>
      <w:proofErr w:type="gramStart"/>
      <w:r w:rsidRPr="002F5491">
        <w:rPr>
          <w:rFonts w:cs="Times New Roman"/>
          <w:kern w:val="22"/>
          <w:szCs w:val="22"/>
        </w:rPr>
        <w:t>migrating</w:t>
      </w:r>
      <w:proofErr w:type="gramEnd"/>
      <w:r w:rsidRPr="002F5491">
        <w:rPr>
          <w:rFonts w:cs="Times New Roman"/>
          <w:kern w:val="22"/>
          <w:szCs w:val="22"/>
        </w:rPr>
        <w:t xml:space="preserve"> their existing national CHM websites to the Bioland tool. As well, the existing European CHM Portal Tool Kit (PTK) that supports more than 30 national CHMs will not be in a position to provide ongoing support to th</w:t>
      </w:r>
      <w:r w:rsidR="006571FE" w:rsidRPr="002F5491">
        <w:rPr>
          <w:rFonts w:cs="Times New Roman"/>
          <w:kern w:val="22"/>
          <w:szCs w:val="22"/>
        </w:rPr>
        <w:t>e</w:t>
      </w:r>
      <w:r w:rsidRPr="002F5491">
        <w:rPr>
          <w:rFonts w:cs="Times New Roman"/>
          <w:kern w:val="22"/>
          <w:szCs w:val="22"/>
        </w:rPr>
        <w:t>s</w:t>
      </w:r>
      <w:r w:rsidR="006571FE" w:rsidRPr="002F5491">
        <w:rPr>
          <w:rFonts w:cs="Times New Roman"/>
          <w:kern w:val="22"/>
          <w:szCs w:val="22"/>
        </w:rPr>
        <w:t>e</w:t>
      </w:r>
      <w:r w:rsidRPr="002F5491">
        <w:rPr>
          <w:rFonts w:cs="Times New Roman"/>
          <w:kern w:val="22"/>
          <w:szCs w:val="22"/>
        </w:rPr>
        <w:t xml:space="preserve"> Parties. Therefore, a process to migrate these national CHMs to the Bioland tool is currently being undertaken</w:t>
      </w:r>
      <w:r w:rsidR="005A2D23" w:rsidRPr="002F5491">
        <w:rPr>
          <w:rFonts w:cs="Times New Roman"/>
          <w:kern w:val="22"/>
          <w:szCs w:val="22"/>
        </w:rPr>
        <w:t xml:space="preserve">. </w:t>
      </w:r>
    </w:p>
    <w:p w:rsidR="00813AFA" w:rsidRPr="002F5491" w:rsidRDefault="007B61DF" w:rsidP="00813AFA">
      <w:pPr>
        <w:pStyle w:val="Heading2"/>
        <w:rPr>
          <w:rFonts w:cs="Times New Roman"/>
          <w:i w:val="0"/>
          <w:kern w:val="22"/>
          <w:szCs w:val="22"/>
        </w:rPr>
      </w:pPr>
      <w:r w:rsidRPr="002F5491">
        <w:rPr>
          <w:rFonts w:cs="Times New Roman"/>
          <w:i w:val="0"/>
          <w:kern w:val="22"/>
          <w:szCs w:val="22"/>
        </w:rPr>
        <w:t>G</w:t>
      </w:r>
      <w:r w:rsidR="00813AFA" w:rsidRPr="002F5491">
        <w:rPr>
          <w:rFonts w:cs="Times New Roman"/>
          <w:i w:val="0"/>
          <w:kern w:val="22"/>
          <w:szCs w:val="22"/>
        </w:rPr>
        <w:t>.</w:t>
      </w:r>
      <w:r w:rsidR="00813AFA" w:rsidRPr="002F5491">
        <w:rPr>
          <w:rFonts w:cs="Times New Roman"/>
          <w:i w:val="0"/>
          <w:kern w:val="22"/>
          <w:szCs w:val="22"/>
        </w:rPr>
        <w:tab/>
        <w:t>Award for national clearing-house mechanisms</w:t>
      </w:r>
    </w:p>
    <w:p w:rsidR="00CA7019" w:rsidRPr="002F5491" w:rsidRDefault="00813AFA" w:rsidP="00EF3A51">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In paragraph 15 of decision XII/2 B, the Conference of the Parties requested the Executive Secretary to propose, in collaboration with the Informal Advisory Committee to the Clearing</w:t>
      </w:r>
      <w:r w:rsidRPr="002F5491">
        <w:rPr>
          <w:rFonts w:cs="Times New Roman"/>
          <w:kern w:val="22"/>
          <w:szCs w:val="22"/>
        </w:rPr>
        <w:noBreakHyphen/>
        <w:t>House Mechanism, a process to grant, at the thirteenth, fourteenth and fifteenth meetings of the Conference of the Parties, subject to the availability of resources, an award to the Parties that would have made the most significant progress in the establishment or further development of their national clearing-house mechanisms.</w:t>
      </w:r>
      <w:r w:rsidR="00EF3A51" w:rsidRPr="002F5491">
        <w:rPr>
          <w:rFonts w:cs="Times New Roman"/>
          <w:kern w:val="22"/>
          <w:szCs w:val="22"/>
        </w:rPr>
        <w:t xml:space="preserve"> </w:t>
      </w:r>
      <w:r w:rsidR="005A2D23" w:rsidRPr="002F5491">
        <w:rPr>
          <w:rFonts w:cs="Times New Roman"/>
          <w:kern w:val="22"/>
          <w:szCs w:val="22"/>
        </w:rPr>
        <w:t xml:space="preserve">As requested, the first set of awards was granted at the thirteenth meeting of the Conference of the Parties. Notification 2018-010 issued 15 January 2018 launched the process for the second set of awards to be granted at </w:t>
      </w:r>
      <w:r w:rsidR="00763282" w:rsidRPr="002F5491">
        <w:rPr>
          <w:rFonts w:cs="Times New Roman"/>
          <w:kern w:val="22"/>
          <w:szCs w:val="22"/>
        </w:rPr>
        <w:t>the fourteenth meeting of the Conference of the Parties</w:t>
      </w:r>
      <w:r w:rsidR="005A2D23" w:rsidRPr="002F5491">
        <w:rPr>
          <w:rFonts w:cs="Times New Roman"/>
          <w:kern w:val="22"/>
          <w:szCs w:val="22"/>
        </w:rPr>
        <w:t>. Parties have until 31 July 2018 to submit their questionnaires as indication of their interest in being considered for the awards</w:t>
      </w:r>
      <w:r w:rsidRPr="002F5491">
        <w:rPr>
          <w:rFonts w:cs="Times New Roman"/>
          <w:kern w:val="22"/>
          <w:szCs w:val="22"/>
        </w:rPr>
        <w:t>.</w:t>
      </w:r>
    </w:p>
    <w:p w:rsidR="00CA7019" w:rsidRPr="002F5491" w:rsidRDefault="007B61DF" w:rsidP="00CA7019">
      <w:pPr>
        <w:pStyle w:val="Heading2"/>
        <w:rPr>
          <w:rFonts w:cs="Times New Roman"/>
          <w:kern w:val="22"/>
          <w:szCs w:val="22"/>
        </w:rPr>
      </w:pPr>
      <w:r w:rsidRPr="002F5491">
        <w:rPr>
          <w:rFonts w:cs="Times New Roman"/>
          <w:i w:val="0"/>
          <w:kern w:val="22"/>
          <w:szCs w:val="22"/>
        </w:rPr>
        <w:t>H</w:t>
      </w:r>
      <w:r w:rsidR="00CA7019" w:rsidRPr="002F5491">
        <w:rPr>
          <w:rFonts w:cs="Times New Roman"/>
          <w:i w:val="0"/>
          <w:kern w:val="22"/>
          <w:szCs w:val="22"/>
        </w:rPr>
        <w:t>.</w:t>
      </w:r>
      <w:r w:rsidR="00CA7019" w:rsidRPr="002F5491">
        <w:rPr>
          <w:rFonts w:cs="Times New Roman"/>
          <w:i w:val="0"/>
          <w:kern w:val="22"/>
          <w:szCs w:val="22"/>
        </w:rPr>
        <w:tab/>
        <w:t>Other initiatives implemented in collaboration with partners</w:t>
      </w:r>
    </w:p>
    <w:p w:rsidR="00CA7019" w:rsidRPr="002F5491" w:rsidRDefault="00813AFA" w:rsidP="00926602">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The Secretariat </w:t>
      </w:r>
      <w:r w:rsidR="000932D0" w:rsidRPr="002F5491">
        <w:rPr>
          <w:rFonts w:cs="Times New Roman"/>
          <w:kern w:val="22"/>
          <w:szCs w:val="22"/>
        </w:rPr>
        <w:t xml:space="preserve">continued to collaborate with the </w:t>
      </w:r>
      <w:r w:rsidRPr="002F5491">
        <w:rPr>
          <w:rFonts w:cs="Times New Roman"/>
          <w:kern w:val="22"/>
          <w:szCs w:val="22"/>
        </w:rPr>
        <w:t xml:space="preserve">Multilateral Environmental Agreement Knowledge Management (MEA-IKM) </w:t>
      </w:r>
      <w:r w:rsidR="000932D0" w:rsidRPr="002F5491">
        <w:rPr>
          <w:rFonts w:cs="Times New Roman"/>
          <w:kern w:val="22"/>
          <w:szCs w:val="22"/>
        </w:rPr>
        <w:t xml:space="preserve">Initiative on various </w:t>
      </w:r>
      <w:r w:rsidR="00694DE2" w:rsidRPr="002F5491">
        <w:rPr>
          <w:rFonts w:cs="Times New Roman"/>
          <w:kern w:val="22"/>
          <w:szCs w:val="22"/>
        </w:rPr>
        <w:t>issues</w:t>
      </w:r>
      <w:r w:rsidRPr="002F5491">
        <w:rPr>
          <w:rFonts w:cs="Times New Roman"/>
          <w:kern w:val="22"/>
          <w:szCs w:val="22"/>
        </w:rPr>
        <w:t xml:space="preserve">, including the Law and Environment Ontology (LEO), interoperability, e-learning, the use of the Akoma-Ntoso format adopted for United Nations documents, and synergies in national reporting through the Data Reporting Tool (DART). Further information </w:t>
      </w:r>
      <w:r w:rsidR="00694DE2" w:rsidRPr="002F5491">
        <w:rPr>
          <w:rFonts w:cs="Times New Roman"/>
          <w:kern w:val="22"/>
          <w:szCs w:val="22"/>
        </w:rPr>
        <w:t xml:space="preserve">is </w:t>
      </w:r>
      <w:r w:rsidRPr="002F5491">
        <w:rPr>
          <w:rFonts w:cs="Times New Roman"/>
          <w:kern w:val="22"/>
          <w:szCs w:val="22"/>
        </w:rPr>
        <w:t xml:space="preserve">available at </w:t>
      </w:r>
      <w:hyperlink r:id="rId22" w:history="1">
        <w:r w:rsidR="00963FB2" w:rsidRPr="002F5491">
          <w:rPr>
            <w:rStyle w:val="Hyperlink"/>
            <w:rFonts w:cs="Times New Roman"/>
            <w:kern w:val="22"/>
            <w:szCs w:val="22"/>
          </w:rPr>
          <w:t>https://www.informea.org/about</w:t>
        </w:r>
      </w:hyperlink>
      <w:r w:rsidRPr="002F5491">
        <w:rPr>
          <w:rFonts w:cs="Times New Roman"/>
          <w:kern w:val="22"/>
          <w:szCs w:val="22"/>
        </w:rPr>
        <w:t>.</w:t>
      </w:r>
    </w:p>
    <w:p w:rsidR="00CA7019" w:rsidRPr="002F5491" w:rsidRDefault="007B61DF" w:rsidP="00CA7019">
      <w:pPr>
        <w:pStyle w:val="Heading2"/>
        <w:rPr>
          <w:rFonts w:cs="Times New Roman"/>
          <w:i w:val="0"/>
          <w:kern w:val="22"/>
          <w:szCs w:val="22"/>
        </w:rPr>
      </w:pPr>
      <w:r w:rsidRPr="002F5491">
        <w:rPr>
          <w:rFonts w:cs="Times New Roman"/>
          <w:i w:val="0"/>
          <w:kern w:val="22"/>
          <w:szCs w:val="22"/>
        </w:rPr>
        <w:lastRenderedPageBreak/>
        <w:t>I</w:t>
      </w:r>
      <w:r w:rsidR="00CA7019" w:rsidRPr="002F5491">
        <w:rPr>
          <w:rFonts w:cs="Times New Roman"/>
          <w:i w:val="0"/>
          <w:kern w:val="22"/>
          <w:szCs w:val="22"/>
        </w:rPr>
        <w:t>.</w:t>
      </w:r>
      <w:r w:rsidR="00CA7019" w:rsidRPr="002F5491">
        <w:rPr>
          <w:rFonts w:cs="Times New Roman"/>
          <w:i w:val="0"/>
          <w:kern w:val="22"/>
          <w:szCs w:val="22"/>
        </w:rPr>
        <w:tab/>
        <w:t>Work of the Informal Advisory Committee to the Clearing-</w:t>
      </w:r>
      <w:r w:rsidR="00A340B7" w:rsidRPr="002F5491">
        <w:rPr>
          <w:rFonts w:cs="Times New Roman"/>
          <w:i w:val="0"/>
          <w:kern w:val="22"/>
          <w:szCs w:val="22"/>
        </w:rPr>
        <w:t>H</w:t>
      </w:r>
      <w:r w:rsidR="00CA7019" w:rsidRPr="002F5491">
        <w:rPr>
          <w:rFonts w:cs="Times New Roman"/>
          <w:i w:val="0"/>
          <w:kern w:val="22"/>
          <w:szCs w:val="22"/>
        </w:rPr>
        <w:t>ouse Mechanism</w:t>
      </w:r>
    </w:p>
    <w:p w:rsidR="005A2D23" w:rsidRPr="002F5491" w:rsidRDefault="005A2D23" w:rsidP="005A2D23">
      <w:pPr>
        <w:pStyle w:val="Para1"/>
        <w:numPr>
          <w:ilvl w:val="0"/>
          <w:numId w:val="14"/>
        </w:numPr>
        <w:suppressLineNumbers/>
        <w:tabs>
          <w:tab w:val="num" w:pos="720"/>
        </w:tabs>
        <w:suppressAutoHyphens/>
        <w:spacing w:before="120"/>
        <w:ind w:left="0" w:firstLine="0"/>
        <w:rPr>
          <w:rFonts w:cs="Times New Roman"/>
          <w:kern w:val="22"/>
          <w:szCs w:val="22"/>
        </w:rPr>
      </w:pPr>
      <w:r w:rsidRPr="002F5491">
        <w:rPr>
          <w:rFonts w:cs="Times New Roman"/>
          <w:kern w:val="22"/>
          <w:szCs w:val="22"/>
        </w:rPr>
        <w:t xml:space="preserve">In paragraph 10 of decision XIII/23, the Conference of the Parties extended the mandate of the Informal Advisory Committee of the Clearing-House Mechanism in accordance with its operational procedures until </w:t>
      </w:r>
      <w:r w:rsidR="00763282" w:rsidRPr="002F5491">
        <w:rPr>
          <w:rFonts w:cs="Times New Roman"/>
          <w:kern w:val="22"/>
          <w:szCs w:val="22"/>
        </w:rPr>
        <w:t>the fifteenth meeting of the Conference of the Parties</w:t>
      </w:r>
      <w:r w:rsidRPr="002F5491">
        <w:rPr>
          <w:rFonts w:cs="Times New Roman"/>
          <w:kern w:val="22"/>
          <w:szCs w:val="22"/>
        </w:rPr>
        <w:t xml:space="preserve">. Accordingly, the Executive Secretary issued notification 2017-015 on 21 February 2017, inviting Parties to nominate candidates, and the composition of the Committee was announced through notification 2017-047, </w:t>
      </w:r>
      <w:r w:rsidR="000932D0" w:rsidRPr="002F5491">
        <w:rPr>
          <w:rFonts w:cs="Times New Roman"/>
          <w:kern w:val="22"/>
          <w:szCs w:val="22"/>
        </w:rPr>
        <w:t>issued on 1 June 2017. An</w:t>
      </w:r>
      <w:r w:rsidRPr="002F5491">
        <w:rPr>
          <w:rFonts w:cs="Times New Roman"/>
          <w:kern w:val="22"/>
          <w:szCs w:val="22"/>
        </w:rPr>
        <w:t xml:space="preserve"> online meeting of the Committee was held on 13 June 2017 </w:t>
      </w:r>
      <w:r w:rsidR="000932D0" w:rsidRPr="002F5491">
        <w:rPr>
          <w:rFonts w:cs="Times New Roman"/>
          <w:kern w:val="22"/>
          <w:szCs w:val="22"/>
        </w:rPr>
        <w:t>and t</w:t>
      </w:r>
      <w:r w:rsidRPr="002F5491">
        <w:rPr>
          <w:rFonts w:cs="Times New Roman"/>
          <w:kern w:val="22"/>
          <w:szCs w:val="22"/>
        </w:rPr>
        <w:t xml:space="preserve">hanks to financial support from the European Union, a two-day face-to-face </w:t>
      </w:r>
      <w:r w:rsidR="00A772D1" w:rsidRPr="002F5491">
        <w:rPr>
          <w:rFonts w:cs="Times New Roman"/>
          <w:kern w:val="22"/>
          <w:szCs w:val="22"/>
        </w:rPr>
        <w:t xml:space="preserve">meeting </w:t>
      </w:r>
      <w:r w:rsidRPr="002F5491">
        <w:rPr>
          <w:rFonts w:cs="Times New Roman"/>
          <w:kern w:val="22"/>
          <w:szCs w:val="22"/>
        </w:rPr>
        <w:t xml:space="preserve">took place </w:t>
      </w:r>
      <w:r w:rsidR="00763282" w:rsidRPr="002F5491">
        <w:rPr>
          <w:rFonts w:cs="Times New Roman"/>
          <w:kern w:val="22"/>
          <w:szCs w:val="22"/>
        </w:rPr>
        <w:t xml:space="preserve">in Montreal </w:t>
      </w:r>
      <w:r w:rsidRPr="002F5491">
        <w:rPr>
          <w:rFonts w:cs="Times New Roman"/>
          <w:kern w:val="22"/>
          <w:szCs w:val="22"/>
        </w:rPr>
        <w:t>on 7</w:t>
      </w:r>
      <w:r w:rsidR="00763282" w:rsidRPr="002F5491">
        <w:rPr>
          <w:rFonts w:cs="Times New Roman"/>
          <w:kern w:val="22"/>
          <w:szCs w:val="22"/>
        </w:rPr>
        <w:t xml:space="preserve"> and </w:t>
      </w:r>
      <w:r w:rsidRPr="002F5491">
        <w:rPr>
          <w:rFonts w:cs="Times New Roman"/>
          <w:kern w:val="22"/>
          <w:szCs w:val="22"/>
        </w:rPr>
        <w:t xml:space="preserve">8 December 2017. The recommendations of that meeting are available in </w:t>
      </w:r>
      <w:r w:rsidRPr="002F5491">
        <w:rPr>
          <w:rFonts w:cs="Times New Roman"/>
          <w:szCs w:val="22"/>
        </w:rPr>
        <w:t>document CBD/CHM/IAC/2017/1/5.</w:t>
      </w:r>
    </w:p>
    <w:p w:rsidR="00377B26" w:rsidRPr="002F5491" w:rsidRDefault="00377B26" w:rsidP="00564E8B">
      <w:pPr>
        <w:keepNext/>
        <w:spacing w:before="120" w:after="120"/>
        <w:ind w:left="1170" w:hanging="450"/>
        <w:jc w:val="center"/>
        <w:rPr>
          <w:rFonts w:cs="Times New Roman"/>
          <w:b/>
          <w:iCs/>
          <w:caps/>
          <w:snapToGrid w:val="0"/>
          <w:kern w:val="22"/>
          <w:szCs w:val="22"/>
        </w:rPr>
      </w:pPr>
      <w:r w:rsidRPr="002F5491">
        <w:rPr>
          <w:rFonts w:cs="Times New Roman"/>
          <w:b/>
          <w:iCs/>
          <w:caps/>
          <w:snapToGrid w:val="0"/>
          <w:kern w:val="22"/>
          <w:szCs w:val="22"/>
        </w:rPr>
        <w:t>6.</w:t>
      </w:r>
      <w:r w:rsidRPr="002F5491">
        <w:rPr>
          <w:rFonts w:cs="Times New Roman"/>
          <w:b/>
          <w:iCs/>
          <w:caps/>
          <w:snapToGrid w:val="0"/>
          <w:kern w:val="22"/>
          <w:szCs w:val="22"/>
        </w:rPr>
        <w:tab/>
      </w:r>
      <w:r w:rsidR="00763282" w:rsidRPr="002F5491">
        <w:rPr>
          <w:rFonts w:cs="Times New Roman"/>
          <w:b/>
          <w:iCs/>
          <w:caps/>
          <w:snapToGrid w:val="0"/>
          <w:kern w:val="22"/>
          <w:szCs w:val="22"/>
        </w:rPr>
        <w:t>suggested</w:t>
      </w:r>
      <w:r w:rsidR="00014AA7" w:rsidRPr="002F5491">
        <w:rPr>
          <w:rFonts w:cs="Times New Roman"/>
          <w:b/>
          <w:iCs/>
          <w:caps/>
          <w:snapToGrid w:val="0"/>
          <w:kern w:val="22"/>
          <w:szCs w:val="22"/>
        </w:rPr>
        <w:t xml:space="preserve"> </w:t>
      </w:r>
      <w:r w:rsidRPr="002F5491">
        <w:rPr>
          <w:rFonts w:cs="Times New Roman"/>
          <w:b/>
          <w:iCs/>
          <w:caps/>
          <w:snapToGrid w:val="0"/>
          <w:kern w:val="22"/>
          <w:szCs w:val="22"/>
        </w:rPr>
        <w:t>recommendations</w:t>
      </w:r>
    </w:p>
    <w:p w:rsidR="00DB0AC5" w:rsidRPr="002F5491" w:rsidRDefault="00014AA7" w:rsidP="00C82CAD">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T</w:t>
      </w:r>
      <w:r w:rsidR="00DB0AC5" w:rsidRPr="002F5491">
        <w:rPr>
          <w:rFonts w:cs="Times New Roman"/>
          <w:szCs w:val="22"/>
        </w:rPr>
        <w:t xml:space="preserve">he Subsidiary Body on Implementation may wish to </w:t>
      </w:r>
      <w:r w:rsidRPr="002F5491">
        <w:rPr>
          <w:rFonts w:eastAsia="Times New Roman" w:cs="Times New Roman"/>
          <w:kern w:val="22"/>
          <w:szCs w:val="22"/>
        </w:rPr>
        <w:t xml:space="preserve">consider </w:t>
      </w:r>
      <w:r w:rsidR="00C82CAD" w:rsidRPr="00C82CAD">
        <w:rPr>
          <w:rFonts w:eastAsia="Times New Roman" w:cs="Times New Roman"/>
          <w:kern w:val="22"/>
          <w:szCs w:val="22"/>
        </w:rPr>
        <w:t>r</w:t>
      </w:r>
      <w:r w:rsidR="00C82CAD" w:rsidRPr="00DD5947">
        <w:rPr>
          <w:rFonts w:eastAsia="Times New Roman" w:cs="Times New Roman"/>
          <w:kern w:val="22"/>
          <w:szCs w:val="22"/>
        </w:rPr>
        <w:t>ecommending</w:t>
      </w:r>
      <w:r w:rsidRPr="002F5491">
        <w:rPr>
          <w:rFonts w:eastAsia="Times New Roman" w:cs="Times New Roman"/>
          <w:kern w:val="22"/>
          <w:szCs w:val="22"/>
        </w:rPr>
        <w:t xml:space="preserve"> to the </w:t>
      </w:r>
      <w:r w:rsidR="00DB0AC5" w:rsidRPr="002F5491">
        <w:rPr>
          <w:rFonts w:cs="Times New Roman"/>
          <w:szCs w:val="22"/>
        </w:rPr>
        <w:t xml:space="preserve">Conference of the Parties </w:t>
      </w:r>
      <w:r w:rsidR="00C82CAD" w:rsidRPr="00C82CAD">
        <w:rPr>
          <w:rFonts w:cs="Times New Roman"/>
          <w:szCs w:val="22"/>
        </w:rPr>
        <w:t xml:space="preserve">that it adopt a decision </w:t>
      </w:r>
      <w:r w:rsidRPr="002F5491">
        <w:rPr>
          <w:rFonts w:eastAsia="Times New Roman" w:cs="Times New Roman"/>
          <w:kern w:val="22"/>
          <w:szCs w:val="22"/>
        </w:rPr>
        <w:t>along the following lines</w:t>
      </w:r>
      <w:r w:rsidR="00DB0AC5" w:rsidRPr="002F5491">
        <w:rPr>
          <w:rFonts w:cs="Times New Roman"/>
          <w:szCs w:val="22"/>
        </w:rPr>
        <w:t>:</w:t>
      </w:r>
    </w:p>
    <w:p w:rsidR="002F7348" w:rsidRPr="002F5491" w:rsidRDefault="003559D3" w:rsidP="00763282">
      <w:pPr>
        <w:pStyle w:val="Para1"/>
        <w:suppressLineNumbers/>
        <w:suppressAutoHyphens/>
        <w:spacing w:before="120"/>
        <w:ind w:firstLine="709"/>
        <w:rPr>
          <w:rFonts w:eastAsia="Times New Roman" w:cs="Times New Roman"/>
          <w:kern w:val="22"/>
          <w:szCs w:val="22"/>
        </w:rPr>
      </w:pPr>
      <w:r w:rsidRPr="002F5491">
        <w:rPr>
          <w:rFonts w:eastAsia="Times New Roman" w:cs="Times New Roman"/>
          <w:i/>
          <w:kern w:val="22"/>
          <w:szCs w:val="22"/>
        </w:rPr>
        <w:t>The Conference of the Parties</w:t>
      </w:r>
      <w:r w:rsidRPr="002F5491">
        <w:rPr>
          <w:rFonts w:eastAsia="Times New Roman" w:cs="Times New Roman"/>
          <w:kern w:val="22"/>
          <w:szCs w:val="22"/>
        </w:rPr>
        <w:t>,</w:t>
      </w:r>
    </w:p>
    <w:p w:rsidR="003559D3" w:rsidRPr="002F5491" w:rsidRDefault="003559D3" w:rsidP="00014AA7">
      <w:pPr>
        <w:pStyle w:val="Para1"/>
        <w:suppressLineNumbers/>
        <w:suppressAutoHyphens/>
        <w:spacing w:before="120"/>
        <w:rPr>
          <w:rFonts w:eastAsia="Times New Roman" w:cs="Times New Roman"/>
          <w:kern w:val="22"/>
          <w:szCs w:val="22"/>
        </w:rPr>
        <w:sectPr w:rsidR="003559D3" w:rsidRPr="002F5491" w:rsidSect="006F4060">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567" w:right="1440" w:bottom="851" w:left="1440" w:header="461" w:footer="720" w:gutter="0"/>
          <w:cols w:space="720"/>
          <w:titlePg/>
          <w:docGrid w:linePitch="299"/>
        </w:sectPr>
      </w:pPr>
    </w:p>
    <w:p w:rsidR="00014AA7" w:rsidRPr="002F5491" w:rsidRDefault="00DD5947" w:rsidP="002F5491">
      <w:pPr>
        <w:pStyle w:val="Para1"/>
        <w:suppressLineNumbers/>
        <w:suppressAutoHyphens/>
        <w:spacing w:before="120"/>
        <w:jc w:val="center"/>
        <w:rPr>
          <w:rFonts w:eastAsia="Times New Roman" w:cs="Times New Roman"/>
          <w:b/>
          <w:kern w:val="22"/>
          <w:szCs w:val="22"/>
        </w:rPr>
      </w:pPr>
      <w:r>
        <w:rPr>
          <w:rFonts w:eastAsia="Times New Roman" w:cs="Times New Roman"/>
          <w:b/>
          <w:kern w:val="22"/>
          <w:szCs w:val="22"/>
        </w:rPr>
        <w:lastRenderedPageBreak/>
        <w:t>1.</w:t>
      </w:r>
      <w:r>
        <w:rPr>
          <w:rFonts w:eastAsia="Times New Roman" w:cs="Times New Roman"/>
          <w:b/>
          <w:kern w:val="22"/>
          <w:szCs w:val="22"/>
        </w:rPr>
        <w:tab/>
      </w:r>
      <w:r w:rsidR="00014AA7" w:rsidRPr="002F5491">
        <w:rPr>
          <w:rFonts w:eastAsia="Times New Roman" w:cs="Times New Roman"/>
          <w:b/>
          <w:kern w:val="22"/>
          <w:szCs w:val="22"/>
        </w:rPr>
        <w:t>Capacity-building</w:t>
      </w:r>
    </w:p>
    <w:p w:rsidR="003559D3" w:rsidRPr="002F5491" w:rsidRDefault="00014AA7" w:rsidP="002F5491">
      <w:pPr>
        <w:pStyle w:val="Para1"/>
        <w:suppressLineNumbers/>
        <w:suppressAutoHyphens/>
        <w:spacing w:before="120"/>
        <w:ind w:firstLine="720"/>
        <w:rPr>
          <w:rFonts w:cs="Times New Roman"/>
          <w:szCs w:val="22"/>
        </w:rPr>
      </w:pPr>
      <w:r w:rsidRPr="002F5491">
        <w:rPr>
          <w:rFonts w:cs="Times New Roman"/>
          <w:i/>
          <w:szCs w:val="22"/>
        </w:rPr>
        <w:t>Recalling</w:t>
      </w:r>
      <w:r w:rsidRPr="002F5491">
        <w:rPr>
          <w:rFonts w:cs="Times New Roman"/>
          <w:szCs w:val="22"/>
        </w:rPr>
        <w:t xml:space="preserve"> decision</w:t>
      </w:r>
      <w:r w:rsidR="009D612F">
        <w:rPr>
          <w:rFonts w:cs="Times New Roman"/>
          <w:szCs w:val="22"/>
        </w:rPr>
        <w:t>s</w:t>
      </w:r>
      <w:r w:rsidRPr="002F5491">
        <w:rPr>
          <w:rFonts w:cs="Times New Roman"/>
          <w:szCs w:val="22"/>
        </w:rPr>
        <w:t xml:space="preserve"> XIII/23</w:t>
      </w:r>
      <w:r w:rsidR="00D823A2" w:rsidRPr="002F5491">
        <w:rPr>
          <w:rFonts w:cs="Times New Roman"/>
          <w:szCs w:val="22"/>
        </w:rPr>
        <w:t xml:space="preserve"> and XIII/24,</w:t>
      </w:r>
    </w:p>
    <w:p w:rsidR="00AF6AB3" w:rsidRPr="002F5491" w:rsidRDefault="00AF6AB3" w:rsidP="00AF6AB3">
      <w:pPr>
        <w:pStyle w:val="Para1"/>
        <w:suppressLineNumbers/>
        <w:suppressAutoHyphens/>
        <w:spacing w:before="120"/>
        <w:ind w:firstLine="720"/>
        <w:rPr>
          <w:rFonts w:cs="Times New Roman"/>
          <w:kern w:val="20"/>
          <w:szCs w:val="22"/>
        </w:rPr>
      </w:pPr>
      <w:r w:rsidRPr="002F5491">
        <w:rPr>
          <w:rFonts w:cs="Times New Roman"/>
          <w:i/>
          <w:iCs/>
          <w:kern w:val="20"/>
          <w:szCs w:val="22"/>
        </w:rPr>
        <w:t xml:space="preserve">Noting with appreciation </w:t>
      </w:r>
      <w:r w:rsidRPr="002F5491">
        <w:rPr>
          <w:rFonts w:cs="Times New Roman"/>
          <w:kern w:val="20"/>
          <w:szCs w:val="22"/>
        </w:rPr>
        <w:t xml:space="preserve">the </w:t>
      </w:r>
      <w:r w:rsidR="00072DDC" w:rsidRPr="002F5491">
        <w:rPr>
          <w:rFonts w:cs="Times New Roman"/>
          <w:kern w:val="20"/>
          <w:szCs w:val="22"/>
        </w:rPr>
        <w:t xml:space="preserve">support provided by </w:t>
      </w:r>
      <w:r w:rsidRPr="002F5491">
        <w:rPr>
          <w:rFonts w:cs="Times New Roman"/>
          <w:kern w:val="20"/>
          <w:szCs w:val="22"/>
        </w:rPr>
        <w:t xml:space="preserve">Parties, other Governments and relevant organizations </w:t>
      </w:r>
      <w:r w:rsidR="00072DDC" w:rsidRPr="002F5491">
        <w:rPr>
          <w:rFonts w:cs="Times New Roman"/>
          <w:kern w:val="20"/>
          <w:szCs w:val="22"/>
        </w:rPr>
        <w:t xml:space="preserve">for </w:t>
      </w:r>
      <w:r w:rsidR="008508EB" w:rsidRPr="002F5491">
        <w:rPr>
          <w:rFonts w:cs="Times New Roman"/>
          <w:szCs w:val="22"/>
        </w:rPr>
        <w:t xml:space="preserve">capacity-building and technical and scientific cooperation </w:t>
      </w:r>
      <w:r w:rsidR="00FC3CCD" w:rsidRPr="002F5491">
        <w:rPr>
          <w:rFonts w:cs="Times New Roman"/>
          <w:szCs w:val="22"/>
        </w:rPr>
        <w:t xml:space="preserve">activities to assist </w:t>
      </w:r>
      <w:r w:rsidR="008508EB" w:rsidRPr="002F5491">
        <w:rPr>
          <w:rFonts w:cs="Times New Roman"/>
          <w:szCs w:val="22"/>
        </w:rPr>
        <w:t>developing country Parties and indigenous peoples and local communities</w:t>
      </w:r>
      <w:r w:rsidR="008508EB" w:rsidRPr="002F5491">
        <w:rPr>
          <w:rFonts w:cs="Times New Roman"/>
          <w:kern w:val="20"/>
          <w:szCs w:val="22"/>
        </w:rPr>
        <w:t>,</w:t>
      </w:r>
    </w:p>
    <w:p w:rsidR="00014AA7" w:rsidRPr="002F5491" w:rsidRDefault="003559D3" w:rsidP="002F5491">
      <w:pPr>
        <w:pStyle w:val="Para1"/>
        <w:suppressLineNumbers/>
        <w:suppressAutoHyphens/>
        <w:adjustRightInd w:val="0"/>
        <w:snapToGrid w:val="0"/>
        <w:spacing w:before="120"/>
        <w:ind w:firstLine="720"/>
        <w:rPr>
          <w:rFonts w:cs="Times New Roman"/>
          <w:kern w:val="22"/>
          <w:szCs w:val="22"/>
        </w:rPr>
      </w:pPr>
      <w:r w:rsidRPr="002F5491">
        <w:rPr>
          <w:rFonts w:cs="Times New Roman"/>
          <w:szCs w:val="22"/>
        </w:rPr>
        <w:t>1.</w:t>
      </w:r>
      <w:r w:rsidR="00D823A2" w:rsidRPr="002F5491">
        <w:rPr>
          <w:rFonts w:cs="Times New Roman"/>
          <w:szCs w:val="22"/>
        </w:rPr>
        <w:tab/>
      </w:r>
      <w:r w:rsidR="00D823A2" w:rsidRPr="002F5491">
        <w:rPr>
          <w:rFonts w:cs="Times New Roman"/>
          <w:i/>
          <w:szCs w:val="22"/>
        </w:rPr>
        <w:t>Tak</w:t>
      </w:r>
      <w:r w:rsidRPr="002F5491">
        <w:rPr>
          <w:rFonts w:cs="Times New Roman"/>
          <w:i/>
          <w:szCs w:val="22"/>
        </w:rPr>
        <w:t>es</w:t>
      </w:r>
      <w:r w:rsidR="00D823A2" w:rsidRPr="002F5491">
        <w:rPr>
          <w:rFonts w:cs="Times New Roman"/>
          <w:i/>
          <w:szCs w:val="22"/>
        </w:rPr>
        <w:t xml:space="preserve"> note</w:t>
      </w:r>
      <w:r w:rsidR="00D823A2" w:rsidRPr="002F5491">
        <w:rPr>
          <w:rFonts w:cs="Times New Roman"/>
          <w:szCs w:val="22"/>
        </w:rPr>
        <w:t xml:space="preserve"> of the progress report on the </w:t>
      </w:r>
      <w:r w:rsidR="007F3C8B" w:rsidRPr="002F5491">
        <w:rPr>
          <w:rFonts w:cs="Times New Roman"/>
          <w:szCs w:val="22"/>
        </w:rPr>
        <w:t xml:space="preserve">implementation </w:t>
      </w:r>
      <w:r w:rsidR="00D823A2" w:rsidRPr="002F5491">
        <w:rPr>
          <w:rFonts w:cs="Times New Roman"/>
          <w:kern w:val="22"/>
          <w:szCs w:val="22"/>
        </w:rPr>
        <w:t>the short-term action plan (2017-2020) to enhance and support capacity-building for the implementation of the Convention and its Protocols</w:t>
      </w:r>
      <w:r w:rsidR="007F3C8B" w:rsidRPr="002F5491">
        <w:rPr>
          <w:rFonts w:cs="Times New Roman"/>
          <w:szCs w:val="22"/>
        </w:rPr>
        <w:t xml:space="preserve"> </w:t>
      </w:r>
      <w:r w:rsidR="007F3C8B" w:rsidRPr="002F5491">
        <w:rPr>
          <w:rFonts w:cs="Times New Roman"/>
          <w:snapToGrid/>
          <w:kern w:val="20"/>
          <w:szCs w:val="22"/>
        </w:rPr>
        <w:t>supported and facilitated by the Executive Secretary in collaboration with various partners</w:t>
      </w:r>
      <w:r w:rsidR="00763282" w:rsidRPr="002F5491">
        <w:rPr>
          <w:rFonts w:cs="Times New Roman"/>
          <w:snapToGrid/>
          <w:kern w:val="20"/>
          <w:szCs w:val="22"/>
        </w:rPr>
        <w:t>;</w:t>
      </w:r>
      <w:r w:rsidR="00D823A2" w:rsidRPr="002F5491">
        <w:rPr>
          <w:rStyle w:val="StyleFootnoteReferencenumberFootnoteReferenceSuperscript-EF"/>
          <w:sz w:val="22"/>
        </w:rPr>
        <w:footnoteReference w:id="19"/>
      </w:r>
    </w:p>
    <w:p w:rsidR="008508EB" w:rsidRPr="002F5491" w:rsidRDefault="00C43A24" w:rsidP="002F5491">
      <w:pPr>
        <w:pStyle w:val="Para1"/>
        <w:suppressLineNumbers/>
        <w:suppressAutoHyphens/>
        <w:adjustRightInd w:val="0"/>
        <w:snapToGrid w:val="0"/>
        <w:spacing w:before="120"/>
        <w:ind w:firstLine="720"/>
        <w:rPr>
          <w:rFonts w:cs="Times New Roman"/>
          <w:szCs w:val="22"/>
        </w:rPr>
      </w:pPr>
      <w:r w:rsidRPr="002F5491">
        <w:rPr>
          <w:rFonts w:cs="Times New Roman"/>
          <w:szCs w:val="22"/>
        </w:rPr>
        <w:t>2.</w:t>
      </w:r>
      <w:r w:rsidRPr="002F5491">
        <w:rPr>
          <w:rFonts w:cs="Times New Roman"/>
          <w:szCs w:val="22"/>
        </w:rPr>
        <w:tab/>
      </w:r>
      <w:r w:rsidRPr="002F5491">
        <w:rPr>
          <w:rFonts w:cs="Times New Roman"/>
          <w:i/>
          <w:szCs w:val="22"/>
        </w:rPr>
        <w:t>Invites</w:t>
      </w:r>
      <w:r w:rsidRPr="002F5491">
        <w:rPr>
          <w:rFonts w:cs="Times New Roman"/>
          <w:szCs w:val="22"/>
        </w:rPr>
        <w:t xml:space="preserve"> Parties, other Governments and relevant organizations in a position to do so</w:t>
      </w:r>
      <w:r w:rsidR="00E95E9B" w:rsidRPr="002F5491">
        <w:rPr>
          <w:rFonts w:cs="Times New Roman"/>
          <w:szCs w:val="22"/>
        </w:rPr>
        <w:t xml:space="preserve"> </w:t>
      </w:r>
      <w:r w:rsidR="0088164B">
        <w:rPr>
          <w:rFonts w:cs="Times New Roman"/>
          <w:szCs w:val="22"/>
        </w:rPr>
        <w:t xml:space="preserve">to </w:t>
      </w:r>
      <w:r w:rsidR="00E95E9B" w:rsidRPr="002F5491">
        <w:rPr>
          <w:rFonts w:cs="Times New Roman"/>
          <w:szCs w:val="22"/>
        </w:rPr>
        <w:t xml:space="preserve">provide additional resources to </w:t>
      </w:r>
      <w:r w:rsidR="008508EB" w:rsidRPr="002F5491">
        <w:rPr>
          <w:rFonts w:cs="Times New Roman"/>
          <w:szCs w:val="22"/>
        </w:rPr>
        <w:t xml:space="preserve">support </w:t>
      </w:r>
      <w:r w:rsidR="008508EB" w:rsidRPr="002F5491">
        <w:rPr>
          <w:rFonts w:cs="Times New Roman"/>
          <w:kern w:val="20"/>
          <w:szCs w:val="22"/>
        </w:rPr>
        <w:t>activities in the short-term action plan</w:t>
      </w:r>
      <w:r w:rsidR="00806BA7" w:rsidRPr="002F5491">
        <w:rPr>
          <w:rFonts w:cs="Times New Roman"/>
          <w:kern w:val="20"/>
          <w:szCs w:val="22"/>
        </w:rPr>
        <w:t xml:space="preserve"> that have not yet been carried out</w:t>
      </w:r>
      <w:r w:rsidR="00763282" w:rsidRPr="002F5491">
        <w:rPr>
          <w:rFonts w:cs="Times New Roman"/>
          <w:kern w:val="20"/>
          <w:szCs w:val="22"/>
        </w:rPr>
        <w:t>;</w:t>
      </w:r>
    </w:p>
    <w:p w:rsidR="00C741E8" w:rsidRPr="002F5491" w:rsidRDefault="00FC3CCD" w:rsidP="002F5491">
      <w:pPr>
        <w:pStyle w:val="Para1"/>
        <w:suppressLineNumbers/>
        <w:suppressAutoHyphens/>
        <w:adjustRightInd w:val="0"/>
        <w:snapToGrid w:val="0"/>
        <w:spacing w:before="120"/>
        <w:ind w:firstLine="720"/>
        <w:rPr>
          <w:rFonts w:cs="Times New Roman"/>
          <w:kern w:val="22"/>
          <w:szCs w:val="22"/>
        </w:rPr>
      </w:pPr>
      <w:r w:rsidRPr="002F5491">
        <w:rPr>
          <w:rFonts w:cs="Times New Roman"/>
          <w:kern w:val="22"/>
          <w:szCs w:val="22"/>
        </w:rPr>
        <w:t>3</w:t>
      </w:r>
      <w:r w:rsidR="003559D3" w:rsidRPr="002F5491">
        <w:rPr>
          <w:rFonts w:cs="Times New Roman"/>
          <w:kern w:val="22"/>
          <w:szCs w:val="22"/>
        </w:rPr>
        <w:t>.</w:t>
      </w:r>
      <w:r w:rsidR="003559D3" w:rsidRPr="002F5491">
        <w:rPr>
          <w:rFonts w:cs="Times New Roman"/>
          <w:kern w:val="22"/>
          <w:szCs w:val="22"/>
        </w:rPr>
        <w:tab/>
      </w:r>
      <w:r w:rsidR="000B01BC" w:rsidRPr="002F5491">
        <w:rPr>
          <w:rFonts w:cs="Times New Roman"/>
          <w:i/>
          <w:kern w:val="22"/>
          <w:szCs w:val="22"/>
        </w:rPr>
        <w:t>Welcomes</w:t>
      </w:r>
      <w:r w:rsidR="002F7348" w:rsidRPr="002F5491">
        <w:rPr>
          <w:rFonts w:cs="Times New Roman"/>
          <w:kern w:val="22"/>
          <w:szCs w:val="22"/>
        </w:rPr>
        <w:t xml:space="preserve"> the </w:t>
      </w:r>
      <w:r w:rsidR="00722F57" w:rsidRPr="002F5491">
        <w:rPr>
          <w:rFonts w:cs="Times New Roman"/>
          <w:szCs w:val="22"/>
        </w:rPr>
        <w:t xml:space="preserve">elements of the process </w:t>
      </w:r>
      <w:r w:rsidR="00A07D2E" w:rsidRPr="002F5491">
        <w:rPr>
          <w:rFonts w:cs="Times New Roman"/>
          <w:szCs w:val="22"/>
        </w:rPr>
        <w:t>for the preparation of a post-2020 capacity development strategic framework</w:t>
      </w:r>
      <w:r w:rsidR="00A07D2E" w:rsidRPr="002F5491">
        <w:rPr>
          <w:rFonts w:cs="Times New Roman"/>
          <w:kern w:val="22"/>
          <w:szCs w:val="22"/>
        </w:rPr>
        <w:t xml:space="preserve"> and the </w:t>
      </w:r>
      <w:r w:rsidR="002F7348" w:rsidRPr="002F5491">
        <w:rPr>
          <w:rFonts w:cs="Times New Roman"/>
          <w:kern w:val="22"/>
          <w:szCs w:val="22"/>
        </w:rPr>
        <w:t xml:space="preserve">terms of reference </w:t>
      </w:r>
      <w:r w:rsidR="00D82E10" w:rsidRPr="002F5491">
        <w:rPr>
          <w:rFonts w:cs="Times New Roman"/>
          <w:kern w:val="22"/>
          <w:szCs w:val="22"/>
        </w:rPr>
        <w:t xml:space="preserve">for </w:t>
      </w:r>
      <w:r w:rsidR="000B01BC" w:rsidRPr="002F5491">
        <w:rPr>
          <w:rFonts w:cs="Times New Roman"/>
          <w:kern w:val="22"/>
          <w:szCs w:val="22"/>
        </w:rPr>
        <w:t>the</w:t>
      </w:r>
      <w:r w:rsidR="00D82E10" w:rsidRPr="002F5491">
        <w:rPr>
          <w:rFonts w:cs="Times New Roman"/>
          <w:kern w:val="22"/>
          <w:szCs w:val="22"/>
        </w:rPr>
        <w:t xml:space="preserve"> </w:t>
      </w:r>
      <w:r w:rsidR="002F7348" w:rsidRPr="002F5491">
        <w:rPr>
          <w:rFonts w:cs="Times New Roman"/>
          <w:kern w:val="22"/>
          <w:szCs w:val="22"/>
        </w:rPr>
        <w:t xml:space="preserve">study to provide </w:t>
      </w:r>
      <w:r w:rsidR="000B01BC" w:rsidRPr="002F5491">
        <w:rPr>
          <w:rFonts w:cs="Times New Roman"/>
          <w:kern w:val="22"/>
          <w:szCs w:val="22"/>
        </w:rPr>
        <w:t>an</w:t>
      </w:r>
      <w:r w:rsidR="002F7348" w:rsidRPr="002F5491">
        <w:rPr>
          <w:rFonts w:cs="Times New Roman"/>
          <w:kern w:val="22"/>
          <w:szCs w:val="22"/>
        </w:rPr>
        <w:t xml:space="preserve"> information base </w:t>
      </w:r>
      <w:r w:rsidR="000B01BC" w:rsidRPr="002F5491">
        <w:rPr>
          <w:rFonts w:cs="Times New Roman"/>
          <w:kern w:val="22"/>
          <w:szCs w:val="22"/>
        </w:rPr>
        <w:t>for</w:t>
      </w:r>
      <w:r w:rsidR="002F7348" w:rsidRPr="002F5491">
        <w:rPr>
          <w:rFonts w:cs="Times New Roman"/>
          <w:kern w:val="22"/>
          <w:szCs w:val="22"/>
        </w:rPr>
        <w:t xml:space="preserve"> the preparation of </w:t>
      </w:r>
      <w:r w:rsidR="00C741E8" w:rsidRPr="002F5491">
        <w:rPr>
          <w:rFonts w:cs="Times New Roman"/>
          <w:kern w:val="22"/>
          <w:szCs w:val="22"/>
        </w:rPr>
        <w:t>the</w:t>
      </w:r>
      <w:r w:rsidR="002F7348" w:rsidRPr="002F5491">
        <w:rPr>
          <w:rFonts w:cs="Times New Roman"/>
          <w:kern w:val="22"/>
          <w:szCs w:val="22"/>
        </w:rPr>
        <w:t xml:space="preserve"> framework</w:t>
      </w:r>
      <w:r w:rsidR="005B66A5" w:rsidRPr="002F5491">
        <w:rPr>
          <w:rFonts w:cs="Times New Roman"/>
          <w:kern w:val="22"/>
          <w:szCs w:val="22"/>
        </w:rPr>
        <w:t>,</w:t>
      </w:r>
      <w:r w:rsidR="00D82021" w:rsidRPr="002F5491">
        <w:rPr>
          <w:rStyle w:val="FootnoteReference"/>
          <w:rFonts w:cs="Times New Roman"/>
          <w:kern w:val="22"/>
          <w:sz w:val="22"/>
          <w:szCs w:val="22"/>
          <w:u w:val="none"/>
          <w:vertAlign w:val="superscript"/>
        </w:rPr>
        <w:footnoteReference w:id="20"/>
      </w:r>
      <w:r w:rsidR="005B66A5" w:rsidRPr="002F5491">
        <w:rPr>
          <w:rFonts w:cs="Times New Roman"/>
          <w:kern w:val="22"/>
          <w:szCs w:val="22"/>
        </w:rPr>
        <w:t xml:space="preserve"> </w:t>
      </w:r>
      <w:r w:rsidR="00F00722" w:rsidRPr="002F5491">
        <w:rPr>
          <w:rFonts w:cs="Times New Roman"/>
          <w:kern w:val="22"/>
          <w:szCs w:val="22"/>
        </w:rPr>
        <w:t xml:space="preserve">and </w:t>
      </w:r>
      <w:r w:rsidR="000B01BC" w:rsidRPr="002F5491">
        <w:rPr>
          <w:rFonts w:cs="Times New Roman"/>
          <w:i/>
          <w:szCs w:val="22"/>
        </w:rPr>
        <w:t>requests</w:t>
      </w:r>
      <w:r w:rsidR="00A07D2E" w:rsidRPr="002F5491">
        <w:rPr>
          <w:rFonts w:cs="Times New Roman"/>
          <w:szCs w:val="22"/>
        </w:rPr>
        <w:t xml:space="preserve"> the Executive Secretary, subject to the availability of funds, </w:t>
      </w:r>
      <w:r w:rsidR="000B01BC" w:rsidRPr="002F5491">
        <w:rPr>
          <w:rFonts w:cs="Times New Roman"/>
          <w:szCs w:val="22"/>
        </w:rPr>
        <w:t>to commission the study in accordance with those terms of reference</w:t>
      </w:r>
      <w:r w:rsidR="00843B4C" w:rsidRPr="0020351B">
        <w:rPr>
          <w:rFonts w:cs="Times New Roman"/>
          <w:kern w:val="22"/>
          <w:szCs w:val="22"/>
        </w:rPr>
        <w:t>;</w:t>
      </w:r>
    </w:p>
    <w:p w:rsidR="00DD453D" w:rsidRPr="002F5491" w:rsidRDefault="00A07D2E" w:rsidP="002F5491">
      <w:pPr>
        <w:pStyle w:val="Para1"/>
        <w:suppressLineNumbers/>
        <w:suppressAutoHyphens/>
        <w:adjustRightInd w:val="0"/>
        <w:snapToGrid w:val="0"/>
        <w:spacing w:before="120"/>
        <w:ind w:firstLine="720"/>
        <w:rPr>
          <w:rFonts w:cs="Times New Roman"/>
          <w:szCs w:val="22"/>
        </w:rPr>
      </w:pPr>
      <w:r w:rsidRPr="002F5491">
        <w:rPr>
          <w:rFonts w:cs="Times New Roman"/>
          <w:szCs w:val="22"/>
        </w:rPr>
        <w:t>4.</w:t>
      </w:r>
      <w:r w:rsidRPr="002F5491">
        <w:rPr>
          <w:rFonts w:cs="Times New Roman"/>
          <w:szCs w:val="22"/>
        </w:rPr>
        <w:tab/>
      </w:r>
      <w:r w:rsidR="00DD453D" w:rsidRPr="002F5491">
        <w:rPr>
          <w:rFonts w:cs="Times New Roman"/>
          <w:i/>
          <w:szCs w:val="22"/>
        </w:rPr>
        <w:t>Invites</w:t>
      </w:r>
      <w:r w:rsidR="00DD453D" w:rsidRPr="002F5491">
        <w:rPr>
          <w:rFonts w:cs="Times New Roman"/>
          <w:szCs w:val="22"/>
        </w:rPr>
        <w:t xml:space="preserve"> Parties</w:t>
      </w:r>
      <w:r w:rsidR="003606FF" w:rsidRPr="002F5491">
        <w:rPr>
          <w:rFonts w:cs="Times New Roman"/>
          <w:szCs w:val="22"/>
        </w:rPr>
        <w:t>, indigenous peoples and local communities</w:t>
      </w:r>
      <w:r w:rsidR="00DD453D" w:rsidRPr="002F5491">
        <w:rPr>
          <w:rFonts w:cs="Times New Roman"/>
          <w:szCs w:val="22"/>
        </w:rPr>
        <w:t xml:space="preserve"> and relevant organizations to provide to the </w:t>
      </w:r>
      <w:r w:rsidR="003606FF" w:rsidRPr="002F5491">
        <w:rPr>
          <w:rFonts w:cs="Times New Roman"/>
          <w:szCs w:val="22"/>
        </w:rPr>
        <w:t xml:space="preserve">Executive </w:t>
      </w:r>
      <w:r w:rsidR="00DD453D" w:rsidRPr="002F5491">
        <w:rPr>
          <w:rFonts w:cs="Times New Roman"/>
          <w:szCs w:val="22"/>
        </w:rPr>
        <w:t>Secretar</w:t>
      </w:r>
      <w:r w:rsidR="003606FF" w:rsidRPr="002F5491">
        <w:rPr>
          <w:rFonts w:cs="Times New Roman"/>
          <w:szCs w:val="22"/>
        </w:rPr>
        <w:t>y</w:t>
      </w:r>
      <w:r w:rsidR="00DD453D" w:rsidRPr="002F5491">
        <w:rPr>
          <w:rFonts w:cs="Times New Roman"/>
          <w:szCs w:val="22"/>
        </w:rPr>
        <w:t xml:space="preserve"> information relevant to the above study, including </w:t>
      </w:r>
      <w:r w:rsidR="003606FF" w:rsidRPr="002F5491">
        <w:rPr>
          <w:rFonts w:cs="Times New Roman"/>
          <w:szCs w:val="22"/>
        </w:rPr>
        <w:t xml:space="preserve">their priority capacity needs and gaps, </w:t>
      </w:r>
      <w:r w:rsidR="003606FF" w:rsidRPr="002F5491">
        <w:rPr>
          <w:rFonts w:cs="Times New Roman"/>
          <w:kern w:val="22"/>
          <w:szCs w:val="22"/>
        </w:rPr>
        <w:t>major ongoing capacity development initiatives</w:t>
      </w:r>
      <w:r w:rsidR="00C80040" w:rsidRPr="002F5491">
        <w:rPr>
          <w:rFonts w:cs="Times New Roman"/>
          <w:szCs w:val="22"/>
        </w:rPr>
        <w:t xml:space="preserve">, </w:t>
      </w:r>
      <w:r w:rsidR="00DD453D" w:rsidRPr="002F5491">
        <w:rPr>
          <w:rFonts w:cs="Times New Roman"/>
          <w:szCs w:val="22"/>
        </w:rPr>
        <w:t>case studies highlighting best practices and lessons learned</w:t>
      </w:r>
      <w:r w:rsidR="00C80040" w:rsidRPr="002F5491">
        <w:rPr>
          <w:rFonts w:cs="Times New Roman"/>
          <w:szCs w:val="22"/>
        </w:rPr>
        <w:t>, as well as views and suggestions on the possible elements of the post-2020 capacity development strategic framework</w:t>
      </w:r>
      <w:r w:rsidR="00763282" w:rsidRPr="002F5491">
        <w:rPr>
          <w:rFonts w:cs="Times New Roman"/>
          <w:szCs w:val="22"/>
        </w:rPr>
        <w:t>;</w:t>
      </w:r>
    </w:p>
    <w:p w:rsidR="00F32806" w:rsidRPr="002F5491" w:rsidRDefault="003606FF" w:rsidP="002F5491">
      <w:pPr>
        <w:pStyle w:val="Para1"/>
        <w:adjustRightInd w:val="0"/>
        <w:snapToGrid w:val="0"/>
        <w:spacing w:before="120"/>
        <w:ind w:firstLine="720"/>
        <w:rPr>
          <w:rFonts w:cs="Times New Roman"/>
          <w:kern w:val="22"/>
          <w:szCs w:val="22"/>
        </w:rPr>
      </w:pPr>
      <w:r w:rsidRPr="002F5491">
        <w:rPr>
          <w:rFonts w:cs="Times New Roman"/>
          <w:szCs w:val="22"/>
        </w:rPr>
        <w:t>5.</w:t>
      </w:r>
      <w:r w:rsidRPr="002F5491">
        <w:rPr>
          <w:rFonts w:cs="Times New Roman"/>
          <w:szCs w:val="22"/>
        </w:rPr>
        <w:tab/>
      </w:r>
      <w:r w:rsidR="00F32806" w:rsidRPr="002F5491">
        <w:rPr>
          <w:rFonts w:cs="Times New Roman"/>
          <w:i/>
          <w:snapToGrid/>
          <w:kern w:val="20"/>
          <w:szCs w:val="22"/>
        </w:rPr>
        <w:t xml:space="preserve">Requests </w:t>
      </w:r>
      <w:r w:rsidR="00F32806" w:rsidRPr="002F5491">
        <w:rPr>
          <w:rFonts w:cs="Times New Roman"/>
          <w:snapToGrid/>
          <w:kern w:val="20"/>
          <w:szCs w:val="22"/>
        </w:rPr>
        <w:t xml:space="preserve">the </w:t>
      </w:r>
      <w:r w:rsidR="00F32806" w:rsidRPr="002F5491">
        <w:rPr>
          <w:rFonts w:cs="Times New Roman"/>
          <w:szCs w:val="22"/>
        </w:rPr>
        <w:t>Executive Secretary, subject to the availability of funds, to</w:t>
      </w:r>
      <w:r w:rsidR="00ED1E4C" w:rsidRPr="002F5491">
        <w:rPr>
          <w:rFonts w:cs="Times New Roman"/>
          <w:snapToGrid/>
          <w:kern w:val="20"/>
          <w:szCs w:val="22"/>
        </w:rPr>
        <w:t xml:space="preserve"> include in the independent evaluation of the impacts, outcomes and effectiveness of the short-term action plan (2017-2020) requested in paragraph 15(g) of decision XIII/13 </w:t>
      </w:r>
      <w:r w:rsidR="00ED1E4C" w:rsidRPr="002F5491">
        <w:rPr>
          <w:rFonts w:cs="Times New Roman"/>
          <w:kern w:val="22"/>
          <w:szCs w:val="22"/>
        </w:rPr>
        <w:t>monitoring and evaluation of the outcomes and effectiveness of ongoing capacity-building activities supported and facilitated by the Secretariat</w:t>
      </w:r>
      <w:r w:rsidR="00763282" w:rsidRPr="002F5491">
        <w:rPr>
          <w:rFonts w:cs="Times New Roman"/>
          <w:szCs w:val="22"/>
        </w:rPr>
        <w:t>;</w:t>
      </w:r>
    </w:p>
    <w:p w:rsidR="00FC3CCD" w:rsidRPr="002F5491" w:rsidRDefault="009C278F" w:rsidP="002F5491">
      <w:pPr>
        <w:pStyle w:val="Para1"/>
        <w:suppressLineNumbers/>
        <w:suppressAutoHyphens/>
        <w:adjustRightInd w:val="0"/>
        <w:snapToGrid w:val="0"/>
        <w:spacing w:before="120"/>
        <w:ind w:firstLine="720"/>
        <w:rPr>
          <w:rFonts w:cs="Times New Roman"/>
          <w:szCs w:val="22"/>
        </w:rPr>
      </w:pPr>
      <w:r w:rsidRPr="002F5491">
        <w:rPr>
          <w:rFonts w:cs="Times New Roman"/>
          <w:kern w:val="22"/>
          <w:szCs w:val="22"/>
        </w:rPr>
        <w:lastRenderedPageBreak/>
        <w:t>6</w:t>
      </w:r>
      <w:r w:rsidR="003559D3" w:rsidRPr="002F5491">
        <w:rPr>
          <w:rFonts w:cs="Times New Roman"/>
          <w:kern w:val="22"/>
          <w:szCs w:val="22"/>
        </w:rPr>
        <w:t>.</w:t>
      </w:r>
      <w:r w:rsidR="003559D3" w:rsidRPr="002F5491">
        <w:rPr>
          <w:rFonts w:cs="Times New Roman"/>
          <w:kern w:val="22"/>
          <w:szCs w:val="22"/>
        </w:rPr>
        <w:tab/>
      </w:r>
      <w:r w:rsidR="00ED1E4C" w:rsidRPr="002F5491">
        <w:rPr>
          <w:rFonts w:cs="Times New Roman"/>
          <w:i/>
          <w:snapToGrid/>
          <w:kern w:val="20"/>
          <w:szCs w:val="22"/>
        </w:rPr>
        <w:t>Also r</w:t>
      </w:r>
      <w:r w:rsidR="00FC3CCD" w:rsidRPr="002F5491">
        <w:rPr>
          <w:rFonts w:cs="Times New Roman"/>
          <w:i/>
          <w:snapToGrid/>
          <w:kern w:val="20"/>
          <w:szCs w:val="22"/>
        </w:rPr>
        <w:t xml:space="preserve">equests </w:t>
      </w:r>
      <w:r w:rsidR="00FC3CCD" w:rsidRPr="002F5491">
        <w:rPr>
          <w:rFonts w:cs="Times New Roman"/>
          <w:snapToGrid/>
          <w:kern w:val="20"/>
          <w:szCs w:val="22"/>
        </w:rPr>
        <w:t xml:space="preserve">the </w:t>
      </w:r>
      <w:r w:rsidR="00FC3CCD" w:rsidRPr="002F5491">
        <w:rPr>
          <w:rFonts w:cs="Times New Roman"/>
          <w:szCs w:val="22"/>
        </w:rPr>
        <w:t>Executive Secretary, subject to the availability of funds, to organize</w:t>
      </w:r>
      <w:r w:rsidR="00124784">
        <w:rPr>
          <w:rFonts w:cs="Times New Roman"/>
          <w:szCs w:val="22"/>
        </w:rPr>
        <w:t>,</w:t>
      </w:r>
      <w:r w:rsidR="006C391E" w:rsidRPr="002F5491">
        <w:rPr>
          <w:rFonts w:cs="Times New Roman"/>
          <w:szCs w:val="22"/>
        </w:rPr>
        <w:t xml:space="preserve"> in conjunction with the post-2020 global biodiversity framework process, </w:t>
      </w:r>
      <w:r w:rsidR="009D365C" w:rsidRPr="002F5491">
        <w:rPr>
          <w:rFonts w:cs="Times New Roman"/>
          <w:szCs w:val="22"/>
        </w:rPr>
        <w:t xml:space="preserve">regional </w:t>
      </w:r>
      <w:r w:rsidR="00DC729D" w:rsidRPr="002F5491">
        <w:rPr>
          <w:rFonts w:cs="Times New Roman"/>
          <w:szCs w:val="22"/>
        </w:rPr>
        <w:t>consultati</w:t>
      </w:r>
      <w:r w:rsidR="009D365C" w:rsidRPr="002F5491">
        <w:rPr>
          <w:rFonts w:cs="Times New Roman"/>
          <w:szCs w:val="22"/>
        </w:rPr>
        <w:t xml:space="preserve">ve </w:t>
      </w:r>
      <w:r w:rsidR="00DC729D" w:rsidRPr="002F5491">
        <w:rPr>
          <w:rFonts w:cs="Times New Roman"/>
          <w:szCs w:val="22"/>
        </w:rPr>
        <w:t xml:space="preserve">workshops and online discussion </w:t>
      </w:r>
      <w:r w:rsidR="007834F0" w:rsidRPr="002F5491">
        <w:rPr>
          <w:rFonts w:cs="Times New Roman"/>
          <w:szCs w:val="22"/>
        </w:rPr>
        <w:t>forums</w:t>
      </w:r>
      <w:r w:rsidR="00FC3CCD" w:rsidRPr="002F5491">
        <w:rPr>
          <w:rFonts w:cs="Times New Roman"/>
          <w:szCs w:val="22"/>
        </w:rPr>
        <w:t xml:space="preserve"> to </w:t>
      </w:r>
      <w:r w:rsidR="006C391E" w:rsidRPr="002F5491">
        <w:rPr>
          <w:rFonts w:cs="Times New Roman"/>
          <w:szCs w:val="22"/>
        </w:rPr>
        <w:t>enable Parties</w:t>
      </w:r>
      <w:r w:rsidR="004A7407" w:rsidRPr="002F5491">
        <w:rPr>
          <w:rFonts w:cs="Times New Roman"/>
          <w:szCs w:val="22"/>
        </w:rPr>
        <w:t xml:space="preserve"> to the Convention and to its Protocol</w:t>
      </w:r>
      <w:r w:rsidR="007C773B" w:rsidRPr="002F5491">
        <w:rPr>
          <w:rFonts w:cs="Times New Roman"/>
          <w:szCs w:val="22"/>
        </w:rPr>
        <w:t>s,</w:t>
      </w:r>
      <w:r w:rsidR="004A7407" w:rsidRPr="002F5491">
        <w:rPr>
          <w:rFonts w:cs="Times New Roman"/>
          <w:szCs w:val="22"/>
        </w:rPr>
        <w:t xml:space="preserve"> as well as </w:t>
      </w:r>
      <w:r w:rsidR="006C391E" w:rsidRPr="002F5491">
        <w:rPr>
          <w:rFonts w:cs="Times New Roman"/>
          <w:szCs w:val="22"/>
        </w:rPr>
        <w:t>indigenous peoples and local communities and relevant organizations</w:t>
      </w:r>
      <w:r w:rsidR="007C773B" w:rsidRPr="002F5491">
        <w:rPr>
          <w:rFonts w:cs="Times New Roman"/>
          <w:szCs w:val="22"/>
        </w:rPr>
        <w:t>,</w:t>
      </w:r>
      <w:r w:rsidR="006C391E" w:rsidRPr="002F5491">
        <w:rPr>
          <w:rFonts w:cs="Times New Roman"/>
          <w:szCs w:val="22"/>
        </w:rPr>
        <w:t xml:space="preserve"> to </w:t>
      </w:r>
      <w:r w:rsidR="007233F8" w:rsidRPr="002F5491">
        <w:rPr>
          <w:rFonts w:cs="Times New Roman"/>
          <w:szCs w:val="22"/>
        </w:rPr>
        <w:t xml:space="preserve">contribute to the preparation of the </w:t>
      </w:r>
      <w:r w:rsidR="006C391E" w:rsidRPr="002F5491">
        <w:rPr>
          <w:rFonts w:cs="Times New Roman"/>
          <w:szCs w:val="22"/>
        </w:rPr>
        <w:t xml:space="preserve">draft </w:t>
      </w:r>
      <w:r w:rsidR="007233F8" w:rsidRPr="002F5491">
        <w:rPr>
          <w:rFonts w:cs="Times New Roman"/>
          <w:szCs w:val="22"/>
        </w:rPr>
        <w:t xml:space="preserve">post-2020 </w:t>
      </w:r>
      <w:r w:rsidR="0086580B" w:rsidRPr="002F5491">
        <w:rPr>
          <w:rFonts w:cs="Times New Roman"/>
          <w:szCs w:val="22"/>
        </w:rPr>
        <w:t>c</w:t>
      </w:r>
      <w:r w:rsidR="007233F8" w:rsidRPr="002F5491">
        <w:rPr>
          <w:rFonts w:cs="Times New Roman"/>
          <w:szCs w:val="22"/>
        </w:rPr>
        <w:t xml:space="preserve">apacity </w:t>
      </w:r>
      <w:r w:rsidR="0086580B" w:rsidRPr="002F5491">
        <w:rPr>
          <w:rFonts w:cs="Times New Roman"/>
          <w:szCs w:val="22"/>
        </w:rPr>
        <w:t>d</w:t>
      </w:r>
      <w:r w:rsidR="007233F8" w:rsidRPr="002F5491">
        <w:rPr>
          <w:rFonts w:cs="Times New Roman"/>
          <w:szCs w:val="22"/>
        </w:rPr>
        <w:t xml:space="preserve">evelopment </w:t>
      </w:r>
      <w:r w:rsidR="0086580B" w:rsidRPr="002F5491">
        <w:rPr>
          <w:rFonts w:cs="Times New Roman"/>
          <w:szCs w:val="22"/>
        </w:rPr>
        <w:t>s</w:t>
      </w:r>
      <w:r w:rsidR="007233F8" w:rsidRPr="002F5491">
        <w:rPr>
          <w:rFonts w:cs="Times New Roman"/>
          <w:szCs w:val="22"/>
        </w:rPr>
        <w:t xml:space="preserve">trategic </w:t>
      </w:r>
      <w:r w:rsidR="0086580B" w:rsidRPr="002F5491">
        <w:rPr>
          <w:rFonts w:cs="Times New Roman"/>
          <w:szCs w:val="22"/>
        </w:rPr>
        <w:t>f</w:t>
      </w:r>
      <w:r w:rsidR="007233F8" w:rsidRPr="002F5491">
        <w:rPr>
          <w:rFonts w:cs="Times New Roman"/>
          <w:szCs w:val="22"/>
        </w:rPr>
        <w:t>ramework</w:t>
      </w:r>
      <w:r w:rsidR="00FC3CCD" w:rsidRPr="002F5491">
        <w:rPr>
          <w:rFonts w:cs="Times New Roman"/>
          <w:szCs w:val="22"/>
        </w:rPr>
        <w:t>, taking into account the synthesis of views and information</w:t>
      </w:r>
      <w:r w:rsidR="005B66A5" w:rsidRPr="002F5491">
        <w:rPr>
          <w:rFonts w:cs="Times New Roman"/>
          <w:szCs w:val="22"/>
        </w:rPr>
        <w:t xml:space="preserve"> received</w:t>
      </w:r>
      <w:r w:rsidR="00763282" w:rsidRPr="002F5491">
        <w:rPr>
          <w:rFonts w:cs="Times New Roman"/>
          <w:szCs w:val="22"/>
        </w:rPr>
        <w:t>;</w:t>
      </w:r>
    </w:p>
    <w:p w:rsidR="00FC3CCD" w:rsidRPr="002F5491" w:rsidRDefault="009C278F" w:rsidP="002F5491">
      <w:pPr>
        <w:spacing w:before="120" w:after="120"/>
        <w:ind w:firstLine="720"/>
        <w:rPr>
          <w:rFonts w:cs="Times New Roman"/>
          <w:i/>
          <w:snapToGrid w:val="0"/>
          <w:szCs w:val="22"/>
        </w:rPr>
      </w:pPr>
      <w:r w:rsidRPr="002F5491">
        <w:rPr>
          <w:rFonts w:cs="Times New Roman"/>
          <w:snapToGrid w:val="0"/>
          <w:szCs w:val="22"/>
        </w:rPr>
        <w:t>7</w:t>
      </w:r>
      <w:r w:rsidR="00FC3CCD" w:rsidRPr="002F5491">
        <w:rPr>
          <w:rFonts w:cs="Times New Roman"/>
          <w:snapToGrid w:val="0"/>
          <w:szCs w:val="22"/>
        </w:rPr>
        <w:t>.</w:t>
      </w:r>
      <w:r w:rsidR="00FC3CCD" w:rsidRPr="002F5491">
        <w:rPr>
          <w:rFonts w:cs="Times New Roman"/>
          <w:snapToGrid w:val="0"/>
          <w:szCs w:val="22"/>
        </w:rPr>
        <w:tab/>
      </w:r>
      <w:r w:rsidR="00FC3CCD" w:rsidRPr="002F5491">
        <w:rPr>
          <w:rFonts w:cs="Times New Roman"/>
          <w:i/>
          <w:snapToGrid w:val="0"/>
          <w:szCs w:val="22"/>
        </w:rPr>
        <w:t xml:space="preserve">Invites </w:t>
      </w:r>
      <w:r w:rsidR="00FC3CCD" w:rsidRPr="002F5491">
        <w:rPr>
          <w:rFonts w:cs="Times New Roman"/>
          <w:snapToGrid w:val="0"/>
          <w:szCs w:val="22"/>
        </w:rPr>
        <w:t xml:space="preserve">Parties, other Governments and relevant organizations to provide financial </w:t>
      </w:r>
      <w:r w:rsidR="00C80040" w:rsidRPr="002F5491">
        <w:rPr>
          <w:rFonts w:cs="Times New Roman"/>
          <w:snapToGrid w:val="0"/>
          <w:szCs w:val="22"/>
        </w:rPr>
        <w:t xml:space="preserve">and technical </w:t>
      </w:r>
      <w:r w:rsidR="00FC3CCD" w:rsidRPr="002F5491">
        <w:rPr>
          <w:rFonts w:cs="Times New Roman"/>
          <w:snapToGrid w:val="0"/>
          <w:szCs w:val="22"/>
        </w:rPr>
        <w:t xml:space="preserve">support for the organization of </w:t>
      </w:r>
      <w:r w:rsidR="00F61E53">
        <w:rPr>
          <w:rFonts w:cs="Times New Roman"/>
          <w:snapToGrid w:val="0"/>
          <w:szCs w:val="22"/>
        </w:rPr>
        <w:t xml:space="preserve">the </w:t>
      </w:r>
      <w:r w:rsidR="009D365C" w:rsidRPr="002F5491">
        <w:rPr>
          <w:rFonts w:cs="Times New Roman"/>
          <w:szCs w:val="22"/>
        </w:rPr>
        <w:t>regional consultative workshops</w:t>
      </w:r>
      <w:r w:rsidR="00C80040" w:rsidRPr="002F5491">
        <w:rPr>
          <w:rFonts w:cs="Times New Roman"/>
          <w:szCs w:val="22"/>
        </w:rPr>
        <w:t xml:space="preserve"> and online discussion </w:t>
      </w:r>
      <w:r w:rsidR="007834F0" w:rsidRPr="002F5491">
        <w:rPr>
          <w:rFonts w:cs="Times New Roman"/>
          <w:szCs w:val="22"/>
        </w:rPr>
        <w:t>forums</w:t>
      </w:r>
      <w:r w:rsidR="005B66A5" w:rsidRPr="002F5491">
        <w:rPr>
          <w:rFonts w:cs="Times New Roman"/>
          <w:snapToGrid w:val="0"/>
          <w:szCs w:val="22"/>
        </w:rPr>
        <w:t xml:space="preserve"> referred to above</w:t>
      </w:r>
      <w:r w:rsidR="00763282" w:rsidRPr="002F5491">
        <w:rPr>
          <w:rFonts w:cs="Times New Roman"/>
          <w:snapToGrid w:val="0"/>
          <w:szCs w:val="22"/>
        </w:rPr>
        <w:t>;</w:t>
      </w:r>
    </w:p>
    <w:p w:rsidR="00072DDC" w:rsidRPr="002F5491" w:rsidRDefault="009C278F" w:rsidP="002F5491">
      <w:pPr>
        <w:pStyle w:val="Para1"/>
        <w:suppressLineNumbers/>
        <w:suppressAutoHyphens/>
        <w:spacing w:before="120"/>
        <w:ind w:firstLine="720"/>
        <w:rPr>
          <w:rFonts w:cs="Times New Roman"/>
          <w:szCs w:val="22"/>
        </w:rPr>
      </w:pPr>
      <w:r w:rsidRPr="002F5491">
        <w:rPr>
          <w:rFonts w:cs="Times New Roman"/>
          <w:snapToGrid/>
          <w:kern w:val="20"/>
          <w:szCs w:val="22"/>
        </w:rPr>
        <w:t>8</w:t>
      </w:r>
      <w:r w:rsidR="00072DDC" w:rsidRPr="002F5491">
        <w:rPr>
          <w:rFonts w:cs="Times New Roman"/>
          <w:snapToGrid/>
          <w:kern w:val="20"/>
          <w:szCs w:val="22"/>
        </w:rPr>
        <w:t>.</w:t>
      </w:r>
      <w:r w:rsidR="00072DDC" w:rsidRPr="002F5491">
        <w:rPr>
          <w:rFonts w:cs="Times New Roman"/>
          <w:snapToGrid/>
          <w:kern w:val="20"/>
          <w:szCs w:val="22"/>
        </w:rPr>
        <w:tab/>
      </w:r>
      <w:r w:rsidR="00072DDC" w:rsidRPr="002F5491">
        <w:rPr>
          <w:rFonts w:cs="Times New Roman"/>
          <w:i/>
          <w:snapToGrid/>
          <w:kern w:val="20"/>
          <w:szCs w:val="22"/>
        </w:rPr>
        <w:t xml:space="preserve">Requests </w:t>
      </w:r>
      <w:r w:rsidR="00072DDC" w:rsidRPr="002F5491">
        <w:rPr>
          <w:rFonts w:cs="Times New Roman"/>
          <w:snapToGrid/>
          <w:kern w:val="20"/>
          <w:szCs w:val="22"/>
        </w:rPr>
        <w:t xml:space="preserve">the Executive Secretary </w:t>
      </w:r>
      <w:r w:rsidR="00B506EC" w:rsidRPr="002F5491">
        <w:rPr>
          <w:rFonts w:cs="Times New Roman"/>
          <w:snapToGrid/>
          <w:kern w:val="20"/>
          <w:szCs w:val="22"/>
        </w:rPr>
        <w:t xml:space="preserve">to </w:t>
      </w:r>
      <w:r w:rsidR="00E40106" w:rsidRPr="002F5491">
        <w:rPr>
          <w:rFonts w:cs="Times New Roman"/>
          <w:snapToGrid/>
          <w:kern w:val="20"/>
          <w:szCs w:val="22"/>
        </w:rPr>
        <w:t xml:space="preserve">submit a draft </w:t>
      </w:r>
      <w:r w:rsidR="007233F8" w:rsidRPr="002F5491">
        <w:rPr>
          <w:rFonts w:cs="Times New Roman"/>
          <w:szCs w:val="22"/>
        </w:rPr>
        <w:t xml:space="preserve">post-2020 </w:t>
      </w:r>
      <w:r w:rsidR="0086580B" w:rsidRPr="002F5491">
        <w:rPr>
          <w:rFonts w:cs="Times New Roman"/>
          <w:szCs w:val="22"/>
        </w:rPr>
        <w:t>c</w:t>
      </w:r>
      <w:r w:rsidR="007233F8" w:rsidRPr="002F5491">
        <w:rPr>
          <w:rFonts w:cs="Times New Roman"/>
          <w:szCs w:val="22"/>
        </w:rPr>
        <w:t xml:space="preserve">apacity </w:t>
      </w:r>
      <w:r w:rsidR="0086580B" w:rsidRPr="002F5491">
        <w:rPr>
          <w:rFonts w:cs="Times New Roman"/>
          <w:szCs w:val="22"/>
        </w:rPr>
        <w:t>d</w:t>
      </w:r>
      <w:r w:rsidR="007233F8" w:rsidRPr="002F5491">
        <w:rPr>
          <w:rFonts w:cs="Times New Roman"/>
          <w:szCs w:val="22"/>
        </w:rPr>
        <w:t xml:space="preserve">evelopment </w:t>
      </w:r>
      <w:r w:rsidR="0086580B" w:rsidRPr="002F5491">
        <w:rPr>
          <w:rFonts w:cs="Times New Roman"/>
          <w:szCs w:val="22"/>
        </w:rPr>
        <w:t>s</w:t>
      </w:r>
      <w:r w:rsidR="007233F8" w:rsidRPr="002F5491">
        <w:rPr>
          <w:rFonts w:cs="Times New Roman"/>
          <w:szCs w:val="22"/>
        </w:rPr>
        <w:t xml:space="preserve">trategic </w:t>
      </w:r>
      <w:r w:rsidR="0086580B" w:rsidRPr="002F5491">
        <w:rPr>
          <w:rFonts w:cs="Times New Roman"/>
          <w:szCs w:val="22"/>
        </w:rPr>
        <w:t>f</w:t>
      </w:r>
      <w:r w:rsidR="007233F8" w:rsidRPr="002F5491">
        <w:rPr>
          <w:rFonts w:cs="Times New Roman"/>
          <w:szCs w:val="22"/>
        </w:rPr>
        <w:t xml:space="preserve">ramework </w:t>
      </w:r>
      <w:r w:rsidR="00EB1E7C" w:rsidRPr="002F5491">
        <w:rPr>
          <w:rFonts w:cs="Times New Roman"/>
          <w:szCs w:val="22"/>
        </w:rPr>
        <w:t>along with the draft</w:t>
      </w:r>
      <w:r w:rsidR="0086580B" w:rsidRPr="002F5491">
        <w:rPr>
          <w:rFonts w:cs="Times New Roman"/>
          <w:szCs w:val="22"/>
        </w:rPr>
        <w:t xml:space="preserve"> post-2020 biodiversity framework</w:t>
      </w:r>
      <w:r w:rsidR="00072DDC" w:rsidRPr="002F5491">
        <w:rPr>
          <w:rFonts w:cs="Times New Roman"/>
          <w:snapToGrid/>
          <w:kern w:val="20"/>
          <w:szCs w:val="22"/>
        </w:rPr>
        <w:t xml:space="preserve"> for consideration by the Subsidiary Body on Implementation at its third meeting and for subsequent consideration by the Conference of the Parties at its fifteenth meeting</w:t>
      </w:r>
      <w:r w:rsidR="00F93C34">
        <w:rPr>
          <w:rFonts w:cs="Times New Roman"/>
          <w:snapToGrid/>
          <w:kern w:val="20"/>
          <w:szCs w:val="22"/>
        </w:rPr>
        <w:t>;</w:t>
      </w:r>
    </w:p>
    <w:p w:rsidR="00E95E9B" w:rsidRPr="002F5491" w:rsidRDefault="00DD5947" w:rsidP="002F5491">
      <w:pPr>
        <w:pStyle w:val="Para1"/>
        <w:suppressLineNumbers/>
        <w:suppressAutoHyphens/>
        <w:spacing w:before="120"/>
        <w:jc w:val="center"/>
        <w:rPr>
          <w:rFonts w:eastAsia="Times New Roman" w:cs="Times New Roman"/>
          <w:b/>
          <w:kern w:val="22"/>
          <w:szCs w:val="22"/>
        </w:rPr>
      </w:pPr>
      <w:r>
        <w:rPr>
          <w:rFonts w:eastAsia="Times New Roman" w:cs="Times New Roman"/>
          <w:b/>
          <w:kern w:val="22"/>
          <w:szCs w:val="22"/>
        </w:rPr>
        <w:t>2.</w:t>
      </w:r>
      <w:r>
        <w:rPr>
          <w:rFonts w:eastAsia="Times New Roman" w:cs="Times New Roman"/>
          <w:b/>
          <w:kern w:val="22"/>
          <w:szCs w:val="22"/>
        </w:rPr>
        <w:tab/>
      </w:r>
      <w:r w:rsidR="00E95E9B" w:rsidRPr="002F5491">
        <w:rPr>
          <w:rFonts w:eastAsia="Times New Roman" w:cs="Times New Roman"/>
          <w:b/>
          <w:kern w:val="22"/>
          <w:szCs w:val="22"/>
        </w:rPr>
        <w:t>Technical and scientific cooperation</w:t>
      </w:r>
    </w:p>
    <w:p w:rsidR="00E6436E" w:rsidRPr="002F5491" w:rsidRDefault="00E6436E" w:rsidP="00E6436E">
      <w:pPr>
        <w:pStyle w:val="Para1"/>
        <w:suppressLineNumbers/>
        <w:suppressAutoHyphens/>
        <w:spacing w:before="120"/>
        <w:ind w:firstLine="720"/>
        <w:rPr>
          <w:rFonts w:cs="Times New Roman"/>
          <w:szCs w:val="22"/>
        </w:rPr>
      </w:pPr>
      <w:r w:rsidRPr="002F5491">
        <w:rPr>
          <w:rFonts w:cs="Times New Roman"/>
          <w:i/>
          <w:szCs w:val="22"/>
        </w:rPr>
        <w:t>Recalling</w:t>
      </w:r>
      <w:r w:rsidRPr="002F5491">
        <w:rPr>
          <w:rFonts w:cs="Times New Roman"/>
          <w:szCs w:val="22"/>
        </w:rPr>
        <w:t xml:space="preserve"> decisions XIII/23, XII/2, X/16, IX/14, VIII/12 and VII/29 regarding technical and scientific cooperation and technology transfer,</w:t>
      </w:r>
    </w:p>
    <w:p w:rsidR="00E95E9B" w:rsidRPr="002F5491" w:rsidRDefault="009C278F" w:rsidP="00E6436E">
      <w:pPr>
        <w:pStyle w:val="Para1"/>
        <w:suppressLineNumbers/>
        <w:suppressAutoHyphens/>
        <w:spacing w:before="120"/>
        <w:ind w:firstLine="720"/>
        <w:rPr>
          <w:rFonts w:cs="Times New Roman"/>
          <w:kern w:val="22"/>
          <w:szCs w:val="22"/>
        </w:rPr>
      </w:pPr>
      <w:r w:rsidRPr="002F5491">
        <w:rPr>
          <w:rFonts w:cs="Times New Roman"/>
          <w:kern w:val="22"/>
          <w:szCs w:val="22"/>
        </w:rPr>
        <w:t>9</w:t>
      </w:r>
      <w:r w:rsidR="00E40106" w:rsidRPr="002F5491">
        <w:rPr>
          <w:rFonts w:cs="Times New Roman"/>
          <w:kern w:val="22"/>
          <w:szCs w:val="22"/>
        </w:rPr>
        <w:t>.</w:t>
      </w:r>
      <w:r w:rsidR="00E40106" w:rsidRPr="002F5491">
        <w:rPr>
          <w:rFonts w:cs="Times New Roman"/>
          <w:kern w:val="22"/>
          <w:szCs w:val="22"/>
        </w:rPr>
        <w:tab/>
      </w:r>
      <w:r w:rsidR="00EF3A51" w:rsidRPr="002F5491">
        <w:rPr>
          <w:rFonts w:cs="Times New Roman"/>
          <w:i/>
          <w:kern w:val="22"/>
          <w:szCs w:val="22"/>
        </w:rPr>
        <w:t>Takes note</w:t>
      </w:r>
      <w:r w:rsidR="00EF3A51" w:rsidRPr="002F5491">
        <w:rPr>
          <w:rFonts w:cs="Times New Roman"/>
          <w:kern w:val="22"/>
          <w:szCs w:val="22"/>
        </w:rPr>
        <w:t xml:space="preserve"> of the </w:t>
      </w:r>
      <w:r w:rsidR="002A2BAF" w:rsidRPr="002F5491">
        <w:rPr>
          <w:rFonts w:cs="Times New Roman"/>
          <w:kern w:val="22"/>
          <w:szCs w:val="22"/>
        </w:rPr>
        <w:t xml:space="preserve">report on the </w:t>
      </w:r>
      <w:r w:rsidR="00EF3A51" w:rsidRPr="002F5491">
        <w:rPr>
          <w:rFonts w:cs="Times New Roman"/>
          <w:kern w:val="22"/>
          <w:szCs w:val="22"/>
        </w:rPr>
        <w:t>progress made to promote and facili</w:t>
      </w:r>
      <w:r w:rsidR="003D5C4E">
        <w:rPr>
          <w:rFonts w:cs="Times New Roman"/>
          <w:kern w:val="22"/>
          <w:szCs w:val="22"/>
        </w:rPr>
        <w:t>t</w:t>
      </w:r>
      <w:r w:rsidR="00EF3A51" w:rsidRPr="002F5491">
        <w:rPr>
          <w:rFonts w:cs="Times New Roman"/>
          <w:kern w:val="22"/>
          <w:szCs w:val="22"/>
        </w:rPr>
        <w:t>ate technical and scientific cooperation</w:t>
      </w:r>
      <w:r w:rsidR="009D365C" w:rsidRPr="002F5491">
        <w:rPr>
          <w:rFonts w:cs="Times New Roman"/>
          <w:kern w:val="22"/>
          <w:szCs w:val="22"/>
        </w:rPr>
        <w:t xml:space="preserve">, including </w:t>
      </w:r>
      <w:r w:rsidR="00EB1E7C" w:rsidRPr="002F5491">
        <w:rPr>
          <w:rFonts w:cs="Times New Roman"/>
          <w:kern w:val="22"/>
          <w:szCs w:val="22"/>
        </w:rPr>
        <w:t xml:space="preserve">the achievements </w:t>
      </w:r>
      <w:r w:rsidR="00761F5C" w:rsidRPr="002F5491">
        <w:rPr>
          <w:rFonts w:cs="Times New Roman"/>
          <w:kern w:val="22"/>
          <w:szCs w:val="22"/>
        </w:rPr>
        <w:t xml:space="preserve">made </w:t>
      </w:r>
      <w:r w:rsidR="00EB1E7C" w:rsidRPr="002F5491">
        <w:rPr>
          <w:rFonts w:cs="Times New Roman"/>
          <w:kern w:val="22"/>
          <w:szCs w:val="22"/>
        </w:rPr>
        <w:t xml:space="preserve">under </w:t>
      </w:r>
      <w:r w:rsidR="00EF3A51" w:rsidRPr="002F5491">
        <w:rPr>
          <w:rFonts w:cs="Times New Roman"/>
          <w:kern w:val="22"/>
          <w:szCs w:val="22"/>
        </w:rPr>
        <w:t>the Bio-Bridge Initiative</w:t>
      </w:r>
      <w:r w:rsidR="00763282" w:rsidRPr="002F5491">
        <w:rPr>
          <w:rFonts w:cs="Times New Roman"/>
          <w:kern w:val="22"/>
          <w:szCs w:val="22"/>
        </w:rPr>
        <w:t>;</w:t>
      </w:r>
      <w:r w:rsidR="002A2BAF" w:rsidRPr="002F5491">
        <w:rPr>
          <w:rStyle w:val="StyleFootnoteReferencenumberFootnoteReferenceSuperscript-EF"/>
          <w:sz w:val="22"/>
        </w:rPr>
        <w:footnoteReference w:id="21"/>
      </w:r>
    </w:p>
    <w:p w:rsidR="00D60A3B" w:rsidRPr="002F5491" w:rsidRDefault="00D60A3B" w:rsidP="001A3A07">
      <w:pPr>
        <w:pStyle w:val="Para1"/>
        <w:suppressLineNumbers/>
        <w:suppressAutoHyphens/>
        <w:spacing w:before="120"/>
        <w:ind w:firstLine="720"/>
        <w:rPr>
          <w:rFonts w:cs="Times New Roman"/>
          <w:kern w:val="22"/>
          <w:szCs w:val="22"/>
        </w:rPr>
      </w:pPr>
      <w:r w:rsidRPr="002F5491">
        <w:rPr>
          <w:rFonts w:cs="Times New Roman"/>
          <w:kern w:val="22"/>
          <w:szCs w:val="22"/>
        </w:rPr>
        <w:t>1</w:t>
      </w:r>
      <w:r w:rsidR="009C278F" w:rsidRPr="002F5491">
        <w:rPr>
          <w:rFonts w:cs="Times New Roman"/>
          <w:kern w:val="22"/>
          <w:szCs w:val="22"/>
        </w:rPr>
        <w:t>0</w:t>
      </w:r>
      <w:r w:rsidRPr="002F5491">
        <w:rPr>
          <w:rFonts w:cs="Times New Roman"/>
          <w:kern w:val="22"/>
          <w:szCs w:val="22"/>
        </w:rPr>
        <w:t>.</w:t>
      </w:r>
      <w:r w:rsidRPr="002F5491">
        <w:rPr>
          <w:rFonts w:cs="Times New Roman"/>
          <w:kern w:val="22"/>
          <w:szCs w:val="22"/>
        </w:rPr>
        <w:tab/>
      </w:r>
      <w:r w:rsidRPr="002F5491">
        <w:rPr>
          <w:rFonts w:cs="Times New Roman"/>
          <w:i/>
          <w:kern w:val="22"/>
          <w:szCs w:val="22"/>
        </w:rPr>
        <w:t>Invites</w:t>
      </w:r>
      <w:r w:rsidRPr="002F5491">
        <w:rPr>
          <w:rFonts w:cs="Times New Roman"/>
          <w:kern w:val="22"/>
          <w:szCs w:val="22"/>
        </w:rPr>
        <w:t xml:space="preserve"> Parties and relevant organizations in a position to do so to regis</w:t>
      </w:r>
      <w:r w:rsidR="00937406" w:rsidRPr="002F5491">
        <w:rPr>
          <w:rFonts w:cs="Times New Roman"/>
          <w:kern w:val="22"/>
          <w:szCs w:val="22"/>
        </w:rPr>
        <w:t>ter as providers of technical assistance through the Bio-Bridge web platform</w:t>
      </w:r>
      <w:r w:rsidR="00763282" w:rsidRPr="002F5491">
        <w:rPr>
          <w:rFonts w:cs="Times New Roman"/>
          <w:kern w:val="22"/>
          <w:szCs w:val="22"/>
        </w:rPr>
        <w:t>;</w:t>
      </w:r>
    </w:p>
    <w:p w:rsidR="00226BF5" w:rsidRPr="002F5491" w:rsidRDefault="00F373AA" w:rsidP="00905A1F">
      <w:pPr>
        <w:pStyle w:val="Para1"/>
        <w:suppressLineNumbers/>
        <w:suppressAutoHyphens/>
        <w:spacing w:before="120"/>
        <w:ind w:firstLine="720"/>
        <w:rPr>
          <w:rFonts w:cs="Times New Roman"/>
          <w:kern w:val="22"/>
          <w:szCs w:val="22"/>
        </w:rPr>
      </w:pPr>
      <w:r w:rsidRPr="002F5491">
        <w:rPr>
          <w:rFonts w:cs="Times New Roman"/>
          <w:kern w:val="22"/>
          <w:szCs w:val="22"/>
        </w:rPr>
        <w:t>1</w:t>
      </w:r>
      <w:r w:rsidR="009C278F" w:rsidRPr="002F5491">
        <w:rPr>
          <w:rFonts w:cs="Times New Roman"/>
          <w:kern w:val="22"/>
          <w:szCs w:val="22"/>
        </w:rPr>
        <w:t>1</w:t>
      </w:r>
      <w:r w:rsidR="00E6436E" w:rsidRPr="002F5491">
        <w:rPr>
          <w:rFonts w:cs="Times New Roman"/>
          <w:kern w:val="22"/>
          <w:szCs w:val="22"/>
        </w:rPr>
        <w:t>.</w:t>
      </w:r>
      <w:r w:rsidR="00E6436E" w:rsidRPr="002F5491">
        <w:rPr>
          <w:rFonts w:cs="Times New Roman"/>
          <w:kern w:val="22"/>
          <w:szCs w:val="22"/>
        </w:rPr>
        <w:tab/>
      </w:r>
      <w:r w:rsidR="00E6436E" w:rsidRPr="002F5491">
        <w:rPr>
          <w:rFonts w:cs="Times New Roman"/>
          <w:i/>
          <w:kern w:val="22"/>
          <w:szCs w:val="22"/>
        </w:rPr>
        <w:t xml:space="preserve">Invites </w:t>
      </w:r>
      <w:r w:rsidR="00E6436E" w:rsidRPr="002F5491">
        <w:rPr>
          <w:rFonts w:cs="Times New Roman"/>
          <w:kern w:val="22"/>
          <w:szCs w:val="22"/>
        </w:rPr>
        <w:t xml:space="preserve">providers of assistance, including the Consortium of Scientific Partners, to communicate to the Executive Secretary </w:t>
      </w:r>
      <w:r w:rsidR="00226BF5" w:rsidRPr="002F5491">
        <w:rPr>
          <w:rFonts w:cs="Times New Roman"/>
          <w:kern w:val="22"/>
          <w:szCs w:val="22"/>
        </w:rPr>
        <w:t>the priority themes, geographic coverage and types of services they wish to offer to other Parties</w:t>
      </w:r>
      <w:r w:rsidR="00763282" w:rsidRPr="002F5491">
        <w:rPr>
          <w:rFonts w:cs="Times New Roman"/>
          <w:kern w:val="22"/>
          <w:szCs w:val="22"/>
        </w:rPr>
        <w:t>;</w:t>
      </w:r>
    </w:p>
    <w:p w:rsidR="00C741E8" w:rsidRPr="002F5491" w:rsidRDefault="00EF3A51" w:rsidP="00905A1F">
      <w:pPr>
        <w:pStyle w:val="Para1"/>
        <w:suppressLineNumbers/>
        <w:suppressAutoHyphens/>
        <w:spacing w:before="120"/>
        <w:ind w:firstLine="720"/>
        <w:rPr>
          <w:rFonts w:cs="Times New Roman"/>
          <w:kern w:val="22"/>
          <w:szCs w:val="22"/>
        </w:rPr>
      </w:pPr>
      <w:r w:rsidRPr="002F5491">
        <w:rPr>
          <w:rFonts w:cs="Times New Roman"/>
          <w:kern w:val="22"/>
          <w:szCs w:val="22"/>
        </w:rPr>
        <w:t>1</w:t>
      </w:r>
      <w:r w:rsidR="009C278F" w:rsidRPr="002F5491">
        <w:rPr>
          <w:rFonts w:cs="Times New Roman"/>
          <w:kern w:val="22"/>
          <w:szCs w:val="22"/>
        </w:rPr>
        <w:t>2</w:t>
      </w:r>
      <w:r w:rsidRPr="002F5491">
        <w:rPr>
          <w:rFonts w:cs="Times New Roman"/>
          <w:kern w:val="22"/>
          <w:szCs w:val="22"/>
        </w:rPr>
        <w:t>.</w:t>
      </w:r>
      <w:r w:rsidRPr="002F5491">
        <w:rPr>
          <w:rFonts w:cs="Times New Roman"/>
          <w:kern w:val="22"/>
          <w:szCs w:val="22"/>
        </w:rPr>
        <w:tab/>
      </w:r>
      <w:r w:rsidR="00D60A3B" w:rsidRPr="002F5491">
        <w:rPr>
          <w:rFonts w:cs="Times New Roman"/>
          <w:i/>
          <w:kern w:val="22"/>
          <w:szCs w:val="22"/>
        </w:rPr>
        <w:t>Decides</w:t>
      </w:r>
      <w:r w:rsidR="00D60A3B" w:rsidRPr="002F5491">
        <w:rPr>
          <w:rFonts w:cs="Times New Roman"/>
          <w:kern w:val="22"/>
          <w:szCs w:val="22"/>
        </w:rPr>
        <w:t xml:space="preserve"> to establish an Informal Advisory Committee on Technical and Scientific Cooperation to provide the Executive Secretary </w:t>
      </w:r>
      <w:r w:rsidR="00905A1F">
        <w:rPr>
          <w:rFonts w:cs="Times New Roman"/>
          <w:kern w:val="22"/>
          <w:szCs w:val="22"/>
        </w:rPr>
        <w:t>with</w:t>
      </w:r>
      <w:r w:rsidR="00905A1F" w:rsidRPr="00905A1F">
        <w:rPr>
          <w:rFonts w:cs="Times New Roman"/>
          <w:kern w:val="22"/>
          <w:szCs w:val="22"/>
        </w:rPr>
        <w:t xml:space="preserve"> </w:t>
      </w:r>
      <w:r w:rsidR="00905A1F">
        <w:rPr>
          <w:rFonts w:cs="Times New Roman"/>
          <w:kern w:val="22"/>
          <w:szCs w:val="22"/>
        </w:rPr>
        <w:t xml:space="preserve">advice </w:t>
      </w:r>
      <w:r w:rsidR="00D60A3B" w:rsidRPr="002F5491">
        <w:rPr>
          <w:rFonts w:cs="Times New Roman"/>
          <w:kern w:val="22"/>
          <w:szCs w:val="22"/>
        </w:rPr>
        <w:t>on</w:t>
      </w:r>
      <w:r w:rsidR="00FE673C" w:rsidRPr="002F5491">
        <w:rPr>
          <w:rFonts w:eastAsia="Times New Roman" w:cs="Times New Roman"/>
          <w:szCs w:val="22"/>
          <w:lang w:eastAsia="en-CA"/>
        </w:rPr>
        <w:t xml:space="preserve"> practical measures, tools and </w:t>
      </w:r>
      <w:r w:rsidR="00F373AA" w:rsidRPr="002F5491">
        <w:rPr>
          <w:rFonts w:cs="Times New Roman"/>
          <w:kern w:val="22"/>
          <w:szCs w:val="22"/>
        </w:rPr>
        <w:t>opportunities</w:t>
      </w:r>
      <w:r w:rsidR="00D60A3B" w:rsidRPr="002F5491">
        <w:rPr>
          <w:rFonts w:cs="Times New Roman"/>
          <w:kern w:val="22"/>
          <w:szCs w:val="22"/>
        </w:rPr>
        <w:t xml:space="preserve"> to </w:t>
      </w:r>
      <w:r w:rsidR="00FE673C" w:rsidRPr="002F5491">
        <w:rPr>
          <w:rFonts w:cs="Times New Roman"/>
          <w:kern w:val="22"/>
          <w:szCs w:val="22"/>
        </w:rPr>
        <w:t>promote and facilitate technical and scientific cooperation for the effective implementation of</w:t>
      </w:r>
      <w:r w:rsidR="00D60A3B" w:rsidRPr="002F5491">
        <w:rPr>
          <w:rFonts w:cs="Times New Roman"/>
          <w:kern w:val="22"/>
          <w:szCs w:val="22"/>
        </w:rPr>
        <w:t xml:space="preserve"> the Convention in accordance with </w:t>
      </w:r>
      <w:r w:rsidR="00267689">
        <w:rPr>
          <w:rFonts w:cs="Times New Roman"/>
          <w:kern w:val="22"/>
          <w:szCs w:val="22"/>
        </w:rPr>
        <w:t xml:space="preserve">the </w:t>
      </w:r>
      <w:r w:rsidR="00D60A3B" w:rsidRPr="002F5491">
        <w:rPr>
          <w:rFonts w:cs="Times New Roman"/>
          <w:kern w:val="22"/>
          <w:szCs w:val="22"/>
        </w:rPr>
        <w:t xml:space="preserve">terms of reference </w:t>
      </w:r>
      <w:r w:rsidR="00610CB7" w:rsidRPr="002F5491">
        <w:rPr>
          <w:rFonts w:cs="Times New Roman"/>
          <w:kern w:val="22"/>
          <w:szCs w:val="22"/>
        </w:rPr>
        <w:t xml:space="preserve">contained in </w:t>
      </w:r>
      <w:r w:rsidR="00763282" w:rsidRPr="002F5491">
        <w:rPr>
          <w:rFonts w:cs="Times New Roman"/>
          <w:kern w:val="22"/>
          <w:szCs w:val="22"/>
        </w:rPr>
        <w:t>a</w:t>
      </w:r>
      <w:r w:rsidR="00610CB7" w:rsidRPr="002F5491">
        <w:rPr>
          <w:rFonts w:cs="Times New Roman"/>
          <w:kern w:val="22"/>
          <w:szCs w:val="22"/>
        </w:rPr>
        <w:t>nnex II</w:t>
      </w:r>
      <w:r w:rsidR="00D60A3B" w:rsidRPr="002F5491">
        <w:rPr>
          <w:rFonts w:cs="Times New Roman"/>
          <w:kern w:val="22"/>
          <w:szCs w:val="22"/>
        </w:rPr>
        <w:t xml:space="preserve"> hereto</w:t>
      </w:r>
      <w:r w:rsidR="00763282" w:rsidRPr="002F5491">
        <w:rPr>
          <w:rFonts w:cs="Times New Roman"/>
          <w:kern w:val="22"/>
          <w:szCs w:val="22"/>
        </w:rPr>
        <w:t>;</w:t>
      </w:r>
    </w:p>
    <w:p w:rsidR="00937406" w:rsidRPr="002F5491" w:rsidRDefault="00222F89" w:rsidP="00222F89">
      <w:pPr>
        <w:pStyle w:val="Para1"/>
        <w:suppressLineNumbers/>
        <w:suppressAutoHyphens/>
        <w:spacing w:before="120"/>
        <w:ind w:firstLine="720"/>
        <w:rPr>
          <w:rFonts w:cs="Times New Roman"/>
          <w:kern w:val="22"/>
          <w:szCs w:val="22"/>
        </w:rPr>
      </w:pPr>
      <w:r w:rsidRPr="002F5491">
        <w:rPr>
          <w:rFonts w:cs="Times New Roman"/>
          <w:kern w:val="22"/>
          <w:szCs w:val="22"/>
        </w:rPr>
        <w:t>1</w:t>
      </w:r>
      <w:r w:rsidR="009C278F" w:rsidRPr="002F5491">
        <w:rPr>
          <w:rFonts w:cs="Times New Roman"/>
          <w:kern w:val="22"/>
          <w:szCs w:val="22"/>
        </w:rPr>
        <w:t>3</w:t>
      </w:r>
      <w:r w:rsidRPr="002F5491">
        <w:rPr>
          <w:rFonts w:cs="Times New Roman"/>
          <w:kern w:val="22"/>
          <w:szCs w:val="22"/>
        </w:rPr>
        <w:t>.</w:t>
      </w:r>
      <w:r w:rsidRPr="002F5491">
        <w:rPr>
          <w:rFonts w:cs="Times New Roman"/>
          <w:kern w:val="22"/>
          <w:szCs w:val="22"/>
        </w:rPr>
        <w:tab/>
      </w:r>
      <w:r w:rsidRPr="002F5491">
        <w:rPr>
          <w:rFonts w:cs="Times New Roman"/>
          <w:i/>
          <w:kern w:val="22"/>
          <w:szCs w:val="22"/>
        </w:rPr>
        <w:t>Requests</w:t>
      </w:r>
      <w:r w:rsidRPr="002F5491">
        <w:rPr>
          <w:rFonts w:cs="Times New Roman"/>
          <w:kern w:val="22"/>
          <w:szCs w:val="22"/>
        </w:rPr>
        <w:t xml:space="preserve"> the Executive Secretary, in collaboration with partners and subject to the availability of resources, to </w:t>
      </w:r>
      <w:r w:rsidR="00F373AA" w:rsidRPr="002F5491">
        <w:rPr>
          <w:rFonts w:cs="Times New Roman"/>
          <w:kern w:val="22"/>
          <w:szCs w:val="22"/>
        </w:rPr>
        <w:t xml:space="preserve">further </w:t>
      </w:r>
      <w:r w:rsidRPr="002F5491">
        <w:rPr>
          <w:rFonts w:cs="Times New Roman"/>
          <w:kern w:val="22"/>
          <w:szCs w:val="22"/>
        </w:rPr>
        <w:t>promote and facilitate technical and scientific cooperation and provide a progress report for consideration by the Subsidiary Body on Implementation at its third meeting and by the Conference of the Parties at its fifteenth meeting</w:t>
      </w:r>
      <w:r w:rsidR="00AE13DD">
        <w:rPr>
          <w:rFonts w:cs="Times New Roman"/>
          <w:kern w:val="22"/>
          <w:szCs w:val="22"/>
        </w:rPr>
        <w:t>;</w:t>
      </w:r>
    </w:p>
    <w:p w:rsidR="00963FB2" w:rsidRPr="002F5491" w:rsidRDefault="00DD5947" w:rsidP="002F5491">
      <w:pPr>
        <w:pStyle w:val="Para1"/>
        <w:suppressLineNumbers/>
        <w:suppressAutoHyphens/>
        <w:spacing w:before="120"/>
        <w:jc w:val="center"/>
        <w:rPr>
          <w:rFonts w:cs="Times New Roman"/>
          <w:b/>
          <w:kern w:val="22"/>
          <w:szCs w:val="22"/>
        </w:rPr>
      </w:pPr>
      <w:r>
        <w:rPr>
          <w:rFonts w:cs="Times New Roman"/>
          <w:b/>
          <w:kern w:val="22"/>
          <w:szCs w:val="22"/>
        </w:rPr>
        <w:t>3.</w:t>
      </w:r>
      <w:r>
        <w:rPr>
          <w:rFonts w:cs="Times New Roman"/>
          <w:b/>
          <w:kern w:val="22"/>
          <w:szCs w:val="22"/>
        </w:rPr>
        <w:tab/>
      </w:r>
      <w:r w:rsidR="00963FB2" w:rsidRPr="002F5491">
        <w:rPr>
          <w:rFonts w:cs="Times New Roman"/>
          <w:b/>
          <w:kern w:val="22"/>
          <w:szCs w:val="22"/>
        </w:rPr>
        <w:t>Clearing-</w:t>
      </w:r>
      <w:r w:rsidR="00763282" w:rsidRPr="002F5491">
        <w:rPr>
          <w:rFonts w:cs="Times New Roman"/>
          <w:b/>
          <w:kern w:val="22"/>
          <w:szCs w:val="22"/>
        </w:rPr>
        <w:t>h</w:t>
      </w:r>
      <w:r w:rsidR="00963FB2" w:rsidRPr="002F5491">
        <w:rPr>
          <w:rFonts w:cs="Times New Roman"/>
          <w:b/>
          <w:kern w:val="22"/>
          <w:szCs w:val="22"/>
        </w:rPr>
        <w:t xml:space="preserve">ouse </w:t>
      </w:r>
      <w:r w:rsidR="00763282" w:rsidRPr="002F5491">
        <w:rPr>
          <w:rFonts w:cs="Times New Roman"/>
          <w:b/>
          <w:kern w:val="22"/>
          <w:szCs w:val="22"/>
        </w:rPr>
        <w:t>m</w:t>
      </w:r>
      <w:r w:rsidR="00963FB2" w:rsidRPr="002F5491">
        <w:rPr>
          <w:rFonts w:cs="Times New Roman"/>
          <w:b/>
          <w:kern w:val="22"/>
          <w:szCs w:val="22"/>
        </w:rPr>
        <w:t>echanism</w:t>
      </w:r>
    </w:p>
    <w:p w:rsidR="00963FB2" w:rsidRPr="002F5491" w:rsidRDefault="00963FB2" w:rsidP="006D0243">
      <w:pPr>
        <w:spacing w:before="120" w:after="120"/>
        <w:ind w:firstLine="720"/>
        <w:rPr>
          <w:rFonts w:cs="Times New Roman"/>
          <w:snapToGrid w:val="0"/>
          <w:szCs w:val="22"/>
        </w:rPr>
      </w:pPr>
      <w:r w:rsidRPr="002F5491">
        <w:rPr>
          <w:rFonts w:cs="Times New Roman"/>
          <w:i/>
          <w:snapToGrid w:val="0"/>
          <w:szCs w:val="22"/>
        </w:rPr>
        <w:t xml:space="preserve">Noting </w:t>
      </w:r>
      <w:r w:rsidRPr="002F5491">
        <w:rPr>
          <w:rFonts w:cs="Times New Roman"/>
          <w:snapToGrid w:val="0"/>
          <w:szCs w:val="22"/>
        </w:rPr>
        <w:t xml:space="preserve">the progress </w:t>
      </w:r>
      <w:r w:rsidR="00C741E8" w:rsidRPr="002F5491">
        <w:rPr>
          <w:rFonts w:cs="Times New Roman"/>
          <w:snapToGrid w:val="0"/>
          <w:szCs w:val="22"/>
        </w:rPr>
        <w:t xml:space="preserve">made </w:t>
      </w:r>
      <w:r w:rsidR="00AC4E45" w:rsidRPr="002F5491">
        <w:rPr>
          <w:rFonts w:cs="Times New Roman"/>
          <w:snapToGrid w:val="0"/>
          <w:szCs w:val="22"/>
        </w:rPr>
        <w:t xml:space="preserve">with the implementation of the </w:t>
      </w:r>
      <w:r w:rsidR="00AC4E45" w:rsidRPr="002F5491">
        <w:rPr>
          <w:rFonts w:cs="Times New Roman"/>
          <w:kern w:val="22"/>
          <w:szCs w:val="22"/>
        </w:rPr>
        <w:t>Web Strategy for the Convention and its Protocols</w:t>
      </w:r>
      <w:r w:rsidR="00AC4E45" w:rsidRPr="002F5491">
        <w:rPr>
          <w:rFonts w:cs="Times New Roman"/>
          <w:snapToGrid w:val="0"/>
          <w:szCs w:val="22"/>
        </w:rPr>
        <w:t xml:space="preserve"> </w:t>
      </w:r>
      <w:r w:rsidR="00F22C54" w:rsidRPr="002F5491">
        <w:rPr>
          <w:rFonts w:cs="Times New Roman"/>
          <w:snapToGrid w:val="0"/>
          <w:szCs w:val="22"/>
        </w:rPr>
        <w:t xml:space="preserve">and the </w:t>
      </w:r>
      <w:r w:rsidRPr="002F5491">
        <w:rPr>
          <w:rFonts w:cs="Times New Roman"/>
          <w:snapToGrid w:val="0"/>
          <w:szCs w:val="22"/>
        </w:rPr>
        <w:t>develop</w:t>
      </w:r>
      <w:r w:rsidR="00F22C54" w:rsidRPr="002F5491">
        <w:rPr>
          <w:rFonts w:cs="Times New Roman"/>
          <w:snapToGrid w:val="0"/>
          <w:szCs w:val="22"/>
        </w:rPr>
        <w:t xml:space="preserve">ment of </w:t>
      </w:r>
      <w:r w:rsidRPr="002F5491">
        <w:rPr>
          <w:rFonts w:cs="Times New Roman"/>
          <w:snapToGrid w:val="0"/>
          <w:szCs w:val="22"/>
        </w:rPr>
        <w:t>national clearing-house mechanism</w:t>
      </w:r>
      <w:r w:rsidR="00F22C54" w:rsidRPr="002F5491">
        <w:rPr>
          <w:rFonts w:cs="Times New Roman"/>
          <w:snapToGrid w:val="0"/>
          <w:szCs w:val="22"/>
        </w:rPr>
        <w:t>s</w:t>
      </w:r>
      <w:r w:rsidR="002C2C52" w:rsidRPr="002F5491">
        <w:rPr>
          <w:rFonts w:cs="Times New Roman"/>
          <w:snapToGrid w:val="0"/>
          <w:szCs w:val="22"/>
        </w:rPr>
        <w:t xml:space="preserve">, including the </w:t>
      </w:r>
      <w:r w:rsidR="006D0243" w:rsidRPr="002F5491">
        <w:rPr>
          <w:rFonts w:cs="Times New Roman"/>
          <w:szCs w:val="22"/>
        </w:rPr>
        <w:t>roll</w:t>
      </w:r>
      <w:r w:rsidR="00CA6FCE">
        <w:rPr>
          <w:rFonts w:cs="Times New Roman"/>
          <w:szCs w:val="22"/>
        </w:rPr>
        <w:t>-</w:t>
      </w:r>
      <w:r w:rsidR="006D0243" w:rsidRPr="002F5491">
        <w:rPr>
          <w:rFonts w:cs="Times New Roman"/>
          <w:szCs w:val="22"/>
        </w:rPr>
        <w:t>out</w:t>
      </w:r>
      <w:r w:rsidR="002C2C52" w:rsidRPr="002F5491">
        <w:rPr>
          <w:rFonts w:cs="Times New Roman"/>
          <w:szCs w:val="22"/>
        </w:rPr>
        <w:t xml:space="preserve"> of the Bioland tool by the Executive Secretary</w:t>
      </w:r>
      <w:r w:rsidR="006D0243" w:rsidRPr="002F5491">
        <w:rPr>
          <w:rFonts w:cs="Times New Roman"/>
          <w:kern w:val="22"/>
          <w:szCs w:val="22"/>
        </w:rPr>
        <w:t xml:space="preserve"> to assist Parties in the establishment </w:t>
      </w:r>
      <w:r w:rsidR="009B61AE" w:rsidRPr="002F5491">
        <w:rPr>
          <w:rFonts w:cs="Times New Roman"/>
          <w:kern w:val="22"/>
          <w:szCs w:val="22"/>
        </w:rPr>
        <w:t xml:space="preserve">or improvement </w:t>
      </w:r>
      <w:r w:rsidR="006D0243" w:rsidRPr="002F5491">
        <w:rPr>
          <w:rFonts w:cs="Times New Roman"/>
          <w:kern w:val="22"/>
          <w:szCs w:val="22"/>
        </w:rPr>
        <w:t>of their national clearing</w:t>
      </w:r>
      <w:r w:rsidR="006D0243" w:rsidRPr="002F5491">
        <w:rPr>
          <w:rFonts w:cs="Times New Roman"/>
          <w:kern w:val="22"/>
          <w:szCs w:val="22"/>
        </w:rPr>
        <w:noBreakHyphen/>
        <w:t>house mechanisms</w:t>
      </w:r>
      <w:r w:rsidRPr="002F5491">
        <w:rPr>
          <w:rFonts w:cs="Times New Roman"/>
          <w:snapToGrid w:val="0"/>
          <w:szCs w:val="22"/>
        </w:rPr>
        <w:t>,</w:t>
      </w:r>
      <w:r w:rsidR="00C741E8" w:rsidRPr="002F5491">
        <w:rPr>
          <w:rStyle w:val="FootnoteReference"/>
          <w:rFonts w:cs="Times New Roman"/>
          <w:snapToGrid w:val="0"/>
          <w:sz w:val="22"/>
          <w:szCs w:val="22"/>
          <w:u w:val="none"/>
          <w:vertAlign w:val="superscript"/>
        </w:rPr>
        <w:footnoteReference w:id="22"/>
      </w:r>
    </w:p>
    <w:p w:rsidR="002C2C52" w:rsidRPr="002F5491" w:rsidRDefault="002C2C52" w:rsidP="001A3A07">
      <w:pPr>
        <w:pStyle w:val="Para1"/>
        <w:suppressLineNumbers/>
        <w:suppressAutoHyphens/>
        <w:spacing w:before="120"/>
        <w:ind w:firstLine="720"/>
        <w:rPr>
          <w:rFonts w:cs="Times New Roman"/>
          <w:szCs w:val="22"/>
        </w:rPr>
      </w:pPr>
      <w:r w:rsidRPr="002F5491">
        <w:rPr>
          <w:rFonts w:cs="Times New Roman"/>
          <w:szCs w:val="22"/>
        </w:rPr>
        <w:t>14.</w:t>
      </w:r>
      <w:r w:rsidRPr="002F5491">
        <w:rPr>
          <w:rFonts w:cs="Times New Roman"/>
          <w:szCs w:val="22"/>
        </w:rPr>
        <w:tab/>
      </w:r>
      <w:r w:rsidRPr="002F5491">
        <w:rPr>
          <w:rFonts w:cs="Times New Roman"/>
          <w:i/>
          <w:szCs w:val="22"/>
        </w:rPr>
        <w:t>Invites</w:t>
      </w:r>
      <w:r w:rsidRPr="002F5491">
        <w:rPr>
          <w:rFonts w:cs="Times New Roman"/>
          <w:szCs w:val="22"/>
        </w:rPr>
        <w:t xml:space="preserve"> Parties</w:t>
      </w:r>
      <w:r w:rsidR="00221045" w:rsidRPr="002F5491">
        <w:rPr>
          <w:rFonts w:cs="Times New Roman"/>
          <w:szCs w:val="22"/>
        </w:rPr>
        <w:t xml:space="preserve"> and other Governments</w:t>
      </w:r>
      <w:r w:rsidRPr="002F5491">
        <w:rPr>
          <w:rFonts w:cs="Times New Roman"/>
          <w:szCs w:val="22"/>
        </w:rPr>
        <w:t xml:space="preserve"> </w:t>
      </w:r>
      <w:r w:rsidR="00221045" w:rsidRPr="002F5491">
        <w:rPr>
          <w:rFonts w:cs="Times New Roman"/>
          <w:kern w:val="22"/>
          <w:szCs w:val="22"/>
        </w:rPr>
        <w:t xml:space="preserve">to, as appropriate, </w:t>
      </w:r>
      <w:proofErr w:type="gramStart"/>
      <w:r w:rsidR="00221045" w:rsidRPr="002F5491">
        <w:rPr>
          <w:rFonts w:cs="Times New Roman"/>
          <w:kern w:val="22"/>
          <w:szCs w:val="22"/>
        </w:rPr>
        <w:t>migrate</w:t>
      </w:r>
      <w:proofErr w:type="gramEnd"/>
      <w:r w:rsidR="009B61AE" w:rsidRPr="002F5491">
        <w:rPr>
          <w:rFonts w:cs="Times New Roman"/>
          <w:kern w:val="22"/>
          <w:szCs w:val="22"/>
        </w:rPr>
        <w:t xml:space="preserve"> their existing national clearing-h</w:t>
      </w:r>
      <w:r w:rsidR="00221045" w:rsidRPr="002F5491">
        <w:rPr>
          <w:rFonts w:cs="Times New Roman"/>
          <w:kern w:val="22"/>
          <w:szCs w:val="22"/>
        </w:rPr>
        <w:t>ouse mechanism websites to the Bioland tool</w:t>
      </w:r>
      <w:r w:rsidR="004F6F5D" w:rsidRPr="002F5491">
        <w:rPr>
          <w:rFonts w:cs="Times New Roman"/>
          <w:kern w:val="22"/>
          <w:szCs w:val="22"/>
        </w:rPr>
        <w:t xml:space="preserve"> developed by the Executive Secretary</w:t>
      </w:r>
      <w:r w:rsidR="00763282" w:rsidRPr="002F5491">
        <w:rPr>
          <w:rFonts w:cs="Times New Roman"/>
          <w:kern w:val="22"/>
          <w:szCs w:val="22"/>
        </w:rPr>
        <w:t>;</w:t>
      </w:r>
    </w:p>
    <w:p w:rsidR="00963FB2" w:rsidRPr="002F5491" w:rsidRDefault="00F373AA" w:rsidP="001A3A07">
      <w:pPr>
        <w:pStyle w:val="Para1"/>
        <w:suppressLineNumbers/>
        <w:suppressAutoHyphens/>
        <w:spacing w:before="120"/>
        <w:ind w:firstLine="720"/>
        <w:rPr>
          <w:rFonts w:cs="Times New Roman"/>
          <w:szCs w:val="22"/>
        </w:rPr>
      </w:pPr>
      <w:r w:rsidRPr="002F5491">
        <w:rPr>
          <w:rFonts w:cs="Times New Roman"/>
          <w:szCs w:val="22"/>
        </w:rPr>
        <w:lastRenderedPageBreak/>
        <w:t>1</w:t>
      </w:r>
      <w:r w:rsidR="009B61AE" w:rsidRPr="002F5491">
        <w:rPr>
          <w:rFonts w:cs="Times New Roman"/>
          <w:szCs w:val="22"/>
        </w:rPr>
        <w:t>5</w:t>
      </w:r>
      <w:r w:rsidR="003559D3" w:rsidRPr="002F5491">
        <w:rPr>
          <w:rFonts w:cs="Times New Roman"/>
          <w:szCs w:val="22"/>
        </w:rPr>
        <w:t>.</w:t>
      </w:r>
      <w:r w:rsidR="003559D3" w:rsidRPr="002F5491">
        <w:rPr>
          <w:rFonts w:cs="Times New Roman"/>
          <w:szCs w:val="22"/>
        </w:rPr>
        <w:tab/>
      </w:r>
      <w:r w:rsidR="00963FB2" w:rsidRPr="002F5491">
        <w:rPr>
          <w:rFonts w:cs="Times New Roman"/>
          <w:i/>
          <w:kern w:val="22"/>
          <w:szCs w:val="22"/>
        </w:rPr>
        <w:t>Invites</w:t>
      </w:r>
      <w:r w:rsidR="00963FB2" w:rsidRPr="002F5491">
        <w:rPr>
          <w:rFonts w:cs="Times New Roman"/>
          <w:szCs w:val="22"/>
        </w:rPr>
        <w:t xml:space="preserve"> Parties, other Governments and relevant organizations in a position to do so to </w:t>
      </w:r>
      <w:r w:rsidR="00C43A24" w:rsidRPr="002F5491">
        <w:rPr>
          <w:rFonts w:cs="Times New Roman"/>
          <w:szCs w:val="22"/>
        </w:rPr>
        <w:t xml:space="preserve">continue </w:t>
      </w:r>
      <w:r w:rsidR="00963FB2" w:rsidRPr="002F5491">
        <w:rPr>
          <w:rFonts w:cs="Times New Roman"/>
          <w:szCs w:val="22"/>
        </w:rPr>
        <w:t>provid</w:t>
      </w:r>
      <w:r w:rsidR="00C43A24" w:rsidRPr="002F5491">
        <w:rPr>
          <w:rFonts w:cs="Times New Roman"/>
          <w:szCs w:val="22"/>
        </w:rPr>
        <w:t>ing</w:t>
      </w:r>
      <w:r w:rsidR="00963FB2" w:rsidRPr="002F5491">
        <w:rPr>
          <w:rFonts w:cs="Times New Roman"/>
          <w:szCs w:val="22"/>
        </w:rPr>
        <w:t xml:space="preserve"> the necessary financial, technical and human resources to support the further development of national clearing-house mechanisms</w:t>
      </w:r>
      <w:r w:rsidR="00913C23" w:rsidRPr="002F5491">
        <w:rPr>
          <w:rFonts w:cs="Times New Roman"/>
          <w:szCs w:val="22"/>
        </w:rPr>
        <w:t xml:space="preserve">, </w:t>
      </w:r>
      <w:r w:rsidR="00663438" w:rsidRPr="002F5491">
        <w:rPr>
          <w:rFonts w:cs="Times New Roman"/>
          <w:szCs w:val="22"/>
        </w:rPr>
        <w:t>or</w:t>
      </w:r>
      <w:r w:rsidR="00913C23" w:rsidRPr="002F5491">
        <w:rPr>
          <w:rFonts w:cs="Times New Roman"/>
          <w:kern w:val="22"/>
          <w:szCs w:val="22"/>
        </w:rPr>
        <w:t xml:space="preserve"> migration of</w:t>
      </w:r>
      <w:r w:rsidR="009B61AE" w:rsidRPr="002F5491">
        <w:rPr>
          <w:rFonts w:cs="Times New Roman"/>
          <w:kern w:val="22"/>
          <w:szCs w:val="22"/>
        </w:rPr>
        <w:t xml:space="preserve"> existing national clearing-h</w:t>
      </w:r>
      <w:r w:rsidR="00913C23" w:rsidRPr="002F5491">
        <w:rPr>
          <w:rFonts w:cs="Times New Roman"/>
          <w:kern w:val="22"/>
          <w:szCs w:val="22"/>
        </w:rPr>
        <w:t>ouse mechanism websites to the Bioland tool</w:t>
      </w:r>
      <w:r w:rsidR="00763282" w:rsidRPr="002F5491">
        <w:rPr>
          <w:rFonts w:cs="Times New Roman"/>
          <w:szCs w:val="22"/>
        </w:rPr>
        <w:t>;</w:t>
      </w:r>
    </w:p>
    <w:p w:rsidR="00963FB2" w:rsidRPr="002F5491" w:rsidRDefault="00F373AA" w:rsidP="002F5491">
      <w:pPr>
        <w:pStyle w:val="Para1"/>
        <w:suppressLineNumbers/>
        <w:suppressAutoHyphens/>
        <w:adjustRightInd w:val="0"/>
        <w:snapToGrid w:val="0"/>
        <w:spacing w:before="120"/>
        <w:ind w:firstLine="720"/>
        <w:rPr>
          <w:rFonts w:cs="Times New Roman"/>
          <w:szCs w:val="22"/>
        </w:rPr>
      </w:pPr>
      <w:r w:rsidRPr="002F5491">
        <w:rPr>
          <w:rFonts w:cs="Times New Roman"/>
          <w:snapToGrid/>
          <w:szCs w:val="22"/>
        </w:rPr>
        <w:t>1</w:t>
      </w:r>
      <w:r w:rsidR="009B61AE" w:rsidRPr="002F5491">
        <w:rPr>
          <w:rFonts w:cs="Times New Roman"/>
          <w:snapToGrid/>
          <w:szCs w:val="22"/>
        </w:rPr>
        <w:t>6</w:t>
      </w:r>
      <w:r w:rsidR="003559D3" w:rsidRPr="002F5491">
        <w:rPr>
          <w:rFonts w:cs="Times New Roman"/>
          <w:snapToGrid/>
          <w:szCs w:val="22"/>
        </w:rPr>
        <w:t>.</w:t>
      </w:r>
      <w:r w:rsidR="003559D3" w:rsidRPr="002F5491">
        <w:rPr>
          <w:rFonts w:cs="Times New Roman"/>
          <w:snapToGrid/>
          <w:szCs w:val="22"/>
        </w:rPr>
        <w:tab/>
      </w:r>
      <w:r w:rsidR="00963FB2" w:rsidRPr="002F5491">
        <w:rPr>
          <w:rFonts w:cs="Times New Roman"/>
          <w:i/>
          <w:kern w:val="22"/>
          <w:szCs w:val="22"/>
        </w:rPr>
        <w:t>Requests</w:t>
      </w:r>
      <w:r w:rsidR="00963FB2" w:rsidRPr="002F5491">
        <w:rPr>
          <w:rFonts w:cs="Times New Roman"/>
          <w:i/>
          <w:szCs w:val="22"/>
        </w:rPr>
        <w:t xml:space="preserve"> </w:t>
      </w:r>
      <w:r w:rsidR="00963FB2" w:rsidRPr="002F5491">
        <w:rPr>
          <w:rFonts w:cs="Times New Roman"/>
          <w:szCs w:val="22"/>
        </w:rPr>
        <w:t>the Executive Secretary, subject to the availability of funding:</w:t>
      </w:r>
    </w:p>
    <w:p w:rsidR="00963FB2" w:rsidRPr="002F5491" w:rsidRDefault="00963FB2" w:rsidP="002F5491">
      <w:pPr>
        <w:pStyle w:val="ListParagraph"/>
        <w:numPr>
          <w:ilvl w:val="0"/>
          <w:numId w:val="20"/>
        </w:numPr>
        <w:adjustRightInd w:val="0"/>
        <w:snapToGrid w:val="0"/>
        <w:spacing w:after="200"/>
        <w:ind w:left="0" w:firstLine="709"/>
        <w:jc w:val="left"/>
        <w:rPr>
          <w:rFonts w:cs="Times New Roman"/>
          <w:szCs w:val="22"/>
        </w:rPr>
      </w:pPr>
      <w:r w:rsidRPr="002F5491">
        <w:rPr>
          <w:rFonts w:cs="Times New Roman"/>
          <w:snapToGrid w:val="0"/>
          <w:szCs w:val="22"/>
        </w:rPr>
        <w:t xml:space="preserve">To continue to support the efforts of Parties to establish, sustain, and further develop </w:t>
      </w:r>
      <w:r w:rsidR="00BF44F8" w:rsidRPr="002F5491">
        <w:rPr>
          <w:rFonts w:cs="Times New Roman"/>
          <w:snapToGrid w:val="0"/>
          <w:szCs w:val="22"/>
        </w:rPr>
        <w:t xml:space="preserve">their </w:t>
      </w:r>
      <w:r w:rsidRPr="002F5491">
        <w:rPr>
          <w:rFonts w:cs="Times New Roman"/>
          <w:snapToGrid w:val="0"/>
          <w:szCs w:val="22"/>
        </w:rPr>
        <w:t xml:space="preserve">national clearing-house mechanisms </w:t>
      </w:r>
      <w:r w:rsidR="00BF44F8" w:rsidRPr="002F5491">
        <w:rPr>
          <w:rFonts w:cs="Times New Roman"/>
          <w:snapToGrid w:val="0"/>
          <w:szCs w:val="22"/>
        </w:rPr>
        <w:t>including through</w:t>
      </w:r>
      <w:r w:rsidRPr="002F5491">
        <w:rPr>
          <w:rFonts w:cs="Times New Roman"/>
          <w:snapToGrid w:val="0"/>
          <w:szCs w:val="22"/>
        </w:rPr>
        <w:t>:</w:t>
      </w:r>
    </w:p>
    <w:p w:rsidR="00963FB2" w:rsidRPr="002F5491" w:rsidRDefault="00963FB2" w:rsidP="002F5491">
      <w:pPr>
        <w:pStyle w:val="ListParagraph"/>
        <w:numPr>
          <w:ilvl w:val="0"/>
          <w:numId w:val="21"/>
        </w:numPr>
        <w:adjustRightInd w:val="0"/>
        <w:snapToGrid w:val="0"/>
        <w:spacing w:after="60"/>
        <w:ind w:hanging="450"/>
        <w:jc w:val="left"/>
        <w:rPr>
          <w:rFonts w:cs="Times New Roman"/>
          <w:szCs w:val="22"/>
        </w:rPr>
      </w:pPr>
      <w:r w:rsidRPr="002F5491">
        <w:rPr>
          <w:rFonts w:cs="Times New Roman"/>
          <w:szCs w:val="22"/>
        </w:rPr>
        <w:t>Ongoing development</w:t>
      </w:r>
      <w:r w:rsidR="00612DB2" w:rsidRPr="002F5491">
        <w:rPr>
          <w:rFonts w:cs="Times New Roman"/>
          <w:szCs w:val="22"/>
        </w:rPr>
        <w:t xml:space="preserve"> and promotion</w:t>
      </w:r>
      <w:r w:rsidRPr="002F5491">
        <w:rPr>
          <w:rFonts w:cs="Times New Roman"/>
          <w:szCs w:val="22"/>
        </w:rPr>
        <w:t xml:space="preserve"> of the Bioland tool;</w:t>
      </w:r>
    </w:p>
    <w:p w:rsidR="00963FB2" w:rsidRPr="002F5491" w:rsidRDefault="00963FB2" w:rsidP="002F5491">
      <w:pPr>
        <w:pStyle w:val="ListParagraph"/>
        <w:numPr>
          <w:ilvl w:val="0"/>
          <w:numId w:val="21"/>
        </w:numPr>
        <w:adjustRightInd w:val="0"/>
        <w:snapToGrid w:val="0"/>
        <w:spacing w:after="60"/>
        <w:ind w:hanging="450"/>
        <w:jc w:val="left"/>
        <w:rPr>
          <w:rFonts w:cs="Times New Roman"/>
          <w:szCs w:val="22"/>
        </w:rPr>
      </w:pPr>
      <w:r w:rsidRPr="002F5491">
        <w:rPr>
          <w:rFonts w:cs="Times New Roman"/>
          <w:szCs w:val="22"/>
        </w:rPr>
        <w:t>O</w:t>
      </w:r>
      <w:r w:rsidR="00BF44F8" w:rsidRPr="002F5491">
        <w:rPr>
          <w:rFonts w:cs="Times New Roman"/>
          <w:szCs w:val="22"/>
        </w:rPr>
        <w:t>rganizing trainings</w:t>
      </w:r>
      <w:r w:rsidRPr="002F5491">
        <w:rPr>
          <w:rFonts w:cs="Times New Roman"/>
          <w:szCs w:val="22"/>
        </w:rPr>
        <w:t xml:space="preserve"> to assist Parties in develop</w:t>
      </w:r>
      <w:r w:rsidR="00612DB2" w:rsidRPr="002F5491">
        <w:rPr>
          <w:rFonts w:cs="Times New Roman"/>
          <w:szCs w:val="22"/>
        </w:rPr>
        <w:t>ing</w:t>
      </w:r>
      <w:r w:rsidRPr="002F5491">
        <w:rPr>
          <w:rFonts w:cs="Times New Roman"/>
          <w:szCs w:val="22"/>
        </w:rPr>
        <w:t xml:space="preserve"> their national clearing-house mechanisms;</w:t>
      </w:r>
    </w:p>
    <w:p w:rsidR="00BA19CA" w:rsidRPr="002F5491" w:rsidRDefault="00963FB2" w:rsidP="002F5491">
      <w:pPr>
        <w:pStyle w:val="ListParagraph"/>
        <w:numPr>
          <w:ilvl w:val="0"/>
          <w:numId w:val="20"/>
        </w:numPr>
        <w:adjustRightInd w:val="0"/>
        <w:snapToGrid w:val="0"/>
        <w:spacing w:after="200"/>
        <w:ind w:left="0" w:firstLine="720"/>
        <w:rPr>
          <w:rFonts w:cs="Times New Roman"/>
          <w:szCs w:val="22"/>
        </w:rPr>
      </w:pPr>
      <w:r w:rsidRPr="002F5491">
        <w:rPr>
          <w:rFonts w:cs="Times New Roman"/>
          <w:szCs w:val="22"/>
        </w:rPr>
        <w:t xml:space="preserve">To continue to </w:t>
      </w:r>
      <w:r w:rsidR="00F22C54" w:rsidRPr="002F5491">
        <w:rPr>
          <w:rFonts w:cs="Times New Roman"/>
          <w:szCs w:val="22"/>
        </w:rPr>
        <w:t xml:space="preserve">implement the </w:t>
      </w:r>
      <w:r w:rsidR="00F22C54" w:rsidRPr="002F5491">
        <w:rPr>
          <w:rFonts w:cs="Times New Roman"/>
          <w:snapToGrid w:val="0"/>
          <w:szCs w:val="22"/>
        </w:rPr>
        <w:t>work programme for the clearing</w:t>
      </w:r>
      <w:r w:rsidR="00F22C54" w:rsidRPr="002F5491">
        <w:rPr>
          <w:rFonts w:cs="Times New Roman"/>
          <w:snapToGrid w:val="0"/>
          <w:szCs w:val="22"/>
        </w:rPr>
        <w:noBreakHyphen/>
        <w:t>house mechanism in support of the Strategic Plan for Biodiversity 2011</w:t>
      </w:r>
      <w:r w:rsidR="00F22C54" w:rsidRPr="002F5491">
        <w:rPr>
          <w:rFonts w:cs="Times New Roman"/>
          <w:snapToGrid w:val="0"/>
          <w:szCs w:val="22"/>
        </w:rPr>
        <w:noBreakHyphen/>
        <w:t>2020 with</w:t>
      </w:r>
      <w:r w:rsidRPr="002F5491">
        <w:rPr>
          <w:rFonts w:cs="Times New Roman"/>
          <w:szCs w:val="22"/>
        </w:rPr>
        <w:t xml:space="preserve"> </w:t>
      </w:r>
      <w:r w:rsidR="00763282" w:rsidRPr="002F5491">
        <w:rPr>
          <w:rFonts w:cs="Times New Roman"/>
          <w:szCs w:val="22"/>
        </w:rPr>
        <w:t xml:space="preserve">the </w:t>
      </w:r>
      <w:r w:rsidRPr="002F5491">
        <w:rPr>
          <w:rFonts w:cs="Times New Roman"/>
          <w:szCs w:val="22"/>
        </w:rPr>
        <w:t xml:space="preserve">guidance of the </w:t>
      </w:r>
      <w:r w:rsidR="00F22C54" w:rsidRPr="002F5491">
        <w:rPr>
          <w:rFonts w:cs="Times New Roman"/>
          <w:szCs w:val="22"/>
        </w:rPr>
        <w:t xml:space="preserve">Informal Advisory Committee </w:t>
      </w:r>
      <w:r w:rsidR="00257434">
        <w:rPr>
          <w:rFonts w:cs="Times New Roman"/>
          <w:szCs w:val="22"/>
        </w:rPr>
        <w:t>to</w:t>
      </w:r>
      <w:r w:rsidR="00257434" w:rsidRPr="002F5491">
        <w:rPr>
          <w:rFonts w:cs="Times New Roman"/>
          <w:szCs w:val="22"/>
        </w:rPr>
        <w:t xml:space="preserve"> </w:t>
      </w:r>
      <w:r w:rsidR="00F22C54" w:rsidRPr="002F5491">
        <w:rPr>
          <w:rFonts w:cs="Times New Roman"/>
          <w:szCs w:val="22"/>
        </w:rPr>
        <w:t>the Clearing-House Mechanism</w:t>
      </w:r>
      <w:r w:rsidR="007F3C8B" w:rsidRPr="002F5491">
        <w:rPr>
          <w:rFonts w:cs="Times New Roman"/>
          <w:szCs w:val="22"/>
        </w:rPr>
        <w:t>.</w:t>
      </w:r>
    </w:p>
    <w:p w:rsidR="00BA19CA" w:rsidRPr="002F5491" w:rsidRDefault="00BA19CA" w:rsidP="002F5491">
      <w:pPr>
        <w:pStyle w:val="Para1"/>
        <w:numPr>
          <w:ilvl w:val="0"/>
          <w:numId w:val="14"/>
        </w:numPr>
        <w:suppressLineNumbers/>
        <w:tabs>
          <w:tab w:val="num" w:pos="720"/>
        </w:tabs>
        <w:suppressAutoHyphens/>
        <w:adjustRightInd w:val="0"/>
        <w:snapToGrid w:val="0"/>
        <w:spacing w:before="120"/>
        <w:ind w:left="0" w:firstLine="0"/>
        <w:rPr>
          <w:rFonts w:cs="Times New Roman"/>
          <w:szCs w:val="22"/>
        </w:rPr>
      </w:pPr>
      <w:r w:rsidRPr="002F5491">
        <w:rPr>
          <w:rFonts w:cs="Times New Roman"/>
          <w:szCs w:val="22"/>
        </w:rPr>
        <w:t xml:space="preserve">The Subsidiary Body on Implementation may </w:t>
      </w:r>
      <w:r w:rsidR="008A6987" w:rsidRPr="002F5491">
        <w:rPr>
          <w:rFonts w:cs="Times New Roman"/>
          <w:szCs w:val="22"/>
        </w:rPr>
        <w:t xml:space="preserve">also </w:t>
      </w:r>
      <w:r w:rsidRPr="002F5491">
        <w:rPr>
          <w:rFonts w:cs="Times New Roman"/>
          <w:szCs w:val="22"/>
        </w:rPr>
        <w:t xml:space="preserve">wish to </w:t>
      </w:r>
      <w:r w:rsidRPr="002F5491">
        <w:rPr>
          <w:rFonts w:eastAsia="Times New Roman" w:cs="Times New Roman"/>
          <w:kern w:val="22"/>
          <w:szCs w:val="22"/>
        </w:rPr>
        <w:t>consider recommend</w:t>
      </w:r>
      <w:r w:rsidR="007D5B63">
        <w:rPr>
          <w:rFonts w:eastAsia="Times New Roman" w:cs="Times New Roman"/>
          <w:kern w:val="22"/>
          <w:szCs w:val="22"/>
        </w:rPr>
        <w:t>ing</w:t>
      </w:r>
      <w:r w:rsidRPr="002F5491">
        <w:rPr>
          <w:rFonts w:eastAsia="Times New Roman" w:cs="Times New Roman"/>
          <w:kern w:val="22"/>
          <w:szCs w:val="22"/>
        </w:rPr>
        <w:t xml:space="preserve"> to the </w:t>
      </w:r>
      <w:r w:rsidRPr="002F5491">
        <w:rPr>
          <w:rFonts w:cs="Times New Roman"/>
          <w:szCs w:val="22"/>
        </w:rPr>
        <w:t xml:space="preserve">Conference of the Parties serving as the meeting of the Parties to the Nagoya Protocol </w:t>
      </w:r>
      <w:r w:rsidR="007D5B63">
        <w:rPr>
          <w:rFonts w:cs="Times New Roman"/>
          <w:szCs w:val="22"/>
        </w:rPr>
        <w:t xml:space="preserve">that it adopt a decision </w:t>
      </w:r>
      <w:r w:rsidRPr="002F5491">
        <w:rPr>
          <w:rFonts w:eastAsia="Times New Roman" w:cs="Times New Roman"/>
          <w:kern w:val="22"/>
          <w:szCs w:val="22"/>
        </w:rPr>
        <w:t>along the following lines</w:t>
      </w:r>
      <w:r w:rsidRPr="002F5491">
        <w:rPr>
          <w:rFonts w:cs="Times New Roman"/>
          <w:szCs w:val="22"/>
        </w:rPr>
        <w:t>:</w:t>
      </w:r>
    </w:p>
    <w:p w:rsidR="00BA19CA" w:rsidRPr="002F5491" w:rsidRDefault="00BA19CA" w:rsidP="002F5491">
      <w:pPr>
        <w:pStyle w:val="Para1"/>
        <w:suppressLineNumbers/>
        <w:suppressAutoHyphens/>
        <w:adjustRightInd w:val="0"/>
        <w:snapToGrid w:val="0"/>
        <w:spacing w:before="120"/>
        <w:ind w:firstLine="709"/>
        <w:rPr>
          <w:rFonts w:eastAsia="Times New Roman" w:cs="Times New Roman"/>
          <w:i/>
          <w:kern w:val="22"/>
          <w:szCs w:val="22"/>
        </w:rPr>
      </w:pPr>
      <w:r w:rsidRPr="002F5491">
        <w:rPr>
          <w:rFonts w:eastAsia="Times New Roman" w:cs="Times New Roman"/>
          <w:i/>
          <w:kern w:val="22"/>
          <w:szCs w:val="22"/>
        </w:rPr>
        <w:t>The Conference of the Parties</w:t>
      </w:r>
      <w:r w:rsidRPr="002F5491">
        <w:rPr>
          <w:rFonts w:cs="Times New Roman"/>
          <w:i/>
          <w:szCs w:val="22"/>
        </w:rPr>
        <w:t xml:space="preserve"> serving as the meeting of the Parties to the Nagoya Protocol</w:t>
      </w:r>
      <w:r w:rsidRPr="002F5491">
        <w:rPr>
          <w:rFonts w:eastAsia="Times New Roman" w:cs="Times New Roman"/>
          <w:i/>
          <w:kern w:val="22"/>
          <w:szCs w:val="22"/>
        </w:rPr>
        <w:t>,</w:t>
      </w:r>
    </w:p>
    <w:p w:rsidR="00EA11F5" w:rsidRPr="002F5491" w:rsidRDefault="00EA11F5" w:rsidP="002F5491">
      <w:pPr>
        <w:pStyle w:val="Para1"/>
        <w:suppressLineNumbers/>
        <w:suppressAutoHyphens/>
        <w:adjustRightInd w:val="0"/>
        <w:snapToGrid w:val="0"/>
        <w:spacing w:before="120"/>
        <w:rPr>
          <w:rFonts w:eastAsia="Times New Roman" w:cs="Times New Roman"/>
          <w:i/>
          <w:kern w:val="22"/>
          <w:szCs w:val="22"/>
        </w:rPr>
        <w:sectPr w:rsidR="00EA11F5" w:rsidRPr="002F5491" w:rsidSect="006F4060">
          <w:headerReference w:type="even" r:id="rId29"/>
          <w:headerReference w:type="default" r:id="rId30"/>
          <w:footerReference w:type="even" r:id="rId31"/>
          <w:headerReference w:type="first" r:id="rId32"/>
          <w:footerReference w:type="first" r:id="rId33"/>
          <w:type w:val="continuous"/>
          <w:pgSz w:w="12240" w:h="15840" w:code="1"/>
          <w:pgMar w:top="567" w:right="1440" w:bottom="851" w:left="1440" w:header="461" w:footer="720" w:gutter="0"/>
          <w:cols w:space="720"/>
          <w:titlePg/>
          <w:docGrid w:linePitch="299"/>
        </w:sectPr>
      </w:pPr>
    </w:p>
    <w:p w:rsidR="00BA19CA" w:rsidRPr="002F5491" w:rsidRDefault="00BA19CA" w:rsidP="00BA19CA">
      <w:pPr>
        <w:pStyle w:val="Para1"/>
        <w:suppressLineNumbers/>
        <w:suppressAutoHyphens/>
        <w:spacing w:before="120"/>
        <w:ind w:firstLine="720"/>
        <w:rPr>
          <w:rFonts w:cs="Times New Roman"/>
          <w:kern w:val="20"/>
          <w:szCs w:val="22"/>
        </w:rPr>
      </w:pPr>
      <w:r w:rsidRPr="002F5491">
        <w:rPr>
          <w:rFonts w:cs="Times New Roman"/>
          <w:i/>
          <w:iCs/>
          <w:kern w:val="20"/>
          <w:szCs w:val="22"/>
        </w:rPr>
        <w:lastRenderedPageBreak/>
        <w:t xml:space="preserve">Recalling </w:t>
      </w:r>
      <w:r w:rsidRPr="002F5491">
        <w:rPr>
          <w:rFonts w:cs="Times New Roman"/>
          <w:kern w:val="20"/>
          <w:szCs w:val="22"/>
        </w:rPr>
        <w:t>decisions</w:t>
      </w:r>
      <w:r w:rsidR="008A6987" w:rsidRPr="002F5491">
        <w:rPr>
          <w:rFonts w:cs="Times New Roman"/>
          <w:kern w:val="20"/>
          <w:szCs w:val="22"/>
        </w:rPr>
        <w:t xml:space="preserve"> </w:t>
      </w:r>
      <w:hyperlink r:id="rId34" w:history="1">
        <w:r w:rsidR="008A6987" w:rsidRPr="002F5491">
          <w:rPr>
            <w:rStyle w:val="Hyperlink"/>
            <w:rFonts w:cs="Times New Roman"/>
            <w:snapToGrid/>
            <w:kern w:val="22"/>
            <w:szCs w:val="22"/>
          </w:rPr>
          <w:t>NP-1/8</w:t>
        </w:r>
      </w:hyperlink>
      <w:r w:rsidR="008A6987" w:rsidRPr="002F5491">
        <w:rPr>
          <w:rFonts w:cs="Times New Roman"/>
          <w:snapToGrid/>
          <w:kern w:val="22"/>
          <w:szCs w:val="22"/>
        </w:rPr>
        <w:t xml:space="preserve"> and </w:t>
      </w:r>
      <w:hyperlink r:id="rId35" w:history="1">
        <w:r w:rsidR="008A6987" w:rsidRPr="002F5491">
          <w:rPr>
            <w:rStyle w:val="Hyperlink"/>
            <w:rFonts w:cs="Times New Roman"/>
            <w:snapToGrid/>
            <w:kern w:val="22"/>
            <w:szCs w:val="22"/>
          </w:rPr>
          <w:t>NP-2/8</w:t>
        </w:r>
      </w:hyperlink>
      <w:r w:rsidRPr="002F5491">
        <w:rPr>
          <w:rFonts w:cs="Times New Roman"/>
          <w:kern w:val="20"/>
          <w:szCs w:val="22"/>
        </w:rPr>
        <w:t>,</w:t>
      </w:r>
    </w:p>
    <w:p w:rsidR="00BA19CA" w:rsidRPr="002F5491" w:rsidRDefault="00BA19CA" w:rsidP="00BA19CA">
      <w:pPr>
        <w:pStyle w:val="Para1"/>
        <w:suppressLineNumbers/>
        <w:suppressAutoHyphens/>
        <w:spacing w:before="120"/>
        <w:ind w:firstLine="720"/>
        <w:rPr>
          <w:rFonts w:cs="Times New Roman"/>
          <w:kern w:val="22"/>
          <w:szCs w:val="22"/>
        </w:rPr>
      </w:pPr>
      <w:r w:rsidRPr="002F5491">
        <w:rPr>
          <w:rFonts w:cs="Times New Roman"/>
          <w:szCs w:val="22"/>
        </w:rPr>
        <w:t>1.</w:t>
      </w:r>
      <w:r w:rsidRPr="002F5491">
        <w:rPr>
          <w:rFonts w:cs="Times New Roman"/>
          <w:szCs w:val="22"/>
        </w:rPr>
        <w:tab/>
      </w:r>
      <w:r w:rsidRPr="002F5491">
        <w:rPr>
          <w:rFonts w:cs="Times New Roman"/>
          <w:i/>
          <w:szCs w:val="22"/>
        </w:rPr>
        <w:t>Takes note</w:t>
      </w:r>
      <w:r w:rsidRPr="002F5491">
        <w:rPr>
          <w:rFonts w:cs="Times New Roman"/>
          <w:szCs w:val="22"/>
        </w:rPr>
        <w:t xml:space="preserve"> </w:t>
      </w:r>
      <w:r w:rsidR="00BC60C1" w:rsidRPr="002F5491">
        <w:rPr>
          <w:rFonts w:cs="Times New Roman"/>
          <w:szCs w:val="22"/>
        </w:rPr>
        <w:t xml:space="preserve">of the progress report on the implementation </w:t>
      </w:r>
      <w:r w:rsidR="00BC60C1" w:rsidRPr="002F5491">
        <w:rPr>
          <w:rFonts w:cs="Times New Roman"/>
          <w:kern w:val="22"/>
          <w:szCs w:val="22"/>
        </w:rPr>
        <w:t>the short-term action plan (2017-2020) to enhance and support capacity-building for the implementation of the Convention and its Protocols</w:t>
      </w:r>
      <w:r w:rsidR="00BC60C1" w:rsidRPr="002F5491">
        <w:rPr>
          <w:rFonts w:cs="Times New Roman"/>
          <w:szCs w:val="22"/>
        </w:rPr>
        <w:t xml:space="preserve"> </w:t>
      </w:r>
      <w:r w:rsidR="00BC60C1" w:rsidRPr="002F5491">
        <w:rPr>
          <w:rFonts w:cs="Times New Roman"/>
          <w:snapToGrid/>
          <w:kern w:val="20"/>
          <w:szCs w:val="22"/>
        </w:rPr>
        <w:t>supported and facilitated by the Executive Secretary in collaboration with various partners</w:t>
      </w:r>
      <w:r w:rsidR="00763282" w:rsidRPr="002F5491">
        <w:rPr>
          <w:rFonts w:cs="Times New Roman"/>
          <w:snapToGrid/>
          <w:kern w:val="20"/>
          <w:szCs w:val="22"/>
        </w:rPr>
        <w:t>;</w:t>
      </w:r>
      <w:r w:rsidR="00BC60C1" w:rsidRPr="002F5491">
        <w:rPr>
          <w:rStyle w:val="StyleFootnoteReferencenumberFootnoteReferenceSuperscript-EF"/>
          <w:sz w:val="22"/>
        </w:rPr>
        <w:footnoteReference w:id="23"/>
      </w:r>
    </w:p>
    <w:p w:rsidR="002A2BAF" w:rsidRPr="002F5491" w:rsidRDefault="00BA19CA" w:rsidP="002A2BAF">
      <w:pPr>
        <w:pStyle w:val="Para1"/>
        <w:suppressLineNumbers/>
        <w:suppressAutoHyphens/>
        <w:spacing w:before="120"/>
        <w:ind w:firstLine="720"/>
        <w:rPr>
          <w:rFonts w:cs="Times New Roman"/>
          <w:kern w:val="22"/>
          <w:szCs w:val="22"/>
        </w:rPr>
      </w:pPr>
      <w:r w:rsidRPr="002F5491">
        <w:rPr>
          <w:rFonts w:cs="Times New Roman"/>
          <w:szCs w:val="22"/>
        </w:rPr>
        <w:t>2.</w:t>
      </w:r>
      <w:r w:rsidRPr="002F5491">
        <w:rPr>
          <w:rFonts w:cs="Times New Roman"/>
          <w:szCs w:val="22"/>
        </w:rPr>
        <w:tab/>
      </w:r>
      <w:r w:rsidR="002A2BAF" w:rsidRPr="002F5491">
        <w:rPr>
          <w:rFonts w:cs="Times New Roman"/>
          <w:i/>
          <w:kern w:val="22"/>
          <w:szCs w:val="22"/>
        </w:rPr>
        <w:t>Welcomes</w:t>
      </w:r>
      <w:r w:rsidR="002A2BAF" w:rsidRPr="002F5491">
        <w:rPr>
          <w:rFonts w:cs="Times New Roman"/>
          <w:kern w:val="22"/>
          <w:szCs w:val="22"/>
        </w:rPr>
        <w:t xml:space="preserve"> the terms of reference for the study to provide an information base for the preparation of a post-2020 capacity development strategic framework, </w:t>
      </w:r>
      <w:r w:rsidR="007E57D8" w:rsidRPr="002F5491">
        <w:rPr>
          <w:rFonts w:cs="Times New Roman"/>
          <w:kern w:val="22"/>
          <w:szCs w:val="22"/>
        </w:rPr>
        <w:t xml:space="preserve">as </w:t>
      </w:r>
      <w:r w:rsidR="002A2BAF" w:rsidRPr="002F5491">
        <w:rPr>
          <w:rFonts w:cs="Times New Roman"/>
          <w:kern w:val="22"/>
          <w:szCs w:val="22"/>
        </w:rPr>
        <w:t xml:space="preserve">contained in </w:t>
      </w:r>
      <w:r w:rsidR="00236EF9" w:rsidRPr="002F5491">
        <w:rPr>
          <w:rFonts w:cs="Times New Roman"/>
          <w:kern w:val="22"/>
          <w:szCs w:val="22"/>
        </w:rPr>
        <w:t xml:space="preserve">the </w:t>
      </w:r>
      <w:r w:rsidR="00CA0E0D">
        <w:rPr>
          <w:rFonts w:cs="Times New Roman"/>
          <w:kern w:val="22"/>
          <w:szCs w:val="22"/>
        </w:rPr>
        <w:t>a</w:t>
      </w:r>
      <w:r w:rsidR="00236EF9" w:rsidRPr="002F5491">
        <w:rPr>
          <w:rFonts w:cs="Times New Roman"/>
          <w:kern w:val="22"/>
          <w:szCs w:val="22"/>
        </w:rPr>
        <w:t xml:space="preserve">ppendix to </w:t>
      </w:r>
      <w:r w:rsidR="00824E2D" w:rsidRPr="002F5491">
        <w:rPr>
          <w:rFonts w:cs="Times New Roman"/>
          <w:kern w:val="22"/>
          <w:szCs w:val="22"/>
        </w:rPr>
        <w:t>a</w:t>
      </w:r>
      <w:r w:rsidR="002A2BAF" w:rsidRPr="002F5491">
        <w:rPr>
          <w:rFonts w:cs="Times New Roman"/>
          <w:kern w:val="22"/>
          <w:szCs w:val="22"/>
        </w:rPr>
        <w:t xml:space="preserve">nnex </w:t>
      </w:r>
      <w:r w:rsidR="007E57D8" w:rsidRPr="002F5491">
        <w:rPr>
          <w:rFonts w:cs="Times New Roman"/>
          <w:kern w:val="22"/>
          <w:szCs w:val="22"/>
        </w:rPr>
        <w:t>I</w:t>
      </w:r>
      <w:r w:rsidR="002A2BAF" w:rsidRPr="002F5491">
        <w:rPr>
          <w:rFonts w:cs="Times New Roman"/>
          <w:kern w:val="22"/>
          <w:szCs w:val="22"/>
        </w:rPr>
        <w:t xml:space="preserve">I below, </w:t>
      </w:r>
      <w:r w:rsidR="00F00722" w:rsidRPr="002F5491">
        <w:rPr>
          <w:rFonts w:cs="Times New Roman"/>
          <w:kern w:val="22"/>
          <w:szCs w:val="22"/>
        </w:rPr>
        <w:t xml:space="preserve">and </w:t>
      </w:r>
      <w:r w:rsidR="002A2BAF" w:rsidRPr="002F5491">
        <w:rPr>
          <w:rFonts w:cs="Times New Roman"/>
          <w:i/>
          <w:iCs/>
          <w:szCs w:val="22"/>
        </w:rPr>
        <w:t>requests</w:t>
      </w:r>
      <w:r w:rsidR="002A2BAF" w:rsidRPr="002F5491">
        <w:rPr>
          <w:rFonts w:cs="Times New Roman"/>
          <w:szCs w:val="22"/>
        </w:rPr>
        <w:t xml:space="preserve"> the Executive Secretary to commission the study in accordance with those terms of reference</w:t>
      </w:r>
      <w:r w:rsidR="00824E2D" w:rsidRPr="002F5491">
        <w:rPr>
          <w:rFonts w:cs="Times New Roman"/>
          <w:kern w:val="22"/>
          <w:szCs w:val="22"/>
        </w:rPr>
        <w:t>;</w:t>
      </w:r>
    </w:p>
    <w:p w:rsidR="00C80040" w:rsidRPr="002F5491" w:rsidRDefault="00C80040" w:rsidP="00F53708">
      <w:pPr>
        <w:pStyle w:val="Para1"/>
        <w:suppressLineNumbers/>
        <w:suppressAutoHyphens/>
        <w:spacing w:before="120"/>
        <w:ind w:firstLine="720"/>
        <w:rPr>
          <w:rFonts w:cs="Times New Roman"/>
          <w:szCs w:val="22"/>
        </w:rPr>
      </w:pPr>
      <w:r w:rsidRPr="002F5491">
        <w:rPr>
          <w:rFonts w:cs="Times New Roman"/>
          <w:szCs w:val="22"/>
        </w:rPr>
        <w:t>3.</w:t>
      </w:r>
      <w:r w:rsidRPr="002F5491">
        <w:rPr>
          <w:rFonts w:cs="Times New Roman"/>
          <w:szCs w:val="22"/>
        </w:rPr>
        <w:tab/>
      </w:r>
      <w:r w:rsidRPr="002F5491">
        <w:rPr>
          <w:rFonts w:cs="Times New Roman"/>
          <w:i/>
          <w:szCs w:val="22"/>
        </w:rPr>
        <w:t>Invites</w:t>
      </w:r>
      <w:r w:rsidRPr="002F5491">
        <w:rPr>
          <w:rFonts w:cs="Times New Roman"/>
          <w:szCs w:val="22"/>
        </w:rPr>
        <w:t xml:space="preserve"> Parties, indigenous peoples and local communities and relevant organizations to provide the Executive Secretary </w:t>
      </w:r>
      <w:r w:rsidR="00F53708">
        <w:rPr>
          <w:rFonts w:cs="Times New Roman"/>
          <w:szCs w:val="22"/>
        </w:rPr>
        <w:t xml:space="preserve">with </w:t>
      </w:r>
      <w:r w:rsidRPr="002F5491">
        <w:rPr>
          <w:rFonts w:cs="Times New Roman"/>
          <w:szCs w:val="22"/>
        </w:rPr>
        <w:t>views and suggestions on the possible elements of the post-2020 capacity development strategic framework</w:t>
      </w:r>
      <w:r w:rsidR="00824E2D" w:rsidRPr="002F5491">
        <w:rPr>
          <w:rFonts w:cs="Times New Roman"/>
          <w:szCs w:val="22"/>
        </w:rPr>
        <w:t>;</w:t>
      </w:r>
    </w:p>
    <w:p w:rsidR="00C80040" w:rsidRPr="002F5491" w:rsidRDefault="00C80040" w:rsidP="00C80040">
      <w:pPr>
        <w:pStyle w:val="Para1"/>
        <w:suppressLineNumbers/>
        <w:suppressAutoHyphens/>
        <w:spacing w:before="120"/>
        <w:ind w:firstLine="709"/>
        <w:rPr>
          <w:rFonts w:cs="Times New Roman"/>
          <w:szCs w:val="22"/>
        </w:rPr>
      </w:pPr>
      <w:r w:rsidRPr="002F5491">
        <w:rPr>
          <w:rFonts w:cs="Times New Roman"/>
          <w:kern w:val="22"/>
          <w:szCs w:val="22"/>
        </w:rPr>
        <w:t>4.</w:t>
      </w:r>
      <w:r w:rsidRPr="002F5491">
        <w:rPr>
          <w:rFonts w:cs="Times New Roman"/>
          <w:kern w:val="22"/>
          <w:szCs w:val="22"/>
        </w:rPr>
        <w:tab/>
      </w:r>
      <w:r w:rsidR="002A46C1" w:rsidRPr="002F5491">
        <w:rPr>
          <w:rFonts w:cs="Times New Roman"/>
          <w:i/>
          <w:snapToGrid/>
          <w:kern w:val="20"/>
          <w:szCs w:val="22"/>
        </w:rPr>
        <w:t>Invite</w:t>
      </w:r>
      <w:r w:rsidRPr="002F5491">
        <w:rPr>
          <w:rFonts w:cs="Times New Roman"/>
          <w:i/>
          <w:snapToGrid/>
          <w:kern w:val="20"/>
          <w:szCs w:val="22"/>
        </w:rPr>
        <w:t xml:space="preserve">s </w:t>
      </w:r>
      <w:r w:rsidR="002A46C1" w:rsidRPr="002F5491">
        <w:rPr>
          <w:rFonts w:cs="Times New Roman"/>
          <w:szCs w:val="22"/>
        </w:rPr>
        <w:t xml:space="preserve">Parties to the Protocol as well as indigenous peoples and local communities and relevant organizations to participate in the </w:t>
      </w:r>
      <w:r w:rsidRPr="002F5491">
        <w:rPr>
          <w:rFonts w:cs="Times New Roman"/>
          <w:szCs w:val="22"/>
        </w:rPr>
        <w:t xml:space="preserve">consultative workshops and online discussion </w:t>
      </w:r>
      <w:r w:rsidR="007834F0" w:rsidRPr="002F5491">
        <w:rPr>
          <w:rFonts w:cs="Times New Roman"/>
          <w:szCs w:val="22"/>
        </w:rPr>
        <w:t>forums</w:t>
      </w:r>
      <w:r w:rsidRPr="002F5491">
        <w:rPr>
          <w:rFonts w:cs="Times New Roman"/>
          <w:szCs w:val="22"/>
        </w:rPr>
        <w:t xml:space="preserve"> </w:t>
      </w:r>
      <w:r w:rsidR="002A46C1" w:rsidRPr="002F5491">
        <w:rPr>
          <w:rFonts w:cs="Times New Roman"/>
          <w:szCs w:val="22"/>
        </w:rPr>
        <w:t xml:space="preserve">on the draft post-2020 capacity development strategic framework </w:t>
      </w:r>
      <w:r w:rsidRPr="002F5491">
        <w:rPr>
          <w:rFonts w:cs="Times New Roman"/>
          <w:szCs w:val="22"/>
        </w:rPr>
        <w:t xml:space="preserve">to </w:t>
      </w:r>
      <w:r w:rsidR="002A46C1" w:rsidRPr="002F5491">
        <w:rPr>
          <w:rFonts w:cs="Times New Roman"/>
          <w:szCs w:val="22"/>
        </w:rPr>
        <w:t>be organi</w:t>
      </w:r>
      <w:r w:rsidR="00824E2D" w:rsidRPr="002F5491">
        <w:rPr>
          <w:rFonts w:cs="Times New Roman"/>
          <w:szCs w:val="22"/>
        </w:rPr>
        <w:t>z</w:t>
      </w:r>
      <w:r w:rsidR="002A46C1" w:rsidRPr="002F5491">
        <w:rPr>
          <w:rFonts w:cs="Times New Roman"/>
          <w:szCs w:val="22"/>
        </w:rPr>
        <w:t xml:space="preserve">ed by </w:t>
      </w:r>
      <w:r w:rsidR="002A46C1" w:rsidRPr="002F5491">
        <w:rPr>
          <w:rFonts w:cs="Times New Roman"/>
          <w:snapToGrid/>
          <w:kern w:val="20"/>
          <w:szCs w:val="22"/>
        </w:rPr>
        <w:t xml:space="preserve">the </w:t>
      </w:r>
      <w:r w:rsidR="002A46C1" w:rsidRPr="002F5491">
        <w:rPr>
          <w:rFonts w:cs="Times New Roman"/>
          <w:szCs w:val="22"/>
        </w:rPr>
        <w:t>Executive Secretary, subject to the availability of funds, in conjunction with the post-2020 global biodiversity framework process</w:t>
      </w:r>
      <w:r w:rsidR="00824E2D" w:rsidRPr="002F5491">
        <w:rPr>
          <w:rFonts w:cs="Times New Roman"/>
          <w:szCs w:val="22"/>
        </w:rPr>
        <w:t>;</w:t>
      </w:r>
    </w:p>
    <w:p w:rsidR="002A46C1" w:rsidRPr="002F5491" w:rsidRDefault="00C80040" w:rsidP="000120A0">
      <w:pPr>
        <w:pStyle w:val="Para1"/>
        <w:suppressLineNumbers/>
        <w:suppressAutoHyphens/>
        <w:spacing w:before="120"/>
        <w:ind w:firstLine="709"/>
        <w:rPr>
          <w:rFonts w:cs="Times New Roman"/>
          <w:snapToGrid/>
          <w:kern w:val="20"/>
          <w:szCs w:val="22"/>
        </w:rPr>
      </w:pPr>
      <w:r w:rsidRPr="002F5491">
        <w:rPr>
          <w:rFonts w:cs="Times New Roman"/>
          <w:snapToGrid/>
          <w:kern w:val="20"/>
          <w:szCs w:val="22"/>
        </w:rPr>
        <w:t>5.</w:t>
      </w:r>
      <w:r w:rsidRPr="002F5491">
        <w:rPr>
          <w:rFonts w:cs="Times New Roman"/>
          <w:snapToGrid/>
          <w:kern w:val="20"/>
          <w:szCs w:val="22"/>
        </w:rPr>
        <w:tab/>
      </w:r>
      <w:r w:rsidR="000120A0">
        <w:rPr>
          <w:rFonts w:cs="Times New Roman"/>
          <w:i/>
          <w:snapToGrid/>
          <w:kern w:val="20"/>
          <w:szCs w:val="22"/>
        </w:rPr>
        <w:t>Also r</w:t>
      </w:r>
      <w:r w:rsidRPr="002F5491">
        <w:rPr>
          <w:rFonts w:cs="Times New Roman"/>
          <w:i/>
          <w:snapToGrid/>
          <w:kern w:val="20"/>
          <w:szCs w:val="22"/>
        </w:rPr>
        <w:t>equests</w:t>
      </w:r>
      <w:r w:rsidRPr="002F5491">
        <w:rPr>
          <w:rFonts w:cs="Times New Roman"/>
          <w:iCs/>
          <w:snapToGrid/>
          <w:kern w:val="20"/>
          <w:szCs w:val="22"/>
        </w:rPr>
        <w:t xml:space="preserve"> t</w:t>
      </w:r>
      <w:r w:rsidRPr="002F5491">
        <w:rPr>
          <w:rFonts w:cs="Times New Roman"/>
          <w:snapToGrid/>
          <w:kern w:val="20"/>
          <w:szCs w:val="22"/>
        </w:rPr>
        <w:t xml:space="preserve">he Executive Secretary to submit a draft </w:t>
      </w:r>
      <w:r w:rsidRPr="002F5491">
        <w:rPr>
          <w:rFonts w:cs="Times New Roman"/>
          <w:szCs w:val="22"/>
        </w:rPr>
        <w:t xml:space="preserve">post-2020 capacity development strategic framework </w:t>
      </w:r>
      <w:r w:rsidRPr="002F5491">
        <w:rPr>
          <w:rFonts w:cs="Times New Roman"/>
          <w:snapToGrid/>
          <w:kern w:val="20"/>
          <w:szCs w:val="22"/>
        </w:rPr>
        <w:t xml:space="preserve">for consideration by the Subsidiary Body on Implementation at its third meeting and for subsequent consideration by the </w:t>
      </w:r>
      <w:r w:rsidRPr="002F5491">
        <w:rPr>
          <w:rFonts w:eastAsia="Times New Roman" w:cs="Times New Roman"/>
          <w:kern w:val="22"/>
          <w:szCs w:val="22"/>
        </w:rPr>
        <w:t>Conference of the Parties</w:t>
      </w:r>
      <w:r w:rsidRPr="002F5491">
        <w:rPr>
          <w:rFonts w:cs="Times New Roman"/>
          <w:szCs w:val="22"/>
        </w:rPr>
        <w:t xml:space="preserve"> serving as the meeting of the Parties to the Protocol</w:t>
      </w:r>
      <w:r w:rsidR="002A1406" w:rsidRPr="002F5491">
        <w:rPr>
          <w:rFonts w:cs="Times New Roman"/>
          <w:szCs w:val="22"/>
        </w:rPr>
        <w:t xml:space="preserve"> at its fourth meeting</w:t>
      </w:r>
      <w:r w:rsidR="002A46C1" w:rsidRPr="002F5491">
        <w:rPr>
          <w:rFonts w:cs="Times New Roman"/>
          <w:snapToGrid/>
          <w:kern w:val="20"/>
          <w:szCs w:val="22"/>
        </w:rPr>
        <w:t>.</w:t>
      </w:r>
    </w:p>
    <w:p w:rsidR="00F00722" w:rsidRPr="002F5491" w:rsidRDefault="00F00722" w:rsidP="00AD342A">
      <w:pPr>
        <w:pStyle w:val="Para1"/>
        <w:numPr>
          <w:ilvl w:val="0"/>
          <w:numId w:val="14"/>
        </w:numPr>
        <w:suppressLineNumbers/>
        <w:tabs>
          <w:tab w:val="num" w:pos="720"/>
        </w:tabs>
        <w:suppressAutoHyphens/>
        <w:spacing w:before="120"/>
        <w:ind w:left="0" w:firstLine="0"/>
        <w:rPr>
          <w:rFonts w:cs="Times New Roman"/>
          <w:szCs w:val="22"/>
        </w:rPr>
      </w:pPr>
      <w:r w:rsidRPr="002F5491">
        <w:rPr>
          <w:rFonts w:cs="Times New Roman"/>
          <w:szCs w:val="22"/>
        </w:rPr>
        <w:t xml:space="preserve">The Subsidiary Body on Implementation may also wish to </w:t>
      </w:r>
      <w:r w:rsidRPr="002F5491">
        <w:rPr>
          <w:rFonts w:eastAsia="Times New Roman" w:cs="Times New Roman"/>
          <w:kern w:val="22"/>
          <w:szCs w:val="22"/>
        </w:rPr>
        <w:t>consider recommend</w:t>
      </w:r>
      <w:r w:rsidR="00AD342A">
        <w:rPr>
          <w:rFonts w:eastAsia="Times New Roman" w:cs="Times New Roman"/>
          <w:kern w:val="22"/>
          <w:szCs w:val="22"/>
        </w:rPr>
        <w:t>ing</w:t>
      </w:r>
      <w:r w:rsidRPr="002F5491">
        <w:rPr>
          <w:rFonts w:eastAsia="Times New Roman" w:cs="Times New Roman"/>
          <w:kern w:val="22"/>
          <w:szCs w:val="22"/>
        </w:rPr>
        <w:t xml:space="preserve"> to the </w:t>
      </w:r>
      <w:r w:rsidRPr="002F5491">
        <w:rPr>
          <w:rFonts w:cs="Times New Roman"/>
          <w:szCs w:val="22"/>
        </w:rPr>
        <w:t xml:space="preserve">Conference of the Parties serving as the meeting of the Parties to the </w:t>
      </w:r>
      <w:r w:rsidR="00AC49B6" w:rsidRPr="002F5491">
        <w:rPr>
          <w:rFonts w:cs="Times New Roman"/>
          <w:szCs w:val="22"/>
        </w:rPr>
        <w:t>Cartagena Protocol on Biosafety</w:t>
      </w:r>
      <w:r w:rsidR="00AC49B6" w:rsidRPr="002F5491">
        <w:rPr>
          <w:rFonts w:eastAsia="Times New Roman" w:cs="Times New Roman"/>
          <w:kern w:val="22"/>
          <w:szCs w:val="22"/>
        </w:rPr>
        <w:t xml:space="preserve"> </w:t>
      </w:r>
      <w:r w:rsidR="00AD342A">
        <w:rPr>
          <w:rFonts w:eastAsia="Times New Roman" w:cs="Times New Roman"/>
          <w:kern w:val="22"/>
          <w:szCs w:val="22"/>
        </w:rPr>
        <w:t xml:space="preserve">that it adopt a decision </w:t>
      </w:r>
      <w:r w:rsidRPr="002F5491">
        <w:rPr>
          <w:rFonts w:eastAsia="Times New Roman" w:cs="Times New Roman"/>
          <w:kern w:val="22"/>
          <w:szCs w:val="22"/>
        </w:rPr>
        <w:t>along the following lines</w:t>
      </w:r>
      <w:r w:rsidRPr="002F5491">
        <w:rPr>
          <w:rFonts w:cs="Times New Roman"/>
          <w:szCs w:val="22"/>
        </w:rPr>
        <w:t>:</w:t>
      </w:r>
    </w:p>
    <w:p w:rsidR="008A6987" w:rsidRPr="002F5491" w:rsidRDefault="008A6987" w:rsidP="002F5491">
      <w:pPr>
        <w:pStyle w:val="Para1"/>
        <w:suppressLineNumbers/>
        <w:suppressAutoHyphens/>
        <w:spacing w:before="120"/>
        <w:ind w:firstLine="720"/>
        <w:rPr>
          <w:rFonts w:eastAsia="Times New Roman" w:cs="Times New Roman"/>
          <w:i/>
          <w:kern w:val="22"/>
          <w:szCs w:val="22"/>
        </w:rPr>
      </w:pPr>
      <w:r w:rsidRPr="002F5491">
        <w:rPr>
          <w:rFonts w:eastAsia="Times New Roman" w:cs="Times New Roman"/>
          <w:i/>
          <w:kern w:val="22"/>
          <w:szCs w:val="22"/>
        </w:rPr>
        <w:lastRenderedPageBreak/>
        <w:t>The Conference of the Parties</w:t>
      </w:r>
      <w:r w:rsidRPr="002F5491">
        <w:rPr>
          <w:rFonts w:cs="Times New Roman"/>
          <w:i/>
          <w:szCs w:val="22"/>
        </w:rPr>
        <w:t xml:space="preserve"> serving as the meeting of the Parties to the Cartagena Protocol on Biosafety</w:t>
      </w:r>
      <w:r w:rsidRPr="002F5491">
        <w:rPr>
          <w:rFonts w:eastAsia="Times New Roman" w:cs="Times New Roman"/>
          <w:i/>
          <w:kern w:val="22"/>
          <w:szCs w:val="22"/>
        </w:rPr>
        <w:t>,</w:t>
      </w:r>
    </w:p>
    <w:p w:rsidR="00F00722" w:rsidRPr="002F5491" w:rsidRDefault="008A6987" w:rsidP="00F00722">
      <w:pPr>
        <w:pStyle w:val="Para1"/>
        <w:suppressLineNumbers/>
        <w:suppressAutoHyphens/>
        <w:spacing w:before="120"/>
        <w:ind w:firstLine="720"/>
        <w:rPr>
          <w:rFonts w:cs="Times New Roman"/>
          <w:kern w:val="20"/>
          <w:szCs w:val="22"/>
        </w:rPr>
      </w:pPr>
      <w:r w:rsidRPr="002F5491">
        <w:rPr>
          <w:rFonts w:cs="Times New Roman"/>
          <w:i/>
          <w:iCs/>
          <w:kern w:val="20"/>
          <w:szCs w:val="22"/>
        </w:rPr>
        <w:t xml:space="preserve">Recalling </w:t>
      </w:r>
      <w:r w:rsidRPr="002F5491">
        <w:rPr>
          <w:rFonts w:cs="Times New Roman"/>
          <w:kern w:val="20"/>
          <w:szCs w:val="22"/>
        </w:rPr>
        <w:t xml:space="preserve">decisions </w:t>
      </w:r>
      <w:hyperlink r:id="rId36" w:history="1">
        <w:r w:rsidR="002F061F" w:rsidRPr="002F5491">
          <w:rPr>
            <w:rStyle w:val="Hyperlink"/>
            <w:rFonts w:cs="Times New Roman"/>
            <w:kern w:val="22"/>
            <w:szCs w:val="22"/>
          </w:rPr>
          <w:t>BS-VI/3</w:t>
        </w:r>
      </w:hyperlink>
      <w:r w:rsidR="002F061F" w:rsidRPr="002F5491">
        <w:rPr>
          <w:rFonts w:cs="Times New Roman"/>
          <w:kern w:val="22"/>
          <w:szCs w:val="22"/>
        </w:rPr>
        <w:t xml:space="preserve"> and </w:t>
      </w:r>
      <w:hyperlink r:id="rId37" w:history="1">
        <w:r w:rsidR="002F061F" w:rsidRPr="002F5491">
          <w:rPr>
            <w:rStyle w:val="Hyperlink"/>
            <w:rFonts w:cs="Times New Roman"/>
            <w:kern w:val="22"/>
            <w:szCs w:val="22"/>
          </w:rPr>
          <w:t>CP-VIII/3</w:t>
        </w:r>
      </w:hyperlink>
      <w:r w:rsidRPr="002F5491">
        <w:rPr>
          <w:rFonts w:cs="Times New Roman"/>
          <w:kern w:val="20"/>
          <w:szCs w:val="22"/>
        </w:rPr>
        <w:t>,</w:t>
      </w:r>
    </w:p>
    <w:p w:rsidR="00F00722" w:rsidRPr="002F5491" w:rsidRDefault="00F00722" w:rsidP="00F00722">
      <w:pPr>
        <w:pStyle w:val="Para1"/>
        <w:suppressLineNumbers/>
        <w:suppressAutoHyphens/>
        <w:spacing w:before="120"/>
        <w:ind w:firstLine="720"/>
        <w:rPr>
          <w:rFonts w:cs="Times New Roman"/>
          <w:kern w:val="22"/>
          <w:szCs w:val="22"/>
        </w:rPr>
      </w:pPr>
      <w:r w:rsidRPr="002F5491">
        <w:rPr>
          <w:rFonts w:cs="Times New Roman"/>
          <w:szCs w:val="22"/>
        </w:rPr>
        <w:t>1.</w:t>
      </w:r>
      <w:r w:rsidRPr="002F5491">
        <w:rPr>
          <w:rFonts w:cs="Times New Roman"/>
          <w:szCs w:val="22"/>
        </w:rPr>
        <w:tab/>
      </w:r>
      <w:r w:rsidRPr="002F5491">
        <w:rPr>
          <w:rFonts w:cs="Times New Roman"/>
          <w:i/>
          <w:szCs w:val="22"/>
        </w:rPr>
        <w:t>Takes note</w:t>
      </w:r>
      <w:r w:rsidRPr="002F5491">
        <w:rPr>
          <w:rFonts w:cs="Times New Roman"/>
          <w:szCs w:val="22"/>
        </w:rPr>
        <w:t xml:space="preserve"> of the progress report on the implementation </w:t>
      </w:r>
      <w:r w:rsidRPr="002F5491">
        <w:rPr>
          <w:rFonts w:cs="Times New Roman"/>
          <w:kern w:val="22"/>
          <w:szCs w:val="22"/>
        </w:rPr>
        <w:t>the short-term action plan (2017-2020) to enhance and support capacity-building for the implementation of the Convention and its Protocols</w:t>
      </w:r>
      <w:r w:rsidRPr="002F5491">
        <w:rPr>
          <w:rFonts w:cs="Times New Roman"/>
          <w:szCs w:val="22"/>
        </w:rPr>
        <w:t xml:space="preserve"> </w:t>
      </w:r>
      <w:r w:rsidRPr="002F5491">
        <w:rPr>
          <w:rFonts w:cs="Times New Roman"/>
          <w:snapToGrid/>
          <w:kern w:val="20"/>
          <w:szCs w:val="22"/>
        </w:rPr>
        <w:t>supported and facilitated by the Executive Secretary in collaboration with various partners</w:t>
      </w:r>
      <w:r w:rsidR="00824E2D" w:rsidRPr="002F5491">
        <w:rPr>
          <w:rFonts w:cs="Times New Roman"/>
          <w:snapToGrid/>
          <w:kern w:val="20"/>
          <w:szCs w:val="22"/>
        </w:rPr>
        <w:t>;</w:t>
      </w:r>
      <w:r w:rsidRPr="002F5491">
        <w:rPr>
          <w:rStyle w:val="StyleFootnoteReferencenumberFootnoteReferenceSuperscript-EF"/>
          <w:sz w:val="22"/>
        </w:rPr>
        <w:footnoteReference w:id="24"/>
      </w:r>
    </w:p>
    <w:p w:rsidR="00F00722" w:rsidRPr="002F5491" w:rsidRDefault="00F00722" w:rsidP="00F00722">
      <w:pPr>
        <w:pStyle w:val="Para1"/>
        <w:suppressLineNumbers/>
        <w:suppressAutoHyphens/>
        <w:spacing w:before="120"/>
        <w:ind w:firstLine="720"/>
        <w:rPr>
          <w:rFonts w:cs="Times New Roman"/>
          <w:kern w:val="22"/>
          <w:szCs w:val="22"/>
        </w:rPr>
      </w:pPr>
      <w:r w:rsidRPr="002F5491">
        <w:rPr>
          <w:rFonts w:cs="Times New Roman"/>
          <w:szCs w:val="22"/>
        </w:rPr>
        <w:t>2.</w:t>
      </w:r>
      <w:r w:rsidRPr="002F5491">
        <w:rPr>
          <w:rFonts w:cs="Times New Roman"/>
          <w:szCs w:val="22"/>
        </w:rPr>
        <w:tab/>
      </w:r>
      <w:r w:rsidRPr="002F5491">
        <w:rPr>
          <w:rFonts w:cs="Times New Roman"/>
          <w:i/>
          <w:kern w:val="22"/>
          <w:szCs w:val="22"/>
        </w:rPr>
        <w:t>Welcomes</w:t>
      </w:r>
      <w:r w:rsidRPr="002F5491">
        <w:rPr>
          <w:rFonts w:cs="Times New Roman"/>
          <w:kern w:val="22"/>
          <w:szCs w:val="22"/>
        </w:rPr>
        <w:t xml:space="preserve"> the terms of reference for the study to provide an information base for the preparation of a post-2020 capacity development strategic framework, </w:t>
      </w:r>
      <w:r w:rsidR="007E57D8" w:rsidRPr="002F5491">
        <w:rPr>
          <w:rFonts w:cs="Times New Roman"/>
          <w:kern w:val="22"/>
          <w:szCs w:val="22"/>
        </w:rPr>
        <w:t xml:space="preserve">as </w:t>
      </w:r>
      <w:r w:rsidRPr="002F5491">
        <w:rPr>
          <w:rFonts w:cs="Times New Roman"/>
          <w:kern w:val="22"/>
          <w:szCs w:val="22"/>
        </w:rPr>
        <w:t xml:space="preserve">contained in </w:t>
      </w:r>
      <w:r w:rsidR="00236EF9" w:rsidRPr="002F5491">
        <w:rPr>
          <w:rFonts w:cs="Times New Roman"/>
          <w:kern w:val="22"/>
          <w:szCs w:val="22"/>
        </w:rPr>
        <w:t xml:space="preserve">the </w:t>
      </w:r>
      <w:r w:rsidR="0009545E">
        <w:rPr>
          <w:rFonts w:cs="Times New Roman"/>
          <w:kern w:val="22"/>
          <w:szCs w:val="22"/>
        </w:rPr>
        <w:t>a</w:t>
      </w:r>
      <w:r w:rsidR="00236EF9" w:rsidRPr="002F5491">
        <w:rPr>
          <w:rFonts w:cs="Times New Roman"/>
          <w:kern w:val="22"/>
          <w:szCs w:val="22"/>
        </w:rPr>
        <w:t xml:space="preserve">ppendix to </w:t>
      </w:r>
      <w:r w:rsidR="00824E2D" w:rsidRPr="002F5491">
        <w:rPr>
          <w:rFonts w:cs="Times New Roman"/>
          <w:kern w:val="22"/>
          <w:szCs w:val="22"/>
        </w:rPr>
        <w:t>a</w:t>
      </w:r>
      <w:r w:rsidRPr="002F5491">
        <w:rPr>
          <w:rFonts w:cs="Times New Roman"/>
          <w:kern w:val="22"/>
          <w:szCs w:val="22"/>
        </w:rPr>
        <w:t xml:space="preserve">nnex </w:t>
      </w:r>
      <w:r w:rsidR="007E57D8" w:rsidRPr="002F5491">
        <w:rPr>
          <w:rFonts w:cs="Times New Roman"/>
          <w:kern w:val="22"/>
          <w:szCs w:val="22"/>
        </w:rPr>
        <w:t>I</w:t>
      </w:r>
      <w:r w:rsidRPr="002F5491">
        <w:rPr>
          <w:rFonts w:cs="Times New Roman"/>
          <w:kern w:val="22"/>
          <w:szCs w:val="22"/>
        </w:rPr>
        <w:t xml:space="preserve">I below, and </w:t>
      </w:r>
      <w:r w:rsidRPr="002F5491">
        <w:rPr>
          <w:rFonts w:cs="Times New Roman"/>
          <w:i/>
          <w:szCs w:val="22"/>
        </w:rPr>
        <w:t>requests</w:t>
      </w:r>
      <w:r w:rsidRPr="002F5491">
        <w:rPr>
          <w:rFonts w:cs="Times New Roman"/>
          <w:szCs w:val="22"/>
        </w:rPr>
        <w:t xml:space="preserve"> the Executive Secretary to commission the study in accordance with those terms of reference</w:t>
      </w:r>
      <w:r w:rsidR="00824E2D" w:rsidRPr="002F5491">
        <w:rPr>
          <w:rFonts w:cs="Times New Roman"/>
          <w:kern w:val="22"/>
          <w:szCs w:val="22"/>
        </w:rPr>
        <w:t>;</w:t>
      </w:r>
    </w:p>
    <w:p w:rsidR="00F00722" w:rsidRPr="002F5491" w:rsidRDefault="00F00722" w:rsidP="009B393E">
      <w:pPr>
        <w:pStyle w:val="Para1"/>
        <w:suppressLineNumbers/>
        <w:suppressAutoHyphens/>
        <w:spacing w:before="120"/>
        <w:ind w:firstLine="720"/>
        <w:rPr>
          <w:rFonts w:cs="Times New Roman"/>
          <w:szCs w:val="22"/>
        </w:rPr>
      </w:pPr>
      <w:r w:rsidRPr="002F5491">
        <w:rPr>
          <w:rFonts w:cs="Times New Roman"/>
          <w:szCs w:val="22"/>
        </w:rPr>
        <w:t>3.</w:t>
      </w:r>
      <w:r w:rsidRPr="002F5491">
        <w:rPr>
          <w:rFonts w:cs="Times New Roman"/>
          <w:szCs w:val="22"/>
        </w:rPr>
        <w:tab/>
      </w:r>
      <w:r w:rsidRPr="002F5491">
        <w:rPr>
          <w:rFonts w:cs="Times New Roman"/>
          <w:i/>
          <w:szCs w:val="22"/>
        </w:rPr>
        <w:t>Invites</w:t>
      </w:r>
      <w:r w:rsidRPr="002F5491">
        <w:rPr>
          <w:rFonts w:cs="Times New Roman"/>
          <w:szCs w:val="22"/>
        </w:rPr>
        <w:t xml:space="preserve"> Parties, indigenous peoples and local communities and relevant organizations to provide the Executive Secretary </w:t>
      </w:r>
      <w:r w:rsidR="009B393E">
        <w:rPr>
          <w:rFonts w:cs="Times New Roman"/>
          <w:szCs w:val="22"/>
        </w:rPr>
        <w:t xml:space="preserve">with </w:t>
      </w:r>
      <w:r w:rsidRPr="002F5491">
        <w:rPr>
          <w:rFonts w:cs="Times New Roman"/>
          <w:szCs w:val="22"/>
        </w:rPr>
        <w:t>views and suggestions on the possible elements of the post-2020 capacity development strategic framework</w:t>
      </w:r>
      <w:r w:rsidR="00824E2D" w:rsidRPr="002F5491">
        <w:rPr>
          <w:rFonts w:cs="Times New Roman"/>
          <w:szCs w:val="22"/>
        </w:rPr>
        <w:t>;</w:t>
      </w:r>
    </w:p>
    <w:p w:rsidR="00F00722" w:rsidRPr="002F5491" w:rsidRDefault="00F00722" w:rsidP="00F00722">
      <w:pPr>
        <w:pStyle w:val="Para1"/>
        <w:suppressLineNumbers/>
        <w:suppressAutoHyphens/>
        <w:spacing w:before="120"/>
        <w:ind w:firstLine="709"/>
        <w:rPr>
          <w:rFonts w:cs="Times New Roman"/>
          <w:szCs w:val="22"/>
        </w:rPr>
      </w:pPr>
      <w:r w:rsidRPr="002F5491">
        <w:rPr>
          <w:rFonts w:cs="Times New Roman"/>
          <w:kern w:val="22"/>
          <w:szCs w:val="22"/>
        </w:rPr>
        <w:t>4.</w:t>
      </w:r>
      <w:r w:rsidRPr="002F5491">
        <w:rPr>
          <w:rFonts w:cs="Times New Roman"/>
          <w:kern w:val="22"/>
          <w:szCs w:val="22"/>
        </w:rPr>
        <w:tab/>
      </w:r>
      <w:r w:rsidR="00151D76" w:rsidRPr="002F5491">
        <w:rPr>
          <w:rFonts w:cs="Times New Roman"/>
          <w:i/>
          <w:snapToGrid/>
          <w:kern w:val="20"/>
          <w:szCs w:val="22"/>
        </w:rPr>
        <w:t xml:space="preserve">Invites </w:t>
      </w:r>
      <w:r w:rsidR="00151D76" w:rsidRPr="002F5491">
        <w:rPr>
          <w:rFonts w:cs="Times New Roman"/>
          <w:szCs w:val="22"/>
        </w:rPr>
        <w:t xml:space="preserve">Parties to the Protocol as well as indigenous peoples and local communities and relevant organizations to participate in the consultative workshops and online discussion </w:t>
      </w:r>
      <w:r w:rsidR="007834F0" w:rsidRPr="002F5491">
        <w:rPr>
          <w:rFonts w:cs="Times New Roman"/>
          <w:szCs w:val="22"/>
        </w:rPr>
        <w:t>forums</w:t>
      </w:r>
      <w:r w:rsidR="00151D76" w:rsidRPr="002F5491">
        <w:rPr>
          <w:rFonts w:cs="Times New Roman"/>
          <w:szCs w:val="22"/>
        </w:rPr>
        <w:t xml:space="preserve"> on the draft post-2020 capacity development strategic framework to be organi</w:t>
      </w:r>
      <w:r w:rsidR="00824E2D" w:rsidRPr="002F5491">
        <w:rPr>
          <w:rFonts w:cs="Times New Roman"/>
          <w:szCs w:val="22"/>
        </w:rPr>
        <w:t>z</w:t>
      </w:r>
      <w:r w:rsidR="00151D76" w:rsidRPr="002F5491">
        <w:rPr>
          <w:rFonts w:cs="Times New Roman"/>
          <w:szCs w:val="22"/>
        </w:rPr>
        <w:t xml:space="preserve">ed by </w:t>
      </w:r>
      <w:r w:rsidR="00151D76" w:rsidRPr="002F5491">
        <w:rPr>
          <w:rFonts w:cs="Times New Roman"/>
          <w:snapToGrid/>
          <w:kern w:val="20"/>
          <w:szCs w:val="22"/>
        </w:rPr>
        <w:t xml:space="preserve">the </w:t>
      </w:r>
      <w:r w:rsidR="00151D76" w:rsidRPr="002F5491">
        <w:rPr>
          <w:rFonts w:cs="Times New Roman"/>
          <w:szCs w:val="22"/>
        </w:rPr>
        <w:t>Executive Secretary, subject to the availability of funds, in conjunction with the post-2020 global biodiversity framework process</w:t>
      </w:r>
      <w:r w:rsidR="00824E2D" w:rsidRPr="002F5491">
        <w:rPr>
          <w:rFonts w:cs="Times New Roman"/>
          <w:szCs w:val="22"/>
        </w:rPr>
        <w:t>;</w:t>
      </w:r>
    </w:p>
    <w:p w:rsidR="00151D76" w:rsidRPr="002F5491" w:rsidRDefault="00F00722" w:rsidP="00151D76">
      <w:pPr>
        <w:pStyle w:val="Para1"/>
        <w:suppressLineNumbers/>
        <w:suppressAutoHyphens/>
        <w:spacing w:before="120"/>
        <w:ind w:firstLine="709"/>
        <w:rPr>
          <w:rFonts w:cs="Times New Roman"/>
          <w:snapToGrid/>
          <w:kern w:val="20"/>
          <w:szCs w:val="22"/>
        </w:rPr>
      </w:pPr>
      <w:r w:rsidRPr="002F5491">
        <w:rPr>
          <w:rFonts w:cs="Times New Roman"/>
          <w:snapToGrid/>
          <w:kern w:val="20"/>
          <w:szCs w:val="22"/>
        </w:rPr>
        <w:t>5.</w:t>
      </w:r>
      <w:r w:rsidRPr="002F5491">
        <w:rPr>
          <w:rFonts w:cs="Times New Roman"/>
          <w:snapToGrid/>
          <w:kern w:val="20"/>
          <w:szCs w:val="22"/>
        </w:rPr>
        <w:tab/>
      </w:r>
      <w:r w:rsidRPr="002F5491">
        <w:rPr>
          <w:rFonts w:cs="Times New Roman"/>
          <w:i/>
          <w:snapToGrid/>
          <w:kern w:val="20"/>
          <w:szCs w:val="22"/>
        </w:rPr>
        <w:t xml:space="preserve">Requests </w:t>
      </w:r>
      <w:r w:rsidRPr="002F5491">
        <w:rPr>
          <w:rFonts w:cs="Times New Roman"/>
          <w:snapToGrid/>
          <w:kern w:val="20"/>
          <w:szCs w:val="22"/>
        </w:rPr>
        <w:t xml:space="preserve">the Executive Secretary to submit a draft </w:t>
      </w:r>
      <w:r w:rsidRPr="002F5491">
        <w:rPr>
          <w:rFonts w:cs="Times New Roman"/>
          <w:szCs w:val="22"/>
        </w:rPr>
        <w:t xml:space="preserve">post-2020 capacity development strategic framework </w:t>
      </w:r>
      <w:r w:rsidRPr="002F5491">
        <w:rPr>
          <w:rFonts w:cs="Times New Roman"/>
          <w:snapToGrid/>
          <w:kern w:val="20"/>
          <w:szCs w:val="22"/>
        </w:rPr>
        <w:t xml:space="preserve">for consideration by the Subsidiary Body on Implementation at its third meeting and for subsequent consideration by the </w:t>
      </w:r>
      <w:r w:rsidRPr="002F5491">
        <w:rPr>
          <w:rFonts w:eastAsia="Times New Roman" w:cs="Times New Roman"/>
          <w:kern w:val="22"/>
          <w:szCs w:val="22"/>
        </w:rPr>
        <w:t>Conference of the Parties</w:t>
      </w:r>
      <w:r w:rsidRPr="002F5491">
        <w:rPr>
          <w:rFonts w:cs="Times New Roman"/>
          <w:szCs w:val="22"/>
        </w:rPr>
        <w:t xml:space="preserve"> serving as the meeting of the Parties to the </w:t>
      </w:r>
      <w:r w:rsidR="002A1406" w:rsidRPr="002F5491">
        <w:rPr>
          <w:rFonts w:cs="Times New Roman"/>
          <w:szCs w:val="22"/>
        </w:rPr>
        <w:t>Cartagena Protocol on Biosafety at its tenth meeting</w:t>
      </w:r>
      <w:r w:rsidR="00151D76" w:rsidRPr="002F5491">
        <w:rPr>
          <w:rFonts w:cs="Times New Roman"/>
          <w:snapToGrid/>
          <w:kern w:val="20"/>
          <w:szCs w:val="22"/>
        </w:rPr>
        <w:t>.</w:t>
      </w:r>
    </w:p>
    <w:p w:rsidR="00F00722" w:rsidRPr="002F5491" w:rsidRDefault="00F00722" w:rsidP="00F00722">
      <w:pPr>
        <w:pStyle w:val="Para1"/>
        <w:suppressLineNumbers/>
        <w:suppressAutoHyphens/>
        <w:spacing w:before="120"/>
        <w:ind w:firstLine="720"/>
        <w:rPr>
          <w:rFonts w:cs="Times New Roman"/>
          <w:kern w:val="20"/>
          <w:szCs w:val="22"/>
        </w:rPr>
      </w:pPr>
    </w:p>
    <w:p w:rsidR="008A6987" w:rsidRPr="002F5491" w:rsidRDefault="008A6987" w:rsidP="00BA19CA">
      <w:pPr>
        <w:pStyle w:val="ListParagraph"/>
        <w:spacing w:after="200" w:line="276" w:lineRule="auto"/>
        <w:ind w:left="360"/>
        <w:contextualSpacing/>
        <w:jc w:val="left"/>
        <w:rPr>
          <w:rFonts w:cs="Times New Roman"/>
          <w:szCs w:val="22"/>
        </w:rPr>
      </w:pPr>
    </w:p>
    <w:p w:rsidR="002F061F" w:rsidRPr="002F5491" w:rsidRDefault="002F061F" w:rsidP="00BA19CA">
      <w:pPr>
        <w:pStyle w:val="ListParagraph"/>
        <w:spacing w:after="200" w:line="276" w:lineRule="auto"/>
        <w:ind w:left="360"/>
        <w:contextualSpacing/>
        <w:jc w:val="left"/>
        <w:rPr>
          <w:rFonts w:cs="Times New Roman"/>
          <w:szCs w:val="22"/>
        </w:rPr>
      </w:pPr>
    </w:p>
    <w:p w:rsidR="00A8651C" w:rsidRPr="002F5491" w:rsidRDefault="00A8651C" w:rsidP="00BA19CA">
      <w:pPr>
        <w:pStyle w:val="ListParagraph"/>
        <w:spacing w:after="200" w:line="276" w:lineRule="auto"/>
        <w:contextualSpacing/>
        <w:jc w:val="left"/>
        <w:rPr>
          <w:rFonts w:cs="Times New Roman"/>
          <w:szCs w:val="22"/>
        </w:rPr>
        <w:sectPr w:rsidR="00A8651C" w:rsidRPr="002F5491" w:rsidSect="006F4060">
          <w:headerReference w:type="even" r:id="rId38"/>
          <w:headerReference w:type="default" r:id="rId39"/>
          <w:footerReference w:type="even" r:id="rId40"/>
          <w:headerReference w:type="first" r:id="rId41"/>
          <w:footerReference w:type="first" r:id="rId42"/>
          <w:type w:val="continuous"/>
          <w:pgSz w:w="12240" w:h="15840" w:code="1"/>
          <w:pgMar w:top="567" w:right="1440" w:bottom="851" w:left="1440" w:header="461" w:footer="720" w:gutter="0"/>
          <w:cols w:space="720"/>
          <w:titlePg/>
          <w:docGrid w:linePitch="299"/>
        </w:sectPr>
      </w:pPr>
    </w:p>
    <w:p w:rsidR="00192DBA" w:rsidRPr="002F5491" w:rsidRDefault="00192DBA" w:rsidP="00192DBA">
      <w:pPr>
        <w:pStyle w:val="Para1"/>
        <w:suppressLineNumbers/>
        <w:suppressAutoHyphens/>
        <w:spacing w:before="120"/>
        <w:jc w:val="center"/>
        <w:rPr>
          <w:rFonts w:cs="Times New Roman"/>
          <w:i/>
          <w:kern w:val="22"/>
          <w:szCs w:val="22"/>
        </w:rPr>
      </w:pPr>
      <w:r w:rsidRPr="002F5491">
        <w:rPr>
          <w:rFonts w:cs="Times New Roman"/>
          <w:i/>
          <w:kern w:val="22"/>
          <w:szCs w:val="22"/>
        </w:rPr>
        <w:lastRenderedPageBreak/>
        <w:t>Annex I</w:t>
      </w:r>
    </w:p>
    <w:p w:rsidR="00192DBA" w:rsidRPr="002F5491" w:rsidRDefault="00192DBA" w:rsidP="002F5491">
      <w:pPr>
        <w:pStyle w:val="Heading1"/>
        <w:tabs>
          <w:tab w:val="clear" w:pos="720"/>
        </w:tabs>
        <w:rPr>
          <w:rFonts w:cs="Times New Roman"/>
          <w:szCs w:val="22"/>
        </w:rPr>
      </w:pPr>
      <w:r w:rsidRPr="002F5491">
        <w:rPr>
          <w:rFonts w:cs="Times New Roman"/>
          <w:szCs w:val="22"/>
        </w:rPr>
        <w:t xml:space="preserve">Draft </w:t>
      </w:r>
      <w:r w:rsidR="00A11333" w:rsidRPr="002F5491">
        <w:rPr>
          <w:rFonts w:cs="Times New Roman"/>
          <w:caps w:val="0"/>
          <w:szCs w:val="22"/>
        </w:rPr>
        <w:t xml:space="preserve">terms </w:t>
      </w:r>
      <w:r w:rsidRPr="002F5491">
        <w:rPr>
          <w:rFonts w:cs="Times New Roman"/>
          <w:szCs w:val="22"/>
        </w:rPr>
        <w:t xml:space="preserve">of </w:t>
      </w:r>
      <w:r w:rsidR="00A11333" w:rsidRPr="002F5491">
        <w:rPr>
          <w:rFonts w:cs="Times New Roman"/>
          <w:caps w:val="0"/>
          <w:szCs w:val="22"/>
        </w:rPr>
        <w:t xml:space="preserve">reference </w:t>
      </w:r>
      <w:r w:rsidRPr="002F5491">
        <w:rPr>
          <w:rFonts w:cs="Times New Roman"/>
          <w:szCs w:val="22"/>
        </w:rPr>
        <w:t xml:space="preserve">of the </w:t>
      </w:r>
      <w:r w:rsidRPr="002F5491">
        <w:rPr>
          <w:rFonts w:eastAsia="Times New Roman" w:cs="Times New Roman"/>
          <w:szCs w:val="22"/>
          <w:lang w:eastAsia="en-CA"/>
        </w:rPr>
        <w:t>Informal Advisory Committee on Technical and Scientific Cooperation</w:t>
      </w:r>
    </w:p>
    <w:p w:rsidR="00192DBA" w:rsidRPr="002F5491" w:rsidRDefault="00192DBA" w:rsidP="00192DBA">
      <w:pPr>
        <w:pStyle w:val="NoSpacing"/>
        <w:rPr>
          <w:rFonts w:ascii="Times New Roman" w:eastAsia="Times New Roman" w:hAnsi="Times New Roman"/>
          <w:lang w:val="en-GB" w:eastAsia="en-CA"/>
        </w:rPr>
      </w:pPr>
    </w:p>
    <w:p w:rsidR="00192DBA" w:rsidRPr="002F5491" w:rsidRDefault="00192DBA" w:rsidP="00192DBA">
      <w:pPr>
        <w:pStyle w:val="NoSpacing"/>
        <w:numPr>
          <w:ilvl w:val="0"/>
          <w:numId w:val="23"/>
        </w:numPr>
        <w:rPr>
          <w:rFonts w:ascii="Times New Roman" w:eastAsia="Times New Roman" w:hAnsi="Times New Roman"/>
          <w:b/>
          <w:lang w:val="en-GB" w:eastAsia="en-CA"/>
        </w:rPr>
      </w:pPr>
      <w:r w:rsidRPr="002F5491">
        <w:rPr>
          <w:rFonts w:ascii="Times New Roman" w:eastAsia="Times New Roman" w:hAnsi="Times New Roman"/>
          <w:b/>
          <w:lang w:val="en-GB" w:eastAsia="en-CA"/>
        </w:rPr>
        <w:t>Background</w:t>
      </w:r>
    </w:p>
    <w:p w:rsidR="00192DBA" w:rsidRPr="002F5491" w:rsidRDefault="00192DBA" w:rsidP="00192DBA">
      <w:pPr>
        <w:pStyle w:val="NoSpacing"/>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Article 18 of the Convention on Biological Diversity requires Parties to promote technical and scientific cooperation in the field of conservation and sustainable use of biological diversity, including cooperation in human resources development and institution building, development and use of relevant technologies</w:t>
      </w:r>
      <w:r w:rsidRPr="002F5491">
        <w:rPr>
          <w:rFonts w:ascii="Times New Roman" w:hAnsi="Times New Roman"/>
          <w:lang w:val="en-GB"/>
        </w:rPr>
        <w:t xml:space="preserve"> </w:t>
      </w:r>
      <w:r w:rsidRPr="002F5491">
        <w:rPr>
          <w:rFonts w:ascii="Times New Roman" w:eastAsia="Times New Roman" w:hAnsi="Times New Roman"/>
          <w:lang w:val="en-GB" w:eastAsia="en-CA"/>
        </w:rPr>
        <w:t>(including indigenous and traditional technologies), training of personnel, exchange of experts, and establishment of joint research programmes and joint ventures for development of relevant technologies.</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 xml:space="preserve">In decisions XIII/23, XII/2, X/16, IX/14, VIII/12 and VII/29, the Conference of the Parties </w:t>
      </w:r>
      <w:r w:rsidRPr="002F5491">
        <w:rPr>
          <w:rFonts w:ascii="Times New Roman" w:hAnsi="Times New Roman"/>
          <w:lang w:val="en-GB"/>
        </w:rPr>
        <w:t xml:space="preserve">adopted a number of measures and provided guidance on various aspects </w:t>
      </w:r>
      <w:r w:rsidRPr="002F5491">
        <w:rPr>
          <w:rFonts w:ascii="Times New Roman" w:eastAsia="Times New Roman" w:hAnsi="Times New Roman"/>
          <w:lang w:val="en-GB" w:eastAsia="en-CA"/>
        </w:rPr>
        <w:t xml:space="preserve">relating to technical and scientific cooperation and technology transfer. A Bio-Bridge Initiative (BBI) was established at the twelfth meeting of the Conference of the Parties with initial support from the Government of the Republic of Korea to promote and facilitate technical and scientific cooperation for the effective implementation of the Convention. A </w:t>
      </w:r>
      <w:hyperlink r:id="rId43" w:history="1">
        <w:r w:rsidRPr="002F5491">
          <w:rPr>
            <w:rFonts w:ascii="Times New Roman" w:eastAsia="Times New Roman" w:hAnsi="Times New Roman"/>
            <w:lang w:val="en-GB" w:eastAsia="en-CA"/>
          </w:rPr>
          <w:t>Bio-Bridge Action Plan</w:t>
        </w:r>
      </w:hyperlink>
      <w:r w:rsidRPr="002F5491">
        <w:rPr>
          <w:rFonts w:ascii="Times New Roman" w:eastAsia="Times New Roman" w:hAnsi="Times New Roman"/>
          <w:lang w:val="en-GB" w:eastAsia="en-CA"/>
        </w:rPr>
        <w:t xml:space="preserve"> was launched in December 2016 at the thirteenth meeting of the Conference of the Parties in Cancun to guide the activities and operations of the Initiative for the period 2017-2020.</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numPr>
          <w:ilvl w:val="0"/>
          <w:numId w:val="23"/>
        </w:numPr>
        <w:jc w:val="both"/>
        <w:rPr>
          <w:rFonts w:ascii="Times New Roman" w:eastAsia="Times New Roman" w:hAnsi="Times New Roman"/>
          <w:b/>
          <w:lang w:val="en-GB" w:eastAsia="en-CA"/>
        </w:rPr>
      </w:pPr>
      <w:r w:rsidRPr="002F5491">
        <w:rPr>
          <w:rFonts w:ascii="Times New Roman" w:eastAsia="Times New Roman" w:hAnsi="Times New Roman"/>
          <w:b/>
          <w:lang w:val="en-GB" w:eastAsia="en-CA"/>
        </w:rPr>
        <w:t>Purpose</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 xml:space="preserve">The Informal Advisory Committee shall provide advice to the Executive Secretary on ways and means to promote and facilitate technical and scientific cooperation among Parties to the Convention. In particular, the Informal Advisory Committee shall: </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2F5491">
      <w:pPr>
        <w:pStyle w:val="NoSpacing"/>
        <w:numPr>
          <w:ilvl w:val="0"/>
          <w:numId w:val="34"/>
        </w:numPr>
        <w:adjustRightInd w:val="0"/>
        <w:snapToGrid w:val="0"/>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Provide advice and recommendations on practical measures, approaches and mechanisms to promote technical and scientific cooperation for the effective implementation of the Convention;</w:t>
      </w:r>
    </w:p>
    <w:p w:rsidR="00192DBA" w:rsidRPr="002F5491" w:rsidRDefault="00192DBA" w:rsidP="002F5491">
      <w:pPr>
        <w:pStyle w:val="NoSpacing"/>
        <w:numPr>
          <w:ilvl w:val="0"/>
          <w:numId w:val="34"/>
        </w:numPr>
        <w:adjustRightInd w:val="0"/>
        <w:snapToGrid w:val="0"/>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Provide strategic and programmatic guidance to the Bio-Bridge Initiative and other programmes contributing to the implementation of Article 18 and related provisions of the Convention, including the review and approval of their proposed programme priorities, work plans, progress reports and operational policies and procedures, including project selection criteria and procedures;</w:t>
      </w:r>
    </w:p>
    <w:p w:rsidR="00192DBA" w:rsidRPr="002F5491" w:rsidRDefault="00192DBA" w:rsidP="002F5491">
      <w:pPr>
        <w:pStyle w:val="NoSpacing"/>
        <w:numPr>
          <w:ilvl w:val="0"/>
          <w:numId w:val="34"/>
        </w:numPr>
        <w:adjustRightInd w:val="0"/>
        <w:snapToGrid w:val="0"/>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Monitor implementation of the Bio-Bridge Initiative and other programmes contributing to the promotion of technical and scientific cooperation;</w:t>
      </w:r>
    </w:p>
    <w:p w:rsidR="00192DBA" w:rsidRPr="002F5491" w:rsidRDefault="00192DBA" w:rsidP="002F5491">
      <w:pPr>
        <w:pStyle w:val="NoSpacing"/>
        <w:numPr>
          <w:ilvl w:val="0"/>
          <w:numId w:val="34"/>
        </w:numPr>
        <w:adjustRightInd w:val="0"/>
        <w:snapToGrid w:val="0"/>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 xml:space="preserve">Provide advice to the Executive Secretary on the development and implementation of tools and mechanism to promote and facilitate technical and scientific cooperation, including guidance on the resolution of technical and practical issues relating to the </w:t>
      </w:r>
      <w:r w:rsidR="00824E2D" w:rsidRPr="002F5491">
        <w:rPr>
          <w:rFonts w:ascii="Times New Roman" w:eastAsia="Times New Roman" w:hAnsi="Times New Roman"/>
          <w:lang w:val="en-GB" w:eastAsia="en-CA"/>
        </w:rPr>
        <w:t>c</w:t>
      </w:r>
      <w:r w:rsidRPr="002F5491">
        <w:rPr>
          <w:rFonts w:ascii="Times New Roman" w:eastAsia="Times New Roman" w:hAnsi="Times New Roman"/>
          <w:lang w:val="en-GB" w:eastAsia="en-CA"/>
        </w:rPr>
        <w:t xml:space="preserve">learing </w:t>
      </w:r>
      <w:r w:rsidR="00824E2D" w:rsidRPr="002F5491">
        <w:rPr>
          <w:rFonts w:ascii="Times New Roman" w:eastAsia="Times New Roman" w:hAnsi="Times New Roman"/>
          <w:lang w:val="en-GB" w:eastAsia="en-CA"/>
        </w:rPr>
        <w:t>h</w:t>
      </w:r>
      <w:r w:rsidRPr="002F5491">
        <w:rPr>
          <w:rFonts w:ascii="Times New Roman" w:eastAsia="Times New Roman" w:hAnsi="Times New Roman"/>
          <w:lang w:val="en-GB" w:eastAsia="en-CA"/>
        </w:rPr>
        <w:t xml:space="preserve">ouse </w:t>
      </w:r>
      <w:r w:rsidR="00824E2D" w:rsidRPr="002F5491">
        <w:rPr>
          <w:rFonts w:ascii="Times New Roman" w:eastAsia="Times New Roman" w:hAnsi="Times New Roman"/>
          <w:lang w:val="en-GB" w:eastAsia="en-CA"/>
        </w:rPr>
        <w:t>m</w:t>
      </w:r>
      <w:r w:rsidRPr="002F5491">
        <w:rPr>
          <w:rFonts w:ascii="Times New Roman" w:eastAsia="Times New Roman" w:hAnsi="Times New Roman"/>
          <w:lang w:val="en-GB" w:eastAsia="en-CA"/>
        </w:rPr>
        <w:t>echanism;</w:t>
      </w:r>
    </w:p>
    <w:p w:rsidR="00192DBA" w:rsidRPr="002F5491" w:rsidRDefault="00192DBA" w:rsidP="002F5491">
      <w:pPr>
        <w:pStyle w:val="NoSpacing"/>
        <w:numPr>
          <w:ilvl w:val="0"/>
          <w:numId w:val="34"/>
        </w:numPr>
        <w:adjustRightInd w:val="0"/>
        <w:snapToGrid w:val="0"/>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Provide advice and guidance on resource mobilization opportunities, sustainability and transformational plans to promote and facilitate technical and scientific cooperation.</w:t>
      </w:r>
    </w:p>
    <w:p w:rsidR="00192DBA" w:rsidRPr="002F5491" w:rsidRDefault="00192DBA" w:rsidP="00192DBA">
      <w:pPr>
        <w:pStyle w:val="NoSpacing"/>
        <w:ind w:left="360"/>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The Secretariat of the Convention on Biological Diversity will service the Informal Advisory Committee, including providing the necessary logistical and secretarial support to its work.</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numPr>
          <w:ilvl w:val="0"/>
          <w:numId w:val="23"/>
        </w:numPr>
        <w:jc w:val="both"/>
        <w:rPr>
          <w:rFonts w:ascii="Times New Roman" w:eastAsia="Times New Roman" w:hAnsi="Times New Roman"/>
          <w:b/>
          <w:lang w:val="en-GB" w:eastAsia="en-CA"/>
        </w:rPr>
      </w:pPr>
      <w:r w:rsidRPr="002F5491">
        <w:rPr>
          <w:rFonts w:ascii="Times New Roman" w:eastAsia="Times New Roman" w:hAnsi="Times New Roman"/>
          <w:b/>
          <w:lang w:val="en-GB" w:eastAsia="en-CA"/>
        </w:rPr>
        <w:t>Membership</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2F5491">
      <w:pPr>
        <w:pStyle w:val="NoSpacing"/>
        <w:spacing w:before="120" w:after="120"/>
        <w:jc w:val="both"/>
        <w:rPr>
          <w:rFonts w:ascii="Times New Roman" w:eastAsia="Times New Roman" w:hAnsi="Times New Roman"/>
          <w:lang w:val="en-GB" w:eastAsia="en-CA"/>
        </w:rPr>
      </w:pPr>
      <w:r w:rsidRPr="002F5491">
        <w:rPr>
          <w:rFonts w:ascii="Times New Roman" w:eastAsia="Times New Roman" w:hAnsi="Times New Roman"/>
          <w:lang w:val="en-GB" w:eastAsia="en-CA"/>
        </w:rPr>
        <w:t xml:space="preserve">The Informal Advisory Committee shall comprise experts nominated by Parties to the Convention from each of the five regions as well as experts from relevant organizations. Members of the Informal Advisory </w:t>
      </w:r>
      <w:r w:rsidRPr="002F5491">
        <w:rPr>
          <w:rFonts w:ascii="Times New Roman" w:eastAsia="Times New Roman" w:hAnsi="Times New Roman"/>
          <w:lang w:val="en-GB" w:eastAsia="en-CA"/>
        </w:rPr>
        <w:lastRenderedPageBreak/>
        <w:t>Committee are expected to be authorities in their respective fields of expertise and drivers of change. Members shall be selected based on the following criteria as evidenced in their Curriculum Vitae:</w:t>
      </w:r>
    </w:p>
    <w:p w:rsidR="00192DBA" w:rsidRPr="002F5491" w:rsidRDefault="00192DBA" w:rsidP="002F5491">
      <w:pPr>
        <w:pStyle w:val="NoSpacing"/>
        <w:numPr>
          <w:ilvl w:val="0"/>
          <w:numId w:val="32"/>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At least 5 years of working experience on technical and scientific areas related to the implementation of the Convention on Biological Diversity and/or other biodiversity-related conventions;</w:t>
      </w:r>
    </w:p>
    <w:p w:rsidR="00192DBA" w:rsidRPr="002F5491" w:rsidRDefault="00192DBA" w:rsidP="002F5491">
      <w:pPr>
        <w:pStyle w:val="NoSpacing"/>
        <w:numPr>
          <w:ilvl w:val="0"/>
          <w:numId w:val="32"/>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Interdisciplinary expertise in science, technology and innovation relating to the themes outlined under Article 18 and other relevant provisions of the Convention, the Strategic Plan for Biodiversity 2011-2020 and its Aichi Biodiversity Targets;</w:t>
      </w:r>
    </w:p>
    <w:p w:rsidR="00192DBA" w:rsidRPr="002F5491" w:rsidRDefault="00192DBA" w:rsidP="002F5491">
      <w:pPr>
        <w:pStyle w:val="NoSpacing"/>
        <w:numPr>
          <w:ilvl w:val="0"/>
          <w:numId w:val="32"/>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Demonstrated experience with regional or international cooperation processes and capacity development programmes related to the Convention.</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Members of the Informal Advisory Committee shall be selected through a formal nomination process based on the above criteria. The Executive Secretary may select experts for specific themes or issues to be discussed at each of the Informal Advisory Committee meeting</w:t>
      </w:r>
      <w:r w:rsidR="008D63EC" w:rsidRPr="002F5491">
        <w:rPr>
          <w:rFonts w:ascii="Times New Roman" w:eastAsia="Times New Roman" w:hAnsi="Times New Roman"/>
          <w:lang w:val="en-GB" w:eastAsia="en-CA"/>
        </w:rPr>
        <w:t>, ensuring a balance of experts on matters related to the Convention</w:t>
      </w:r>
      <w:r w:rsidRPr="002F5491">
        <w:rPr>
          <w:rFonts w:ascii="Times New Roman" w:eastAsia="Times New Roman" w:hAnsi="Times New Roman"/>
          <w:lang w:val="en-GB" w:eastAsia="en-CA"/>
        </w:rPr>
        <w:t>. The members shall serve in their personal capacity and not as a representative of a Government, organization or other entity.</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lang w:val="en-GB" w:eastAsia="en-CA"/>
        </w:rPr>
      </w:pPr>
      <w:r w:rsidRPr="002F5491">
        <w:rPr>
          <w:rFonts w:ascii="Times New Roman" w:eastAsia="Times New Roman" w:hAnsi="Times New Roman"/>
          <w:lang w:val="en-GB" w:eastAsia="en-CA"/>
        </w:rPr>
        <w:t>Members of the Informal Advisory Committee shall serve for a term of two years, with a possibility of renewal for one additional two-year term.</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192DBA">
      <w:pPr>
        <w:pStyle w:val="NoSpacing"/>
        <w:jc w:val="both"/>
        <w:rPr>
          <w:rFonts w:ascii="Times New Roman" w:eastAsia="Times New Roman" w:hAnsi="Times New Roman"/>
          <w:b/>
          <w:lang w:val="en-GB" w:eastAsia="en-CA"/>
        </w:rPr>
      </w:pPr>
      <w:r w:rsidRPr="002F5491">
        <w:rPr>
          <w:rFonts w:ascii="Times New Roman" w:eastAsia="Times New Roman" w:hAnsi="Times New Roman"/>
          <w:b/>
          <w:lang w:val="en-GB" w:eastAsia="en-CA"/>
        </w:rPr>
        <w:t>Modus Operandi</w:t>
      </w:r>
    </w:p>
    <w:p w:rsidR="00192DBA" w:rsidRPr="002F5491" w:rsidRDefault="00192DBA" w:rsidP="00192DBA">
      <w:pPr>
        <w:pStyle w:val="NoSpacing"/>
        <w:jc w:val="both"/>
        <w:rPr>
          <w:rFonts w:ascii="Times New Roman" w:eastAsia="Times New Roman" w:hAnsi="Times New Roman"/>
          <w:lang w:val="en-GB" w:eastAsia="en-CA"/>
        </w:rPr>
      </w:pP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The Advisory Committee shall meet face-to-face at least once per year, wherever possible in the margins of other relevant meetings. The frequency of meetings can be adjusted by the members as the need arises. The Committee will work intersessionally, as appropriate, via electronic means</w:t>
      </w:r>
      <w:r w:rsidR="00824E2D" w:rsidRPr="002F5491">
        <w:rPr>
          <w:rFonts w:ascii="Times New Roman" w:eastAsia="Times New Roman" w:hAnsi="Times New Roman"/>
          <w:lang w:val="en-GB" w:eastAsia="en-CA"/>
        </w:rPr>
        <w:t>;</w:t>
      </w: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 xml:space="preserve">The Advisory Committee members shall not receive any honorarium, fee or other remuneration from the </w:t>
      </w:r>
      <w:r w:rsidR="008D63EC" w:rsidRPr="002F5491">
        <w:rPr>
          <w:rFonts w:ascii="Times New Roman" w:eastAsia="Times New Roman" w:hAnsi="Times New Roman"/>
          <w:lang w:val="en-GB" w:eastAsia="en-CA"/>
        </w:rPr>
        <w:t>United Nations</w:t>
      </w:r>
      <w:r w:rsidRPr="002F5491">
        <w:rPr>
          <w:rFonts w:ascii="Times New Roman" w:eastAsia="Times New Roman" w:hAnsi="Times New Roman"/>
          <w:lang w:val="en-GB" w:eastAsia="en-CA"/>
        </w:rPr>
        <w:t>. However, costs for the participation of Committee members nominated by developing country Parties and Parties with economies in transition are covered, in line with U</w:t>
      </w:r>
      <w:r w:rsidR="00824E2D" w:rsidRPr="002F5491">
        <w:rPr>
          <w:rFonts w:ascii="Times New Roman" w:eastAsia="Times New Roman" w:hAnsi="Times New Roman"/>
          <w:lang w:val="en-GB" w:eastAsia="en-CA"/>
        </w:rPr>
        <w:t xml:space="preserve">nited </w:t>
      </w:r>
      <w:r w:rsidRPr="002F5491">
        <w:rPr>
          <w:rFonts w:ascii="Times New Roman" w:eastAsia="Times New Roman" w:hAnsi="Times New Roman"/>
          <w:lang w:val="en-GB" w:eastAsia="en-CA"/>
        </w:rPr>
        <w:t>N</w:t>
      </w:r>
      <w:r w:rsidR="00824E2D" w:rsidRPr="002F5491">
        <w:rPr>
          <w:rFonts w:ascii="Times New Roman" w:eastAsia="Times New Roman" w:hAnsi="Times New Roman"/>
          <w:lang w:val="en-GB" w:eastAsia="en-CA"/>
        </w:rPr>
        <w:t>ations</w:t>
      </w:r>
      <w:r w:rsidRPr="002F5491">
        <w:rPr>
          <w:rFonts w:ascii="Times New Roman" w:eastAsia="Times New Roman" w:hAnsi="Times New Roman"/>
          <w:lang w:val="en-GB" w:eastAsia="en-CA"/>
        </w:rPr>
        <w:t xml:space="preserve"> rules and regulation</w:t>
      </w:r>
      <w:r w:rsidR="00824E2D" w:rsidRPr="002F5491">
        <w:rPr>
          <w:rFonts w:ascii="Times New Roman" w:eastAsia="Times New Roman" w:hAnsi="Times New Roman"/>
          <w:lang w:val="en-GB" w:eastAsia="en-CA"/>
        </w:rPr>
        <w:t>;</w:t>
      </w: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The Informal Advisory Committee shall elect a Chair to steer its meetings on a rotational basis. The Chair shall serve for a period of one year at a time;</w:t>
      </w: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The Informal Advisory Committee shall make its decisions and recommendations by consensus</w:t>
      </w:r>
      <w:r w:rsidR="00824E2D" w:rsidRPr="002F5491">
        <w:rPr>
          <w:rFonts w:ascii="Times New Roman" w:eastAsia="Times New Roman" w:hAnsi="Times New Roman"/>
          <w:lang w:val="en-GB" w:eastAsia="en-CA"/>
        </w:rPr>
        <w:t>;</w:t>
      </w:r>
      <w:r w:rsidRPr="002F5491">
        <w:rPr>
          <w:rFonts w:ascii="Times New Roman" w:eastAsia="Times New Roman" w:hAnsi="Times New Roman"/>
          <w:lang w:val="en-GB" w:eastAsia="en-CA"/>
        </w:rPr>
        <w:t xml:space="preserve"> </w:t>
      </w: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The Informal Advisory Committee may at any time revise its working methods by consensus</w:t>
      </w:r>
      <w:r w:rsidR="00824E2D" w:rsidRPr="002F5491">
        <w:rPr>
          <w:rFonts w:ascii="Times New Roman" w:eastAsia="Times New Roman" w:hAnsi="Times New Roman"/>
          <w:lang w:val="en-GB" w:eastAsia="en-CA"/>
        </w:rPr>
        <w:t>;</w:t>
      </w:r>
      <w:r w:rsidRPr="002F5491">
        <w:rPr>
          <w:rFonts w:ascii="Times New Roman" w:eastAsia="Times New Roman" w:hAnsi="Times New Roman"/>
          <w:lang w:val="en-GB" w:eastAsia="en-CA"/>
        </w:rPr>
        <w:t xml:space="preserve"> </w:t>
      </w:r>
    </w:p>
    <w:p w:rsidR="00192DBA" w:rsidRPr="002F5491" w:rsidRDefault="00192DBA" w:rsidP="002F5491">
      <w:pPr>
        <w:pStyle w:val="NoSpacing"/>
        <w:numPr>
          <w:ilvl w:val="0"/>
          <w:numId w:val="33"/>
        </w:numPr>
        <w:spacing w:after="120"/>
        <w:ind w:left="0" w:firstLine="720"/>
        <w:jc w:val="both"/>
        <w:rPr>
          <w:rFonts w:ascii="Times New Roman" w:eastAsia="Times New Roman" w:hAnsi="Times New Roman"/>
          <w:lang w:val="en-GB" w:eastAsia="en-CA"/>
        </w:rPr>
      </w:pPr>
      <w:r w:rsidRPr="002F5491">
        <w:rPr>
          <w:rFonts w:ascii="Times New Roman" w:eastAsia="Times New Roman" w:hAnsi="Times New Roman"/>
          <w:lang w:val="en-GB" w:eastAsia="en-CA"/>
        </w:rPr>
        <w:t>The working language of the Committee shall be English.</w:t>
      </w:r>
    </w:p>
    <w:p w:rsidR="00192DBA" w:rsidRPr="002F5491" w:rsidRDefault="00192DBA" w:rsidP="000615B8">
      <w:pPr>
        <w:pStyle w:val="Para1"/>
        <w:suppressLineNumbers/>
        <w:suppressAutoHyphens/>
        <w:spacing w:before="120"/>
        <w:jc w:val="center"/>
        <w:rPr>
          <w:rFonts w:cs="Times New Roman"/>
          <w:kern w:val="22"/>
          <w:szCs w:val="22"/>
        </w:rPr>
      </w:pPr>
    </w:p>
    <w:p w:rsidR="000615B8" w:rsidRPr="002F5491" w:rsidRDefault="00192DBA" w:rsidP="000615B8">
      <w:pPr>
        <w:pStyle w:val="Para1"/>
        <w:suppressLineNumbers/>
        <w:suppressAutoHyphens/>
        <w:spacing w:before="120"/>
        <w:jc w:val="center"/>
        <w:rPr>
          <w:rFonts w:cs="Times New Roman"/>
          <w:i/>
          <w:kern w:val="22"/>
          <w:szCs w:val="22"/>
        </w:rPr>
      </w:pPr>
      <w:r w:rsidRPr="002F5491">
        <w:rPr>
          <w:rFonts w:cs="Times New Roman"/>
          <w:kern w:val="22"/>
          <w:szCs w:val="22"/>
        </w:rPr>
        <w:br w:type="page"/>
      </w:r>
      <w:r w:rsidR="000615B8" w:rsidRPr="002F5491">
        <w:rPr>
          <w:rFonts w:cs="Times New Roman"/>
          <w:i/>
          <w:kern w:val="22"/>
          <w:szCs w:val="22"/>
        </w:rPr>
        <w:lastRenderedPageBreak/>
        <w:t xml:space="preserve">Annex </w:t>
      </w:r>
      <w:r w:rsidRPr="002F5491">
        <w:rPr>
          <w:rFonts w:cs="Times New Roman"/>
          <w:i/>
          <w:kern w:val="22"/>
          <w:szCs w:val="22"/>
        </w:rPr>
        <w:t>I</w:t>
      </w:r>
      <w:r w:rsidR="000615B8" w:rsidRPr="002F5491">
        <w:rPr>
          <w:rFonts w:cs="Times New Roman"/>
          <w:i/>
          <w:kern w:val="22"/>
          <w:szCs w:val="22"/>
        </w:rPr>
        <w:t>I</w:t>
      </w:r>
    </w:p>
    <w:p w:rsidR="000615B8" w:rsidRPr="002F5491" w:rsidRDefault="00CD4E1F" w:rsidP="002F5491">
      <w:pPr>
        <w:pStyle w:val="Heading1"/>
        <w:rPr>
          <w:rFonts w:cs="Times New Roman"/>
          <w:szCs w:val="22"/>
        </w:rPr>
      </w:pPr>
      <w:r w:rsidRPr="002F5491">
        <w:rPr>
          <w:rFonts w:cs="Times New Roman"/>
          <w:szCs w:val="22"/>
        </w:rPr>
        <w:t>Elements of the process</w:t>
      </w:r>
      <w:r w:rsidR="00A25492" w:rsidRPr="002F5491">
        <w:rPr>
          <w:rFonts w:cs="Times New Roman"/>
          <w:szCs w:val="22"/>
        </w:rPr>
        <w:t xml:space="preserve"> </w:t>
      </w:r>
      <w:r w:rsidR="00167227" w:rsidRPr="002F5491">
        <w:rPr>
          <w:rFonts w:cs="Times New Roman"/>
          <w:szCs w:val="22"/>
        </w:rPr>
        <w:t xml:space="preserve">for the preparation of a post-2020 capacity </w:t>
      </w:r>
      <w:r w:rsidR="00A25492" w:rsidRPr="002F5491">
        <w:rPr>
          <w:rFonts w:cs="Times New Roman"/>
          <w:szCs w:val="22"/>
        </w:rPr>
        <w:t>development strategic framework</w:t>
      </w:r>
    </w:p>
    <w:p w:rsidR="000615B8" w:rsidRPr="002F5491" w:rsidRDefault="000615B8" w:rsidP="000615B8">
      <w:pPr>
        <w:pStyle w:val="ListParagraph"/>
        <w:ind w:left="0"/>
        <w:rPr>
          <w:rFonts w:cs="Times New Roman"/>
          <w:szCs w:val="22"/>
        </w:rPr>
      </w:pPr>
    </w:p>
    <w:p w:rsidR="00E26FA0" w:rsidRPr="002F5491" w:rsidRDefault="00E26FA0" w:rsidP="00DB5F83">
      <w:pPr>
        <w:pStyle w:val="Heading2"/>
        <w:numPr>
          <w:ilvl w:val="4"/>
          <w:numId w:val="15"/>
        </w:numPr>
        <w:ind w:firstLine="270"/>
        <w:jc w:val="left"/>
        <w:rPr>
          <w:rFonts w:cs="Times New Roman"/>
          <w:b w:val="0"/>
          <w:i w:val="0"/>
          <w:szCs w:val="22"/>
        </w:rPr>
      </w:pPr>
      <w:r w:rsidRPr="002F5491">
        <w:rPr>
          <w:rFonts w:cs="Times New Roman"/>
          <w:i w:val="0"/>
          <w:szCs w:val="22"/>
        </w:rPr>
        <w:t>Introduction</w:t>
      </w:r>
    </w:p>
    <w:p w:rsidR="00E26FA0" w:rsidRPr="002F5491" w:rsidRDefault="00E26FA0" w:rsidP="00981D90">
      <w:pPr>
        <w:pStyle w:val="Para1"/>
        <w:numPr>
          <w:ilvl w:val="0"/>
          <w:numId w:val="18"/>
        </w:numPr>
        <w:tabs>
          <w:tab w:val="clear" w:pos="360"/>
          <w:tab w:val="num" w:pos="720"/>
        </w:tabs>
        <w:spacing w:before="60" w:after="60"/>
        <w:rPr>
          <w:rFonts w:cs="Times New Roman"/>
          <w:szCs w:val="22"/>
        </w:rPr>
      </w:pPr>
      <w:r w:rsidRPr="002F5491">
        <w:rPr>
          <w:rFonts w:cs="Times New Roman"/>
          <w:kern w:val="22"/>
          <w:szCs w:val="22"/>
        </w:rPr>
        <w:t>At its thirteenth meeting, the Conference of the Parties requested the Executive Secretary to initiate a process for preparing a long-term strategic framework for capacity-building beyond 2020 ensuring its alignment with the follow-up to the Strategic Plan for Biodiversity 2011-2020 and the work of the Protocols</w:t>
      </w:r>
      <w:r w:rsidRPr="002F5491">
        <w:rPr>
          <w:rFonts w:cs="Times New Roman"/>
          <w:snapToGrid/>
          <w:kern w:val="20"/>
          <w:szCs w:val="22"/>
        </w:rPr>
        <w:t xml:space="preserve">, </w:t>
      </w:r>
      <w:r w:rsidRPr="002F5491">
        <w:rPr>
          <w:rFonts w:cs="Times New Roman"/>
          <w:szCs w:val="22"/>
        </w:rPr>
        <w:t>and ensuring its coordination with the time table for the development of this framework, with a view to the timely identification of the priority capacity-building actions.</w:t>
      </w:r>
    </w:p>
    <w:p w:rsidR="00564E8B" w:rsidRPr="002F5491" w:rsidRDefault="00E26FA0" w:rsidP="00981D90">
      <w:pPr>
        <w:pStyle w:val="Para1"/>
        <w:numPr>
          <w:ilvl w:val="0"/>
          <w:numId w:val="18"/>
        </w:numPr>
        <w:tabs>
          <w:tab w:val="clear" w:pos="360"/>
          <w:tab w:val="num" w:pos="720"/>
        </w:tabs>
        <w:spacing w:before="60" w:after="60"/>
        <w:rPr>
          <w:rFonts w:cs="Times New Roman"/>
          <w:szCs w:val="22"/>
        </w:rPr>
      </w:pPr>
      <w:r w:rsidRPr="002F5491">
        <w:rPr>
          <w:rFonts w:cs="Times New Roman"/>
          <w:szCs w:val="22"/>
        </w:rPr>
        <w:t>In paragraph 15(n) of decision XIII/23, the Conference of the Parties requested the Executive to prepare terms of reference</w:t>
      </w:r>
      <w:r w:rsidRPr="002F5491">
        <w:rPr>
          <w:rFonts w:cs="Times New Roman"/>
          <w:kern w:val="22"/>
          <w:szCs w:val="22"/>
        </w:rPr>
        <w:t xml:space="preserve"> for a study to provide the knowledge base for the preparation a long-term strategic framework for capacity-building beyond 2020, for consideration by the Subsidiary Body on Implementation</w:t>
      </w:r>
      <w:r w:rsidR="00956123" w:rsidRPr="002F5491">
        <w:rPr>
          <w:rFonts w:cs="Times New Roman"/>
          <w:kern w:val="22"/>
          <w:szCs w:val="22"/>
        </w:rPr>
        <w:t xml:space="preserve"> at its second meeting</w:t>
      </w:r>
      <w:r w:rsidRPr="002F5491">
        <w:rPr>
          <w:rFonts w:cs="Times New Roman"/>
          <w:kern w:val="22"/>
          <w:szCs w:val="22"/>
        </w:rPr>
        <w:t xml:space="preserve"> and subsequently by the Conference of the Parties at its fourteenth meeting, ensuring that the study takes into account, </w:t>
      </w:r>
      <w:r w:rsidRPr="002F5491">
        <w:rPr>
          <w:rFonts w:cs="Times New Roman"/>
          <w:i/>
          <w:kern w:val="22"/>
          <w:szCs w:val="22"/>
        </w:rPr>
        <w:t>inter alia</w:t>
      </w:r>
      <w:r w:rsidRPr="002F5491">
        <w:rPr>
          <w:rFonts w:cs="Times New Roman"/>
          <w:kern w:val="22"/>
          <w:szCs w:val="22"/>
        </w:rPr>
        <w:t>, the implementation of the short-term action plan for capacity-building and relevant experiences reported by Parties in their national reports</w:t>
      </w:r>
      <w:r w:rsidR="00564E8B" w:rsidRPr="002F5491">
        <w:rPr>
          <w:rFonts w:cs="Times New Roman"/>
          <w:kern w:val="22"/>
          <w:szCs w:val="22"/>
        </w:rPr>
        <w:t>.</w:t>
      </w:r>
    </w:p>
    <w:p w:rsidR="006A0831" w:rsidRPr="002F5491" w:rsidRDefault="006A0831" w:rsidP="006A0831">
      <w:pPr>
        <w:pStyle w:val="Para1"/>
        <w:numPr>
          <w:ilvl w:val="0"/>
          <w:numId w:val="18"/>
        </w:numPr>
        <w:tabs>
          <w:tab w:val="clear" w:pos="360"/>
          <w:tab w:val="num" w:pos="720"/>
        </w:tabs>
        <w:spacing w:before="60" w:after="60"/>
        <w:rPr>
          <w:rFonts w:cs="Times New Roman"/>
          <w:szCs w:val="22"/>
        </w:rPr>
      </w:pPr>
      <w:r w:rsidRPr="002F5491">
        <w:rPr>
          <w:rFonts w:cs="Times New Roman"/>
          <w:szCs w:val="22"/>
        </w:rPr>
        <w:t>Under the Cartagena Protocol on Biosafety, the Conference of the Parties serving as the meeting of the Parties to the Protocol</w:t>
      </w:r>
      <w:r w:rsidR="00AF0641" w:rsidRPr="002F5491">
        <w:rPr>
          <w:rFonts w:cs="Times New Roman"/>
          <w:szCs w:val="22"/>
        </w:rPr>
        <w:t xml:space="preserve"> at its sixth meeting </w:t>
      </w:r>
      <w:r w:rsidRPr="002F5491">
        <w:rPr>
          <w:rFonts w:cs="Times New Roman"/>
          <w:szCs w:val="22"/>
        </w:rPr>
        <w:t>adopted a Framework and Action Plan for Capacity-Building for the Effective Implementation of the Protocol and agreed to review it at the eighth meeting of the Parties</w:t>
      </w:r>
      <w:r w:rsidR="00AF0641" w:rsidRPr="002F5491">
        <w:rPr>
          <w:rFonts w:cs="Times New Roman"/>
          <w:szCs w:val="22"/>
        </w:rPr>
        <w:t xml:space="preserve"> (decision BS-VI/3)</w:t>
      </w:r>
      <w:r w:rsidRPr="002F5491">
        <w:rPr>
          <w:rFonts w:cs="Times New Roman"/>
          <w:szCs w:val="22"/>
        </w:rPr>
        <w:t xml:space="preserve">. </w:t>
      </w:r>
      <w:r w:rsidR="00AF0641" w:rsidRPr="002F5491">
        <w:rPr>
          <w:rFonts w:cs="Times New Roman"/>
          <w:szCs w:val="22"/>
        </w:rPr>
        <w:t xml:space="preserve">Following that review, Parties to the Protocol </w:t>
      </w:r>
      <w:r w:rsidRPr="002F5491">
        <w:rPr>
          <w:rFonts w:cs="Times New Roman"/>
          <w:szCs w:val="22"/>
        </w:rPr>
        <w:t xml:space="preserve">decided to maintain the Framework and Action Plan until 2020 </w:t>
      </w:r>
      <w:r w:rsidR="00AF0641" w:rsidRPr="002F5491">
        <w:rPr>
          <w:rFonts w:cs="Times New Roman"/>
          <w:szCs w:val="22"/>
        </w:rPr>
        <w:t xml:space="preserve">(decision CP-VIII/3). </w:t>
      </w:r>
    </w:p>
    <w:p w:rsidR="00956123" w:rsidRPr="002F5491" w:rsidRDefault="00AF0641" w:rsidP="00981D90">
      <w:pPr>
        <w:pStyle w:val="Para1"/>
        <w:numPr>
          <w:ilvl w:val="0"/>
          <w:numId w:val="18"/>
        </w:numPr>
        <w:tabs>
          <w:tab w:val="clear" w:pos="360"/>
          <w:tab w:val="num" w:pos="720"/>
        </w:tabs>
        <w:spacing w:before="60" w:after="60"/>
        <w:rPr>
          <w:rFonts w:cs="Times New Roman"/>
          <w:szCs w:val="22"/>
        </w:rPr>
      </w:pPr>
      <w:r w:rsidRPr="002F5491">
        <w:rPr>
          <w:rFonts w:cs="Times New Roman"/>
          <w:kern w:val="22"/>
          <w:szCs w:val="22"/>
        </w:rPr>
        <w:t xml:space="preserve">Similarly, </w:t>
      </w:r>
      <w:r w:rsidR="006E3AC4" w:rsidRPr="002F5491">
        <w:rPr>
          <w:rFonts w:cs="Times New Roman"/>
          <w:kern w:val="22"/>
          <w:szCs w:val="22"/>
        </w:rPr>
        <w:t>the Conference of the Parties serving as the meeting of the Parties to the Nagoya Protocol</w:t>
      </w:r>
      <w:r w:rsidRPr="002F5491">
        <w:rPr>
          <w:rFonts w:cs="Times New Roman"/>
          <w:kern w:val="22"/>
          <w:szCs w:val="22"/>
        </w:rPr>
        <w:t>,</w:t>
      </w:r>
      <w:r w:rsidR="006E3AC4" w:rsidRPr="002F5491">
        <w:rPr>
          <w:rFonts w:cs="Times New Roman"/>
          <w:kern w:val="22"/>
          <w:szCs w:val="22"/>
        </w:rPr>
        <w:t xml:space="preserve"> </w:t>
      </w:r>
      <w:r w:rsidRPr="002F5491">
        <w:rPr>
          <w:rFonts w:cs="Times New Roman"/>
          <w:kern w:val="22"/>
          <w:szCs w:val="22"/>
        </w:rPr>
        <w:t xml:space="preserve">in its </w:t>
      </w:r>
      <w:r w:rsidRPr="002F5491">
        <w:rPr>
          <w:rFonts w:cs="Times New Roman"/>
          <w:szCs w:val="22"/>
        </w:rPr>
        <w:t>decision NP-1/8</w:t>
      </w:r>
      <w:r w:rsidRPr="002F5491">
        <w:rPr>
          <w:rFonts w:cs="Times New Roman"/>
          <w:kern w:val="22"/>
          <w:szCs w:val="22"/>
        </w:rPr>
        <w:t xml:space="preserve">, </w:t>
      </w:r>
      <w:r w:rsidR="006E3AC4" w:rsidRPr="002F5491">
        <w:rPr>
          <w:rFonts w:cs="Times New Roman"/>
          <w:kern w:val="22"/>
          <w:szCs w:val="22"/>
        </w:rPr>
        <w:t>adopted a strategic framework for capacity-building and development to support the implementation of the Nagoya Protocol covering the period until 2020. In the same decision, the Executive Secretary was requested to prepare an evaluation of the strategic framework in 2019 and submit a report for consideration by the meeting of the Parties to the Nagoya Protocol in 2020 to facilitate the review and possible revision of the strategic framework in conjunction with the review of the Strategic Plan for Biodiversity 2011-2020.</w:t>
      </w:r>
    </w:p>
    <w:p w:rsidR="00564E8B" w:rsidRPr="002F5491" w:rsidRDefault="002C208C" w:rsidP="00981D90">
      <w:pPr>
        <w:pStyle w:val="Heading2"/>
        <w:numPr>
          <w:ilvl w:val="0"/>
          <w:numId w:val="27"/>
        </w:numPr>
        <w:rPr>
          <w:rFonts w:cs="Times New Roman"/>
          <w:i w:val="0"/>
          <w:szCs w:val="22"/>
        </w:rPr>
      </w:pPr>
      <w:r w:rsidRPr="002F5491">
        <w:rPr>
          <w:rFonts w:cs="Times New Roman"/>
          <w:i w:val="0"/>
          <w:szCs w:val="22"/>
        </w:rPr>
        <w:t>Scope</w:t>
      </w:r>
      <w:r w:rsidR="00564E8B" w:rsidRPr="002F5491">
        <w:rPr>
          <w:rFonts w:cs="Times New Roman"/>
          <w:i w:val="0"/>
          <w:szCs w:val="22"/>
        </w:rPr>
        <w:t xml:space="preserve"> of the </w:t>
      </w:r>
      <w:r w:rsidRPr="002F5491">
        <w:rPr>
          <w:rFonts w:cs="Times New Roman"/>
          <w:i w:val="0"/>
          <w:szCs w:val="22"/>
        </w:rPr>
        <w:t>process for preparing the framework</w:t>
      </w:r>
    </w:p>
    <w:p w:rsidR="0010005C" w:rsidRPr="002F5491" w:rsidRDefault="00564E8B" w:rsidP="00981D90">
      <w:pPr>
        <w:pStyle w:val="Para1"/>
        <w:numPr>
          <w:ilvl w:val="0"/>
          <w:numId w:val="18"/>
        </w:numPr>
        <w:tabs>
          <w:tab w:val="clear" w:pos="360"/>
          <w:tab w:val="num" w:pos="720"/>
        </w:tabs>
        <w:spacing w:before="60" w:after="60"/>
        <w:rPr>
          <w:rFonts w:cs="Times New Roman"/>
          <w:szCs w:val="22"/>
        </w:rPr>
      </w:pPr>
      <w:r w:rsidRPr="002F5491">
        <w:rPr>
          <w:rFonts w:cs="Times New Roman"/>
          <w:szCs w:val="22"/>
        </w:rPr>
        <w:t xml:space="preserve">The </w:t>
      </w:r>
      <w:r w:rsidR="00A25492" w:rsidRPr="002F5491">
        <w:rPr>
          <w:rFonts w:cs="Times New Roman"/>
          <w:szCs w:val="22"/>
        </w:rPr>
        <w:t xml:space="preserve">process </w:t>
      </w:r>
      <w:r w:rsidR="002C208C" w:rsidRPr="002F5491">
        <w:rPr>
          <w:rFonts w:cs="Times New Roman"/>
          <w:szCs w:val="22"/>
        </w:rPr>
        <w:t>will encompass the following tasks</w:t>
      </w:r>
      <w:r w:rsidRPr="002F5491">
        <w:rPr>
          <w:rFonts w:cs="Times New Roman"/>
          <w:szCs w:val="22"/>
        </w:rPr>
        <w:t>:</w:t>
      </w:r>
    </w:p>
    <w:p w:rsidR="00A25492" w:rsidRPr="002F5491" w:rsidRDefault="00A25492" w:rsidP="00A25492">
      <w:pPr>
        <w:pStyle w:val="Para1"/>
        <w:numPr>
          <w:ilvl w:val="1"/>
          <w:numId w:val="18"/>
        </w:numPr>
        <w:spacing w:before="60" w:after="60"/>
        <w:rPr>
          <w:rFonts w:cs="Times New Roman"/>
          <w:szCs w:val="22"/>
        </w:rPr>
      </w:pPr>
      <w:r w:rsidRPr="002F5491">
        <w:rPr>
          <w:rFonts w:cs="Times New Roman"/>
          <w:kern w:val="22"/>
          <w:szCs w:val="22"/>
        </w:rPr>
        <w:t>Conduct a study to provide the knowledge base for the preparation the long-term strategic framework for capacity-building beyond 2020 in accordance with the terms of reference in Appendix 1 below</w:t>
      </w:r>
      <w:r w:rsidR="00824E2D" w:rsidRPr="002F5491">
        <w:rPr>
          <w:rFonts w:cs="Times New Roman"/>
          <w:szCs w:val="22"/>
        </w:rPr>
        <w:t>;</w:t>
      </w:r>
    </w:p>
    <w:p w:rsidR="0026253B" w:rsidRPr="002F5491" w:rsidRDefault="0026253B" w:rsidP="0026253B">
      <w:pPr>
        <w:pStyle w:val="Para1"/>
        <w:numPr>
          <w:ilvl w:val="1"/>
          <w:numId w:val="18"/>
        </w:numPr>
        <w:spacing w:before="60" w:after="60"/>
        <w:rPr>
          <w:rFonts w:cs="Times New Roman"/>
          <w:szCs w:val="22"/>
        </w:rPr>
      </w:pPr>
      <w:r w:rsidRPr="002F5491">
        <w:rPr>
          <w:rFonts w:cs="Times New Roman"/>
          <w:szCs w:val="22"/>
        </w:rPr>
        <w:t xml:space="preserve">Preparation of </w:t>
      </w:r>
      <w:r w:rsidR="00A11641" w:rsidRPr="002F5491">
        <w:rPr>
          <w:rFonts w:cs="Times New Roman"/>
          <w:szCs w:val="22"/>
        </w:rPr>
        <w:t xml:space="preserve">draft elements of </w:t>
      </w:r>
      <w:r w:rsidR="00A11641" w:rsidRPr="002F5491">
        <w:rPr>
          <w:rFonts w:cs="Times New Roman"/>
          <w:kern w:val="22"/>
          <w:szCs w:val="22"/>
        </w:rPr>
        <w:t xml:space="preserve">the </w:t>
      </w:r>
      <w:r w:rsidR="007233F8" w:rsidRPr="002F5491">
        <w:rPr>
          <w:rFonts w:cs="Times New Roman"/>
          <w:szCs w:val="22"/>
        </w:rPr>
        <w:t>p</w:t>
      </w:r>
      <w:r w:rsidR="00A11641" w:rsidRPr="002F5491">
        <w:rPr>
          <w:rFonts w:cs="Times New Roman"/>
          <w:szCs w:val="22"/>
        </w:rPr>
        <w:t xml:space="preserve">ost-2020 </w:t>
      </w:r>
      <w:r w:rsidR="005744A9" w:rsidRPr="002F5491">
        <w:rPr>
          <w:rFonts w:cs="Times New Roman"/>
          <w:szCs w:val="22"/>
        </w:rPr>
        <w:t>c</w:t>
      </w:r>
      <w:r w:rsidR="00A11641" w:rsidRPr="002F5491">
        <w:rPr>
          <w:rFonts w:cs="Times New Roman"/>
          <w:szCs w:val="22"/>
        </w:rPr>
        <w:t xml:space="preserve">apacity </w:t>
      </w:r>
      <w:r w:rsidR="005744A9" w:rsidRPr="002F5491">
        <w:rPr>
          <w:rFonts w:cs="Times New Roman"/>
          <w:szCs w:val="22"/>
        </w:rPr>
        <w:t>d</w:t>
      </w:r>
      <w:r w:rsidR="00A11641" w:rsidRPr="002F5491">
        <w:rPr>
          <w:rFonts w:cs="Times New Roman"/>
          <w:szCs w:val="22"/>
        </w:rPr>
        <w:t xml:space="preserve">evelopment </w:t>
      </w:r>
      <w:r w:rsidR="005744A9" w:rsidRPr="002F5491">
        <w:rPr>
          <w:rFonts w:cs="Times New Roman"/>
          <w:szCs w:val="22"/>
        </w:rPr>
        <w:t>s</w:t>
      </w:r>
      <w:r w:rsidR="00A11641" w:rsidRPr="002F5491">
        <w:rPr>
          <w:rFonts w:cs="Times New Roman"/>
          <w:szCs w:val="22"/>
        </w:rPr>
        <w:t xml:space="preserve">trategic </w:t>
      </w:r>
      <w:r w:rsidR="005744A9" w:rsidRPr="002F5491">
        <w:rPr>
          <w:rFonts w:cs="Times New Roman"/>
          <w:szCs w:val="22"/>
        </w:rPr>
        <w:t>f</w:t>
      </w:r>
      <w:r w:rsidR="00A11641" w:rsidRPr="002F5491">
        <w:rPr>
          <w:rFonts w:cs="Times New Roman"/>
          <w:szCs w:val="22"/>
        </w:rPr>
        <w:t>ramework,</w:t>
      </w:r>
      <w:r w:rsidRPr="002F5491">
        <w:rPr>
          <w:rFonts w:cs="Times New Roman"/>
          <w:szCs w:val="22"/>
        </w:rPr>
        <w:t xml:space="preserve"> taking into account information contained in the report of the above study. The draft elements will include,</w:t>
      </w:r>
      <w:r w:rsidR="00A11641" w:rsidRPr="002F5491">
        <w:rPr>
          <w:rFonts w:cs="Times New Roman"/>
          <w:szCs w:val="22"/>
        </w:rPr>
        <w:t xml:space="preserve"> </w:t>
      </w:r>
      <w:r w:rsidRPr="002F5491">
        <w:rPr>
          <w:rFonts w:cs="Times New Roman"/>
          <w:szCs w:val="22"/>
        </w:rPr>
        <w:t>inter alia</w:t>
      </w:r>
      <w:r w:rsidRPr="002F5491">
        <w:rPr>
          <w:rFonts w:cs="Times New Roman"/>
          <w:i/>
          <w:szCs w:val="22"/>
        </w:rPr>
        <w:t>,</w:t>
      </w:r>
      <w:r w:rsidRPr="002F5491">
        <w:rPr>
          <w:rFonts w:cs="Times New Roman"/>
          <w:szCs w:val="22"/>
        </w:rPr>
        <w:t xml:space="preserve"> an overall vision and a theory of change</w:t>
      </w:r>
      <w:r w:rsidRPr="002F5491">
        <w:rPr>
          <w:rFonts w:cs="Times New Roman"/>
          <w:kern w:val="22"/>
          <w:szCs w:val="22"/>
        </w:rPr>
        <w:t xml:space="preserve"> defining bold long-term capacity development benchmarks and outcomes to support the transformational change</w:t>
      </w:r>
      <w:r w:rsidRPr="002F5491">
        <w:rPr>
          <w:rFonts w:cs="Times New Roman"/>
          <w:szCs w:val="22"/>
        </w:rPr>
        <w:t xml:space="preserve"> towards achieving the 2050 vision of "living in harmony with nature", general guiding principles, possible </w:t>
      </w:r>
      <w:r w:rsidRPr="002F5491">
        <w:rPr>
          <w:rFonts w:cs="Times New Roman"/>
          <w:kern w:val="22"/>
          <w:szCs w:val="22"/>
        </w:rPr>
        <w:t xml:space="preserve">pathways to achieve effective and impactful capacity development; </w:t>
      </w:r>
      <w:r w:rsidRPr="002F5491">
        <w:rPr>
          <w:rFonts w:cs="Times New Roman"/>
          <w:szCs w:val="22"/>
        </w:rPr>
        <w:t>and a monitoring and evaluation framework including possible measurable intermediate and long-term capacity outcome indicators</w:t>
      </w:r>
      <w:r w:rsidR="00824E2D" w:rsidRPr="002F5491">
        <w:rPr>
          <w:rFonts w:cs="Times New Roman"/>
          <w:szCs w:val="22"/>
        </w:rPr>
        <w:t>;</w:t>
      </w:r>
    </w:p>
    <w:p w:rsidR="00EC1399" w:rsidRPr="002F5491" w:rsidRDefault="0026253B" w:rsidP="00895E61">
      <w:pPr>
        <w:pStyle w:val="Para1"/>
        <w:numPr>
          <w:ilvl w:val="1"/>
          <w:numId w:val="18"/>
        </w:numPr>
        <w:spacing w:before="120" w:after="240"/>
        <w:rPr>
          <w:rFonts w:cs="Times New Roman"/>
          <w:szCs w:val="22"/>
        </w:rPr>
      </w:pPr>
      <w:r w:rsidRPr="002F5491">
        <w:rPr>
          <w:rFonts w:cs="Times New Roman"/>
          <w:szCs w:val="22"/>
        </w:rPr>
        <w:t>Organization of r</w:t>
      </w:r>
      <w:r w:rsidR="00EC1399" w:rsidRPr="002F5491">
        <w:rPr>
          <w:rFonts w:cs="Times New Roman"/>
          <w:szCs w:val="22"/>
        </w:rPr>
        <w:t xml:space="preserve">egional consultative workshops and online discussion </w:t>
      </w:r>
      <w:r w:rsidR="00895E61" w:rsidRPr="002F5491">
        <w:rPr>
          <w:rFonts w:cs="Times New Roman"/>
          <w:szCs w:val="22"/>
        </w:rPr>
        <w:t>forums</w:t>
      </w:r>
      <w:r w:rsidR="004C35CB" w:rsidRPr="002F5491">
        <w:rPr>
          <w:rFonts w:cs="Times New Roman"/>
          <w:szCs w:val="22"/>
        </w:rPr>
        <w:t>, carried out</w:t>
      </w:r>
      <w:r w:rsidR="00EC1399" w:rsidRPr="002F5491">
        <w:rPr>
          <w:rFonts w:cs="Times New Roman"/>
          <w:szCs w:val="22"/>
        </w:rPr>
        <w:t xml:space="preserve"> in conjunction with the post 2020 global biodiversity framework process.</w:t>
      </w:r>
    </w:p>
    <w:p w:rsidR="00E203B7" w:rsidRPr="002F5491" w:rsidRDefault="00EB1E7C" w:rsidP="00981D90">
      <w:pPr>
        <w:pStyle w:val="Para1"/>
        <w:numPr>
          <w:ilvl w:val="0"/>
          <w:numId w:val="18"/>
        </w:numPr>
        <w:tabs>
          <w:tab w:val="clear" w:pos="360"/>
          <w:tab w:val="num" w:pos="720"/>
        </w:tabs>
        <w:spacing w:before="120" w:after="240"/>
        <w:rPr>
          <w:rFonts w:cs="Times New Roman"/>
          <w:szCs w:val="22"/>
        </w:rPr>
      </w:pPr>
      <w:r w:rsidRPr="002F5491">
        <w:rPr>
          <w:rFonts w:cs="Times New Roman"/>
          <w:szCs w:val="22"/>
        </w:rPr>
        <w:t xml:space="preserve">Subject to the availability of funding, a </w:t>
      </w:r>
      <w:r w:rsidR="001107F0" w:rsidRPr="002F5491">
        <w:rPr>
          <w:rFonts w:cs="Times New Roman"/>
          <w:szCs w:val="22"/>
        </w:rPr>
        <w:t xml:space="preserve">consultancy firm will be engaged to conduct the study and prepare </w:t>
      </w:r>
      <w:r w:rsidRPr="002F5491">
        <w:rPr>
          <w:rFonts w:cs="Times New Roman"/>
          <w:szCs w:val="22"/>
        </w:rPr>
        <w:t xml:space="preserve">a draft study report as well as </w:t>
      </w:r>
      <w:r w:rsidR="001107F0" w:rsidRPr="002F5491">
        <w:rPr>
          <w:rFonts w:cs="Times New Roman"/>
          <w:szCs w:val="22"/>
        </w:rPr>
        <w:t xml:space="preserve">draft elements of </w:t>
      </w:r>
      <w:r w:rsidR="001107F0" w:rsidRPr="002F5491">
        <w:rPr>
          <w:rFonts w:cs="Times New Roman"/>
          <w:kern w:val="22"/>
          <w:szCs w:val="22"/>
        </w:rPr>
        <w:t xml:space="preserve">the </w:t>
      </w:r>
      <w:r w:rsidR="008472C2" w:rsidRPr="002F5491">
        <w:rPr>
          <w:rFonts w:cs="Times New Roman"/>
          <w:szCs w:val="22"/>
        </w:rPr>
        <w:t>p</w:t>
      </w:r>
      <w:r w:rsidR="001107F0" w:rsidRPr="002F5491">
        <w:rPr>
          <w:rFonts w:cs="Times New Roman"/>
          <w:szCs w:val="22"/>
        </w:rPr>
        <w:t xml:space="preserve">ost-2020 </w:t>
      </w:r>
      <w:r w:rsidR="008472C2" w:rsidRPr="002F5491">
        <w:rPr>
          <w:rFonts w:cs="Times New Roman"/>
          <w:szCs w:val="22"/>
        </w:rPr>
        <w:t>c</w:t>
      </w:r>
      <w:r w:rsidR="001107F0" w:rsidRPr="002F5491">
        <w:rPr>
          <w:rFonts w:cs="Times New Roman"/>
          <w:szCs w:val="22"/>
        </w:rPr>
        <w:t xml:space="preserve">apacity </w:t>
      </w:r>
      <w:r w:rsidR="008472C2" w:rsidRPr="002F5491">
        <w:rPr>
          <w:rFonts w:cs="Times New Roman"/>
          <w:szCs w:val="22"/>
        </w:rPr>
        <w:t>d</w:t>
      </w:r>
      <w:r w:rsidR="001107F0" w:rsidRPr="002F5491">
        <w:rPr>
          <w:rFonts w:cs="Times New Roman"/>
          <w:szCs w:val="22"/>
        </w:rPr>
        <w:t xml:space="preserve">evelopment </w:t>
      </w:r>
      <w:r w:rsidR="008472C2" w:rsidRPr="002F5491">
        <w:rPr>
          <w:rFonts w:cs="Times New Roman"/>
          <w:szCs w:val="22"/>
        </w:rPr>
        <w:t>s</w:t>
      </w:r>
      <w:r w:rsidR="001107F0" w:rsidRPr="002F5491">
        <w:rPr>
          <w:rFonts w:cs="Times New Roman"/>
          <w:szCs w:val="22"/>
        </w:rPr>
        <w:t xml:space="preserve">trategic </w:t>
      </w:r>
      <w:r w:rsidR="008472C2" w:rsidRPr="002F5491">
        <w:rPr>
          <w:rFonts w:cs="Times New Roman"/>
          <w:szCs w:val="22"/>
        </w:rPr>
        <w:lastRenderedPageBreak/>
        <w:t>f</w:t>
      </w:r>
      <w:r w:rsidR="001107F0" w:rsidRPr="002F5491">
        <w:rPr>
          <w:rFonts w:cs="Times New Roman"/>
          <w:szCs w:val="22"/>
        </w:rPr>
        <w:t>ramework</w:t>
      </w:r>
      <w:r w:rsidRPr="002F5491">
        <w:rPr>
          <w:rFonts w:cs="Times New Roman"/>
          <w:szCs w:val="22"/>
        </w:rPr>
        <w:t>. The drafts will be</w:t>
      </w:r>
      <w:r w:rsidR="001107F0" w:rsidRPr="002F5491">
        <w:rPr>
          <w:rFonts w:cs="Times New Roman"/>
          <w:szCs w:val="22"/>
        </w:rPr>
        <w:t xml:space="preserve"> discussed </w:t>
      </w:r>
      <w:r w:rsidRPr="002F5491">
        <w:rPr>
          <w:rFonts w:cs="Times New Roman"/>
          <w:szCs w:val="22"/>
        </w:rPr>
        <w:t xml:space="preserve">during the regional consultative workshops and online discussion </w:t>
      </w:r>
      <w:r w:rsidR="007834F0" w:rsidRPr="002F5491">
        <w:rPr>
          <w:rFonts w:cs="Times New Roman"/>
          <w:szCs w:val="22"/>
        </w:rPr>
        <w:t>forums</w:t>
      </w:r>
      <w:r w:rsidR="001107F0" w:rsidRPr="002F5491">
        <w:rPr>
          <w:rFonts w:cs="Times New Roman"/>
          <w:szCs w:val="22"/>
        </w:rPr>
        <w:t xml:space="preserve"> </w:t>
      </w:r>
      <w:r w:rsidRPr="002F5491">
        <w:rPr>
          <w:rFonts w:cs="Times New Roman"/>
          <w:szCs w:val="22"/>
        </w:rPr>
        <w:t xml:space="preserve">to be </w:t>
      </w:r>
      <w:r w:rsidR="001107F0" w:rsidRPr="002F5491">
        <w:rPr>
          <w:rFonts w:cs="Times New Roman"/>
          <w:szCs w:val="22"/>
        </w:rPr>
        <w:t xml:space="preserve">organized by the Secretariat </w:t>
      </w:r>
      <w:r w:rsidRPr="002F5491">
        <w:rPr>
          <w:rFonts w:cs="Times New Roman"/>
          <w:szCs w:val="22"/>
        </w:rPr>
        <w:t>and relevant</w:t>
      </w:r>
      <w:r w:rsidR="001107F0" w:rsidRPr="002F5491">
        <w:rPr>
          <w:rFonts w:cs="Times New Roman"/>
          <w:szCs w:val="22"/>
        </w:rPr>
        <w:t xml:space="preserve"> organizations</w:t>
      </w:r>
      <w:r w:rsidRPr="002F5491">
        <w:rPr>
          <w:rFonts w:cs="Times New Roman"/>
          <w:szCs w:val="22"/>
        </w:rPr>
        <w:t xml:space="preserve"> in conjunction with the post-2020 global biodiversity framework process</w:t>
      </w:r>
      <w:r w:rsidR="001107F0" w:rsidRPr="002F5491">
        <w:rPr>
          <w:rFonts w:cs="Times New Roman"/>
          <w:szCs w:val="22"/>
        </w:rPr>
        <w:t>.</w:t>
      </w:r>
      <w:r w:rsidR="00206B67" w:rsidRPr="002F5491">
        <w:rPr>
          <w:rFonts w:cs="Times New Roman"/>
          <w:szCs w:val="22"/>
        </w:rPr>
        <w:t xml:space="preserve"> </w:t>
      </w:r>
      <w:r w:rsidR="00CE2E84" w:rsidRPr="002F5491">
        <w:rPr>
          <w:rFonts w:cs="Times New Roman"/>
          <w:szCs w:val="22"/>
        </w:rPr>
        <w:t xml:space="preserve">The consultancy firm will integrate the </w:t>
      </w:r>
      <w:r w:rsidRPr="002F5491">
        <w:rPr>
          <w:rFonts w:cs="Times New Roman"/>
          <w:szCs w:val="22"/>
        </w:rPr>
        <w:t>input received through</w:t>
      </w:r>
      <w:r w:rsidR="00CE2E84" w:rsidRPr="002F5491">
        <w:rPr>
          <w:rFonts w:cs="Times New Roman"/>
          <w:szCs w:val="22"/>
        </w:rPr>
        <w:t xml:space="preserve"> </w:t>
      </w:r>
      <w:r w:rsidR="00B02B6F" w:rsidRPr="002F5491">
        <w:rPr>
          <w:rFonts w:cs="Times New Roman"/>
          <w:szCs w:val="22"/>
        </w:rPr>
        <w:t xml:space="preserve">consultative workshops and online discussion </w:t>
      </w:r>
      <w:r w:rsidR="007834F0" w:rsidRPr="002F5491">
        <w:rPr>
          <w:rFonts w:cs="Times New Roman"/>
          <w:szCs w:val="22"/>
        </w:rPr>
        <w:t>forums</w:t>
      </w:r>
      <w:r w:rsidR="00B02B6F" w:rsidRPr="002F5491">
        <w:rPr>
          <w:rFonts w:cs="Times New Roman"/>
          <w:szCs w:val="22"/>
        </w:rPr>
        <w:t xml:space="preserve"> </w:t>
      </w:r>
      <w:r w:rsidR="00CE2E84" w:rsidRPr="002F5491">
        <w:rPr>
          <w:rFonts w:cs="Times New Roman"/>
          <w:szCs w:val="22"/>
        </w:rPr>
        <w:t xml:space="preserve">into the final draft </w:t>
      </w:r>
      <w:r w:rsidR="008472C2" w:rsidRPr="002F5491">
        <w:rPr>
          <w:rFonts w:cs="Times New Roman"/>
          <w:szCs w:val="22"/>
        </w:rPr>
        <w:t>c</w:t>
      </w:r>
      <w:r w:rsidR="00CE2E84" w:rsidRPr="002F5491">
        <w:rPr>
          <w:rFonts w:cs="Times New Roman"/>
          <w:szCs w:val="22"/>
        </w:rPr>
        <w:t xml:space="preserve">apacity </w:t>
      </w:r>
      <w:r w:rsidR="008472C2" w:rsidRPr="002F5491">
        <w:rPr>
          <w:rFonts w:cs="Times New Roman"/>
          <w:szCs w:val="22"/>
        </w:rPr>
        <w:t>d</w:t>
      </w:r>
      <w:r w:rsidR="00CE2E84" w:rsidRPr="002F5491">
        <w:rPr>
          <w:rFonts w:cs="Times New Roman"/>
          <w:szCs w:val="22"/>
        </w:rPr>
        <w:t xml:space="preserve">evelopment </w:t>
      </w:r>
      <w:r w:rsidR="008472C2" w:rsidRPr="002F5491">
        <w:rPr>
          <w:rFonts w:cs="Times New Roman"/>
          <w:szCs w:val="22"/>
        </w:rPr>
        <w:t>s</w:t>
      </w:r>
      <w:r w:rsidR="00CE2E84" w:rsidRPr="002F5491">
        <w:rPr>
          <w:rFonts w:cs="Times New Roman"/>
          <w:szCs w:val="22"/>
        </w:rPr>
        <w:t xml:space="preserve">trategic </w:t>
      </w:r>
      <w:r w:rsidR="008472C2" w:rsidRPr="002F5491">
        <w:rPr>
          <w:rFonts w:cs="Times New Roman"/>
          <w:szCs w:val="22"/>
        </w:rPr>
        <w:t>f</w:t>
      </w:r>
      <w:r w:rsidR="00CE2E84" w:rsidRPr="002F5491">
        <w:rPr>
          <w:rFonts w:cs="Times New Roman"/>
          <w:szCs w:val="22"/>
        </w:rPr>
        <w:t>ramework</w:t>
      </w:r>
      <w:r w:rsidR="007233F8" w:rsidRPr="002F5491">
        <w:rPr>
          <w:rFonts w:cs="Times New Roman"/>
          <w:szCs w:val="22"/>
        </w:rPr>
        <w:t xml:space="preserve"> </w:t>
      </w:r>
      <w:r w:rsidR="00B02B6F" w:rsidRPr="002F5491">
        <w:rPr>
          <w:rFonts w:cs="Times New Roman"/>
          <w:szCs w:val="22"/>
        </w:rPr>
        <w:t>which will then</w:t>
      </w:r>
      <w:r w:rsidR="00CE2E84" w:rsidRPr="002F5491">
        <w:rPr>
          <w:rFonts w:cs="Times New Roman"/>
          <w:szCs w:val="22"/>
        </w:rPr>
        <w:t xml:space="preserve"> be submitted for consideration by the Subsidiary Body on Implementation at its third meeting and ultimately by the Conference of the Parties at its fifteenth meeting.</w:t>
      </w:r>
    </w:p>
    <w:p w:rsidR="00564E8B" w:rsidRPr="002F5491" w:rsidRDefault="0026253B" w:rsidP="00564E8B">
      <w:pPr>
        <w:pStyle w:val="Heading2"/>
        <w:rPr>
          <w:rFonts w:cs="Times New Roman"/>
          <w:i w:val="0"/>
          <w:szCs w:val="22"/>
        </w:rPr>
      </w:pPr>
      <w:r w:rsidRPr="002F5491">
        <w:rPr>
          <w:rFonts w:cs="Times New Roman"/>
          <w:i w:val="0"/>
          <w:szCs w:val="22"/>
        </w:rPr>
        <w:t>C</w:t>
      </w:r>
      <w:r w:rsidR="00564E8B" w:rsidRPr="002F5491">
        <w:rPr>
          <w:rFonts w:cs="Times New Roman"/>
          <w:i w:val="0"/>
          <w:szCs w:val="22"/>
        </w:rPr>
        <w:t>.</w:t>
      </w:r>
      <w:r w:rsidR="00564E8B" w:rsidRPr="002F5491">
        <w:rPr>
          <w:rFonts w:cs="Times New Roman"/>
          <w:i w:val="0"/>
          <w:szCs w:val="22"/>
        </w:rPr>
        <w:tab/>
      </w:r>
      <w:r w:rsidR="00627A4D" w:rsidRPr="002F5491">
        <w:rPr>
          <w:rFonts w:cs="Times New Roman"/>
          <w:i w:val="0"/>
          <w:szCs w:val="22"/>
        </w:rPr>
        <w:t>Indicative s</w:t>
      </w:r>
      <w:r w:rsidR="00564E8B" w:rsidRPr="002F5491">
        <w:rPr>
          <w:rFonts w:cs="Times New Roman"/>
          <w:i w:val="0"/>
          <w:szCs w:val="22"/>
        </w:rPr>
        <w:t xml:space="preserve">chedule of activities </w:t>
      </w:r>
    </w:p>
    <w:p w:rsidR="00E203B7" w:rsidRPr="002F5491" w:rsidRDefault="00564E8B" w:rsidP="00981D90">
      <w:pPr>
        <w:pStyle w:val="Para1"/>
        <w:numPr>
          <w:ilvl w:val="0"/>
          <w:numId w:val="18"/>
        </w:numPr>
        <w:tabs>
          <w:tab w:val="clear" w:pos="360"/>
          <w:tab w:val="num" w:pos="720"/>
        </w:tabs>
        <w:spacing w:before="120" w:after="240"/>
        <w:rPr>
          <w:rFonts w:cs="Times New Roman"/>
          <w:szCs w:val="22"/>
        </w:rPr>
      </w:pPr>
      <w:r w:rsidRPr="002F5491">
        <w:rPr>
          <w:rFonts w:cs="Times New Roman"/>
          <w:szCs w:val="22"/>
        </w:rPr>
        <w:t xml:space="preserve">The </w:t>
      </w:r>
      <w:r w:rsidR="0010005C" w:rsidRPr="002F5491">
        <w:rPr>
          <w:rFonts w:cs="Times New Roman"/>
          <w:kern w:val="22"/>
          <w:szCs w:val="22"/>
        </w:rPr>
        <w:t xml:space="preserve">process for preparing a long-term strategic framework for capacity-building </w:t>
      </w:r>
      <w:r w:rsidRPr="002F5491">
        <w:rPr>
          <w:rFonts w:cs="Times New Roman"/>
          <w:szCs w:val="22"/>
        </w:rPr>
        <w:t>will include the following activities</w:t>
      </w:r>
      <w:r w:rsidR="00BF28B6" w:rsidRPr="002F5491">
        <w:rPr>
          <w:rFonts w:cs="Times New Roman"/>
          <w:szCs w:val="22"/>
        </w:rPr>
        <w:t xml:space="preserve">, to be </w:t>
      </w:r>
      <w:r w:rsidR="00BF28B6" w:rsidRPr="002F5491">
        <w:rPr>
          <w:rFonts w:cs="Times New Roman"/>
          <w:snapToGrid/>
          <w:kern w:val="20"/>
          <w:szCs w:val="22"/>
        </w:rPr>
        <w:t xml:space="preserve">aligned with the time table for the development of </w:t>
      </w:r>
      <w:r w:rsidR="003A018C" w:rsidRPr="002F5491">
        <w:rPr>
          <w:rFonts w:cs="Times New Roman"/>
          <w:snapToGrid/>
          <w:kern w:val="20"/>
          <w:szCs w:val="22"/>
        </w:rPr>
        <w:t xml:space="preserve">a </w:t>
      </w:r>
      <w:r w:rsidR="00BF28B6" w:rsidRPr="002F5491">
        <w:rPr>
          <w:rFonts w:cs="Times New Roman"/>
          <w:snapToGrid/>
          <w:kern w:val="20"/>
          <w:szCs w:val="22"/>
        </w:rPr>
        <w:t>follow-up to the Strategic Plan for Biodiversity 2011-2020</w:t>
      </w:r>
      <w:r w:rsidRPr="002F5491">
        <w:rPr>
          <w:rFonts w:cs="Times New Roman"/>
          <w:szCs w:val="22"/>
        </w:rPr>
        <w:t>:</w:t>
      </w:r>
    </w:p>
    <w:tbl>
      <w:tblPr>
        <w:tblW w:w="9747" w:type="dxa"/>
        <w:tblLook w:val="01E0" w:firstRow="1" w:lastRow="1" w:firstColumn="1" w:lastColumn="1" w:noHBand="0" w:noVBand="0"/>
      </w:tblPr>
      <w:tblGrid>
        <w:gridCol w:w="5387"/>
        <w:gridCol w:w="1667"/>
        <w:gridCol w:w="2693"/>
      </w:tblGrid>
      <w:tr w:rsidR="00564E8B" w:rsidRPr="00AC0FF2" w:rsidTr="002F5491">
        <w:trPr>
          <w:tblHeader/>
        </w:trPr>
        <w:tc>
          <w:tcPr>
            <w:tcW w:w="5387" w:type="dxa"/>
          </w:tcPr>
          <w:p w:rsidR="00564E8B" w:rsidRPr="002F5491" w:rsidRDefault="00564E8B" w:rsidP="002F5491">
            <w:pPr>
              <w:pStyle w:val="Para1"/>
              <w:spacing w:before="60" w:after="60"/>
              <w:jc w:val="center"/>
              <w:rPr>
                <w:rFonts w:cs="Times New Roman"/>
                <w:i/>
                <w:szCs w:val="22"/>
              </w:rPr>
            </w:pPr>
            <w:r w:rsidRPr="002F5491">
              <w:rPr>
                <w:rFonts w:cs="Times New Roman"/>
                <w:i/>
                <w:szCs w:val="22"/>
              </w:rPr>
              <w:t>Activity/Task</w:t>
            </w:r>
          </w:p>
        </w:tc>
        <w:tc>
          <w:tcPr>
            <w:tcW w:w="1667" w:type="dxa"/>
          </w:tcPr>
          <w:p w:rsidR="00564E8B" w:rsidRPr="002F5491" w:rsidRDefault="00564E8B" w:rsidP="002F5491">
            <w:pPr>
              <w:pStyle w:val="Para1"/>
              <w:spacing w:before="60" w:after="60"/>
              <w:jc w:val="center"/>
              <w:rPr>
                <w:rFonts w:cs="Times New Roman"/>
                <w:i/>
                <w:szCs w:val="22"/>
              </w:rPr>
            </w:pPr>
            <w:r w:rsidRPr="002F5491">
              <w:rPr>
                <w:rFonts w:cs="Times New Roman"/>
                <w:i/>
                <w:szCs w:val="22"/>
              </w:rPr>
              <w:t>Timeframe</w:t>
            </w:r>
          </w:p>
        </w:tc>
        <w:tc>
          <w:tcPr>
            <w:tcW w:w="2693" w:type="dxa"/>
          </w:tcPr>
          <w:p w:rsidR="00564E8B" w:rsidRPr="002F5491" w:rsidRDefault="00564E8B" w:rsidP="002F5491">
            <w:pPr>
              <w:pStyle w:val="Para1"/>
              <w:spacing w:before="60" w:after="60"/>
              <w:jc w:val="center"/>
              <w:rPr>
                <w:rFonts w:cs="Times New Roman"/>
                <w:i/>
                <w:szCs w:val="22"/>
              </w:rPr>
            </w:pPr>
            <w:r w:rsidRPr="002F5491">
              <w:rPr>
                <w:rFonts w:cs="Times New Roman"/>
                <w:i/>
                <w:szCs w:val="22"/>
              </w:rPr>
              <w:t>Responsibility</w:t>
            </w:r>
          </w:p>
        </w:tc>
      </w:tr>
      <w:tr w:rsidR="004553EE" w:rsidRPr="00AC0FF2" w:rsidTr="00105FE1">
        <w:tc>
          <w:tcPr>
            <w:tcW w:w="5387" w:type="dxa"/>
          </w:tcPr>
          <w:p w:rsidR="004553EE" w:rsidRPr="002F5491" w:rsidRDefault="00C26669" w:rsidP="00C26669">
            <w:pPr>
              <w:pStyle w:val="Para1"/>
              <w:numPr>
                <w:ilvl w:val="0"/>
                <w:numId w:val="19"/>
              </w:numPr>
              <w:spacing w:before="60" w:after="60"/>
              <w:jc w:val="left"/>
              <w:rPr>
                <w:rFonts w:cs="Times New Roman"/>
                <w:szCs w:val="22"/>
              </w:rPr>
            </w:pPr>
            <w:r w:rsidRPr="002F5491">
              <w:rPr>
                <w:rFonts w:cs="Times New Roman"/>
                <w:szCs w:val="22"/>
              </w:rPr>
              <w:t>Invitation of</w:t>
            </w:r>
            <w:r w:rsidR="000938C6" w:rsidRPr="002F5491">
              <w:rPr>
                <w:rFonts w:cs="Times New Roman"/>
                <w:szCs w:val="22"/>
              </w:rPr>
              <w:t xml:space="preserve"> </w:t>
            </w:r>
            <w:r w:rsidR="00996B21" w:rsidRPr="002F5491">
              <w:rPr>
                <w:rFonts w:cs="Times New Roman"/>
                <w:szCs w:val="22"/>
              </w:rPr>
              <w:t xml:space="preserve">Parties, IPLCs and relevant organization </w:t>
            </w:r>
            <w:r w:rsidRPr="002F5491">
              <w:rPr>
                <w:rFonts w:cs="Times New Roman"/>
                <w:szCs w:val="22"/>
              </w:rPr>
              <w:t xml:space="preserve">to </w:t>
            </w:r>
            <w:r w:rsidR="000938C6" w:rsidRPr="002F5491">
              <w:rPr>
                <w:rFonts w:cs="Times New Roman"/>
                <w:szCs w:val="22"/>
              </w:rPr>
              <w:t>submi</w:t>
            </w:r>
            <w:r w:rsidRPr="002F5491">
              <w:rPr>
                <w:rFonts w:cs="Times New Roman"/>
                <w:szCs w:val="22"/>
              </w:rPr>
              <w:t xml:space="preserve">t </w:t>
            </w:r>
            <w:r w:rsidR="000938C6" w:rsidRPr="002F5491">
              <w:rPr>
                <w:rFonts w:cs="Times New Roman"/>
                <w:szCs w:val="22"/>
              </w:rPr>
              <w:t xml:space="preserve">information </w:t>
            </w:r>
            <w:r w:rsidR="004553EE" w:rsidRPr="002F5491">
              <w:rPr>
                <w:rFonts w:cs="Times New Roman"/>
                <w:szCs w:val="22"/>
              </w:rPr>
              <w:t>on capacity development needs and priorities</w:t>
            </w:r>
            <w:r w:rsidR="00EC1399" w:rsidRPr="002F5491">
              <w:rPr>
                <w:rFonts w:cs="Times New Roman"/>
                <w:szCs w:val="22"/>
              </w:rPr>
              <w:t>,</w:t>
            </w:r>
            <w:r w:rsidR="00721D84" w:rsidRPr="002F5491">
              <w:rPr>
                <w:rFonts w:cs="Times New Roman"/>
                <w:szCs w:val="22"/>
              </w:rPr>
              <w:t xml:space="preserve"> </w:t>
            </w:r>
            <w:r w:rsidR="00996B21" w:rsidRPr="002F5491">
              <w:rPr>
                <w:rFonts w:cs="Times New Roman"/>
                <w:szCs w:val="22"/>
              </w:rPr>
              <w:t xml:space="preserve">relevant experiences and lessons learned, as well as views/suggestions on possible elements of the post-2020 capacity development strategic framework, </w:t>
            </w:r>
            <w:r w:rsidR="00721D84" w:rsidRPr="002F5491">
              <w:rPr>
                <w:rFonts w:cs="Times New Roman"/>
                <w:szCs w:val="22"/>
              </w:rPr>
              <w:t>complementing information provided through the national reports</w:t>
            </w:r>
            <w:r w:rsidR="004553EE" w:rsidRPr="002F5491">
              <w:rPr>
                <w:rFonts w:cs="Times New Roman"/>
                <w:szCs w:val="22"/>
              </w:rPr>
              <w:t xml:space="preserve"> </w:t>
            </w:r>
          </w:p>
        </w:tc>
        <w:tc>
          <w:tcPr>
            <w:tcW w:w="1667" w:type="dxa"/>
          </w:tcPr>
          <w:p w:rsidR="004553EE" w:rsidRPr="002F5491" w:rsidRDefault="00996B21" w:rsidP="00447C88">
            <w:pPr>
              <w:pStyle w:val="Para1"/>
              <w:spacing w:before="60" w:after="60"/>
              <w:rPr>
                <w:rFonts w:cs="Times New Roman"/>
                <w:szCs w:val="22"/>
              </w:rPr>
            </w:pPr>
            <w:r w:rsidRPr="002F5491">
              <w:rPr>
                <w:rFonts w:cs="Times New Roman"/>
                <w:szCs w:val="22"/>
              </w:rPr>
              <w:t>Aug-Nov</w:t>
            </w:r>
            <w:r w:rsidR="004553EE" w:rsidRPr="002F5491">
              <w:rPr>
                <w:rFonts w:cs="Times New Roman"/>
                <w:szCs w:val="22"/>
              </w:rPr>
              <w:t xml:space="preserve"> 2018</w:t>
            </w:r>
          </w:p>
        </w:tc>
        <w:tc>
          <w:tcPr>
            <w:tcW w:w="2693" w:type="dxa"/>
          </w:tcPr>
          <w:p w:rsidR="004553EE" w:rsidRPr="002F5491" w:rsidRDefault="000938C6" w:rsidP="00981D90">
            <w:pPr>
              <w:pStyle w:val="Para1"/>
              <w:spacing w:before="60" w:after="60"/>
              <w:jc w:val="left"/>
              <w:rPr>
                <w:rFonts w:cs="Times New Roman"/>
                <w:szCs w:val="22"/>
              </w:rPr>
            </w:pPr>
            <w:r w:rsidRPr="002F5491">
              <w:rPr>
                <w:rFonts w:cs="Times New Roman"/>
                <w:szCs w:val="22"/>
              </w:rPr>
              <w:t>Secretariat</w:t>
            </w:r>
            <w:r w:rsidR="00627A4D" w:rsidRPr="002F5491">
              <w:rPr>
                <w:rFonts w:cs="Times New Roman"/>
                <w:szCs w:val="22"/>
              </w:rPr>
              <w:t>; Parties, IPLCs and relevant organization</w:t>
            </w:r>
          </w:p>
        </w:tc>
      </w:tr>
      <w:tr w:rsidR="00996B21" w:rsidRPr="00AC0FF2" w:rsidTr="00105FE1">
        <w:tc>
          <w:tcPr>
            <w:tcW w:w="5387" w:type="dxa"/>
          </w:tcPr>
          <w:p w:rsidR="00996B21" w:rsidRPr="002F5491" w:rsidRDefault="00996B21" w:rsidP="00447C88">
            <w:pPr>
              <w:pStyle w:val="Para1"/>
              <w:numPr>
                <w:ilvl w:val="0"/>
                <w:numId w:val="19"/>
              </w:numPr>
              <w:spacing w:before="60" w:after="60"/>
              <w:jc w:val="left"/>
              <w:rPr>
                <w:rFonts w:cs="Times New Roman"/>
                <w:szCs w:val="22"/>
              </w:rPr>
            </w:pPr>
            <w:r w:rsidRPr="002F5491">
              <w:rPr>
                <w:rFonts w:cs="Times New Roman"/>
                <w:szCs w:val="22"/>
              </w:rPr>
              <w:t xml:space="preserve">Submission of the national reports </w:t>
            </w:r>
          </w:p>
        </w:tc>
        <w:tc>
          <w:tcPr>
            <w:tcW w:w="1667" w:type="dxa"/>
          </w:tcPr>
          <w:p w:rsidR="00996B21" w:rsidRPr="002F5491" w:rsidRDefault="00996B21" w:rsidP="00721D84">
            <w:pPr>
              <w:pStyle w:val="Para1"/>
              <w:spacing w:before="60" w:after="60"/>
              <w:rPr>
                <w:rFonts w:cs="Times New Roman"/>
                <w:szCs w:val="22"/>
              </w:rPr>
            </w:pPr>
            <w:r w:rsidRPr="002F5491">
              <w:rPr>
                <w:rFonts w:cs="Times New Roman"/>
                <w:szCs w:val="22"/>
              </w:rPr>
              <w:t>Dec 2018</w:t>
            </w:r>
          </w:p>
        </w:tc>
        <w:tc>
          <w:tcPr>
            <w:tcW w:w="2693" w:type="dxa"/>
          </w:tcPr>
          <w:p w:rsidR="00996B21" w:rsidRPr="002F5491" w:rsidRDefault="00996B21" w:rsidP="00447C88">
            <w:pPr>
              <w:pStyle w:val="Para1"/>
              <w:spacing w:before="60" w:after="60"/>
              <w:jc w:val="left"/>
              <w:rPr>
                <w:rFonts w:cs="Times New Roman"/>
                <w:szCs w:val="22"/>
              </w:rPr>
            </w:pPr>
            <w:r w:rsidRPr="002F5491">
              <w:rPr>
                <w:rFonts w:cs="Times New Roman"/>
                <w:szCs w:val="22"/>
              </w:rPr>
              <w:t>Parties</w:t>
            </w:r>
          </w:p>
        </w:tc>
      </w:tr>
      <w:tr w:rsidR="00721D84" w:rsidRPr="00AC0FF2" w:rsidTr="00105FE1">
        <w:tc>
          <w:tcPr>
            <w:tcW w:w="5387" w:type="dxa"/>
          </w:tcPr>
          <w:p w:rsidR="00721D84" w:rsidRPr="002F5491" w:rsidRDefault="00721D84" w:rsidP="00721D84">
            <w:pPr>
              <w:pStyle w:val="Para1"/>
              <w:numPr>
                <w:ilvl w:val="0"/>
                <w:numId w:val="19"/>
              </w:numPr>
              <w:spacing w:before="60" w:after="60"/>
              <w:jc w:val="left"/>
              <w:rPr>
                <w:rFonts w:cs="Times New Roman"/>
                <w:szCs w:val="22"/>
              </w:rPr>
            </w:pPr>
            <w:r w:rsidRPr="002F5491">
              <w:rPr>
                <w:rFonts w:cs="Times New Roman"/>
                <w:szCs w:val="22"/>
              </w:rPr>
              <w:t>Independent evaluation of the impacts, outcomes and effectiveness of the short-term action plan (2017-2020) to enhance and support capacity-building for the implementation of the Convention and its Protocols</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Jan-May 2019</w:t>
            </w:r>
          </w:p>
        </w:tc>
        <w:tc>
          <w:tcPr>
            <w:tcW w:w="2693" w:type="dxa"/>
          </w:tcPr>
          <w:p w:rsidR="00721D84" w:rsidRPr="002F5491" w:rsidRDefault="00721D84" w:rsidP="00721D84">
            <w:pPr>
              <w:pStyle w:val="Para1"/>
              <w:spacing w:before="60" w:after="60"/>
              <w:rPr>
                <w:rFonts w:cs="Times New Roman"/>
                <w:szCs w:val="22"/>
              </w:rPr>
            </w:pPr>
            <w:r w:rsidRPr="002F5491">
              <w:rPr>
                <w:rFonts w:cs="Times New Roman"/>
                <w:szCs w:val="22"/>
              </w:rPr>
              <w:t>Consultant</w:t>
            </w:r>
          </w:p>
        </w:tc>
      </w:tr>
      <w:tr w:rsidR="00721D84" w:rsidRPr="00AC0FF2" w:rsidTr="00105FE1">
        <w:tc>
          <w:tcPr>
            <w:tcW w:w="5387" w:type="dxa"/>
          </w:tcPr>
          <w:p w:rsidR="00721D84" w:rsidRPr="002F5491" w:rsidRDefault="00627A4D" w:rsidP="00BB7B41">
            <w:pPr>
              <w:pStyle w:val="Para1"/>
              <w:numPr>
                <w:ilvl w:val="0"/>
                <w:numId w:val="19"/>
              </w:numPr>
              <w:spacing w:before="60" w:after="60"/>
              <w:jc w:val="left"/>
              <w:rPr>
                <w:rFonts w:cs="Times New Roman"/>
                <w:szCs w:val="22"/>
              </w:rPr>
            </w:pPr>
            <w:r w:rsidRPr="002F5491">
              <w:rPr>
                <w:rFonts w:cs="Times New Roman"/>
                <w:kern w:val="22"/>
                <w:szCs w:val="22"/>
              </w:rPr>
              <w:t>Conduct of the study to provide the knowledge base for the preparation the long-term strategic framework for capacity-building, including a d</w:t>
            </w:r>
            <w:r w:rsidR="00721D84" w:rsidRPr="002F5491">
              <w:rPr>
                <w:rFonts w:cs="Times New Roman"/>
                <w:szCs w:val="22"/>
              </w:rPr>
              <w:t>esk review of relevant reports and documents</w:t>
            </w:r>
            <w:r w:rsidRPr="002F5491">
              <w:rPr>
                <w:rFonts w:cs="Times New Roman"/>
                <w:szCs w:val="22"/>
              </w:rPr>
              <w:t xml:space="preserve">; </w:t>
            </w:r>
            <w:r w:rsidR="000938C6" w:rsidRPr="002F5491">
              <w:rPr>
                <w:rFonts w:cs="Times New Roman"/>
                <w:szCs w:val="22"/>
              </w:rPr>
              <w:t xml:space="preserve">synthesis of the information received </w:t>
            </w:r>
            <w:r w:rsidR="00981BE1" w:rsidRPr="002F5491">
              <w:rPr>
                <w:rFonts w:cs="Times New Roman"/>
                <w:szCs w:val="22"/>
              </w:rPr>
              <w:t xml:space="preserve">from </w:t>
            </w:r>
            <w:r w:rsidR="000938C6" w:rsidRPr="002F5491">
              <w:rPr>
                <w:rFonts w:cs="Times New Roman"/>
                <w:szCs w:val="22"/>
              </w:rPr>
              <w:t>Parties</w:t>
            </w:r>
            <w:r w:rsidR="00981BE1" w:rsidRPr="002F5491">
              <w:rPr>
                <w:rFonts w:cs="Times New Roman"/>
                <w:szCs w:val="22"/>
              </w:rPr>
              <w:t xml:space="preserve">, </w:t>
            </w:r>
            <w:r w:rsidR="000938C6" w:rsidRPr="002F5491">
              <w:rPr>
                <w:rFonts w:cs="Times New Roman"/>
                <w:szCs w:val="22"/>
              </w:rPr>
              <w:t>IPLCs</w:t>
            </w:r>
            <w:r w:rsidR="00981BE1" w:rsidRPr="002F5491">
              <w:rPr>
                <w:rFonts w:cs="Times New Roman"/>
                <w:szCs w:val="22"/>
              </w:rPr>
              <w:t xml:space="preserve"> and relevant organizations</w:t>
            </w:r>
            <w:r w:rsidRPr="002F5491">
              <w:rPr>
                <w:rFonts w:cs="Times New Roman"/>
                <w:szCs w:val="22"/>
              </w:rPr>
              <w:t xml:space="preserve">; and surveys/interviews with key </w:t>
            </w:r>
            <w:r w:rsidR="00BB7B41">
              <w:rPr>
                <w:rFonts w:cs="Times New Roman"/>
                <w:szCs w:val="22"/>
              </w:rPr>
              <w:t>staekholders</w:t>
            </w:r>
          </w:p>
        </w:tc>
        <w:tc>
          <w:tcPr>
            <w:tcW w:w="1667" w:type="dxa"/>
          </w:tcPr>
          <w:p w:rsidR="00721D84" w:rsidRPr="002F5491" w:rsidRDefault="00721D84" w:rsidP="00981BE1">
            <w:pPr>
              <w:pStyle w:val="Para1"/>
              <w:spacing w:before="60" w:after="60"/>
              <w:rPr>
                <w:rFonts w:cs="Times New Roman"/>
                <w:szCs w:val="22"/>
              </w:rPr>
            </w:pPr>
            <w:r w:rsidRPr="002F5491">
              <w:rPr>
                <w:rFonts w:cs="Times New Roman"/>
                <w:szCs w:val="22"/>
              </w:rPr>
              <w:t>Jan-</w:t>
            </w:r>
            <w:r w:rsidR="00981BE1" w:rsidRPr="002F5491">
              <w:rPr>
                <w:rFonts w:cs="Times New Roman"/>
                <w:szCs w:val="22"/>
              </w:rPr>
              <w:t>April</w:t>
            </w:r>
            <w:r w:rsidRPr="002F5491">
              <w:rPr>
                <w:rFonts w:cs="Times New Roman"/>
                <w:szCs w:val="22"/>
              </w:rPr>
              <w:t xml:space="preserve"> 2019</w:t>
            </w:r>
          </w:p>
        </w:tc>
        <w:tc>
          <w:tcPr>
            <w:tcW w:w="2693" w:type="dxa"/>
          </w:tcPr>
          <w:p w:rsidR="00721D84" w:rsidRPr="002F5491" w:rsidRDefault="00721D84" w:rsidP="00721D84">
            <w:pPr>
              <w:pStyle w:val="Para1"/>
              <w:spacing w:before="60" w:after="60"/>
              <w:rPr>
                <w:rFonts w:cs="Times New Roman"/>
                <w:szCs w:val="22"/>
              </w:rPr>
            </w:pPr>
            <w:r w:rsidRPr="002F5491">
              <w:rPr>
                <w:rFonts w:cs="Times New Roman"/>
                <w:szCs w:val="22"/>
              </w:rPr>
              <w:t>Consultant</w:t>
            </w:r>
          </w:p>
        </w:tc>
      </w:tr>
      <w:tr w:rsidR="00721D84" w:rsidRPr="00AC0FF2" w:rsidTr="00105FE1">
        <w:tc>
          <w:tcPr>
            <w:tcW w:w="5387" w:type="dxa"/>
          </w:tcPr>
          <w:p w:rsidR="00721D84" w:rsidRPr="002F5491" w:rsidRDefault="00721D84" w:rsidP="00627A4D">
            <w:pPr>
              <w:pStyle w:val="Para1"/>
              <w:numPr>
                <w:ilvl w:val="0"/>
                <w:numId w:val="19"/>
              </w:numPr>
              <w:spacing w:before="60" w:after="60"/>
              <w:jc w:val="left"/>
              <w:rPr>
                <w:rFonts w:cs="Times New Roman"/>
                <w:szCs w:val="22"/>
              </w:rPr>
            </w:pPr>
            <w:r w:rsidRPr="002F5491">
              <w:rPr>
                <w:rFonts w:cs="Times New Roman"/>
                <w:szCs w:val="22"/>
              </w:rPr>
              <w:t>Preparation of a draft study report based on the submissions received from Parties, IPLCs, relevant organizations and stakeholders and the review of the national reports and other relevant documents</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April-May 2019</w:t>
            </w:r>
          </w:p>
        </w:tc>
        <w:tc>
          <w:tcPr>
            <w:tcW w:w="2693" w:type="dxa"/>
          </w:tcPr>
          <w:p w:rsidR="00721D84" w:rsidRPr="002F5491" w:rsidRDefault="00721D84" w:rsidP="00721D84">
            <w:pPr>
              <w:pStyle w:val="Para1"/>
              <w:spacing w:before="60" w:after="60"/>
              <w:jc w:val="left"/>
              <w:rPr>
                <w:rFonts w:cs="Times New Roman"/>
                <w:szCs w:val="22"/>
              </w:rPr>
            </w:pPr>
            <w:r w:rsidRPr="002F5491">
              <w:rPr>
                <w:rFonts w:cs="Times New Roman"/>
                <w:szCs w:val="22"/>
              </w:rPr>
              <w:t>Consultant; Secretariat</w:t>
            </w:r>
          </w:p>
        </w:tc>
      </w:tr>
      <w:tr w:rsidR="00627A4D" w:rsidRPr="00AC0FF2" w:rsidTr="00872C36">
        <w:tc>
          <w:tcPr>
            <w:tcW w:w="5387" w:type="dxa"/>
          </w:tcPr>
          <w:p w:rsidR="00627A4D" w:rsidRPr="002F5491" w:rsidRDefault="00627A4D" w:rsidP="0067653A">
            <w:pPr>
              <w:pStyle w:val="Para1"/>
              <w:numPr>
                <w:ilvl w:val="0"/>
                <w:numId w:val="19"/>
              </w:numPr>
              <w:spacing w:before="60" w:after="60"/>
              <w:jc w:val="left"/>
              <w:rPr>
                <w:rFonts w:cs="Times New Roman"/>
                <w:szCs w:val="22"/>
              </w:rPr>
            </w:pPr>
            <w:r w:rsidRPr="002F5491">
              <w:rPr>
                <w:rFonts w:cs="Times New Roman"/>
                <w:szCs w:val="22"/>
              </w:rPr>
              <w:t xml:space="preserve">Preparation of draft elements of </w:t>
            </w:r>
            <w:r w:rsidRPr="002F5491">
              <w:rPr>
                <w:rFonts w:cs="Times New Roman"/>
                <w:kern w:val="22"/>
                <w:szCs w:val="22"/>
              </w:rPr>
              <w:t xml:space="preserve">the </w:t>
            </w:r>
            <w:r w:rsidRPr="002F5491">
              <w:rPr>
                <w:rFonts w:cs="Times New Roman"/>
                <w:szCs w:val="22"/>
              </w:rPr>
              <w:t>post-2020 capacity development strategic framework</w:t>
            </w:r>
          </w:p>
        </w:tc>
        <w:tc>
          <w:tcPr>
            <w:tcW w:w="1667" w:type="dxa"/>
          </w:tcPr>
          <w:p w:rsidR="00627A4D" w:rsidRPr="002F5491" w:rsidRDefault="00627A4D" w:rsidP="00627A4D">
            <w:pPr>
              <w:pStyle w:val="Para1"/>
              <w:spacing w:before="60" w:after="60"/>
              <w:rPr>
                <w:rFonts w:cs="Times New Roman"/>
                <w:szCs w:val="22"/>
              </w:rPr>
            </w:pPr>
            <w:r w:rsidRPr="002F5491">
              <w:rPr>
                <w:rFonts w:cs="Times New Roman"/>
                <w:szCs w:val="22"/>
              </w:rPr>
              <w:t>May-June 2019</w:t>
            </w:r>
          </w:p>
        </w:tc>
        <w:tc>
          <w:tcPr>
            <w:tcW w:w="2693" w:type="dxa"/>
          </w:tcPr>
          <w:p w:rsidR="00627A4D" w:rsidRPr="002F5491" w:rsidRDefault="00627A4D" w:rsidP="00872C36">
            <w:pPr>
              <w:pStyle w:val="Para1"/>
              <w:spacing w:before="60" w:after="60"/>
              <w:jc w:val="left"/>
              <w:rPr>
                <w:rFonts w:cs="Times New Roman"/>
                <w:szCs w:val="22"/>
              </w:rPr>
            </w:pPr>
            <w:r w:rsidRPr="002F5491">
              <w:rPr>
                <w:rFonts w:cs="Times New Roman"/>
                <w:szCs w:val="22"/>
              </w:rPr>
              <w:t>Consultant; Secretariat;</w:t>
            </w:r>
          </w:p>
        </w:tc>
      </w:tr>
      <w:tr w:rsidR="00721D84" w:rsidRPr="00AC0FF2" w:rsidTr="00105FE1">
        <w:tc>
          <w:tcPr>
            <w:tcW w:w="5387" w:type="dxa"/>
          </w:tcPr>
          <w:p w:rsidR="00721D84" w:rsidRPr="002F5491" w:rsidRDefault="00721D84" w:rsidP="0077551C">
            <w:pPr>
              <w:pStyle w:val="Para1"/>
              <w:numPr>
                <w:ilvl w:val="0"/>
                <w:numId w:val="19"/>
              </w:numPr>
              <w:spacing w:before="60" w:after="60"/>
              <w:jc w:val="left"/>
              <w:rPr>
                <w:rFonts w:cs="Times New Roman"/>
                <w:szCs w:val="22"/>
              </w:rPr>
            </w:pPr>
            <w:r w:rsidRPr="002F5491">
              <w:rPr>
                <w:rFonts w:cs="Times New Roman"/>
                <w:szCs w:val="22"/>
              </w:rPr>
              <w:t xml:space="preserve">Regional consultation workshops and online discussion </w:t>
            </w:r>
            <w:r w:rsidR="007834F0" w:rsidRPr="002F5491">
              <w:rPr>
                <w:rFonts w:cs="Times New Roman"/>
                <w:szCs w:val="22"/>
              </w:rPr>
              <w:t>forums</w:t>
            </w:r>
            <w:r w:rsidRPr="002F5491">
              <w:rPr>
                <w:rFonts w:cs="Times New Roman"/>
                <w:szCs w:val="22"/>
              </w:rPr>
              <w:t xml:space="preserve"> </w:t>
            </w:r>
            <w:r w:rsidR="0077551C" w:rsidRPr="002F5491">
              <w:rPr>
                <w:rFonts w:cs="Times New Roman"/>
                <w:szCs w:val="22"/>
              </w:rPr>
              <w:t xml:space="preserve">on the draft study report and associated discussion papers and the draft elements of the post-2020 capacity development strategic framework </w:t>
            </w:r>
            <w:r w:rsidRPr="002F5491">
              <w:rPr>
                <w:rFonts w:cs="Times New Roman"/>
                <w:szCs w:val="22"/>
              </w:rPr>
              <w:t>(in conjunction with the post 2020 global biodiversity framework process)</w:t>
            </w:r>
          </w:p>
        </w:tc>
        <w:tc>
          <w:tcPr>
            <w:tcW w:w="1667" w:type="dxa"/>
          </w:tcPr>
          <w:p w:rsidR="00721D84" w:rsidRPr="002F5491" w:rsidRDefault="00721D84" w:rsidP="0077551C">
            <w:pPr>
              <w:pStyle w:val="Para1"/>
              <w:spacing w:before="60" w:after="60"/>
              <w:rPr>
                <w:rFonts w:cs="Times New Roman"/>
                <w:szCs w:val="22"/>
              </w:rPr>
            </w:pPr>
            <w:r w:rsidRPr="002F5491">
              <w:rPr>
                <w:rFonts w:cs="Times New Roman"/>
                <w:szCs w:val="22"/>
              </w:rPr>
              <w:t>Jan-</w:t>
            </w:r>
            <w:r w:rsidR="0077551C" w:rsidRPr="002F5491">
              <w:rPr>
                <w:rFonts w:cs="Times New Roman"/>
                <w:szCs w:val="22"/>
              </w:rPr>
              <w:t>July</w:t>
            </w:r>
            <w:r w:rsidRPr="002F5491">
              <w:rPr>
                <w:rFonts w:cs="Times New Roman"/>
                <w:szCs w:val="22"/>
              </w:rPr>
              <w:t xml:space="preserve"> 2019</w:t>
            </w:r>
          </w:p>
        </w:tc>
        <w:tc>
          <w:tcPr>
            <w:tcW w:w="2693" w:type="dxa"/>
          </w:tcPr>
          <w:p w:rsidR="00721D84" w:rsidRPr="002F5491" w:rsidRDefault="00721D84" w:rsidP="00721D84">
            <w:pPr>
              <w:pStyle w:val="Para1"/>
              <w:spacing w:before="60" w:after="60"/>
              <w:jc w:val="left"/>
              <w:rPr>
                <w:rFonts w:cs="Times New Roman"/>
                <w:szCs w:val="22"/>
              </w:rPr>
            </w:pPr>
            <w:r w:rsidRPr="002F5491">
              <w:rPr>
                <w:rFonts w:cs="Times New Roman"/>
                <w:szCs w:val="22"/>
              </w:rPr>
              <w:t>Secretariat; Consultant</w:t>
            </w:r>
          </w:p>
        </w:tc>
      </w:tr>
      <w:tr w:rsidR="00721D84" w:rsidRPr="00AC0FF2" w:rsidTr="00105FE1">
        <w:tc>
          <w:tcPr>
            <w:tcW w:w="5387" w:type="dxa"/>
          </w:tcPr>
          <w:p w:rsidR="00721D84" w:rsidRPr="002F5491" w:rsidRDefault="0077551C" w:rsidP="000D37E0">
            <w:pPr>
              <w:pStyle w:val="Para1"/>
              <w:numPr>
                <w:ilvl w:val="0"/>
                <w:numId w:val="19"/>
              </w:numPr>
              <w:spacing w:before="60" w:after="60"/>
              <w:jc w:val="left"/>
              <w:rPr>
                <w:rFonts w:cs="Times New Roman"/>
                <w:szCs w:val="22"/>
              </w:rPr>
            </w:pPr>
            <w:r w:rsidRPr="002F5491">
              <w:rPr>
                <w:rFonts w:cs="Times New Roman"/>
                <w:szCs w:val="22"/>
              </w:rPr>
              <w:t>Submission</w:t>
            </w:r>
            <w:r w:rsidR="00721D84" w:rsidRPr="002F5491">
              <w:rPr>
                <w:rFonts w:cs="Times New Roman"/>
                <w:szCs w:val="22"/>
              </w:rPr>
              <w:t xml:space="preserve"> of </w:t>
            </w:r>
            <w:r w:rsidRPr="002F5491">
              <w:rPr>
                <w:rFonts w:cs="Times New Roman"/>
                <w:szCs w:val="22"/>
              </w:rPr>
              <w:t xml:space="preserve">the revised study report and the </w:t>
            </w:r>
            <w:r w:rsidR="000D37E0" w:rsidRPr="002F5491">
              <w:rPr>
                <w:rFonts w:cs="Times New Roman"/>
                <w:szCs w:val="22"/>
              </w:rPr>
              <w:t xml:space="preserve">revised </w:t>
            </w:r>
            <w:r w:rsidRPr="002F5491">
              <w:rPr>
                <w:rFonts w:cs="Times New Roman"/>
                <w:szCs w:val="22"/>
              </w:rPr>
              <w:t>draft</w:t>
            </w:r>
            <w:r w:rsidR="00721D84" w:rsidRPr="002F5491">
              <w:rPr>
                <w:rFonts w:cs="Times New Roman"/>
                <w:szCs w:val="22"/>
              </w:rPr>
              <w:t xml:space="preserve"> elements of </w:t>
            </w:r>
            <w:r w:rsidR="00721D84" w:rsidRPr="002F5491">
              <w:rPr>
                <w:rFonts w:cs="Times New Roman"/>
                <w:kern w:val="22"/>
                <w:szCs w:val="22"/>
              </w:rPr>
              <w:t xml:space="preserve">the </w:t>
            </w:r>
            <w:r w:rsidR="00721D84" w:rsidRPr="002F5491">
              <w:rPr>
                <w:rFonts w:cs="Times New Roman"/>
                <w:szCs w:val="22"/>
              </w:rPr>
              <w:t>post-2020 capacity development strategic framework</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Aug 2019</w:t>
            </w:r>
          </w:p>
        </w:tc>
        <w:tc>
          <w:tcPr>
            <w:tcW w:w="2693" w:type="dxa"/>
          </w:tcPr>
          <w:p w:rsidR="00721D84" w:rsidRPr="002F5491" w:rsidRDefault="00721D84" w:rsidP="0077551C">
            <w:pPr>
              <w:pStyle w:val="Para1"/>
              <w:spacing w:before="60" w:after="60"/>
              <w:jc w:val="left"/>
              <w:rPr>
                <w:rFonts w:cs="Times New Roman"/>
                <w:szCs w:val="22"/>
              </w:rPr>
            </w:pPr>
            <w:r w:rsidRPr="002F5491">
              <w:rPr>
                <w:rFonts w:cs="Times New Roman"/>
                <w:szCs w:val="22"/>
              </w:rPr>
              <w:t>Consultant</w:t>
            </w:r>
            <w:r w:rsidR="0077551C" w:rsidRPr="002F5491">
              <w:rPr>
                <w:rFonts w:cs="Times New Roman"/>
                <w:szCs w:val="22"/>
              </w:rPr>
              <w:t>;</w:t>
            </w:r>
          </w:p>
        </w:tc>
      </w:tr>
      <w:tr w:rsidR="00721D84" w:rsidRPr="00AC0FF2" w:rsidTr="00105FE1">
        <w:tc>
          <w:tcPr>
            <w:tcW w:w="5387" w:type="dxa"/>
          </w:tcPr>
          <w:p w:rsidR="00721D84" w:rsidRPr="002F5491" w:rsidRDefault="000D37E0" w:rsidP="0067653A">
            <w:pPr>
              <w:pStyle w:val="Para1"/>
              <w:numPr>
                <w:ilvl w:val="0"/>
                <w:numId w:val="19"/>
              </w:numPr>
              <w:spacing w:before="60" w:after="60"/>
              <w:jc w:val="left"/>
              <w:rPr>
                <w:rFonts w:cs="Times New Roman"/>
                <w:szCs w:val="22"/>
              </w:rPr>
            </w:pPr>
            <w:r w:rsidRPr="002F5491">
              <w:rPr>
                <w:rFonts w:cs="Times New Roman"/>
                <w:szCs w:val="22"/>
              </w:rPr>
              <w:lastRenderedPageBreak/>
              <w:t>C</w:t>
            </w:r>
            <w:r w:rsidR="00721D84" w:rsidRPr="002F5491">
              <w:rPr>
                <w:rFonts w:cs="Times New Roman"/>
                <w:szCs w:val="22"/>
              </w:rPr>
              <w:t xml:space="preserve">onsultation workshop(s) on the </w:t>
            </w:r>
            <w:r w:rsidRPr="002F5491">
              <w:rPr>
                <w:rFonts w:cs="Times New Roman"/>
                <w:szCs w:val="22"/>
              </w:rPr>
              <w:t>revised</w:t>
            </w:r>
            <w:r w:rsidR="0077551C" w:rsidRPr="002F5491">
              <w:rPr>
                <w:rFonts w:cs="Times New Roman"/>
                <w:szCs w:val="22"/>
              </w:rPr>
              <w:t xml:space="preserve"> </w:t>
            </w:r>
            <w:r w:rsidR="00721D84" w:rsidRPr="002F5491">
              <w:rPr>
                <w:rFonts w:cs="Times New Roman"/>
                <w:szCs w:val="22"/>
              </w:rPr>
              <w:t xml:space="preserve">draft elements of </w:t>
            </w:r>
            <w:r w:rsidR="00721D84" w:rsidRPr="002F5491">
              <w:rPr>
                <w:rFonts w:cs="Times New Roman"/>
                <w:kern w:val="22"/>
                <w:szCs w:val="22"/>
              </w:rPr>
              <w:t>the p</w:t>
            </w:r>
            <w:r w:rsidR="00721D84" w:rsidRPr="002F5491">
              <w:rPr>
                <w:rFonts w:cs="Times New Roman"/>
                <w:szCs w:val="22"/>
              </w:rPr>
              <w:t>ost-2020 capacity development strategic framework</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Sept-Oct 2019</w:t>
            </w:r>
          </w:p>
        </w:tc>
        <w:tc>
          <w:tcPr>
            <w:tcW w:w="2693" w:type="dxa"/>
          </w:tcPr>
          <w:p w:rsidR="00721D84" w:rsidRPr="002F5491" w:rsidRDefault="00721D84" w:rsidP="00721D84">
            <w:pPr>
              <w:pStyle w:val="Para1"/>
              <w:spacing w:before="60" w:after="60"/>
              <w:jc w:val="left"/>
              <w:rPr>
                <w:rFonts w:cs="Times New Roman"/>
                <w:szCs w:val="22"/>
              </w:rPr>
            </w:pPr>
            <w:r w:rsidRPr="002F5491">
              <w:rPr>
                <w:rFonts w:cs="Times New Roman"/>
                <w:szCs w:val="22"/>
              </w:rPr>
              <w:t>Experts nominated by governments and relevant organizations</w:t>
            </w:r>
          </w:p>
        </w:tc>
      </w:tr>
      <w:tr w:rsidR="00721D84" w:rsidRPr="00AC0FF2" w:rsidTr="00105FE1">
        <w:tc>
          <w:tcPr>
            <w:tcW w:w="5387" w:type="dxa"/>
          </w:tcPr>
          <w:p w:rsidR="00721D84" w:rsidRPr="002F5491" w:rsidRDefault="00721D84" w:rsidP="0067653A">
            <w:pPr>
              <w:pStyle w:val="Para1"/>
              <w:numPr>
                <w:ilvl w:val="0"/>
                <w:numId w:val="19"/>
              </w:numPr>
              <w:spacing w:before="60" w:after="60"/>
              <w:jc w:val="left"/>
              <w:rPr>
                <w:rFonts w:cs="Times New Roman"/>
                <w:szCs w:val="22"/>
              </w:rPr>
            </w:pPr>
            <w:r w:rsidRPr="002F5491">
              <w:rPr>
                <w:rFonts w:cs="Times New Roman"/>
                <w:szCs w:val="22"/>
              </w:rPr>
              <w:t xml:space="preserve">Preparation of </w:t>
            </w:r>
            <w:r w:rsidR="0077551C" w:rsidRPr="002F5491">
              <w:rPr>
                <w:rFonts w:cs="Times New Roman"/>
                <w:szCs w:val="22"/>
              </w:rPr>
              <w:t xml:space="preserve">final </w:t>
            </w:r>
            <w:r w:rsidRPr="002F5491">
              <w:rPr>
                <w:rFonts w:cs="Times New Roman"/>
                <w:szCs w:val="22"/>
              </w:rPr>
              <w:t>draft post-2020 capacity development strategic framework based on inputs from consultation workshops</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Nov 2019</w:t>
            </w:r>
          </w:p>
        </w:tc>
        <w:tc>
          <w:tcPr>
            <w:tcW w:w="2693" w:type="dxa"/>
          </w:tcPr>
          <w:p w:rsidR="00721D84" w:rsidRPr="002F5491" w:rsidRDefault="00721D84" w:rsidP="00721D84">
            <w:pPr>
              <w:pStyle w:val="Para1"/>
              <w:spacing w:before="60" w:after="60"/>
              <w:rPr>
                <w:rFonts w:cs="Times New Roman"/>
                <w:szCs w:val="22"/>
              </w:rPr>
            </w:pPr>
            <w:r w:rsidRPr="002F5491">
              <w:rPr>
                <w:rFonts w:cs="Times New Roman"/>
                <w:szCs w:val="22"/>
              </w:rPr>
              <w:t>Secretariat; Consultant</w:t>
            </w:r>
          </w:p>
        </w:tc>
      </w:tr>
      <w:tr w:rsidR="00721D84" w:rsidRPr="00AC0FF2" w:rsidTr="00105FE1">
        <w:tc>
          <w:tcPr>
            <w:tcW w:w="5387" w:type="dxa"/>
          </w:tcPr>
          <w:p w:rsidR="00721D84" w:rsidRPr="002F5491" w:rsidRDefault="00721D84" w:rsidP="0067653A">
            <w:pPr>
              <w:pStyle w:val="Para1"/>
              <w:numPr>
                <w:ilvl w:val="0"/>
                <w:numId w:val="19"/>
              </w:numPr>
              <w:spacing w:before="60" w:after="60"/>
              <w:jc w:val="left"/>
              <w:rPr>
                <w:rFonts w:cs="Times New Roman"/>
                <w:szCs w:val="22"/>
              </w:rPr>
            </w:pPr>
            <w:r w:rsidRPr="002F5491">
              <w:rPr>
                <w:rFonts w:cs="Times New Roman"/>
                <w:szCs w:val="22"/>
              </w:rPr>
              <w:t xml:space="preserve">Notification inviting views on the </w:t>
            </w:r>
            <w:r w:rsidR="000D37E0" w:rsidRPr="002F5491">
              <w:rPr>
                <w:rFonts w:cs="Times New Roman"/>
                <w:szCs w:val="22"/>
              </w:rPr>
              <w:t xml:space="preserve">final </w:t>
            </w:r>
            <w:r w:rsidRPr="002F5491">
              <w:rPr>
                <w:rFonts w:cs="Times New Roman"/>
                <w:szCs w:val="22"/>
              </w:rPr>
              <w:t>draft post-2020 capacity development strategic framework</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Dec 2019 - Feb 2020</w:t>
            </w:r>
          </w:p>
        </w:tc>
        <w:tc>
          <w:tcPr>
            <w:tcW w:w="2693" w:type="dxa"/>
          </w:tcPr>
          <w:p w:rsidR="00721D84" w:rsidRPr="002F5491" w:rsidRDefault="00721D84" w:rsidP="00721D84">
            <w:pPr>
              <w:pStyle w:val="Para1"/>
              <w:spacing w:before="60" w:after="60"/>
              <w:rPr>
                <w:rFonts w:cs="Times New Roman"/>
                <w:szCs w:val="22"/>
              </w:rPr>
            </w:pPr>
            <w:r w:rsidRPr="002F5491">
              <w:rPr>
                <w:rFonts w:cs="Times New Roman"/>
                <w:szCs w:val="22"/>
              </w:rPr>
              <w:t>Parties, IPLCs and relevant organizations</w:t>
            </w:r>
          </w:p>
        </w:tc>
      </w:tr>
      <w:tr w:rsidR="00721D84" w:rsidRPr="00AC0FF2" w:rsidTr="00105FE1">
        <w:tc>
          <w:tcPr>
            <w:tcW w:w="5387" w:type="dxa"/>
          </w:tcPr>
          <w:p w:rsidR="00721D84" w:rsidRPr="002F5491" w:rsidRDefault="00721D84" w:rsidP="0067653A">
            <w:pPr>
              <w:pStyle w:val="Para1"/>
              <w:numPr>
                <w:ilvl w:val="0"/>
                <w:numId w:val="19"/>
              </w:numPr>
              <w:spacing w:before="60" w:after="60"/>
              <w:jc w:val="left"/>
              <w:rPr>
                <w:rFonts w:cs="Times New Roman"/>
                <w:szCs w:val="22"/>
              </w:rPr>
            </w:pPr>
            <w:r w:rsidRPr="002F5491">
              <w:rPr>
                <w:rFonts w:cs="Times New Roman"/>
                <w:szCs w:val="22"/>
              </w:rPr>
              <w:t xml:space="preserve">Consideration of the </w:t>
            </w:r>
            <w:r w:rsidR="000D37E0" w:rsidRPr="002F5491">
              <w:rPr>
                <w:rFonts w:cs="Times New Roman"/>
                <w:szCs w:val="22"/>
              </w:rPr>
              <w:t xml:space="preserve">final </w:t>
            </w:r>
            <w:r w:rsidRPr="002F5491">
              <w:rPr>
                <w:rFonts w:cs="Times New Roman"/>
                <w:szCs w:val="22"/>
              </w:rPr>
              <w:t>draft post-2020 capacity development strategic framework by SBI-3</w:t>
            </w:r>
          </w:p>
        </w:tc>
        <w:tc>
          <w:tcPr>
            <w:tcW w:w="1667" w:type="dxa"/>
          </w:tcPr>
          <w:p w:rsidR="00721D84" w:rsidRPr="002F5491" w:rsidRDefault="00721D84" w:rsidP="00721D84">
            <w:pPr>
              <w:pStyle w:val="Para1"/>
              <w:spacing w:before="60" w:after="60"/>
              <w:rPr>
                <w:rFonts w:cs="Times New Roman"/>
                <w:szCs w:val="22"/>
              </w:rPr>
            </w:pPr>
            <w:r w:rsidRPr="002F5491">
              <w:rPr>
                <w:rFonts w:cs="Times New Roman"/>
                <w:szCs w:val="22"/>
              </w:rPr>
              <w:t>May/June 2020</w:t>
            </w:r>
          </w:p>
        </w:tc>
        <w:tc>
          <w:tcPr>
            <w:tcW w:w="2693" w:type="dxa"/>
          </w:tcPr>
          <w:p w:rsidR="00721D84" w:rsidRPr="002F5491" w:rsidRDefault="00721D84" w:rsidP="00721D84">
            <w:pPr>
              <w:pStyle w:val="Para1"/>
              <w:spacing w:before="60" w:after="60"/>
              <w:rPr>
                <w:rFonts w:cs="Times New Roman"/>
                <w:szCs w:val="22"/>
              </w:rPr>
            </w:pPr>
            <w:r w:rsidRPr="002F5491">
              <w:rPr>
                <w:rFonts w:cs="Times New Roman"/>
                <w:szCs w:val="22"/>
              </w:rPr>
              <w:t>SBI-3</w:t>
            </w:r>
          </w:p>
        </w:tc>
      </w:tr>
    </w:tbl>
    <w:p w:rsidR="009E3438" w:rsidRPr="002F5491" w:rsidRDefault="009E3438" w:rsidP="009E3438">
      <w:pPr>
        <w:pStyle w:val="Para1"/>
        <w:spacing w:before="60" w:after="60"/>
        <w:rPr>
          <w:rFonts w:cs="Times New Roman"/>
          <w:szCs w:val="22"/>
        </w:rPr>
      </w:pPr>
    </w:p>
    <w:p w:rsidR="00192DBA" w:rsidRPr="002F5491" w:rsidRDefault="00192DBA" w:rsidP="00192DBA">
      <w:pPr>
        <w:pStyle w:val="Para1"/>
        <w:suppressLineNumbers/>
        <w:suppressAutoHyphens/>
        <w:spacing w:before="120"/>
        <w:jc w:val="center"/>
        <w:rPr>
          <w:rFonts w:cs="Times New Roman"/>
          <w:b/>
          <w:kern w:val="22"/>
          <w:szCs w:val="22"/>
        </w:rPr>
      </w:pPr>
      <w:r w:rsidRPr="002F5491">
        <w:rPr>
          <w:rFonts w:cs="Times New Roman"/>
          <w:b/>
          <w:kern w:val="22"/>
          <w:szCs w:val="22"/>
        </w:rPr>
        <w:t>Appendix I</w:t>
      </w:r>
    </w:p>
    <w:p w:rsidR="00192DBA" w:rsidRPr="002F5491" w:rsidRDefault="00192DBA" w:rsidP="002F5491">
      <w:pPr>
        <w:pStyle w:val="Heading1"/>
        <w:rPr>
          <w:rFonts w:cs="Times New Roman"/>
          <w:szCs w:val="22"/>
        </w:rPr>
      </w:pPr>
      <w:r w:rsidRPr="002F5491">
        <w:rPr>
          <w:rFonts w:cs="Times New Roman"/>
          <w:szCs w:val="22"/>
        </w:rPr>
        <w:t xml:space="preserve">Terms of reference for a study to provide an information base for the preparation of the post-2020 capacity </w:t>
      </w:r>
      <w:r w:rsidR="0067653A" w:rsidRPr="002F5491">
        <w:rPr>
          <w:rFonts w:cs="Times New Roman"/>
          <w:szCs w:val="22"/>
        </w:rPr>
        <w:t>development strategic framework</w:t>
      </w:r>
    </w:p>
    <w:p w:rsidR="00192DBA" w:rsidRPr="002F5491" w:rsidRDefault="00192DBA" w:rsidP="00192DBA">
      <w:pPr>
        <w:pStyle w:val="Heading2"/>
        <w:numPr>
          <w:ilvl w:val="0"/>
          <w:numId w:val="29"/>
        </w:numPr>
        <w:rPr>
          <w:rFonts w:cs="Times New Roman"/>
          <w:i w:val="0"/>
          <w:szCs w:val="22"/>
        </w:rPr>
      </w:pPr>
      <w:r w:rsidRPr="002F5491">
        <w:rPr>
          <w:rFonts w:cs="Times New Roman"/>
          <w:i w:val="0"/>
          <w:szCs w:val="22"/>
        </w:rPr>
        <w:t>Scope of the study and the process for preparing the framework</w:t>
      </w:r>
    </w:p>
    <w:p w:rsidR="00192DBA" w:rsidRPr="002F5491" w:rsidRDefault="00336143" w:rsidP="00336143">
      <w:pPr>
        <w:pStyle w:val="Para1"/>
        <w:numPr>
          <w:ilvl w:val="6"/>
          <w:numId w:val="18"/>
        </w:numPr>
        <w:spacing w:before="60" w:after="60"/>
        <w:rPr>
          <w:rFonts w:cs="Times New Roman"/>
          <w:szCs w:val="22"/>
        </w:rPr>
      </w:pPr>
      <w:r w:rsidRPr="002F5491">
        <w:rPr>
          <w:rFonts w:cs="Times New Roman"/>
          <w:szCs w:val="22"/>
        </w:rPr>
        <w:t xml:space="preserve">   </w:t>
      </w:r>
      <w:r w:rsidR="00192DBA" w:rsidRPr="002F5491">
        <w:rPr>
          <w:rFonts w:cs="Times New Roman"/>
          <w:szCs w:val="22"/>
        </w:rPr>
        <w:t>The study will encompass the following tasks:</w:t>
      </w:r>
    </w:p>
    <w:p w:rsidR="00192DBA" w:rsidRPr="002F5491" w:rsidRDefault="00192DBA" w:rsidP="002F5491">
      <w:pPr>
        <w:pStyle w:val="Para1"/>
        <w:numPr>
          <w:ilvl w:val="1"/>
          <w:numId w:val="35"/>
        </w:numPr>
        <w:spacing w:before="60" w:after="60"/>
        <w:rPr>
          <w:rFonts w:cs="Times New Roman"/>
          <w:szCs w:val="22"/>
        </w:rPr>
      </w:pPr>
      <w:r w:rsidRPr="002F5491">
        <w:rPr>
          <w:rFonts w:cs="Times New Roman"/>
          <w:szCs w:val="22"/>
        </w:rPr>
        <w:t>Tak</w:t>
      </w:r>
      <w:r w:rsidR="005D3DDE" w:rsidRPr="002F5491">
        <w:rPr>
          <w:rFonts w:cs="Times New Roman"/>
          <w:szCs w:val="22"/>
        </w:rPr>
        <w:t>e</w:t>
      </w:r>
      <w:r w:rsidRPr="002F5491">
        <w:rPr>
          <w:rFonts w:cs="Times New Roman"/>
          <w:szCs w:val="22"/>
        </w:rPr>
        <w:t xml:space="preserve"> stock of the status of capacity development related to the implementation of the </w:t>
      </w:r>
      <w:r w:rsidR="005D3DDE" w:rsidRPr="002F5491">
        <w:rPr>
          <w:rFonts w:cs="Times New Roman"/>
          <w:szCs w:val="22"/>
        </w:rPr>
        <w:t>Convention and its Protocols</w:t>
      </w:r>
      <w:r w:rsidRPr="002F5491">
        <w:rPr>
          <w:rFonts w:cs="Times New Roman"/>
          <w:szCs w:val="22"/>
        </w:rPr>
        <w:t>, including major existing capacity development initiatives/ programmes, tools, networks and partnerships;</w:t>
      </w:r>
    </w:p>
    <w:p w:rsidR="00192DBA" w:rsidRPr="002F5491" w:rsidRDefault="00192DBA" w:rsidP="002F5491">
      <w:pPr>
        <w:pStyle w:val="Para1"/>
        <w:numPr>
          <w:ilvl w:val="1"/>
          <w:numId w:val="35"/>
        </w:numPr>
        <w:spacing w:before="60" w:after="60"/>
        <w:rPr>
          <w:rFonts w:cs="Times New Roman"/>
          <w:szCs w:val="22"/>
        </w:rPr>
      </w:pPr>
      <w:r w:rsidRPr="002F5491">
        <w:rPr>
          <w:rFonts w:cs="Times New Roman"/>
          <w:kern w:val="22"/>
          <w:szCs w:val="22"/>
        </w:rPr>
        <w:t xml:space="preserve">Identify and map the main providers of capacity-building support </w:t>
      </w:r>
      <w:r w:rsidR="005D3DDE" w:rsidRPr="002F5491">
        <w:rPr>
          <w:rFonts w:cs="Times New Roman"/>
          <w:kern w:val="22"/>
          <w:szCs w:val="22"/>
        </w:rPr>
        <w:t xml:space="preserve">for the implementation of the Convention and its Protocols </w:t>
      </w:r>
      <w:r w:rsidRPr="002F5491">
        <w:rPr>
          <w:rFonts w:cs="Times New Roman"/>
          <w:kern w:val="22"/>
          <w:szCs w:val="22"/>
        </w:rPr>
        <w:t>in various regions, including their competencies and strengths;</w:t>
      </w:r>
    </w:p>
    <w:p w:rsidR="00192DBA" w:rsidRPr="002F5491" w:rsidRDefault="00192DBA" w:rsidP="002F5491">
      <w:pPr>
        <w:pStyle w:val="Para1"/>
        <w:numPr>
          <w:ilvl w:val="1"/>
          <w:numId w:val="35"/>
        </w:numPr>
        <w:spacing w:before="60" w:after="60"/>
        <w:rPr>
          <w:rFonts w:cs="Times New Roman"/>
          <w:szCs w:val="22"/>
        </w:rPr>
      </w:pPr>
      <w:r w:rsidRPr="002F5491">
        <w:rPr>
          <w:rFonts w:cs="Times New Roman"/>
          <w:szCs w:val="22"/>
        </w:rPr>
        <w:t xml:space="preserve">Review the </w:t>
      </w:r>
      <w:r w:rsidRPr="002F5491">
        <w:rPr>
          <w:rFonts w:cs="Times New Roman"/>
          <w:kern w:val="22"/>
          <w:szCs w:val="22"/>
        </w:rPr>
        <w:t>emerging</w:t>
      </w:r>
      <w:r w:rsidRPr="002F5491">
        <w:rPr>
          <w:rFonts w:cs="Times New Roman"/>
          <w:szCs w:val="22"/>
        </w:rPr>
        <w:t xml:space="preserve"> experiences and lessons learned with </w:t>
      </w:r>
      <w:r w:rsidRPr="002F5491">
        <w:rPr>
          <w:rFonts w:cs="Times New Roman"/>
          <w:kern w:val="22"/>
          <w:szCs w:val="22"/>
        </w:rPr>
        <w:t>the various capacity development delivery modalities and approaches used and assess their relative effectiveness and limitations</w:t>
      </w:r>
      <w:r w:rsidRPr="002F5491">
        <w:rPr>
          <w:rFonts w:cs="Times New Roman"/>
          <w:szCs w:val="22"/>
        </w:rPr>
        <w:t>;</w:t>
      </w:r>
    </w:p>
    <w:p w:rsidR="005239AF" w:rsidRPr="002F5491" w:rsidRDefault="00192DBA" w:rsidP="002F5491">
      <w:pPr>
        <w:pStyle w:val="Para1"/>
        <w:numPr>
          <w:ilvl w:val="1"/>
          <w:numId w:val="35"/>
        </w:numPr>
        <w:spacing w:before="60" w:after="60"/>
        <w:rPr>
          <w:rFonts w:cs="Times New Roman"/>
          <w:szCs w:val="22"/>
        </w:rPr>
      </w:pPr>
      <w:r w:rsidRPr="002F5491">
        <w:rPr>
          <w:rFonts w:cs="Times New Roman"/>
          <w:szCs w:val="22"/>
        </w:rPr>
        <w:t>Identify the Parties’ main capacity development and technological needs and gaps;</w:t>
      </w:r>
    </w:p>
    <w:p w:rsidR="005239AF" w:rsidRPr="002F5491" w:rsidRDefault="005239AF" w:rsidP="002F5491">
      <w:pPr>
        <w:pStyle w:val="Para1"/>
        <w:numPr>
          <w:ilvl w:val="1"/>
          <w:numId w:val="35"/>
        </w:numPr>
        <w:spacing w:before="60" w:after="60"/>
        <w:rPr>
          <w:rFonts w:cs="Times New Roman"/>
          <w:szCs w:val="22"/>
        </w:rPr>
      </w:pPr>
      <w:r w:rsidRPr="002F5491">
        <w:rPr>
          <w:rFonts w:cs="Times New Roman"/>
          <w:szCs w:val="22"/>
        </w:rPr>
        <w:t>Analyse what has been done and the types of capacity development activities that have contributed to advancements made</w:t>
      </w:r>
      <w:r w:rsidR="00824E2D" w:rsidRPr="002F5491">
        <w:rPr>
          <w:rFonts w:cs="Times New Roman"/>
          <w:szCs w:val="22"/>
        </w:rPr>
        <w:t>;</w:t>
      </w:r>
    </w:p>
    <w:p w:rsidR="00336143" w:rsidRPr="002F5491" w:rsidRDefault="005239AF" w:rsidP="002F5491">
      <w:pPr>
        <w:pStyle w:val="Para1"/>
        <w:numPr>
          <w:ilvl w:val="1"/>
          <w:numId w:val="35"/>
        </w:numPr>
        <w:spacing w:before="60" w:after="60"/>
        <w:rPr>
          <w:rFonts w:cs="Times New Roman"/>
          <w:szCs w:val="22"/>
        </w:rPr>
      </w:pPr>
      <w:r w:rsidRPr="002F5491">
        <w:rPr>
          <w:rFonts w:cs="Times New Roman"/>
          <w:szCs w:val="22"/>
        </w:rPr>
        <w:t xml:space="preserve">Make recommendations on the general direction for the post-2020 capacity development framework </w:t>
      </w:r>
      <w:r w:rsidR="00192DBA" w:rsidRPr="002F5491">
        <w:rPr>
          <w:rFonts w:cs="Times New Roman"/>
          <w:kern w:val="22"/>
          <w:szCs w:val="22"/>
        </w:rPr>
        <w:t xml:space="preserve">and </w:t>
      </w:r>
      <w:r w:rsidRPr="002F5491">
        <w:rPr>
          <w:rFonts w:cs="Times New Roman"/>
          <w:kern w:val="22"/>
          <w:szCs w:val="22"/>
        </w:rPr>
        <w:t xml:space="preserve">the </w:t>
      </w:r>
      <w:r w:rsidR="00192DBA" w:rsidRPr="002F5491">
        <w:rPr>
          <w:rFonts w:cs="Times New Roman"/>
          <w:snapToGrid/>
          <w:kern w:val="20"/>
          <w:szCs w:val="22"/>
        </w:rPr>
        <w:t xml:space="preserve">priority capacity-building actions to be taken </w:t>
      </w:r>
      <w:r w:rsidR="00192DBA" w:rsidRPr="002F5491">
        <w:rPr>
          <w:rFonts w:cs="Times New Roman"/>
          <w:kern w:val="22"/>
          <w:szCs w:val="22"/>
        </w:rPr>
        <w:t xml:space="preserve">to </w:t>
      </w:r>
      <w:r w:rsidR="00192DBA" w:rsidRPr="002F5491">
        <w:rPr>
          <w:rFonts w:cs="Times New Roman"/>
          <w:szCs w:val="22"/>
        </w:rPr>
        <w:t xml:space="preserve">achieve the goals and targets of the </w:t>
      </w:r>
      <w:r w:rsidR="00192DBA" w:rsidRPr="002F5491">
        <w:rPr>
          <w:rFonts w:cs="Times New Roman"/>
          <w:kern w:val="22"/>
          <w:szCs w:val="22"/>
        </w:rPr>
        <w:t>follow-up to the Strategic Plan for Biodiversity 2011-2020</w:t>
      </w:r>
      <w:r w:rsidR="00192DBA" w:rsidRPr="002F5491">
        <w:rPr>
          <w:rFonts w:cs="Times New Roman"/>
          <w:szCs w:val="22"/>
        </w:rPr>
        <w:t>.</w:t>
      </w:r>
    </w:p>
    <w:p w:rsidR="00336143" w:rsidRPr="002F5491" w:rsidRDefault="00336143" w:rsidP="00336143">
      <w:pPr>
        <w:pStyle w:val="Heading2"/>
        <w:numPr>
          <w:ilvl w:val="0"/>
          <w:numId w:val="29"/>
        </w:numPr>
        <w:rPr>
          <w:rFonts w:cs="Times New Roman"/>
          <w:i w:val="0"/>
          <w:szCs w:val="22"/>
        </w:rPr>
      </w:pPr>
      <w:r w:rsidRPr="002F5491">
        <w:rPr>
          <w:rFonts w:cs="Times New Roman"/>
          <w:i w:val="0"/>
          <w:szCs w:val="22"/>
        </w:rPr>
        <w:t xml:space="preserve"> Methodology </w:t>
      </w:r>
      <w:r w:rsidR="005772FD" w:rsidRPr="002F5491">
        <w:rPr>
          <w:rFonts w:cs="Times New Roman"/>
          <w:i w:val="0"/>
          <w:szCs w:val="22"/>
        </w:rPr>
        <w:t>and sources of information</w:t>
      </w:r>
    </w:p>
    <w:p w:rsidR="00336143" w:rsidRPr="002F5491" w:rsidRDefault="00336143" w:rsidP="002F5491">
      <w:pPr>
        <w:pStyle w:val="Para1"/>
        <w:numPr>
          <w:ilvl w:val="0"/>
          <w:numId w:val="35"/>
        </w:numPr>
        <w:spacing w:before="120"/>
        <w:rPr>
          <w:rFonts w:cs="Times New Roman"/>
          <w:szCs w:val="22"/>
        </w:rPr>
      </w:pPr>
      <w:r w:rsidRPr="002F5491">
        <w:rPr>
          <w:rFonts w:cs="Times New Roman"/>
          <w:szCs w:val="22"/>
        </w:rPr>
        <w:t>The study will use the following data collection methods and will draw on a range of data sources:</w:t>
      </w:r>
    </w:p>
    <w:p w:rsidR="00336143" w:rsidRPr="002F5491" w:rsidRDefault="00336143" w:rsidP="002F5491">
      <w:pPr>
        <w:pStyle w:val="Para1"/>
        <w:numPr>
          <w:ilvl w:val="1"/>
          <w:numId w:val="35"/>
        </w:numPr>
        <w:spacing w:before="120"/>
        <w:rPr>
          <w:rFonts w:cs="Times New Roman"/>
          <w:szCs w:val="22"/>
        </w:rPr>
      </w:pPr>
      <w:r w:rsidRPr="002F5491">
        <w:rPr>
          <w:rFonts w:cs="Times New Roman"/>
          <w:szCs w:val="22"/>
        </w:rPr>
        <w:t>Desk review of relevant documents</w:t>
      </w:r>
      <w:r w:rsidR="00E413BD" w:rsidRPr="002F5491">
        <w:rPr>
          <w:rFonts w:cs="Times New Roman"/>
          <w:szCs w:val="22"/>
        </w:rPr>
        <w:t>,</w:t>
      </w:r>
      <w:r w:rsidRPr="002F5491">
        <w:rPr>
          <w:rFonts w:cs="Times New Roman"/>
          <w:szCs w:val="22"/>
        </w:rPr>
        <w:t xml:space="preserve"> including:</w:t>
      </w:r>
    </w:p>
    <w:p w:rsidR="00336143" w:rsidRPr="002F5491" w:rsidRDefault="00983E25"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T</w:t>
      </w:r>
      <w:r w:rsidR="00336143" w:rsidRPr="002F5491">
        <w:rPr>
          <w:rFonts w:cs="Times New Roman"/>
          <w:szCs w:val="22"/>
        </w:rPr>
        <w:t>he sixth national reports for the Convention</w:t>
      </w:r>
      <w:r w:rsidRPr="002F5491">
        <w:rPr>
          <w:rFonts w:cs="Times New Roman"/>
          <w:szCs w:val="22"/>
        </w:rPr>
        <w:t>;</w:t>
      </w:r>
    </w:p>
    <w:p w:rsidR="00336143" w:rsidRPr="002F5491" w:rsidRDefault="00336143"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Outcomes of the first Assessment and Review of the Nagoya Protocol</w:t>
      </w:r>
      <w:r w:rsidR="00983E25" w:rsidRPr="002F5491">
        <w:rPr>
          <w:rFonts w:cs="Times New Roman"/>
          <w:szCs w:val="22"/>
        </w:rPr>
        <w:t>;</w:t>
      </w:r>
    </w:p>
    <w:p w:rsidR="005772FD" w:rsidRPr="002F5491" w:rsidRDefault="00336143"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 xml:space="preserve">The </w:t>
      </w:r>
      <w:r w:rsidR="00002776" w:rsidRPr="002F5491">
        <w:rPr>
          <w:rFonts w:cs="Times New Roman"/>
          <w:szCs w:val="22"/>
        </w:rPr>
        <w:t xml:space="preserve">second (as baseline) and </w:t>
      </w:r>
      <w:r w:rsidRPr="002F5491">
        <w:rPr>
          <w:rFonts w:cs="Times New Roman"/>
          <w:szCs w:val="22"/>
        </w:rPr>
        <w:t>fourth national report</w:t>
      </w:r>
      <w:r w:rsidR="00002776" w:rsidRPr="002F5491">
        <w:rPr>
          <w:rFonts w:cs="Times New Roman"/>
          <w:szCs w:val="22"/>
        </w:rPr>
        <w:t>s</w:t>
      </w:r>
      <w:r w:rsidRPr="002F5491">
        <w:rPr>
          <w:rFonts w:cs="Times New Roman"/>
          <w:szCs w:val="22"/>
        </w:rPr>
        <w:t xml:space="preserve"> for the Cartagena Protocol on Biosafety</w:t>
      </w:r>
      <w:r w:rsidR="00EC6845" w:rsidRPr="002F5491">
        <w:rPr>
          <w:rFonts w:cs="Times New Roman"/>
          <w:szCs w:val="22"/>
        </w:rPr>
        <w:t>;</w:t>
      </w:r>
    </w:p>
    <w:p w:rsidR="00336143" w:rsidRPr="002F5491" w:rsidRDefault="005772FD"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lastRenderedPageBreak/>
        <w:t>National capacity building strategies and action plans;</w:t>
      </w:r>
      <w:r w:rsidRPr="002F5491">
        <w:rPr>
          <w:rStyle w:val="FootnoteReference"/>
          <w:rFonts w:cs="Times New Roman"/>
          <w:sz w:val="22"/>
          <w:szCs w:val="22"/>
          <w:u w:val="none"/>
          <w:vertAlign w:val="superscript"/>
        </w:rPr>
        <w:footnoteReference w:id="25"/>
      </w:r>
    </w:p>
    <w:p w:rsidR="00336143" w:rsidRPr="002F5491" w:rsidRDefault="00336143"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Reports of the evaluations of the strategic frameworks for capacity building of the Nagoya Protocol and the Cartagena Protocol;</w:t>
      </w:r>
    </w:p>
    <w:p w:rsidR="00336143" w:rsidRPr="002F5491" w:rsidRDefault="00336143"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Report of the independent evaluation of the impacts, outcomes and effectiveness of the short-term action plan (2017-2020) to enhance and support capacity-building for the implementation of the Convention and its Protocols</w:t>
      </w:r>
      <w:r w:rsidR="00C26669" w:rsidRPr="002F5491">
        <w:rPr>
          <w:rFonts w:cs="Times New Roman"/>
          <w:szCs w:val="22"/>
        </w:rPr>
        <w:t>;</w:t>
      </w:r>
    </w:p>
    <w:p w:rsidR="00C26669" w:rsidRPr="002F5491" w:rsidRDefault="00C26669"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Reports of relevant studies, surveys and needs assessments conducted by relevant organizations;</w:t>
      </w:r>
      <w:r w:rsidRPr="002F5491">
        <w:rPr>
          <w:rStyle w:val="FootnoteReference"/>
          <w:rFonts w:cs="Times New Roman"/>
          <w:sz w:val="22"/>
          <w:szCs w:val="22"/>
          <w:u w:val="none"/>
          <w:vertAlign w:val="superscript"/>
        </w:rPr>
        <w:footnoteReference w:id="26"/>
      </w:r>
    </w:p>
    <w:p w:rsidR="00336143" w:rsidRPr="002F5491" w:rsidRDefault="00336143" w:rsidP="002F5491">
      <w:pPr>
        <w:pStyle w:val="Para1"/>
        <w:numPr>
          <w:ilvl w:val="2"/>
          <w:numId w:val="35"/>
        </w:numPr>
        <w:tabs>
          <w:tab w:val="clear" w:pos="1260"/>
        </w:tabs>
        <w:spacing w:after="60"/>
        <w:ind w:left="1440" w:hanging="446"/>
        <w:rPr>
          <w:rFonts w:cs="Times New Roman"/>
          <w:szCs w:val="22"/>
        </w:rPr>
      </w:pPr>
      <w:r w:rsidRPr="002F5491">
        <w:rPr>
          <w:rFonts w:cs="Times New Roman"/>
          <w:szCs w:val="22"/>
        </w:rPr>
        <w:t>Evaluation reports of relevant capacity-building projects;</w:t>
      </w:r>
    </w:p>
    <w:p w:rsidR="00C26669" w:rsidRPr="002F5491" w:rsidRDefault="008D63EC" w:rsidP="002F5491">
      <w:pPr>
        <w:pStyle w:val="Para1"/>
        <w:numPr>
          <w:ilvl w:val="1"/>
          <w:numId w:val="35"/>
        </w:numPr>
        <w:spacing w:before="120"/>
        <w:rPr>
          <w:rFonts w:cs="Times New Roman"/>
          <w:szCs w:val="22"/>
        </w:rPr>
      </w:pPr>
      <w:r w:rsidRPr="002F5491">
        <w:rPr>
          <w:rFonts w:cs="Times New Roman"/>
          <w:szCs w:val="22"/>
        </w:rPr>
        <w:t>S</w:t>
      </w:r>
      <w:r w:rsidR="00C26669" w:rsidRPr="002F5491">
        <w:rPr>
          <w:rFonts w:cs="Times New Roman"/>
          <w:szCs w:val="22"/>
        </w:rPr>
        <w:t>urvey of Parties and key partners to identify, among other things, their priority capacity needs and required capacities over the next decade as well as potential offers of assistance and other capacity development opportunities, tools and services</w:t>
      </w:r>
      <w:r w:rsidR="002900E3" w:rsidRPr="002F5491">
        <w:rPr>
          <w:rFonts w:cs="Times New Roman"/>
          <w:szCs w:val="22"/>
        </w:rPr>
        <w:t>;</w:t>
      </w:r>
    </w:p>
    <w:p w:rsidR="00610CB7" w:rsidRPr="002F5491" w:rsidRDefault="00336143" w:rsidP="002F5491">
      <w:pPr>
        <w:pStyle w:val="Para1"/>
        <w:numPr>
          <w:ilvl w:val="1"/>
          <w:numId w:val="35"/>
        </w:numPr>
        <w:spacing w:before="120"/>
        <w:rPr>
          <w:rFonts w:cs="Times New Roman"/>
          <w:szCs w:val="22"/>
        </w:rPr>
      </w:pPr>
      <w:r w:rsidRPr="002F5491">
        <w:rPr>
          <w:rFonts w:cs="Times New Roman"/>
          <w:szCs w:val="22"/>
        </w:rPr>
        <w:t xml:space="preserve">Interviews with </w:t>
      </w:r>
      <w:r w:rsidR="00AD62AF">
        <w:rPr>
          <w:rFonts w:cs="Times New Roman"/>
          <w:szCs w:val="22"/>
        </w:rPr>
        <w:t>a representative sample of stakeholders</w:t>
      </w:r>
      <w:r w:rsidRPr="002F5491">
        <w:rPr>
          <w:rFonts w:cs="Times New Roman"/>
          <w:szCs w:val="22"/>
        </w:rPr>
        <w:t xml:space="preserve">, including CBD staff and representatives of Parties, partner organizations and other actors from different regions, including technical and scientific institutions. The interviewees will be invited to share, inter alia, information and views regarding the observed strengths and weaknesses of various capacity development approaches and delivery modalities under difference circumstances, relevant experiences and lessons </w:t>
      </w:r>
      <w:proofErr w:type="gramStart"/>
      <w:r w:rsidRPr="002F5491">
        <w:rPr>
          <w:rFonts w:cs="Times New Roman"/>
          <w:szCs w:val="22"/>
        </w:rPr>
        <w:t>learned,</w:t>
      </w:r>
      <w:proofErr w:type="gramEnd"/>
      <w:r w:rsidRPr="002F5491">
        <w:rPr>
          <w:rFonts w:cs="Times New Roman"/>
          <w:szCs w:val="22"/>
        </w:rPr>
        <w:t xml:space="preserve"> examples of good practices that could be leveraged as well as views on possible drivers of transformational change for future capacity development</w:t>
      </w:r>
      <w:r w:rsidR="00FB3CED" w:rsidRPr="002F5491">
        <w:rPr>
          <w:rFonts w:cs="Times New Roman"/>
          <w:szCs w:val="22"/>
        </w:rPr>
        <w:t>.</w:t>
      </w:r>
    </w:p>
    <w:p w:rsidR="00AE7A38" w:rsidRPr="002F5491" w:rsidRDefault="00AE7A38" w:rsidP="005552F3">
      <w:pPr>
        <w:pStyle w:val="Para1"/>
        <w:jc w:val="center"/>
        <w:rPr>
          <w:rFonts w:cs="Times New Roman"/>
          <w:kern w:val="22"/>
          <w:szCs w:val="22"/>
        </w:rPr>
      </w:pPr>
      <w:r w:rsidRPr="002F5491">
        <w:rPr>
          <w:rFonts w:cs="Times New Roman"/>
          <w:kern w:val="22"/>
          <w:szCs w:val="22"/>
        </w:rPr>
        <w:t>________</w:t>
      </w:r>
      <w:r w:rsidR="007A31F6" w:rsidRPr="002F5491">
        <w:rPr>
          <w:rFonts w:cs="Times New Roman"/>
          <w:kern w:val="22"/>
          <w:szCs w:val="22"/>
        </w:rPr>
        <w:t>__</w:t>
      </w:r>
    </w:p>
    <w:p w:rsidR="00AE7A38" w:rsidRPr="002F5491" w:rsidRDefault="00AE7A38" w:rsidP="00AE7A38">
      <w:pPr>
        <w:pStyle w:val="Para1"/>
        <w:suppressLineNumbers/>
        <w:suppressAutoHyphens/>
        <w:spacing w:before="120"/>
        <w:rPr>
          <w:rFonts w:cs="Times New Roman"/>
          <w:kern w:val="22"/>
          <w:szCs w:val="22"/>
        </w:rPr>
      </w:pPr>
    </w:p>
    <w:sectPr w:rsidR="00AE7A38" w:rsidRPr="002F5491" w:rsidSect="00A8651C">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7D7" w:rsidRDefault="002267D7">
      <w:r>
        <w:separator/>
      </w:r>
    </w:p>
  </w:endnote>
  <w:endnote w:type="continuationSeparator" w:id="0">
    <w:p w:rsidR="002267D7" w:rsidRDefault="0022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ID Font+ F"/>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Default="00872C36" w:rsidP="006F4060">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14" w:rsidRDefault="00496314" w:rsidP="002F5491">
    <w:pPr>
      <w:pStyle w:val="Footer"/>
      <w:tabs>
        <w:tab w:val="clear" w:pos="4320"/>
        <w:tab w:val="clear" w:pos="8640"/>
      </w:tabs>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9F11A4" w:rsidRDefault="00872C36" w:rsidP="002F5491">
    <w:pPr>
      <w:pStyle w:val="Footer"/>
      <w:tabs>
        <w:tab w:val="clear" w:pos="4320"/>
        <w:tab w:val="clear" w:pos="8640"/>
      </w:tabs>
      <w:ind w:firstLine="0"/>
      <w:jc w:val="left"/>
      <w:rPr>
        <w:noProof/>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Default="00872C36" w:rsidP="006F4060">
    <w:pPr>
      <w:pStyle w:val="Footer"/>
      <w:tabs>
        <w:tab w:val="clear" w:pos="4320"/>
        <w:tab w:val="clear" w:pos="8640"/>
      </w:tabs>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9F11A4" w:rsidRDefault="00872C36" w:rsidP="009F11A4">
    <w:pPr>
      <w:pStyle w:val="Footer"/>
      <w:tabs>
        <w:tab w:val="clear" w:pos="4320"/>
        <w:tab w:val="clear" w:pos="8640"/>
      </w:tabs>
      <w:jc w:val="center"/>
      <w:rPr>
        <w:noProof/>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Default="00872C36" w:rsidP="006F4060">
    <w:pPr>
      <w:pStyle w:val="Footer"/>
      <w:tabs>
        <w:tab w:val="clear" w:pos="4320"/>
        <w:tab w:val="clear" w:pos="8640"/>
      </w:tabs>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9F11A4" w:rsidRDefault="00872C36" w:rsidP="009F11A4">
    <w:pPr>
      <w:pStyle w:val="Footer"/>
      <w:tabs>
        <w:tab w:val="clear" w:pos="4320"/>
        <w:tab w:val="clear" w:pos="8640"/>
      </w:tabs>
      <w:jc w:val="center"/>
      <w:rPr>
        <w:noProof/>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7D7" w:rsidRDefault="002267D7">
      <w:r>
        <w:separator/>
      </w:r>
    </w:p>
  </w:footnote>
  <w:footnote w:type="continuationSeparator" w:id="0">
    <w:p w:rsidR="002267D7" w:rsidRDefault="002267D7">
      <w:r>
        <w:continuationSeparator/>
      </w:r>
    </w:p>
  </w:footnote>
  <w:footnote w:id="1">
    <w:p w:rsidR="00155F98" w:rsidRPr="002F5491" w:rsidRDefault="00155F98"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rPr>
        <w:t>*</w:t>
      </w:r>
      <w:r w:rsidRPr="002F5491">
        <w:rPr>
          <w:snapToGrid w:val="0"/>
          <w:kern w:val="18"/>
          <w:szCs w:val="18"/>
        </w:rPr>
        <w:t xml:space="preserve"> </w:t>
      </w:r>
      <w:proofErr w:type="gramStart"/>
      <w:r w:rsidRPr="002F5491">
        <w:rPr>
          <w:snapToGrid w:val="0"/>
          <w:kern w:val="18"/>
          <w:szCs w:val="18"/>
        </w:rPr>
        <w:t>CBD/SBI/2/1.</w:t>
      </w:r>
      <w:proofErr w:type="gramEnd"/>
    </w:p>
  </w:footnote>
  <w:footnote w:id="2">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Draft elements for the evaluation of the strategic framework were discussed at the third meeting of the Informal Advisory Committee on Capacity-building for the Implementation of the Nagoya Protocol in March 2018 (see document CBD/ABS/CB-IAC/2018/1/3 available at </w:t>
      </w:r>
      <w:hyperlink r:id="rId1" w:history="1">
        <w:r w:rsidRPr="002F5491">
          <w:rPr>
            <w:rStyle w:val="Hyperlink"/>
            <w:snapToGrid w:val="0"/>
            <w:kern w:val="18"/>
            <w:szCs w:val="18"/>
          </w:rPr>
          <w:t>https://www.cbd.int/meetings/ABSCBIAC-2018-01</w:t>
        </w:r>
      </w:hyperlink>
      <w:r w:rsidRPr="002F5491">
        <w:rPr>
          <w:snapToGrid w:val="0"/>
          <w:kern w:val="18"/>
          <w:szCs w:val="18"/>
        </w:rPr>
        <w:t>).</w:t>
      </w:r>
    </w:p>
  </w:footnote>
  <w:footnote w:id="3">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The BioCAP issues are available on the </w:t>
      </w:r>
      <w:r w:rsidR="00B36775" w:rsidRPr="002F5491">
        <w:rPr>
          <w:snapToGrid w:val="0"/>
          <w:kern w:val="18"/>
          <w:szCs w:val="18"/>
        </w:rPr>
        <w:t xml:space="preserve">Convention’s </w:t>
      </w:r>
      <w:r w:rsidRPr="002F5491">
        <w:rPr>
          <w:snapToGrid w:val="0"/>
          <w:kern w:val="18"/>
          <w:szCs w:val="18"/>
        </w:rPr>
        <w:t xml:space="preserve">website at: </w:t>
      </w:r>
      <w:hyperlink r:id="rId2" w:history="1">
        <w:r w:rsidRPr="002F5491">
          <w:rPr>
            <w:rStyle w:val="Hyperlink"/>
            <w:snapToGrid w:val="0"/>
            <w:kern w:val="18"/>
            <w:szCs w:val="18"/>
          </w:rPr>
          <w:t>https://www.cbd.int/doc/newsletters/default.shtml</w:t>
        </w:r>
      </w:hyperlink>
      <w:r w:rsidRPr="002F5491">
        <w:rPr>
          <w:snapToGrid w:val="0"/>
          <w:kern w:val="18"/>
          <w:szCs w:val="18"/>
        </w:rPr>
        <w:t>.</w:t>
      </w:r>
    </w:p>
  </w:footnote>
  <w:footnote w:id="4">
    <w:p w:rsidR="00964915" w:rsidRPr="002F5491" w:rsidRDefault="00964915"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Further information on this meeting and that of the Liaison Group is provided in document CBD/SBI/2/INF/12</w:t>
      </w:r>
      <w:r w:rsidR="00D360F4" w:rsidRPr="002F5491">
        <w:rPr>
          <w:snapToGrid w:val="0"/>
          <w:kern w:val="18"/>
          <w:szCs w:val="18"/>
        </w:rPr>
        <w:t>.</w:t>
      </w:r>
    </w:p>
  </w:footnote>
  <w:footnote w:id="5">
    <w:p w:rsidR="00EC4DF5" w:rsidRPr="002F5491" w:rsidRDefault="00EC4DF5"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See further details about Bioland at </w:t>
      </w:r>
      <w:hyperlink r:id="rId3" w:history="1">
        <w:r w:rsidRPr="002F5491">
          <w:rPr>
            <w:rStyle w:val="Hyperlink"/>
            <w:snapToGrid w:val="0"/>
            <w:kern w:val="18"/>
            <w:szCs w:val="18"/>
          </w:rPr>
          <w:t>https://demo.chm-cbd.net/</w:t>
        </w:r>
      </w:hyperlink>
    </w:p>
  </w:footnote>
  <w:footnote w:id="6">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Countries that have directly benefited from small-scale projects include: Antigua and Barbuda, Belarus, Bhutan, Botswana, Brazil, Burundi, Cambodia, Cameroon, China, Colombia, Cuba, Ecuador, Ethiopia, Ghana, India, Kenya, Madagascar, Malawi, Mexico, Mongolia, Morocco, Nigeria, Peru, Philippines, Republic of Moldova, Sri Lanka, Suriname, Togo, Tunisia, Turkey, Uruguay, Venezuela, Vietnam and Zimbabwe.</w:t>
      </w:r>
    </w:p>
  </w:footnote>
  <w:footnote w:id="7">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As described in paragraphs 30 and 31 of document CBD/SBI/2/INF/6, the pilot projects focused on spatial data and information, socio-economic data, and biodiversity mainstreaming, and fed the results into the national policy-making and/or planning processes introducing biodiversity-friendly alternative scenarios.</w:t>
      </w:r>
    </w:p>
  </w:footnote>
  <w:footnote w:id="8">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To facilitate the decentralized implementation of the roadmaps on Target 11 and actions in the revised NBSAPs at sub-regional level, the Secretariat identified and facilitated the establishment and operationalization of implementation support networks in 10 sub-regions each to be coordinated by an agency, which brings together relevant stakeholders in the subregion to align their activities for</w:t>
      </w:r>
      <w:r w:rsidRPr="002F5491">
        <w:rPr>
          <w:i/>
          <w:iCs/>
          <w:snapToGrid w:val="0"/>
          <w:kern w:val="18"/>
          <w:szCs w:val="18"/>
        </w:rPr>
        <w:t xml:space="preserve"> </w:t>
      </w:r>
      <w:r w:rsidRPr="002F5491">
        <w:rPr>
          <w:snapToGrid w:val="0"/>
          <w:kern w:val="18"/>
          <w:szCs w:val="18"/>
        </w:rPr>
        <w:t>focussed interventions.</w:t>
      </w:r>
    </w:p>
  </w:footnote>
  <w:footnote w:id="9">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See details at </w:t>
      </w:r>
      <w:hyperlink r:id="rId4" w:history="1">
        <w:r w:rsidRPr="002F5491">
          <w:rPr>
            <w:rStyle w:val="Hyperlink"/>
            <w:snapToGrid w:val="0"/>
            <w:kern w:val="18"/>
            <w:szCs w:val="18"/>
          </w:rPr>
          <w:t>http://www.biodiversityfinance.net/regional-nodes</w:t>
        </w:r>
      </w:hyperlink>
      <w:r w:rsidRPr="002F5491">
        <w:rPr>
          <w:snapToGrid w:val="0"/>
          <w:kern w:val="18"/>
          <w:szCs w:val="18"/>
        </w:rPr>
        <w:t>.</w:t>
      </w:r>
    </w:p>
  </w:footnote>
  <w:footnote w:id="10">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See details at: </w:t>
      </w:r>
      <w:hyperlink r:id="rId5" w:history="1">
        <w:r w:rsidRPr="002F5491">
          <w:rPr>
            <w:rStyle w:val="Hyperlink"/>
            <w:snapToGrid w:val="0"/>
            <w:kern w:val="18"/>
            <w:szCs w:val="18"/>
          </w:rPr>
          <w:t>http://bch.cbd.int/onlineconferences/portal_detection/lab_network.shtml</w:t>
        </w:r>
      </w:hyperlink>
    </w:p>
  </w:footnote>
  <w:footnote w:id="11">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See </w:t>
      </w:r>
      <w:hyperlink r:id="rId6" w:history="1">
        <w:r w:rsidRPr="002F5491">
          <w:rPr>
            <w:rStyle w:val="Hyperlink"/>
            <w:snapToGrid w:val="0"/>
            <w:kern w:val="18"/>
            <w:szCs w:val="18"/>
          </w:rPr>
          <w:t>http://www.idlo.int/what-we-do/initiatives/advancing-nagoya-protocol</w:t>
        </w:r>
      </w:hyperlink>
      <w:r w:rsidRPr="002F5491">
        <w:rPr>
          <w:snapToGrid w:val="0"/>
          <w:kern w:val="18"/>
          <w:szCs w:val="18"/>
        </w:rPr>
        <w:t>.</w:t>
      </w:r>
    </w:p>
  </w:footnote>
  <w:footnote w:id="12">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A copy of the Action Plan is available at: </w:t>
      </w:r>
      <w:hyperlink r:id="rId7" w:history="1">
        <w:r w:rsidRPr="002F5491">
          <w:rPr>
            <w:rStyle w:val="Hyperlink"/>
            <w:snapToGrid w:val="0"/>
            <w:kern w:val="18"/>
            <w:szCs w:val="18"/>
          </w:rPr>
          <w:t>https://www.cbd.int/bio-bridge/BBI-Action-Plan-2017-2020.pdf</w:t>
        </w:r>
      </w:hyperlink>
      <w:r w:rsidRPr="002F5491">
        <w:rPr>
          <w:snapToGrid w:val="0"/>
          <w:kern w:val="18"/>
          <w:szCs w:val="18"/>
        </w:rPr>
        <w:t xml:space="preserve"> </w:t>
      </w:r>
    </w:p>
  </w:footnote>
  <w:footnote w:id="13">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The platform can be accessed at </w:t>
      </w:r>
      <w:hyperlink r:id="rId8" w:history="1">
        <w:r w:rsidRPr="002F5491">
          <w:rPr>
            <w:rStyle w:val="Hyperlink"/>
            <w:snapToGrid w:val="0"/>
            <w:kern w:val="18"/>
            <w:szCs w:val="18"/>
          </w:rPr>
          <w:t>https://www.cbd.int/biobridge/platform</w:t>
        </w:r>
      </w:hyperlink>
      <w:r w:rsidRPr="002F5491">
        <w:rPr>
          <w:snapToGrid w:val="0"/>
          <w:kern w:val="18"/>
          <w:szCs w:val="18"/>
        </w:rPr>
        <w:t xml:space="preserve"> </w:t>
      </w:r>
    </w:p>
  </w:footnote>
  <w:footnote w:id="14">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See details in notification 2018-022 available at: </w:t>
      </w:r>
      <w:hyperlink r:id="rId9" w:history="1">
        <w:r w:rsidRPr="002F5491">
          <w:rPr>
            <w:rStyle w:val="Hyperlink"/>
            <w:snapToGrid w:val="0"/>
            <w:kern w:val="18"/>
            <w:szCs w:val="18"/>
          </w:rPr>
          <w:t>https://www.cbd.int/doc/notifications/2018/ntf-2018-022-bbi-en.pdf</w:t>
        </w:r>
      </w:hyperlink>
      <w:r w:rsidRPr="002F5491">
        <w:rPr>
          <w:snapToGrid w:val="0"/>
          <w:kern w:val="18"/>
          <w:szCs w:val="18"/>
        </w:rPr>
        <w:t xml:space="preserve">.  One other country, Vietnam, which was selected to receive seed funding, has not yet submitted a full project proposal and implementation plan. Short descriptions of the selected projects are available at: </w:t>
      </w:r>
      <w:hyperlink r:id="rId10" w:history="1">
        <w:r w:rsidRPr="002F5491">
          <w:rPr>
            <w:rStyle w:val="Hyperlink"/>
            <w:snapToGrid w:val="0"/>
            <w:kern w:val="18"/>
            <w:szCs w:val="18"/>
          </w:rPr>
          <w:t>https://www.cbd.int/biobridge/projects/selected</w:t>
        </w:r>
      </w:hyperlink>
      <w:r w:rsidRPr="002F5491">
        <w:rPr>
          <w:snapToGrid w:val="0"/>
          <w:kern w:val="18"/>
          <w:szCs w:val="18"/>
        </w:rPr>
        <w:t>.</w:t>
      </w:r>
    </w:p>
  </w:footnote>
  <w:footnote w:id="15">
    <w:p w:rsidR="004C6421" w:rsidRPr="002F5491" w:rsidRDefault="004C6421" w:rsidP="002F5491">
      <w:pPr>
        <w:pStyle w:val="FootnoteText"/>
        <w:kinsoku w:val="0"/>
        <w:overflowPunct w:val="0"/>
        <w:autoSpaceDE w:val="0"/>
        <w:autoSpaceDN w:val="0"/>
        <w:adjustRightInd w:val="0"/>
        <w:snapToGrid w:val="0"/>
        <w:ind w:firstLine="0"/>
        <w:jc w:val="left"/>
        <w:rPr>
          <w:snapToGrid w:val="0"/>
          <w:kern w:val="18"/>
          <w:szCs w:val="18"/>
        </w:rPr>
      </w:pPr>
    </w:p>
  </w:footnote>
  <w:footnote w:id="16">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vertAlign w:val="superscript"/>
        </w:rPr>
        <w:t xml:space="preserve"> </w:t>
      </w:r>
      <w:r w:rsidRPr="002F5491">
        <w:rPr>
          <w:snapToGrid w:val="0"/>
          <w:kern w:val="18"/>
          <w:szCs w:val="18"/>
        </w:rPr>
        <w:t xml:space="preserve">See </w:t>
      </w:r>
      <w:hyperlink r:id="rId11" w:history="1">
        <w:r w:rsidRPr="002F5491">
          <w:rPr>
            <w:rStyle w:val="Hyperlink"/>
            <w:snapToGrid w:val="0"/>
            <w:kern w:val="18"/>
            <w:szCs w:val="18"/>
          </w:rPr>
          <w:t>https://www.cbd.int/cooperation/csp</w:t>
        </w:r>
      </w:hyperlink>
      <w:r w:rsidRPr="002F5491">
        <w:rPr>
          <w:snapToGrid w:val="0"/>
          <w:kern w:val="18"/>
          <w:szCs w:val="18"/>
        </w:rPr>
        <w:t>.</w:t>
      </w:r>
    </w:p>
  </w:footnote>
  <w:footnote w:id="17">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rFonts w:eastAsia="Times New Roman"/>
          <w:snapToGrid w:val="0"/>
          <w:kern w:val="18"/>
          <w:szCs w:val="18"/>
          <w:vertAlign w:val="superscript"/>
        </w:rPr>
        <w:footnoteRef/>
      </w:r>
      <w:r w:rsidRPr="002F5491">
        <w:rPr>
          <w:snapToGrid w:val="0"/>
          <w:kern w:val="18"/>
          <w:szCs w:val="18"/>
        </w:rPr>
        <w:t xml:space="preserve"> </w:t>
      </w:r>
      <w:hyperlink r:id="rId12" w:history="1">
        <w:r w:rsidRPr="002F5491">
          <w:rPr>
            <w:rStyle w:val="Hyperlink"/>
            <w:snapToGrid w:val="0"/>
            <w:kern w:val="18"/>
            <w:szCs w:val="18"/>
          </w:rPr>
          <w:t>Decision X/2</w:t>
        </w:r>
      </w:hyperlink>
      <w:r w:rsidRPr="002F5491">
        <w:rPr>
          <w:snapToGrid w:val="0"/>
          <w:kern w:val="18"/>
          <w:szCs w:val="18"/>
        </w:rPr>
        <w:t>, annex</w:t>
      </w:r>
    </w:p>
  </w:footnote>
  <w:footnote w:id="18">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vertAlign w:val="superscript"/>
        </w:rPr>
        <w:t xml:space="preserve"> </w:t>
      </w:r>
      <w:r w:rsidRPr="002F5491">
        <w:rPr>
          <w:snapToGrid w:val="0"/>
          <w:kern w:val="18"/>
          <w:szCs w:val="18"/>
        </w:rPr>
        <w:t>This is a 3-year project (2017-2020) funded by the European Union and the Government of Switzerland.</w:t>
      </w:r>
    </w:p>
  </w:footnote>
  <w:footnote w:id="19">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vertAlign w:val="superscript"/>
        </w:rPr>
        <w:t xml:space="preserve"> </w:t>
      </w:r>
      <w:proofErr w:type="gramStart"/>
      <w:r w:rsidRPr="002F5491">
        <w:rPr>
          <w:snapToGrid w:val="0"/>
          <w:kern w:val="18"/>
          <w:szCs w:val="18"/>
        </w:rPr>
        <w:t>Updated version of document CBD/SBI/2/INF/6</w:t>
      </w:r>
      <w:r w:rsidR="00763282" w:rsidRPr="002F5491">
        <w:rPr>
          <w:snapToGrid w:val="0"/>
          <w:kern w:val="18"/>
          <w:szCs w:val="18"/>
        </w:rPr>
        <w:t>.</w:t>
      </w:r>
      <w:proofErr w:type="gramEnd"/>
    </w:p>
  </w:footnote>
  <w:footnote w:id="20">
    <w:p w:rsidR="00D82021" w:rsidRPr="002F5491" w:rsidRDefault="00D82021" w:rsidP="002F5491">
      <w:pPr>
        <w:pStyle w:val="FootnoteText"/>
        <w:kinsoku w:val="0"/>
        <w:overflowPunct w:val="0"/>
        <w:autoSpaceDE w:val="0"/>
        <w:autoSpaceDN w:val="0"/>
        <w:adjustRightInd w:val="0"/>
        <w:snapToGrid w:val="0"/>
        <w:ind w:firstLine="0"/>
        <w:jc w:val="left"/>
        <w:rPr>
          <w:snapToGrid w:val="0"/>
          <w:kern w:val="18"/>
          <w:szCs w:val="18"/>
          <w:lang w:val="en-US"/>
        </w:rPr>
      </w:pPr>
      <w:r w:rsidRPr="002F5491">
        <w:rPr>
          <w:rStyle w:val="FootnoteReference"/>
          <w:snapToGrid w:val="0"/>
          <w:kern w:val="18"/>
          <w:szCs w:val="18"/>
          <w:u w:val="none"/>
          <w:vertAlign w:val="superscript"/>
        </w:rPr>
        <w:footnoteRef/>
      </w:r>
      <w:r w:rsidRPr="002F5491">
        <w:rPr>
          <w:snapToGrid w:val="0"/>
          <w:kern w:val="18"/>
          <w:szCs w:val="18"/>
        </w:rPr>
        <w:t xml:space="preserve"> CBD/SBI/2/9, annex II.</w:t>
      </w:r>
    </w:p>
  </w:footnote>
  <w:footnote w:id="21">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w:t>
      </w:r>
      <w:proofErr w:type="gramStart"/>
      <w:r w:rsidRPr="002F5491">
        <w:rPr>
          <w:snapToGrid w:val="0"/>
          <w:kern w:val="18"/>
          <w:szCs w:val="18"/>
        </w:rPr>
        <w:t>Updated version of CBD/SBI/2/INF/6.</w:t>
      </w:r>
      <w:proofErr w:type="gramEnd"/>
    </w:p>
  </w:footnote>
  <w:footnote w:id="22">
    <w:p w:rsidR="00C741E8" w:rsidRPr="002F5491" w:rsidRDefault="00C741E8"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vertAlign w:val="superscript"/>
        </w:rPr>
        <w:t xml:space="preserve"> </w:t>
      </w:r>
      <w:proofErr w:type="gramStart"/>
      <w:r w:rsidRPr="002F5491">
        <w:rPr>
          <w:snapToGrid w:val="0"/>
          <w:kern w:val="18"/>
          <w:szCs w:val="18"/>
        </w:rPr>
        <w:t>CBD/SBI/2/9</w:t>
      </w:r>
      <w:r w:rsidR="00F46B63">
        <w:rPr>
          <w:snapToGrid w:val="0"/>
          <w:kern w:val="18"/>
          <w:szCs w:val="18"/>
        </w:rPr>
        <w:t>.</w:t>
      </w:r>
      <w:proofErr w:type="gramEnd"/>
    </w:p>
  </w:footnote>
  <w:footnote w:id="23">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vertAlign w:val="superscript"/>
        </w:rPr>
        <w:t xml:space="preserve"> </w:t>
      </w:r>
      <w:proofErr w:type="gramStart"/>
      <w:r w:rsidRPr="002F5491">
        <w:rPr>
          <w:snapToGrid w:val="0"/>
          <w:kern w:val="18"/>
          <w:szCs w:val="18"/>
        </w:rPr>
        <w:t>Updated version of document CBD/SBI/2/9</w:t>
      </w:r>
      <w:r w:rsidR="00824E2D" w:rsidRPr="002F5491">
        <w:rPr>
          <w:snapToGrid w:val="0"/>
          <w:kern w:val="18"/>
          <w:szCs w:val="18"/>
        </w:rPr>
        <w:t>.</w:t>
      </w:r>
      <w:proofErr w:type="gramEnd"/>
    </w:p>
  </w:footnote>
  <w:footnote w:id="24">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Updated version of document CBD/SBI/2/9</w:t>
      </w:r>
    </w:p>
  </w:footnote>
  <w:footnote w:id="25">
    <w:p w:rsidR="005772FD" w:rsidRPr="002F5491" w:rsidRDefault="005772FD"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As noted in paragraph 12 of document CBD/SBI/2/2/Add/1, 18 out of the 154 revised national biodiversity strategies and action plans submitted to the Secretariat include a national capacity development plan.</w:t>
      </w:r>
    </w:p>
  </w:footnote>
  <w:footnote w:id="26">
    <w:p w:rsidR="00872C36" w:rsidRPr="002F5491" w:rsidRDefault="00872C36" w:rsidP="002F5491">
      <w:pPr>
        <w:pStyle w:val="FootnoteText"/>
        <w:kinsoku w:val="0"/>
        <w:overflowPunct w:val="0"/>
        <w:autoSpaceDE w:val="0"/>
        <w:autoSpaceDN w:val="0"/>
        <w:adjustRightInd w:val="0"/>
        <w:snapToGrid w:val="0"/>
        <w:ind w:firstLine="0"/>
        <w:jc w:val="left"/>
        <w:rPr>
          <w:snapToGrid w:val="0"/>
          <w:kern w:val="18"/>
          <w:szCs w:val="18"/>
        </w:rPr>
      </w:pPr>
      <w:r w:rsidRPr="002F5491">
        <w:rPr>
          <w:rStyle w:val="FootnoteReference"/>
          <w:snapToGrid w:val="0"/>
          <w:kern w:val="18"/>
          <w:szCs w:val="18"/>
          <w:u w:val="none"/>
          <w:vertAlign w:val="superscript"/>
        </w:rPr>
        <w:footnoteRef/>
      </w:r>
      <w:r w:rsidRPr="002F5491">
        <w:rPr>
          <w:snapToGrid w:val="0"/>
          <w:kern w:val="18"/>
          <w:szCs w:val="18"/>
        </w:rPr>
        <w:t xml:space="preserve"> Including the survey of national capacity development related to the implementation of biodiversity-related conventions conducted by IUCN and UNEP-WCMC on behalf of UN</w:t>
      </w:r>
      <w:r w:rsidR="00824E2D" w:rsidRPr="002F5491">
        <w:rPr>
          <w:snapToGrid w:val="0"/>
          <w:kern w:val="18"/>
          <w:szCs w:val="18"/>
        </w:rPr>
        <w:t>EP</w:t>
      </w:r>
      <w:r w:rsidRPr="002F5491">
        <w:rPr>
          <w:snapToGrid w:val="0"/>
          <w:kern w:val="18"/>
          <w:szCs w:val="18"/>
        </w:rPr>
        <w:t xml:space="preserve"> and the UNDP report based on the analysis of over 140 </w:t>
      </w:r>
      <w:r w:rsidR="004C7D9D" w:rsidRPr="002F5491">
        <w:rPr>
          <w:snapToGrid w:val="0"/>
          <w:kern w:val="18"/>
          <w:szCs w:val="18"/>
        </w:rPr>
        <w:t>national biodiversity strategies and action plan</w:t>
      </w:r>
      <w:r w:rsidRPr="002F5491">
        <w:rPr>
          <w:snapToGrid w:val="0"/>
          <w:kern w:val="18"/>
          <w:szCs w:val="18"/>
        </w:rP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left"/>
      <w:rPr>
        <w:noProof/>
        <w:kern w:val="22"/>
        <w:szCs w:val="22"/>
      </w:rPr>
    </w:pP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lef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12</w:t>
    </w:r>
    <w:r w:rsidRPr="006F4060">
      <w:rPr>
        <w:bCs/>
        <w:noProof/>
        <w:kern w:val="22"/>
        <w:szCs w:val="22"/>
      </w:rPr>
      <w:fldChar w:fldCharType="end"/>
    </w:r>
  </w:p>
  <w:p w:rsidR="00872C36" w:rsidRPr="006F4060" w:rsidRDefault="00872C36" w:rsidP="009B2C93">
    <w:pPr>
      <w:pStyle w:val="Header"/>
      <w:tabs>
        <w:tab w:val="clear" w:pos="4320"/>
        <w:tab w:val="clear" w:pos="8640"/>
      </w:tabs>
      <w:jc w:val="left"/>
      <w:rPr>
        <w:noProof/>
        <w:kern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right"/>
      <w:rPr>
        <w:noProof/>
        <w:kern w:val="22"/>
        <w:szCs w:val="22"/>
      </w:rPr>
    </w:pPr>
    <w:r>
      <w:rPr>
        <w:noProof/>
        <w:kern w:val="22"/>
        <w:szCs w:val="22"/>
      </w:rPr>
      <w:t>UNEP/</w:t>
    </w: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righ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11</w:t>
    </w:r>
    <w:r w:rsidRPr="006F4060">
      <w:rPr>
        <w:bCs/>
        <w:noProof/>
        <w:kern w:val="22"/>
        <w:szCs w:val="22"/>
      </w:rPr>
      <w:fldChar w:fldCharType="end"/>
    </w:r>
  </w:p>
  <w:p w:rsidR="00872C36" w:rsidRPr="006F4060" w:rsidRDefault="00872C36" w:rsidP="006F4060">
    <w:pPr>
      <w:pStyle w:val="Header"/>
      <w:tabs>
        <w:tab w:val="clear" w:pos="4320"/>
        <w:tab w:val="clear" w:pos="8640"/>
      </w:tabs>
      <w:jc w:val="right"/>
      <w:rPr>
        <w:noProof/>
        <w:kern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A8651C">
    <w:pPr>
      <w:pStyle w:val="Header"/>
      <w:tabs>
        <w:tab w:val="clear" w:pos="4320"/>
        <w:tab w:val="clear" w:pos="8640"/>
      </w:tabs>
      <w:jc w:val="right"/>
      <w:rPr>
        <w:noProof/>
        <w:kern w:val="22"/>
        <w:szCs w:val="22"/>
      </w:rPr>
    </w:pPr>
  </w:p>
  <w:p w:rsidR="00872C36" w:rsidRPr="006F4060" w:rsidRDefault="00872C36" w:rsidP="00A8651C">
    <w:pPr>
      <w:pStyle w:val="Header"/>
      <w:tabs>
        <w:tab w:val="clear" w:pos="4320"/>
        <w:tab w:val="clear" w:pos="8640"/>
      </w:tabs>
      <w:jc w:val="right"/>
      <w:rPr>
        <w:noProof/>
        <w:kern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left"/>
      <w:rPr>
        <w:noProof/>
        <w:kern w:val="22"/>
        <w:szCs w:val="22"/>
      </w:rPr>
    </w:pPr>
    <w:r>
      <w:rPr>
        <w:noProof/>
        <w:kern w:val="22"/>
        <w:szCs w:val="22"/>
      </w:rPr>
      <w:t>UNEP/</w:t>
    </w: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lef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14</w:t>
    </w:r>
    <w:r w:rsidRPr="006F4060">
      <w:rPr>
        <w:bCs/>
        <w:noProof/>
        <w:kern w:val="22"/>
        <w:szCs w:val="22"/>
      </w:rPr>
      <w:fldChar w:fldCharType="end"/>
    </w:r>
  </w:p>
  <w:p w:rsidR="00872C36" w:rsidRPr="006F4060" w:rsidRDefault="00872C36" w:rsidP="009B2C93">
    <w:pPr>
      <w:pStyle w:val="Header"/>
      <w:tabs>
        <w:tab w:val="clear" w:pos="4320"/>
        <w:tab w:val="clear" w:pos="8640"/>
      </w:tabs>
      <w:jc w:val="left"/>
      <w:rPr>
        <w:noProof/>
        <w:kern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right"/>
      <w:rPr>
        <w:noProof/>
        <w:kern w:val="22"/>
        <w:szCs w:val="22"/>
      </w:rPr>
    </w:pPr>
    <w:r>
      <w:rPr>
        <w:noProof/>
        <w:kern w:val="22"/>
        <w:szCs w:val="22"/>
      </w:rPr>
      <w:t>UNEP/</w:t>
    </w: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righ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13</w:t>
    </w:r>
    <w:r w:rsidRPr="006F4060">
      <w:rPr>
        <w:bCs/>
        <w:noProof/>
        <w:kern w:val="22"/>
        <w:szCs w:val="22"/>
      </w:rPr>
      <w:fldChar w:fldCharType="end"/>
    </w:r>
  </w:p>
  <w:p w:rsidR="00872C36" w:rsidRPr="006F4060" w:rsidRDefault="00872C36" w:rsidP="006F4060">
    <w:pPr>
      <w:pStyle w:val="Header"/>
      <w:tabs>
        <w:tab w:val="clear" w:pos="4320"/>
        <w:tab w:val="clear" w:pos="8640"/>
      </w:tabs>
      <w:jc w:val="right"/>
      <w:rPr>
        <w:noProof/>
        <w:kern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A8651C">
    <w:pPr>
      <w:pStyle w:val="Header"/>
      <w:tabs>
        <w:tab w:val="clear" w:pos="4320"/>
        <w:tab w:val="clear" w:pos="8640"/>
      </w:tabs>
      <w:jc w:val="right"/>
      <w:rPr>
        <w:noProof/>
        <w:kern w:val="22"/>
        <w:szCs w:val="22"/>
      </w:rPr>
    </w:pPr>
  </w:p>
  <w:p w:rsidR="00872C36" w:rsidRPr="006F4060" w:rsidRDefault="00872C36" w:rsidP="00A8651C">
    <w:pPr>
      <w:pStyle w:val="Header"/>
      <w:tabs>
        <w:tab w:val="clear" w:pos="4320"/>
        <w:tab w:val="clear" w:pos="8640"/>
      </w:tabs>
      <w:jc w:val="right"/>
      <w:rPr>
        <w:noProof/>
        <w:kern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left"/>
      <w:rPr>
        <w:noProof/>
        <w:kern w:val="22"/>
        <w:szCs w:val="22"/>
      </w:rPr>
    </w:pP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lef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20</w:t>
    </w:r>
    <w:r w:rsidRPr="006F4060">
      <w:rPr>
        <w:bCs/>
        <w:noProof/>
        <w:kern w:val="22"/>
        <w:szCs w:val="22"/>
      </w:rPr>
      <w:fldChar w:fldCharType="end"/>
    </w:r>
  </w:p>
  <w:p w:rsidR="00872C36" w:rsidRPr="006F4060" w:rsidRDefault="00872C36" w:rsidP="009B2C93">
    <w:pPr>
      <w:pStyle w:val="Header"/>
      <w:tabs>
        <w:tab w:val="clear" w:pos="4320"/>
        <w:tab w:val="clear" w:pos="8640"/>
      </w:tabs>
      <w:jc w:val="left"/>
      <w:rPr>
        <w:noProof/>
        <w:kern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36" w:rsidRPr="006F4060" w:rsidRDefault="00872C36" w:rsidP="006F4060">
    <w:pPr>
      <w:pStyle w:val="Header"/>
      <w:tabs>
        <w:tab w:val="clear" w:pos="4320"/>
        <w:tab w:val="clear" w:pos="8640"/>
      </w:tabs>
      <w:jc w:val="right"/>
      <w:rPr>
        <w:noProof/>
        <w:kern w:val="22"/>
        <w:szCs w:val="22"/>
      </w:rPr>
    </w:pPr>
    <w:r w:rsidRPr="006F4060">
      <w:rPr>
        <w:noProof/>
        <w:kern w:val="22"/>
        <w:szCs w:val="22"/>
      </w:rPr>
      <w:t>CBD/SBI/2/</w:t>
    </w:r>
    <w:r>
      <w:rPr>
        <w:noProof/>
        <w:kern w:val="22"/>
        <w:szCs w:val="22"/>
      </w:rPr>
      <w:t>9</w:t>
    </w:r>
  </w:p>
  <w:p w:rsidR="00872C36" w:rsidRPr="006F4060" w:rsidRDefault="00872C36" w:rsidP="006F4060">
    <w:pPr>
      <w:pStyle w:val="Header"/>
      <w:tabs>
        <w:tab w:val="clear" w:pos="4320"/>
        <w:tab w:val="clear" w:pos="8640"/>
      </w:tabs>
      <w:jc w:val="righ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21</w:t>
    </w:r>
    <w:r w:rsidRPr="006F4060">
      <w:rPr>
        <w:bCs/>
        <w:noProof/>
        <w:kern w:val="22"/>
        <w:szCs w:val="22"/>
      </w:rPr>
      <w:fldChar w:fldCharType="end"/>
    </w:r>
  </w:p>
  <w:p w:rsidR="00872C36" w:rsidRPr="006F4060" w:rsidRDefault="00872C36" w:rsidP="006F4060">
    <w:pPr>
      <w:pStyle w:val="Header"/>
      <w:tabs>
        <w:tab w:val="clear" w:pos="4320"/>
        <w:tab w:val="clear" w:pos="8640"/>
      </w:tabs>
      <w:jc w:val="right"/>
      <w:rPr>
        <w:noProof/>
        <w:kern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7AB" w:rsidRPr="006F4060" w:rsidRDefault="00AA57AB" w:rsidP="00AA57AB">
    <w:pPr>
      <w:pStyle w:val="Header"/>
      <w:tabs>
        <w:tab w:val="clear" w:pos="4320"/>
        <w:tab w:val="clear" w:pos="8640"/>
      </w:tabs>
      <w:jc w:val="right"/>
      <w:rPr>
        <w:noProof/>
        <w:kern w:val="22"/>
        <w:szCs w:val="22"/>
      </w:rPr>
    </w:pPr>
    <w:r w:rsidRPr="006F4060">
      <w:rPr>
        <w:noProof/>
        <w:kern w:val="22"/>
        <w:szCs w:val="22"/>
      </w:rPr>
      <w:t>CBD/SBI/2/</w:t>
    </w:r>
    <w:r>
      <w:rPr>
        <w:noProof/>
        <w:kern w:val="22"/>
        <w:szCs w:val="22"/>
      </w:rPr>
      <w:t>9</w:t>
    </w:r>
  </w:p>
  <w:p w:rsidR="00872C36" w:rsidRPr="006F4060" w:rsidRDefault="00AA57AB" w:rsidP="00AA57AB">
    <w:pPr>
      <w:pStyle w:val="Header"/>
      <w:tabs>
        <w:tab w:val="clear" w:pos="4320"/>
        <w:tab w:val="clear" w:pos="8640"/>
      </w:tabs>
      <w:jc w:val="right"/>
      <w:rPr>
        <w:noProof/>
        <w:kern w:val="22"/>
        <w:szCs w:val="22"/>
      </w:rPr>
    </w:pPr>
    <w:r w:rsidRPr="006F4060">
      <w:rPr>
        <w:noProof/>
        <w:kern w:val="22"/>
        <w:szCs w:val="22"/>
      </w:rPr>
      <w:t xml:space="preserve">Page </w:t>
    </w:r>
    <w:r w:rsidRPr="006F4060">
      <w:rPr>
        <w:bCs/>
        <w:noProof/>
        <w:kern w:val="22"/>
        <w:szCs w:val="22"/>
      </w:rPr>
      <w:fldChar w:fldCharType="begin"/>
    </w:r>
    <w:r w:rsidRPr="006F4060">
      <w:rPr>
        <w:bCs/>
        <w:noProof/>
        <w:kern w:val="22"/>
        <w:szCs w:val="22"/>
      </w:rPr>
      <w:instrText xml:space="preserve"> PAGE </w:instrText>
    </w:r>
    <w:r w:rsidRPr="006F4060">
      <w:rPr>
        <w:bCs/>
        <w:noProof/>
        <w:kern w:val="22"/>
        <w:szCs w:val="22"/>
      </w:rPr>
      <w:fldChar w:fldCharType="separate"/>
    </w:r>
    <w:r w:rsidR="002F5491">
      <w:rPr>
        <w:bCs/>
        <w:noProof/>
        <w:kern w:val="22"/>
        <w:szCs w:val="22"/>
      </w:rPr>
      <w:t>16</w:t>
    </w:r>
    <w:r w:rsidRPr="006F4060">
      <w:rPr>
        <w:bCs/>
        <w:noProof/>
        <w:kern w:val="22"/>
        <w:szCs w:val="22"/>
      </w:rPr>
      <w:fldChar w:fldCharType="end"/>
    </w:r>
  </w:p>
  <w:p w:rsidR="00872C36" w:rsidRPr="006F4060" w:rsidRDefault="00872C36" w:rsidP="00A8651C">
    <w:pPr>
      <w:pStyle w:val="Header"/>
      <w:tabs>
        <w:tab w:val="clear" w:pos="4320"/>
        <w:tab w:val="clear" w:pos="8640"/>
      </w:tabs>
      <w:jc w:val="right"/>
      <w:rPr>
        <w:noProof/>
        <w:kern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465C"/>
    <w:multiLevelType w:val="hybridMultilevel"/>
    <w:tmpl w:val="F842BCF8"/>
    <w:lvl w:ilvl="0" w:tplc="4718F17E">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60962"/>
    <w:multiLevelType w:val="hybridMultilevel"/>
    <w:tmpl w:val="29482CD2"/>
    <w:lvl w:ilvl="0" w:tplc="4BFC5A3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1BE27066"/>
    <w:multiLevelType w:val="hybridMultilevel"/>
    <w:tmpl w:val="F53C862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92250A"/>
    <w:multiLevelType w:val="hybridMultilevel"/>
    <w:tmpl w:val="B7189CD4"/>
    <w:lvl w:ilvl="0" w:tplc="092E9F9C">
      <w:start w:val="1"/>
      <w:numFmt w:val="decimal"/>
      <w:pStyle w:val="Numberedparagraph"/>
      <w:lvlText w:val="%1."/>
      <w:lvlJc w:val="left"/>
      <w:pPr>
        <w:tabs>
          <w:tab w:val="num" w:pos="360"/>
        </w:tabs>
        <w:ind w:left="360" w:hanging="360"/>
      </w:pPr>
      <w:rPr>
        <w:rFonts w:cs="Times New Roman"/>
        <w:b w:val="0"/>
        <w:i w:val="0"/>
        <w:color w:val="auto"/>
        <w:lang w:val="en-CA"/>
      </w:rPr>
    </w:lvl>
    <w:lvl w:ilvl="1" w:tplc="688A0DEE">
      <w:start w:val="1"/>
      <w:numFmt w:val="bullet"/>
      <w:lvlText w:val="o"/>
      <w:lvlJc w:val="left"/>
      <w:pPr>
        <w:tabs>
          <w:tab w:val="num" w:pos="1800"/>
        </w:tabs>
        <w:ind w:left="1800" w:hanging="360"/>
      </w:pPr>
      <w:rPr>
        <w:rFonts w:ascii="Courier New" w:hAnsi="Courier New" w:hint="default"/>
      </w:rPr>
    </w:lvl>
    <w:lvl w:ilvl="2" w:tplc="DC30C9E0">
      <w:start w:val="1"/>
      <w:numFmt w:val="bullet"/>
      <w:lvlText w:val=""/>
      <w:lvlJc w:val="left"/>
      <w:pPr>
        <w:tabs>
          <w:tab w:val="num" w:pos="2520"/>
        </w:tabs>
        <w:ind w:left="2520" w:hanging="360"/>
      </w:pPr>
      <w:rPr>
        <w:rFonts w:ascii="Wingdings" w:hAnsi="Wingdings" w:hint="default"/>
      </w:rPr>
    </w:lvl>
    <w:lvl w:ilvl="3" w:tplc="2F449F60">
      <w:start w:val="1"/>
      <w:numFmt w:val="bullet"/>
      <w:lvlText w:val=""/>
      <w:lvlJc w:val="left"/>
      <w:pPr>
        <w:tabs>
          <w:tab w:val="num" w:pos="3240"/>
        </w:tabs>
        <w:ind w:left="3240" w:hanging="360"/>
      </w:pPr>
      <w:rPr>
        <w:rFonts w:ascii="Symbol" w:hAnsi="Symbol" w:hint="default"/>
      </w:rPr>
    </w:lvl>
    <w:lvl w:ilvl="4" w:tplc="99E0989C" w:tentative="1">
      <w:start w:val="1"/>
      <w:numFmt w:val="bullet"/>
      <w:lvlText w:val="o"/>
      <w:lvlJc w:val="left"/>
      <w:pPr>
        <w:tabs>
          <w:tab w:val="num" w:pos="3960"/>
        </w:tabs>
        <w:ind w:left="3960" w:hanging="360"/>
      </w:pPr>
      <w:rPr>
        <w:rFonts w:ascii="Courier New" w:hAnsi="Courier New" w:hint="default"/>
      </w:rPr>
    </w:lvl>
    <w:lvl w:ilvl="5" w:tplc="2AC63204" w:tentative="1">
      <w:start w:val="1"/>
      <w:numFmt w:val="bullet"/>
      <w:lvlText w:val=""/>
      <w:lvlJc w:val="left"/>
      <w:pPr>
        <w:tabs>
          <w:tab w:val="num" w:pos="4680"/>
        </w:tabs>
        <w:ind w:left="4680" w:hanging="360"/>
      </w:pPr>
      <w:rPr>
        <w:rFonts w:ascii="Wingdings" w:hAnsi="Wingdings" w:hint="default"/>
      </w:rPr>
    </w:lvl>
    <w:lvl w:ilvl="6" w:tplc="315CDBEE" w:tentative="1">
      <w:start w:val="1"/>
      <w:numFmt w:val="bullet"/>
      <w:lvlText w:val=""/>
      <w:lvlJc w:val="left"/>
      <w:pPr>
        <w:tabs>
          <w:tab w:val="num" w:pos="5400"/>
        </w:tabs>
        <w:ind w:left="5400" w:hanging="360"/>
      </w:pPr>
      <w:rPr>
        <w:rFonts w:ascii="Symbol" w:hAnsi="Symbol" w:hint="default"/>
      </w:rPr>
    </w:lvl>
    <w:lvl w:ilvl="7" w:tplc="BADE76B2" w:tentative="1">
      <w:start w:val="1"/>
      <w:numFmt w:val="bullet"/>
      <w:lvlText w:val="o"/>
      <w:lvlJc w:val="left"/>
      <w:pPr>
        <w:tabs>
          <w:tab w:val="num" w:pos="6120"/>
        </w:tabs>
        <w:ind w:left="6120" w:hanging="360"/>
      </w:pPr>
      <w:rPr>
        <w:rFonts w:ascii="Courier New" w:hAnsi="Courier New" w:hint="default"/>
      </w:rPr>
    </w:lvl>
    <w:lvl w:ilvl="8" w:tplc="EFA2A344" w:tentative="1">
      <w:start w:val="1"/>
      <w:numFmt w:val="bullet"/>
      <w:lvlText w:val=""/>
      <w:lvlJc w:val="left"/>
      <w:pPr>
        <w:tabs>
          <w:tab w:val="num" w:pos="6840"/>
        </w:tabs>
        <w:ind w:left="6840" w:hanging="360"/>
      </w:pPr>
      <w:rPr>
        <w:rFonts w:ascii="Wingdings" w:hAnsi="Wingdings" w:hint="default"/>
      </w:rPr>
    </w:lvl>
  </w:abstractNum>
  <w:abstractNum w:abstractNumId="6">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378388B"/>
    <w:multiLevelType w:val="hybridMultilevel"/>
    <w:tmpl w:val="B2B2D830"/>
    <w:lvl w:ilvl="0" w:tplc="04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34002A34"/>
    <w:multiLevelType w:val="hybridMultilevel"/>
    <w:tmpl w:val="851C2078"/>
    <w:lvl w:ilvl="0" w:tplc="04090017">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95819B1"/>
    <w:multiLevelType w:val="multilevel"/>
    <w:tmpl w:val="8076AD14"/>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4">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6377BC7"/>
    <w:multiLevelType w:val="hybridMultilevel"/>
    <w:tmpl w:val="8D92A3A6"/>
    <w:lvl w:ilvl="0" w:tplc="F8F8FE5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4B7E5C74"/>
    <w:multiLevelType w:val="hybridMultilevel"/>
    <w:tmpl w:val="52060CD8"/>
    <w:lvl w:ilvl="0" w:tplc="CAB40D4C">
      <w:start w:val="1"/>
      <w:numFmt w:val="lowerLetter"/>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58E02EA"/>
    <w:multiLevelType w:val="hybridMultilevel"/>
    <w:tmpl w:val="DF5EB190"/>
    <w:lvl w:ilvl="0" w:tplc="04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69302E3"/>
    <w:multiLevelType w:val="hybridMultilevel"/>
    <w:tmpl w:val="202A2E96"/>
    <w:lvl w:ilvl="0" w:tplc="EF84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15D25"/>
    <w:multiLevelType w:val="hybridMultilevel"/>
    <w:tmpl w:val="978C6030"/>
    <w:lvl w:ilvl="0" w:tplc="A16E731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B215801"/>
    <w:multiLevelType w:val="hybridMultilevel"/>
    <w:tmpl w:val="FF08A3A0"/>
    <w:lvl w:ilvl="0" w:tplc="D17278B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7">
    <w:nsid w:val="5D223101"/>
    <w:multiLevelType w:val="hybridMultilevel"/>
    <w:tmpl w:val="5738728A"/>
    <w:lvl w:ilvl="0" w:tplc="CAB40D4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61362455"/>
    <w:multiLevelType w:val="hybridMultilevel"/>
    <w:tmpl w:val="972C07F6"/>
    <w:lvl w:ilvl="0" w:tplc="FFCCF8A0">
      <w:start w:val="1"/>
      <w:numFmt w:val="decimal"/>
      <w:pStyle w:val="CBD-Para-1"/>
      <w:lvlText w:val="%1."/>
      <w:lvlJc w:val="left"/>
      <w:pPr>
        <w:ind w:left="1440" w:hanging="360"/>
      </w:pPr>
    </w:lvl>
    <w:lvl w:ilvl="1" w:tplc="66983E0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C37610F4">
      <w:start w:val="1"/>
      <w:numFmt w:val="lowerLetter"/>
      <w:lvlText w:val="(%4)"/>
      <w:lvlJc w:val="left"/>
      <w:pPr>
        <w:tabs>
          <w:tab w:val="num" w:pos="4680"/>
        </w:tabs>
        <w:ind w:left="4680" w:hanging="144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EE46A3"/>
    <w:multiLevelType w:val="hybridMultilevel"/>
    <w:tmpl w:val="11809DB8"/>
    <w:lvl w:ilvl="0" w:tplc="5652EF34">
      <w:start w:val="1"/>
      <w:numFmt w:val="decimal"/>
      <w:lvlText w:val="%1."/>
      <w:lvlJc w:val="left"/>
      <w:pPr>
        <w:ind w:left="360" w:hanging="360"/>
      </w:pPr>
      <w:rPr>
        <w:b w:val="0"/>
        <w:i w:val="0"/>
        <w:sz w:val="22"/>
      </w:rPr>
    </w:lvl>
    <w:lvl w:ilvl="1" w:tplc="4BFC5A32">
      <w:start w:val="1"/>
      <w:numFmt w:val="lowerLetter"/>
      <w:lvlText w:val="(%2)"/>
      <w:lvlJc w:val="left"/>
      <w:pPr>
        <w:ind w:left="1440" w:hanging="360"/>
      </w:pPr>
      <w:rPr>
        <w:rFonts w:hint="default"/>
      </w:rPr>
    </w:lvl>
    <w:lvl w:ilvl="2" w:tplc="124A1BC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nsid w:val="6C346457"/>
    <w:multiLevelType w:val="hybridMultilevel"/>
    <w:tmpl w:val="4A76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F21632"/>
    <w:multiLevelType w:val="hybridMultilevel"/>
    <w:tmpl w:val="325AEF4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6"/>
  </w:num>
  <w:num w:numId="2">
    <w:abstractNumId w:val="17"/>
  </w:num>
  <w:num w:numId="3">
    <w:abstractNumId w:val="14"/>
    <w:lvlOverride w:ilvl="0">
      <w:startOverride w:val="1"/>
    </w:lvlOverride>
  </w:num>
  <w:num w:numId="4">
    <w:abstractNumId w:val="2"/>
  </w:num>
  <w:num w:numId="5">
    <w:abstractNumId w:val="7"/>
  </w:num>
  <w:num w:numId="6">
    <w:abstractNumId w:val="30"/>
  </w:num>
  <w:num w:numId="7">
    <w:abstractNumId w:val="21"/>
  </w:num>
  <w:num w:numId="8">
    <w:abstractNumId w:val="11"/>
  </w:num>
  <w:num w:numId="9">
    <w:abstractNumId w:val="16"/>
  </w:num>
  <w:num w:numId="10">
    <w:abstractNumId w:val="13"/>
  </w:num>
  <w:num w:numId="11">
    <w:abstractNumId w:val="25"/>
  </w:num>
  <w:num w:numId="12">
    <w:abstractNumId w:val="4"/>
  </w:num>
  <w:num w:numId="13">
    <w:abstractNumId w:val="19"/>
  </w:num>
  <w:num w:numId="14">
    <w:abstractNumId w:val="29"/>
  </w:num>
  <w:num w:numId="15">
    <w:abstractNumId w:val="12"/>
  </w:num>
  <w:num w:numId="16">
    <w:abstractNumId w:val="28"/>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0"/>
  </w:num>
  <w:num w:numId="22">
    <w:abstractNumId w:val="5"/>
  </w:num>
  <w:num w:numId="23">
    <w:abstractNumId w:val="32"/>
  </w:num>
  <w:num w:numId="24">
    <w:abstractNumId w:val="22"/>
  </w:num>
  <w:num w:numId="25">
    <w:abstractNumId w:val="8"/>
  </w:num>
  <w:num w:numId="26">
    <w:abstractNumId w:val="9"/>
  </w:num>
  <w:num w:numId="27">
    <w:abstractNumId w:val="15"/>
  </w:num>
  <w:num w:numId="28">
    <w:abstractNumId w:val="3"/>
  </w:num>
  <w:num w:numId="29">
    <w:abstractNumId w:val="20"/>
  </w:num>
  <w:num w:numId="3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8"/>
  </w:num>
  <w:num w:numId="33">
    <w:abstractNumId w:val="27"/>
  </w:num>
  <w:num w:numId="34">
    <w:abstractNumId w:val="1"/>
  </w:num>
  <w:num w:numId="35">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evenAndOddHeaders/>
  <w:drawingGridHorizontalSpacing w:val="110"/>
  <w:displayHorizontalDrawingGridEvery w:val="0"/>
  <w:displayVertic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F"/>
    <w:rsid w:val="00001048"/>
    <w:rsid w:val="00002611"/>
    <w:rsid w:val="00002776"/>
    <w:rsid w:val="0000395C"/>
    <w:rsid w:val="00005724"/>
    <w:rsid w:val="00006A12"/>
    <w:rsid w:val="0000752C"/>
    <w:rsid w:val="00007BDC"/>
    <w:rsid w:val="0001112A"/>
    <w:rsid w:val="00011546"/>
    <w:rsid w:val="00011D38"/>
    <w:rsid w:val="000120A0"/>
    <w:rsid w:val="000130EE"/>
    <w:rsid w:val="000137DC"/>
    <w:rsid w:val="00013D92"/>
    <w:rsid w:val="0001437E"/>
    <w:rsid w:val="0001470B"/>
    <w:rsid w:val="00014AA7"/>
    <w:rsid w:val="00014DAC"/>
    <w:rsid w:val="000157BF"/>
    <w:rsid w:val="00015F50"/>
    <w:rsid w:val="00016DAF"/>
    <w:rsid w:val="0001785A"/>
    <w:rsid w:val="00021367"/>
    <w:rsid w:val="00021F02"/>
    <w:rsid w:val="00021F20"/>
    <w:rsid w:val="0002341A"/>
    <w:rsid w:val="0002371B"/>
    <w:rsid w:val="00023D05"/>
    <w:rsid w:val="00025298"/>
    <w:rsid w:val="0002569C"/>
    <w:rsid w:val="000261A5"/>
    <w:rsid w:val="00026D44"/>
    <w:rsid w:val="00026D45"/>
    <w:rsid w:val="000270CE"/>
    <w:rsid w:val="000306BF"/>
    <w:rsid w:val="00030AFA"/>
    <w:rsid w:val="00032597"/>
    <w:rsid w:val="0003261C"/>
    <w:rsid w:val="0003317D"/>
    <w:rsid w:val="000332D4"/>
    <w:rsid w:val="0003374F"/>
    <w:rsid w:val="00036B05"/>
    <w:rsid w:val="00036EC8"/>
    <w:rsid w:val="0003703A"/>
    <w:rsid w:val="000379C5"/>
    <w:rsid w:val="00037B77"/>
    <w:rsid w:val="00040D2C"/>
    <w:rsid w:val="00040DEC"/>
    <w:rsid w:val="0004131C"/>
    <w:rsid w:val="000414A4"/>
    <w:rsid w:val="00041A7B"/>
    <w:rsid w:val="000437C2"/>
    <w:rsid w:val="00043AD0"/>
    <w:rsid w:val="00044448"/>
    <w:rsid w:val="00045D03"/>
    <w:rsid w:val="00050FA5"/>
    <w:rsid w:val="000518ED"/>
    <w:rsid w:val="00051AB3"/>
    <w:rsid w:val="000521F3"/>
    <w:rsid w:val="000524C3"/>
    <w:rsid w:val="00052C88"/>
    <w:rsid w:val="00057114"/>
    <w:rsid w:val="000577B0"/>
    <w:rsid w:val="00057950"/>
    <w:rsid w:val="000604C1"/>
    <w:rsid w:val="000609D1"/>
    <w:rsid w:val="0006112A"/>
    <w:rsid w:val="000615B8"/>
    <w:rsid w:val="000615F9"/>
    <w:rsid w:val="00062983"/>
    <w:rsid w:val="00062E18"/>
    <w:rsid w:val="00063619"/>
    <w:rsid w:val="0006370A"/>
    <w:rsid w:val="000644E6"/>
    <w:rsid w:val="00065E05"/>
    <w:rsid w:val="00066938"/>
    <w:rsid w:val="0006714C"/>
    <w:rsid w:val="0006773B"/>
    <w:rsid w:val="00070E02"/>
    <w:rsid w:val="000719F5"/>
    <w:rsid w:val="00072ABE"/>
    <w:rsid w:val="00072DDC"/>
    <w:rsid w:val="00073903"/>
    <w:rsid w:val="00073C2A"/>
    <w:rsid w:val="00073EED"/>
    <w:rsid w:val="0007574D"/>
    <w:rsid w:val="000768AB"/>
    <w:rsid w:val="00076DAA"/>
    <w:rsid w:val="00076E90"/>
    <w:rsid w:val="00080545"/>
    <w:rsid w:val="00081A12"/>
    <w:rsid w:val="00081F73"/>
    <w:rsid w:val="00082AF6"/>
    <w:rsid w:val="00083167"/>
    <w:rsid w:val="00083266"/>
    <w:rsid w:val="00083F57"/>
    <w:rsid w:val="00084198"/>
    <w:rsid w:val="0008443F"/>
    <w:rsid w:val="00084DE7"/>
    <w:rsid w:val="000857F4"/>
    <w:rsid w:val="0008586B"/>
    <w:rsid w:val="00086E53"/>
    <w:rsid w:val="00090E40"/>
    <w:rsid w:val="000927B5"/>
    <w:rsid w:val="00092C21"/>
    <w:rsid w:val="000932D0"/>
    <w:rsid w:val="00093501"/>
    <w:rsid w:val="000937AA"/>
    <w:rsid w:val="000938C6"/>
    <w:rsid w:val="000948E5"/>
    <w:rsid w:val="00094C9B"/>
    <w:rsid w:val="0009545E"/>
    <w:rsid w:val="00095BBA"/>
    <w:rsid w:val="00095FB3"/>
    <w:rsid w:val="000962A9"/>
    <w:rsid w:val="0009645C"/>
    <w:rsid w:val="00097E94"/>
    <w:rsid w:val="000A1B93"/>
    <w:rsid w:val="000A2EF5"/>
    <w:rsid w:val="000A37DF"/>
    <w:rsid w:val="000A3E0B"/>
    <w:rsid w:val="000A4B0C"/>
    <w:rsid w:val="000A57D5"/>
    <w:rsid w:val="000A6299"/>
    <w:rsid w:val="000A6ED7"/>
    <w:rsid w:val="000A742D"/>
    <w:rsid w:val="000B01BC"/>
    <w:rsid w:val="000B11A5"/>
    <w:rsid w:val="000B1F25"/>
    <w:rsid w:val="000B3673"/>
    <w:rsid w:val="000B371E"/>
    <w:rsid w:val="000B4303"/>
    <w:rsid w:val="000B53BC"/>
    <w:rsid w:val="000B7817"/>
    <w:rsid w:val="000C06F8"/>
    <w:rsid w:val="000C0DAE"/>
    <w:rsid w:val="000C1C2D"/>
    <w:rsid w:val="000C24A8"/>
    <w:rsid w:val="000C29BC"/>
    <w:rsid w:val="000C3435"/>
    <w:rsid w:val="000C6CC1"/>
    <w:rsid w:val="000C7659"/>
    <w:rsid w:val="000C7AED"/>
    <w:rsid w:val="000D0625"/>
    <w:rsid w:val="000D0735"/>
    <w:rsid w:val="000D0D11"/>
    <w:rsid w:val="000D1057"/>
    <w:rsid w:val="000D118D"/>
    <w:rsid w:val="000D178B"/>
    <w:rsid w:val="000D2531"/>
    <w:rsid w:val="000D37E0"/>
    <w:rsid w:val="000D6963"/>
    <w:rsid w:val="000D742A"/>
    <w:rsid w:val="000E1262"/>
    <w:rsid w:val="000E1DD5"/>
    <w:rsid w:val="000E3FA5"/>
    <w:rsid w:val="000E44EB"/>
    <w:rsid w:val="000E4558"/>
    <w:rsid w:val="000E590C"/>
    <w:rsid w:val="000E6C12"/>
    <w:rsid w:val="000F0F5D"/>
    <w:rsid w:val="000F20E2"/>
    <w:rsid w:val="000F2C44"/>
    <w:rsid w:val="000F3EA4"/>
    <w:rsid w:val="000F599B"/>
    <w:rsid w:val="000F6343"/>
    <w:rsid w:val="000F6D92"/>
    <w:rsid w:val="000F7822"/>
    <w:rsid w:val="000F787D"/>
    <w:rsid w:val="000F78FD"/>
    <w:rsid w:val="0010005C"/>
    <w:rsid w:val="00101BF1"/>
    <w:rsid w:val="00101E91"/>
    <w:rsid w:val="00101FC9"/>
    <w:rsid w:val="00102DB3"/>
    <w:rsid w:val="00102EAD"/>
    <w:rsid w:val="0010379D"/>
    <w:rsid w:val="001048B5"/>
    <w:rsid w:val="00105750"/>
    <w:rsid w:val="00105819"/>
    <w:rsid w:val="00105A40"/>
    <w:rsid w:val="00105FE1"/>
    <w:rsid w:val="00106A1E"/>
    <w:rsid w:val="001079FC"/>
    <w:rsid w:val="001101D4"/>
    <w:rsid w:val="00110249"/>
    <w:rsid w:val="001107F0"/>
    <w:rsid w:val="00110D4C"/>
    <w:rsid w:val="001122E9"/>
    <w:rsid w:val="00112D47"/>
    <w:rsid w:val="00116108"/>
    <w:rsid w:val="0011689E"/>
    <w:rsid w:val="00116E0C"/>
    <w:rsid w:val="001171E8"/>
    <w:rsid w:val="00117628"/>
    <w:rsid w:val="001178CC"/>
    <w:rsid w:val="001178F3"/>
    <w:rsid w:val="00120DAA"/>
    <w:rsid w:val="001221C3"/>
    <w:rsid w:val="00122AA3"/>
    <w:rsid w:val="00122DD5"/>
    <w:rsid w:val="00123CB5"/>
    <w:rsid w:val="00123E8C"/>
    <w:rsid w:val="00123EFB"/>
    <w:rsid w:val="00124153"/>
    <w:rsid w:val="00124784"/>
    <w:rsid w:val="00124821"/>
    <w:rsid w:val="00124F73"/>
    <w:rsid w:val="00125806"/>
    <w:rsid w:val="0012695E"/>
    <w:rsid w:val="00126993"/>
    <w:rsid w:val="00126AEA"/>
    <w:rsid w:val="001275BC"/>
    <w:rsid w:val="00130E90"/>
    <w:rsid w:val="00131414"/>
    <w:rsid w:val="001343A5"/>
    <w:rsid w:val="001343FE"/>
    <w:rsid w:val="00135171"/>
    <w:rsid w:val="0013524D"/>
    <w:rsid w:val="001352FA"/>
    <w:rsid w:val="0013691E"/>
    <w:rsid w:val="00136C38"/>
    <w:rsid w:val="00137579"/>
    <w:rsid w:val="0013779D"/>
    <w:rsid w:val="001415F9"/>
    <w:rsid w:val="001416C5"/>
    <w:rsid w:val="001423AD"/>
    <w:rsid w:val="00142951"/>
    <w:rsid w:val="00143C89"/>
    <w:rsid w:val="00144D88"/>
    <w:rsid w:val="00146C45"/>
    <w:rsid w:val="00146D8E"/>
    <w:rsid w:val="00147A01"/>
    <w:rsid w:val="00150BB2"/>
    <w:rsid w:val="00151D76"/>
    <w:rsid w:val="00154BC5"/>
    <w:rsid w:val="00155F98"/>
    <w:rsid w:val="00156CF3"/>
    <w:rsid w:val="001573C5"/>
    <w:rsid w:val="0016130A"/>
    <w:rsid w:val="00162440"/>
    <w:rsid w:val="0016273C"/>
    <w:rsid w:val="0016296B"/>
    <w:rsid w:val="0016330A"/>
    <w:rsid w:val="00164124"/>
    <w:rsid w:val="001645D2"/>
    <w:rsid w:val="001645E5"/>
    <w:rsid w:val="001647F0"/>
    <w:rsid w:val="00164832"/>
    <w:rsid w:val="00164D84"/>
    <w:rsid w:val="00165BB7"/>
    <w:rsid w:val="00167227"/>
    <w:rsid w:val="00170570"/>
    <w:rsid w:val="0017060C"/>
    <w:rsid w:val="0017222F"/>
    <w:rsid w:val="00181849"/>
    <w:rsid w:val="00181F03"/>
    <w:rsid w:val="001823C0"/>
    <w:rsid w:val="001841AA"/>
    <w:rsid w:val="001841C5"/>
    <w:rsid w:val="00185A46"/>
    <w:rsid w:val="00186147"/>
    <w:rsid w:val="00187126"/>
    <w:rsid w:val="001875C0"/>
    <w:rsid w:val="00187D44"/>
    <w:rsid w:val="00191514"/>
    <w:rsid w:val="00191686"/>
    <w:rsid w:val="00192DBA"/>
    <w:rsid w:val="001936B2"/>
    <w:rsid w:val="001938F6"/>
    <w:rsid w:val="00194308"/>
    <w:rsid w:val="00194A4E"/>
    <w:rsid w:val="00194CFA"/>
    <w:rsid w:val="00194FF2"/>
    <w:rsid w:val="00196278"/>
    <w:rsid w:val="001966DB"/>
    <w:rsid w:val="00196828"/>
    <w:rsid w:val="001968E3"/>
    <w:rsid w:val="00196D98"/>
    <w:rsid w:val="00197203"/>
    <w:rsid w:val="001972B8"/>
    <w:rsid w:val="0019744E"/>
    <w:rsid w:val="001A0585"/>
    <w:rsid w:val="001A08ED"/>
    <w:rsid w:val="001A13F6"/>
    <w:rsid w:val="001A15CD"/>
    <w:rsid w:val="001A18CF"/>
    <w:rsid w:val="001A1A8C"/>
    <w:rsid w:val="001A1B02"/>
    <w:rsid w:val="001A26E2"/>
    <w:rsid w:val="001A3A07"/>
    <w:rsid w:val="001A5651"/>
    <w:rsid w:val="001A6D0D"/>
    <w:rsid w:val="001A7D5E"/>
    <w:rsid w:val="001B08C1"/>
    <w:rsid w:val="001B2F43"/>
    <w:rsid w:val="001B412D"/>
    <w:rsid w:val="001B73B3"/>
    <w:rsid w:val="001B7DAA"/>
    <w:rsid w:val="001C19F0"/>
    <w:rsid w:val="001C2D65"/>
    <w:rsid w:val="001C418D"/>
    <w:rsid w:val="001C4823"/>
    <w:rsid w:val="001C4B0D"/>
    <w:rsid w:val="001C65AB"/>
    <w:rsid w:val="001C693F"/>
    <w:rsid w:val="001C73C9"/>
    <w:rsid w:val="001C772E"/>
    <w:rsid w:val="001C7D79"/>
    <w:rsid w:val="001C7EF2"/>
    <w:rsid w:val="001C7FD7"/>
    <w:rsid w:val="001D188A"/>
    <w:rsid w:val="001D1B7B"/>
    <w:rsid w:val="001D2209"/>
    <w:rsid w:val="001D28AE"/>
    <w:rsid w:val="001D2CD9"/>
    <w:rsid w:val="001D34E6"/>
    <w:rsid w:val="001D37AA"/>
    <w:rsid w:val="001D428D"/>
    <w:rsid w:val="001D4BA9"/>
    <w:rsid w:val="001D6EC9"/>
    <w:rsid w:val="001D7193"/>
    <w:rsid w:val="001E03DA"/>
    <w:rsid w:val="001E1656"/>
    <w:rsid w:val="001E17B8"/>
    <w:rsid w:val="001E199C"/>
    <w:rsid w:val="001E1F80"/>
    <w:rsid w:val="001E2EB6"/>
    <w:rsid w:val="001E36EA"/>
    <w:rsid w:val="001E41D6"/>
    <w:rsid w:val="001E5074"/>
    <w:rsid w:val="001E56F6"/>
    <w:rsid w:val="001E6A1C"/>
    <w:rsid w:val="001E73B7"/>
    <w:rsid w:val="001F0221"/>
    <w:rsid w:val="001F03A1"/>
    <w:rsid w:val="001F0A33"/>
    <w:rsid w:val="001F142E"/>
    <w:rsid w:val="001F2B5D"/>
    <w:rsid w:val="001F3B0D"/>
    <w:rsid w:val="001F417F"/>
    <w:rsid w:val="001F4EAD"/>
    <w:rsid w:val="001F7CF7"/>
    <w:rsid w:val="001F7E95"/>
    <w:rsid w:val="00200902"/>
    <w:rsid w:val="00201752"/>
    <w:rsid w:val="00201BCD"/>
    <w:rsid w:val="00201C7B"/>
    <w:rsid w:val="00202381"/>
    <w:rsid w:val="002023FB"/>
    <w:rsid w:val="00202E66"/>
    <w:rsid w:val="00202E7F"/>
    <w:rsid w:val="0020351B"/>
    <w:rsid w:val="002035EF"/>
    <w:rsid w:val="00205FEB"/>
    <w:rsid w:val="00206B67"/>
    <w:rsid w:val="00206DB0"/>
    <w:rsid w:val="00207D32"/>
    <w:rsid w:val="00210DAF"/>
    <w:rsid w:val="00210FDA"/>
    <w:rsid w:val="00211795"/>
    <w:rsid w:val="002120F6"/>
    <w:rsid w:val="00212CC5"/>
    <w:rsid w:val="00214212"/>
    <w:rsid w:val="002145C7"/>
    <w:rsid w:val="002169EB"/>
    <w:rsid w:val="00216FD1"/>
    <w:rsid w:val="00220593"/>
    <w:rsid w:val="00221045"/>
    <w:rsid w:val="0022187B"/>
    <w:rsid w:val="00222837"/>
    <w:rsid w:val="00222929"/>
    <w:rsid w:val="00222F89"/>
    <w:rsid w:val="00223535"/>
    <w:rsid w:val="0022369B"/>
    <w:rsid w:val="00223A6E"/>
    <w:rsid w:val="00224A1E"/>
    <w:rsid w:val="00224E59"/>
    <w:rsid w:val="00225AC8"/>
    <w:rsid w:val="002267D7"/>
    <w:rsid w:val="002268B2"/>
    <w:rsid w:val="00226BF5"/>
    <w:rsid w:val="00226D95"/>
    <w:rsid w:val="00226DE9"/>
    <w:rsid w:val="002270DD"/>
    <w:rsid w:val="002273F4"/>
    <w:rsid w:val="00227E6F"/>
    <w:rsid w:val="002309E1"/>
    <w:rsid w:val="00230D31"/>
    <w:rsid w:val="002311AB"/>
    <w:rsid w:val="00231422"/>
    <w:rsid w:val="00231453"/>
    <w:rsid w:val="0023272E"/>
    <w:rsid w:val="00233495"/>
    <w:rsid w:val="0023397D"/>
    <w:rsid w:val="00233CDF"/>
    <w:rsid w:val="00234FDC"/>
    <w:rsid w:val="00234FF8"/>
    <w:rsid w:val="00235948"/>
    <w:rsid w:val="00236EF9"/>
    <w:rsid w:val="0023776F"/>
    <w:rsid w:val="00237CAC"/>
    <w:rsid w:val="00240C99"/>
    <w:rsid w:val="00242E1A"/>
    <w:rsid w:val="00243026"/>
    <w:rsid w:val="00243F6D"/>
    <w:rsid w:val="00244094"/>
    <w:rsid w:val="00244FD7"/>
    <w:rsid w:val="00246471"/>
    <w:rsid w:val="00246CE3"/>
    <w:rsid w:val="00246FC4"/>
    <w:rsid w:val="0024722C"/>
    <w:rsid w:val="0024794E"/>
    <w:rsid w:val="00252472"/>
    <w:rsid w:val="0025341D"/>
    <w:rsid w:val="00254375"/>
    <w:rsid w:val="00254469"/>
    <w:rsid w:val="0025563A"/>
    <w:rsid w:val="00256F5C"/>
    <w:rsid w:val="00257129"/>
    <w:rsid w:val="00257434"/>
    <w:rsid w:val="002576AA"/>
    <w:rsid w:val="0026001D"/>
    <w:rsid w:val="00261C0D"/>
    <w:rsid w:val="00261DED"/>
    <w:rsid w:val="0026253B"/>
    <w:rsid w:val="00263355"/>
    <w:rsid w:val="00263C15"/>
    <w:rsid w:val="002643CD"/>
    <w:rsid w:val="00264E4F"/>
    <w:rsid w:val="00267689"/>
    <w:rsid w:val="00267875"/>
    <w:rsid w:val="002679C0"/>
    <w:rsid w:val="00267AA3"/>
    <w:rsid w:val="00267FBD"/>
    <w:rsid w:val="00270DFD"/>
    <w:rsid w:val="00271A0E"/>
    <w:rsid w:val="0027264C"/>
    <w:rsid w:val="00272811"/>
    <w:rsid w:val="00273199"/>
    <w:rsid w:val="00273401"/>
    <w:rsid w:val="00273DFD"/>
    <w:rsid w:val="002764A5"/>
    <w:rsid w:val="0027698F"/>
    <w:rsid w:val="00276BA6"/>
    <w:rsid w:val="00276F6A"/>
    <w:rsid w:val="002771D7"/>
    <w:rsid w:val="002774B7"/>
    <w:rsid w:val="002777E6"/>
    <w:rsid w:val="00277CE2"/>
    <w:rsid w:val="0028068B"/>
    <w:rsid w:val="00280753"/>
    <w:rsid w:val="002814CE"/>
    <w:rsid w:val="00283D83"/>
    <w:rsid w:val="002843A6"/>
    <w:rsid w:val="002843E9"/>
    <w:rsid w:val="002867C3"/>
    <w:rsid w:val="00286DF5"/>
    <w:rsid w:val="002900E3"/>
    <w:rsid w:val="002907D1"/>
    <w:rsid w:val="002908C6"/>
    <w:rsid w:val="002909E7"/>
    <w:rsid w:val="00290A0E"/>
    <w:rsid w:val="00293265"/>
    <w:rsid w:val="00293F03"/>
    <w:rsid w:val="00294A40"/>
    <w:rsid w:val="00295161"/>
    <w:rsid w:val="002954D7"/>
    <w:rsid w:val="00296574"/>
    <w:rsid w:val="002975AD"/>
    <w:rsid w:val="002A0055"/>
    <w:rsid w:val="002A0D72"/>
    <w:rsid w:val="002A0E27"/>
    <w:rsid w:val="002A1406"/>
    <w:rsid w:val="002A2BAF"/>
    <w:rsid w:val="002A3056"/>
    <w:rsid w:val="002A46C1"/>
    <w:rsid w:val="002A4825"/>
    <w:rsid w:val="002A4871"/>
    <w:rsid w:val="002A4C61"/>
    <w:rsid w:val="002A5095"/>
    <w:rsid w:val="002A5455"/>
    <w:rsid w:val="002A6A67"/>
    <w:rsid w:val="002B1D44"/>
    <w:rsid w:val="002B3244"/>
    <w:rsid w:val="002B3C3E"/>
    <w:rsid w:val="002B48CD"/>
    <w:rsid w:val="002B4A08"/>
    <w:rsid w:val="002B4B31"/>
    <w:rsid w:val="002B4E90"/>
    <w:rsid w:val="002B5265"/>
    <w:rsid w:val="002B6732"/>
    <w:rsid w:val="002B674D"/>
    <w:rsid w:val="002B6CC2"/>
    <w:rsid w:val="002C0A85"/>
    <w:rsid w:val="002C158D"/>
    <w:rsid w:val="002C1E1D"/>
    <w:rsid w:val="002C208C"/>
    <w:rsid w:val="002C248D"/>
    <w:rsid w:val="002C2490"/>
    <w:rsid w:val="002C2C52"/>
    <w:rsid w:val="002C509F"/>
    <w:rsid w:val="002C5219"/>
    <w:rsid w:val="002C5AA4"/>
    <w:rsid w:val="002C6750"/>
    <w:rsid w:val="002C7FB7"/>
    <w:rsid w:val="002D0326"/>
    <w:rsid w:val="002D2820"/>
    <w:rsid w:val="002D2A60"/>
    <w:rsid w:val="002D2B71"/>
    <w:rsid w:val="002D3061"/>
    <w:rsid w:val="002D3270"/>
    <w:rsid w:val="002D5AC4"/>
    <w:rsid w:val="002D6985"/>
    <w:rsid w:val="002D6C9A"/>
    <w:rsid w:val="002E00FD"/>
    <w:rsid w:val="002E2064"/>
    <w:rsid w:val="002E28DE"/>
    <w:rsid w:val="002E3B3A"/>
    <w:rsid w:val="002E3C03"/>
    <w:rsid w:val="002E4E67"/>
    <w:rsid w:val="002E538F"/>
    <w:rsid w:val="002E552E"/>
    <w:rsid w:val="002E5B56"/>
    <w:rsid w:val="002E74C9"/>
    <w:rsid w:val="002E7BDF"/>
    <w:rsid w:val="002F061F"/>
    <w:rsid w:val="002F1751"/>
    <w:rsid w:val="002F21E7"/>
    <w:rsid w:val="002F3900"/>
    <w:rsid w:val="002F5491"/>
    <w:rsid w:val="002F7348"/>
    <w:rsid w:val="002F7F48"/>
    <w:rsid w:val="00300175"/>
    <w:rsid w:val="003032CB"/>
    <w:rsid w:val="003039A1"/>
    <w:rsid w:val="00304B50"/>
    <w:rsid w:val="00304C23"/>
    <w:rsid w:val="0030546E"/>
    <w:rsid w:val="00305DFF"/>
    <w:rsid w:val="00306095"/>
    <w:rsid w:val="003061EF"/>
    <w:rsid w:val="00306310"/>
    <w:rsid w:val="003068CD"/>
    <w:rsid w:val="00306F20"/>
    <w:rsid w:val="003077F6"/>
    <w:rsid w:val="00307F48"/>
    <w:rsid w:val="00307FA2"/>
    <w:rsid w:val="00310805"/>
    <w:rsid w:val="00310951"/>
    <w:rsid w:val="00311756"/>
    <w:rsid w:val="00312926"/>
    <w:rsid w:val="00312979"/>
    <w:rsid w:val="00313286"/>
    <w:rsid w:val="00314994"/>
    <w:rsid w:val="0031515E"/>
    <w:rsid w:val="00315211"/>
    <w:rsid w:val="00316C7D"/>
    <w:rsid w:val="003218FC"/>
    <w:rsid w:val="00321DC2"/>
    <w:rsid w:val="00321EAB"/>
    <w:rsid w:val="0032316C"/>
    <w:rsid w:val="00323CBF"/>
    <w:rsid w:val="00324DD2"/>
    <w:rsid w:val="0032636E"/>
    <w:rsid w:val="003268DC"/>
    <w:rsid w:val="00330AC9"/>
    <w:rsid w:val="00331C98"/>
    <w:rsid w:val="00333541"/>
    <w:rsid w:val="00333D5A"/>
    <w:rsid w:val="00333D9F"/>
    <w:rsid w:val="003340AE"/>
    <w:rsid w:val="00334685"/>
    <w:rsid w:val="00335295"/>
    <w:rsid w:val="0033564A"/>
    <w:rsid w:val="00336143"/>
    <w:rsid w:val="00336313"/>
    <w:rsid w:val="003367B6"/>
    <w:rsid w:val="00336819"/>
    <w:rsid w:val="003377A1"/>
    <w:rsid w:val="00337858"/>
    <w:rsid w:val="00337A08"/>
    <w:rsid w:val="00337AE6"/>
    <w:rsid w:val="003415B3"/>
    <w:rsid w:val="00342BE1"/>
    <w:rsid w:val="00343CC7"/>
    <w:rsid w:val="00343FB2"/>
    <w:rsid w:val="0034426C"/>
    <w:rsid w:val="0034599A"/>
    <w:rsid w:val="00346CC5"/>
    <w:rsid w:val="003470EA"/>
    <w:rsid w:val="003476D0"/>
    <w:rsid w:val="00347AD4"/>
    <w:rsid w:val="00347DF1"/>
    <w:rsid w:val="00347E35"/>
    <w:rsid w:val="00350B80"/>
    <w:rsid w:val="0035223B"/>
    <w:rsid w:val="00352415"/>
    <w:rsid w:val="00352D06"/>
    <w:rsid w:val="00354055"/>
    <w:rsid w:val="003559D3"/>
    <w:rsid w:val="0036066D"/>
    <w:rsid w:val="003606FF"/>
    <w:rsid w:val="00361CB7"/>
    <w:rsid w:val="0036296B"/>
    <w:rsid w:val="00362CA3"/>
    <w:rsid w:val="00362FBA"/>
    <w:rsid w:val="003632F2"/>
    <w:rsid w:val="00364497"/>
    <w:rsid w:val="00365ABB"/>
    <w:rsid w:val="00367421"/>
    <w:rsid w:val="00367A94"/>
    <w:rsid w:val="00373CEB"/>
    <w:rsid w:val="00374474"/>
    <w:rsid w:val="0037487C"/>
    <w:rsid w:val="00374C17"/>
    <w:rsid w:val="00375350"/>
    <w:rsid w:val="0037573D"/>
    <w:rsid w:val="00375979"/>
    <w:rsid w:val="00375E98"/>
    <w:rsid w:val="00375F94"/>
    <w:rsid w:val="00376218"/>
    <w:rsid w:val="003768B1"/>
    <w:rsid w:val="00376B8A"/>
    <w:rsid w:val="00376D3E"/>
    <w:rsid w:val="0037716D"/>
    <w:rsid w:val="00377B26"/>
    <w:rsid w:val="00380050"/>
    <w:rsid w:val="00380258"/>
    <w:rsid w:val="003808D4"/>
    <w:rsid w:val="0038157F"/>
    <w:rsid w:val="00381786"/>
    <w:rsid w:val="00381F45"/>
    <w:rsid w:val="0038264F"/>
    <w:rsid w:val="00382809"/>
    <w:rsid w:val="0038332D"/>
    <w:rsid w:val="003833CB"/>
    <w:rsid w:val="00383CFD"/>
    <w:rsid w:val="00384156"/>
    <w:rsid w:val="003841B1"/>
    <w:rsid w:val="003841D6"/>
    <w:rsid w:val="003845E5"/>
    <w:rsid w:val="00384759"/>
    <w:rsid w:val="003849D0"/>
    <w:rsid w:val="00384F1B"/>
    <w:rsid w:val="003858EA"/>
    <w:rsid w:val="00385E6E"/>
    <w:rsid w:val="00387B69"/>
    <w:rsid w:val="0039003C"/>
    <w:rsid w:val="00390525"/>
    <w:rsid w:val="003909CB"/>
    <w:rsid w:val="003909EE"/>
    <w:rsid w:val="003915DF"/>
    <w:rsid w:val="003923B1"/>
    <w:rsid w:val="0039377C"/>
    <w:rsid w:val="0039556E"/>
    <w:rsid w:val="00396487"/>
    <w:rsid w:val="003970FB"/>
    <w:rsid w:val="003975A6"/>
    <w:rsid w:val="0039792B"/>
    <w:rsid w:val="00397AD0"/>
    <w:rsid w:val="003A018C"/>
    <w:rsid w:val="003A159E"/>
    <w:rsid w:val="003A219C"/>
    <w:rsid w:val="003A23C7"/>
    <w:rsid w:val="003A6813"/>
    <w:rsid w:val="003A77B3"/>
    <w:rsid w:val="003B01B7"/>
    <w:rsid w:val="003B0FB0"/>
    <w:rsid w:val="003B1329"/>
    <w:rsid w:val="003B13D2"/>
    <w:rsid w:val="003B168F"/>
    <w:rsid w:val="003B32AF"/>
    <w:rsid w:val="003B3F42"/>
    <w:rsid w:val="003B4E13"/>
    <w:rsid w:val="003B56DC"/>
    <w:rsid w:val="003B5BC8"/>
    <w:rsid w:val="003B6FF5"/>
    <w:rsid w:val="003B788F"/>
    <w:rsid w:val="003C00AA"/>
    <w:rsid w:val="003C0449"/>
    <w:rsid w:val="003C06A1"/>
    <w:rsid w:val="003C0DF2"/>
    <w:rsid w:val="003C1CF6"/>
    <w:rsid w:val="003C2EEF"/>
    <w:rsid w:val="003C3938"/>
    <w:rsid w:val="003C3D26"/>
    <w:rsid w:val="003C4714"/>
    <w:rsid w:val="003C4EFC"/>
    <w:rsid w:val="003C52EC"/>
    <w:rsid w:val="003C5BAD"/>
    <w:rsid w:val="003C6846"/>
    <w:rsid w:val="003C69A7"/>
    <w:rsid w:val="003C6BDA"/>
    <w:rsid w:val="003D1F6D"/>
    <w:rsid w:val="003D20C9"/>
    <w:rsid w:val="003D3188"/>
    <w:rsid w:val="003D358F"/>
    <w:rsid w:val="003D3908"/>
    <w:rsid w:val="003D40EF"/>
    <w:rsid w:val="003D4A4F"/>
    <w:rsid w:val="003D4DF0"/>
    <w:rsid w:val="003D5A21"/>
    <w:rsid w:val="003D5C4E"/>
    <w:rsid w:val="003D713D"/>
    <w:rsid w:val="003D72E5"/>
    <w:rsid w:val="003D7BFA"/>
    <w:rsid w:val="003E10D6"/>
    <w:rsid w:val="003E22EE"/>
    <w:rsid w:val="003E28C0"/>
    <w:rsid w:val="003E527F"/>
    <w:rsid w:val="003E567A"/>
    <w:rsid w:val="003E6AE3"/>
    <w:rsid w:val="003E6DDA"/>
    <w:rsid w:val="003E6F4E"/>
    <w:rsid w:val="003E6F57"/>
    <w:rsid w:val="003E78A0"/>
    <w:rsid w:val="003F04AB"/>
    <w:rsid w:val="003F0F0E"/>
    <w:rsid w:val="003F2E72"/>
    <w:rsid w:val="003F37EE"/>
    <w:rsid w:val="003F406C"/>
    <w:rsid w:val="003F4150"/>
    <w:rsid w:val="003F41FC"/>
    <w:rsid w:val="003F44A8"/>
    <w:rsid w:val="003F51C3"/>
    <w:rsid w:val="003F5790"/>
    <w:rsid w:val="003F6494"/>
    <w:rsid w:val="003F662D"/>
    <w:rsid w:val="003F6CEC"/>
    <w:rsid w:val="003F6D36"/>
    <w:rsid w:val="003F7302"/>
    <w:rsid w:val="003F7D57"/>
    <w:rsid w:val="003F7D97"/>
    <w:rsid w:val="00401FA0"/>
    <w:rsid w:val="0040235D"/>
    <w:rsid w:val="004024BF"/>
    <w:rsid w:val="004028B6"/>
    <w:rsid w:val="00402E07"/>
    <w:rsid w:val="00403156"/>
    <w:rsid w:val="00403428"/>
    <w:rsid w:val="00406104"/>
    <w:rsid w:val="00406438"/>
    <w:rsid w:val="004066B8"/>
    <w:rsid w:val="00407C67"/>
    <w:rsid w:val="004101EA"/>
    <w:rsid w:val="004104C5"/>
    <w:rsid w:val="0041058D"/>
    <w:rsid w:val="00411F73"/>
    <w:rsid w:val="00412D1B"/>
    <w:rsid w:val="00414977"/>
    <w:rsid w:val="00414D50"/>
    <w:rsid w:val="00414E30"/>
    <w:rsid w:val="00414F1E"/>
    <w:rsid w:val="00415F1A"/>
    <w:rsid w:val="004165EE"/>
    <w:rsid w:val="004168FE"/>
    <w:rsid w:val="00416CCF"/>
    <w:rsid w:val="00417B55"/>
    <w:rsid w:val="0042040A"/>
    <w:rsid w:val="00420CC5"/>
    <w:rsid w:val="00420D90"/>
    <w:rsid w:val="00422087"/>
    <w:rsid w:val="00422540"/>
    <w:rsid w:val="00422DD0"/>
    <w:rsid w:val="004235A3"/>
    <w:rsid w:val="004238BD"/>
    <w:rsid w:val="00423A16"/>
    <w:rsid w:val="00423AA3"/>
    <w:rsid w:val="00424E0F"/>
    <w:rsid w:val="004262AF"/>
    <w:rsid w:val="00426DD6"/>
    <w:rsid w:val="00426E13"/>
    <w:rsid w:val="0042734B"/>
    <w:rsid w:val="0042798D"/>
    <w:rsid w:val="00430008"/>
    <w:rsid w:val="004306F0"/>
    <w:rsid w:val="004329C9"/>
    <w:rsid w:val="00433B20"/>
    <w:rsid w:val="0043466F"/>
    <w:rsid w:val="00435DB4"/>
    <w:rsid w:val="00436194"/>
    <w:rsid w:val="00436C05"/>
    <w:rsid w:val="0043751C"/>
    <w:rsid w:val="00437A9A"/>
    <w:rsid w:val="004408BE"/>
    <w:rsid w:val="0044107D"/>
    <w:rsid w:val="0044183E"/>
    <w:rsid w:val="00442D5A"/>
    <w:rsid w:val="0044340B"/>
    <w:rsid w:val="00443BEC"/>
    <w:rsid w:val="00443C2E"/>
    <w:rsid w:val="0044424B"/>
    <w:rsid w:val="00444B04"/>
    <w:rsid w:val="00445558"/>
    <w:rsid w:val="0044575A"/>
    <w:rsid w:val="004460F9"/>
    <w:rsid w:val="00447C88"/>
    <w:rsid w:val="004505A0"/>
    <w:rsid w:val="0045087F"/>
    <w:rsid w:val="00451B77"/>
    <w:rsid w:val="00451E1C"/>
    <w:rsid w:val="004521B2"/>
    <w:rsid w:val="004522F4"/>
    <w:rsid w:val="004553EE"/>
    <w:rsid w:val="00456F43"/>
    <w:rsid w:val="004577B0"/>
    <w:rsid w:val="0045787F"/>
    <w:rsid w:val="0046037E"/>
    <w:rsid w:val="00460DEA"/>
    <w:rsid w:val="004612A4"/>
    <w:rsid w:val="00461576"/>
    <w:rsid w:val="004616E3"/>
    <w:rsid w:val="00462928"/>
    <w:rsid w:val="00463C96"/>
    <w:rsid w:val="00463F0E"/>
    <w:rsid w:val="004651BB"/>
    <w:rsid w:val="0046530B"/>
    <w:rsid w:val="004659AD"/>
    <w:rsid w:val="00465C9A"/>
    <w:rsid w:val="004666CE"/>
    <w:rsid w:val="0046689D"/>
    <w:rsid w:val="004670B8"/>
    <w:rsid w:val="00470CBF"/>
    <w:rsid w:val="00470DBE"/>
    <w:rsid w:val="004716A2"/>
    <w:rsid w:val="00473D34"/>
    <w:rsid w:val="004741F0"/>
    <w:rsid w:val="00474589"/>
    <w:rsid w:val="00475A70"/>
    <w:rsid w:val="004760C9"/>
    <w:rsid w:val="00476B57"/>
    <w:rsid w:val="00477F62"/>
    <w:rsid w:val="00480748"/>
    <w:rsid w:val="004810F2"/>
    <w:rsid w:val="004815B5"/>
    <w:rsid w:val="0048166C"/>
    <w:rsid w:val="00482435"/>
    <w:rsid w:val="00484449"/>
    <w:rsid w:val="00484FE8"/>
    <w:rsid w:val="00485352"/>
    <w:rsid w:val="004874FB"/>
    <w:rsid w:val="004877A6"/>
    <w:rsid w:val="00490622"/>
    <w:rsid w:val="00490AC5"/>
    <w:rsid w:val="00492099"/>
    <w:rsid w:val="00493B00"/>
    <w:rsid w:val="00496314"/>
    <w:rsid w:val="00497850"/>
    <w:rsid w:val="00497BB8"/>
    <w:rsid w:val="004A0738"/>
    <w:rsid w:val="004A1C20"/>
    <w:rsid w:val="004A1C76"/>
    <w:rsid w:val="004A1D41"/>
    <w:rsid w:val="004A36C3"/>
    <w:rsid w:val="004A3ACC"/>
    <w:rsid w:val="004A4750"/>
    <w:rsid w:val="004A5827"/>
    <w:rsid w:val="004A60C0"/>
    <w:rsid w:val="004A69CA"/>
    <w:rsid w:val="004A6BBF"/>
    <w:rsid w:val="004A7407"/>
    <w:rsid w:val="004B234F"/>
    <w:rsid w:val="004B42A0"/>
    <w:rsid w:val="004B42C4"/>
    <w:rsid w:val="004B4799"/>
    <w:rsid w:val="004B4C5A"/>
    <w:rsid w:val="004B539B"/>
    <w:rsid w:val="004B58B9"/>
    <w:rsid w:val="004B5D26"/>
    <w:rsid w:val="004B65B0"/>
    <w:rsid w:val="004B6735"/>
    <w:rsid w:val="004B67FF"/>
    <w:rsid w:val="004C138F"/>
    <w:rsid w:val="004C1D73"/>
    <w:rsid w:val="004C2CC7"/>
    <w:rsid w:val="004C35CB"/>
    <w:rsid w:val="004C41C9"/>
    <w:rsid w:val="004C524A"/>
    <w:rsid w:val="004C52CD"/>
    <w:rsid w:val="004C5F14"/>
    <w:rsid w:val="004C6421"/>
    <w:rsid w:val="004C6901"/>
    <w:rsid w:val="004C741C"/>
    <w:rsid w:val="004C7BEC"/>
    <w:rsid w:val="004C7D9D"/>
    <w:rsid w:val="004D13E7"/>
    <w:rsid w:val="004D198C"/>
    <w:rsid w:val="004D391D"/>
    <w:rsid w:val="004D3FDF"/>
    <w:rsid w:val="004D426E"/>
    <w:rsid w:val="004D4385"/>
    <w:rsid w:val="004D43EB"/>
    <w:rsid w:val="004D4C00"/>
    <w:rsid w:val="004D5703"/>
    <w:rsid w:val="004D581D"/>
    <w:rsid w:val="004E0918"/>
    <w:rsid w:val="004E0DFB"/>
    <w:rsid w:val="004E0E43"/>
    <w:rsid w:val="004E1FE3"/>
    <w:rsid w:val="004E3BD5"/>
    <w:rsid w:val="004E3DBC"/>
    <w:rsid w:val="004E3EE5"/>
    <w:rsid w:val="004E4C20"/>
    <w:rsid w:val="004E4ECF"/>
    <w:rsid w:val="004E4F5C"/>
    <w:rsid w:val="004E5D67"/>
    <w:rsid w:val="004E6F42"/>
    <w:rsid w:val="004E7B01"/>
    <w:rsid w:val="004E7FBB"/>
    <w:rsid w:val="004F1286"/>
    <w:rsid w:val="004F12DE"/>
    <w:rsid w:val="004F214A"/>
    <w:rsid w:val="004F2918"/>
    <w:rsid w:val="004F6040"/>
    <w:rsid w:val="004F63FF"/>
    <w:rsid w:val="004F6536"/>
    <w:rsid w:val="004F6BA1"/>
    <w:rsid w:val="004F6F5D"/>
    <w:rsid w:val="004F74AC"/>
    <w:rsid w:val="004F7BB3"/>
    <w:rsid w:val="00504339"/>
    <w:rsid w:val="00504948"/>
    <w:rsid w:val="00506086"/>
    <w:rsid w:val="00506615"/>
    <w:rsid w:val="005069F8"/>
    <w:rsid w:val="005074CE"/>
    <w:rsid w:val="00507B45"/>
    <w:rsid w:val="00510463"/>
    <w:rsid w:val="00510B3B"/>
    <w:rsid w:val="00511B0D"/>
    <w:rsid w:val="0051220F"/>
    <w:rsid w:val="00512F67"/>
    <w:rsid w:val="00514EC9"/>
    <w:rsid w:val="00515781"/>
    <w:rsid w:val="0051593D"/>
    <w:rsid w:val="0051612C"/>
    <w:rsid w:val="00516301"/>
    <w:rsid w:val="00517CC8"/>
    <w:rsid w:val="00517EA9"/>
    <w:rsid w:val="00520FD9"/>
    <w:rsid w:val="0052265A"/>
    <w:rsid w:val="00523198"/>
    <w:rsid w:val="00523328"/>
    <w:rsid w:val="005236ED"/>
    <w:rsid w:val="005239AF"/>
    <w:rsid w:val="00523EB6"/>
    <w:rsid w:val="00524D8A"/>
    <w:rsid w:val="00526968"/>
    <w:rsid w:val="00527E13"/>
    <w:rsid w:val="00527F6E"/>
    <w:rsid w:val="00531063"/>
    <w:rsid w:val="005310CA"/>
    <w:rsid w:val="00532185"/>
    <w:rsid w:val="00532C6D"/>
    <w:rsid w:val="005333C5"/>
    <w:rsid w:val="00533529"/>
    <w:rsid w:val="00535943"/>
    <w:rsid w:val="00535CFD"/>
    <w:rsid w:val="005361D4"/>
    <w:rsid w:val="005367F5"/>
    <w:rsid w:val="00540027"/>
    <w:rsid w:val="00540668"/>
    <w:rsid w:val="00540D69"/>
    <w:rsid w:val="00541724"/>
    <w:rsid w:val="00541F8F"/>
    <w:rsid w:val="005420E2"/>
    <w:rsid w:val="0054275F"/>
    <w:rsid w:val="00543E6D"/>
    <w:rsid w:val="005447D2"/>
    <w:rsid w:val="00545677"/>
    <w:rsid w:val="005457A8"/>
    <w:rsid w:val="00545FC1"/>
    <w:rsid w:val="00546911"/>
    <w:rsid w:val="00550925"/>
    <w:rsid w:val="0055151A"/>
    <w:rsid w:val="00551A1E"/>
    <w:rsid w:val="00552227"/>
    <w:rsid w:val="005523FA"/>
    <w:rsid w:val="0055331E"/>
    <w:rsid w:val="00553CC6"/>
    <w:rsid w:val="005552F3"/>
    <w:rsid w:val="00557A51"/>
    <w:rsid w:val="00560118"/>
    <w:rsid w:val="0056020A"/>
    <w:rsid w:val="005602DE"/>
    <w:rsid w:val="005602F4"/>
    <w:rsid w:val="00561738"/>
    <w:rsid w:val="00562255"/>
    <w:rsid w:val="00562CE2"/>
    <w:rsid w:val="00563080"/>
    <w:rsid w:val="00563469"/>
    <w:rsid w:val="00563B5C"/>
    <w:rsid w:val="00564E8B"/>
    <w:rsid w:val="00564EEA"/>
    <w:rsid w:val="00565197"/>
    <w:rsid w:val="0056558E"/>
    <w:rsid w:val="00566ADB"/>
    <w:rsid w:val="00570015"/>
    <w:rsid w:val="00571158"/>
    <w:rsid w:val="0057128D"/>
    <w:rsid w:val="00571BD7"/>
    <w:rsid w:val="0057254C"/>
    <w:rsid w:val="00573E33"/>
    <w:rsid w:val="005744A9"/>
    <w:rsid w:val="00575792"/>
    <w:rsid w:val="00576779"/>
    <w:rsid w:val="005772FD"/>
    <w:rsid w:val="0058034C"/>
    <w:rsid w:val="00581057"/>
    <w:rsid w:val="005817A6"/>
    <w:rsid w:val="0058250A"/>
    <w:rsid w:val="00582865"/>
    <w:rsid w:val="0058374F"/>
    <w:rsid w:val="0058391A"/>
    <w:rsid w:val="00584BD4"/>
    <w:rsid w:val="00585070"/>
    <w:rsid w:val="00585203"/>
    <w:rsid w:val="005864AE"/>
    <w:rsid w:val="00587BD9"/>
    <w:rsid w:val="005913BB"/>
    <w:rsid w:val="00591FEE"/>
    <w:rsid w:val="00592101"/>
    <w:rsid w:val="00592322"/>
    <w:rsid w:val="00593EC9"/>
    <w:rsid w:val="005940AE"/>
    <w:rsid w:val="00594176"/>
    <w:rsid w:val="005943E7"/>
    <w:rsid w:val="00594994"/>
    <w:rsid w:val="00595431"/>
    <w:rsid w:val="0059644A"/>
    <w:rsid w:val="00596649"/>
    <w:rsid w:val="00596E73"/>
    <w:rsid w:val="00596E7F"/>
    <w:rsid w:val="00597E2E"/>
    <w:rsid w:val="005A1FBE"/>
    <w:rsid w:val="005A201E"/>
    <w:rsid w:val="005A2D23"/>
    <w:rsid w:val="005A3577"/>
    <w:rsid w:val="005A41A8"/>
    <w:rsid w:val="005A446E"/>
    <w:rsid w:val="005A44EB"/>
    <w:rsid w:val="005A466F"/>
    <w:rsid w:val="005A4CE0"/>
    <w:rsid w:val="005A65E8"/>
    <w:rsid w:val="005A6E61"/>
    <w:rsid w:val="005B0B25"/>
    <w:rsid w:val="005B1ECD"/>
    <w:rsid w:val="005B2632"/>
    <w:rsid w:val="005B31F0"/>
    <w:rsid w:val="005B4A4A"/>
    <w:rsid w:val="005B4A7C"/>
    <w:rsid w:val="005B4C23"/>
    <w:rsid w:val="005B606C"/>
    <w:rsid w:val="005B66A5"/>
    <w:rsid w:val="005B7C81"/>
    <w:rsid w:val="005C1A62"/>
    <w:rsid w:val="005C239F"/>
    <w:rsid w:val="005C23C2"/>
    <w:rsid w:val="005C3BA1"/>
    <w:rsid w:val="005C48CC"/>
    <w:rsid w:val="005C4AA2"/>
    <w:rsid w:val="005C5251"/>
    <w:rsid w:val="005C5B4A"/>
    <w:rsid w:val="005C63FB"/>
    <w:rsid w:val="005C69B0"/>
    <w:rsid w:val="005C6A5B"/>
    <w:rsid w:val="005C6C31"/>
    <w:rsid w:val="005C6F29"/>
    <w:rsid w:val="005C78F7"/>
    <w:rsid w:val="005D08DC"/>
    <w:rsid w:val="005D2AB0"/>
    <w:rsid w:val="005D2F9C"/>
    <w:rsid w:val="005D3370"/>
    <w:rsid w:val="005D3B59"/>
    <w:rsid w:val="005D3DDE"/>
    <w:rsid w:val="005D3FD5"/>
    <w:rsid w:val="005D453E"/>
    <w:rsid w:val="005D46C0"/>
    <w:rsid w:val="005D49AF"/>
    <w:rsid w:val="005D5862"/>
    <w:rsid w:val="005D611A"/>
    <w:rsid w:val="005D6AC0"/>
    <w:rsid w:val="005D74F8"/>
    <w:rsid w:val="005D7F85"/>
    <w:rsid w:val="005E0090"/>
    <w:rsid w:val="005E061D"/>
    <w:rsid w:val="005E13A7"/>
    <w:rsid w:val="005E15B0"/>
    <w:rsid w:val="005E2220"/>
    <w:rsid w:val="005E2CCF"/>
    <w:rsid w:val="005E2DAC"/>
    <w:rsid w:val="005E2E4D"/>
    <w:rsid w:val="005E3A6F"/>
    <w:rsid w:val="005E5B5C"/>
    <w:rsid w:val="005E6281"/>
    <w:rsid w:val="005E6D8A"/>
    <w:rsid w:val="005E714A"/>
    <w:rsid w:val="005E76EB"/>
    <w:rsid w:val="005F0046"/>
    <w:rsid w:val="005F09C1"/>
    <w:rsid w:val="005F14F4"/>
    <w:rsid w:val="005F1E58"/>
    <w:rsid w:val="005F2B79"/>
    <w:rsid w:val="005F3185"/>
    <w:rsid w:val="005F3291"/>
    <w:rsid w:val="005F32ED"/>
    <w:rsid w:val="005F44DD"/>
    <w:rsid w:val="005F4B5E"/>
    <w:rsid w:val="005F667B"/>
    <w:rsid w:val="005F6E06"/>
    <w:rsid w:val="00600F77"/>
    <w:rsid w:val="0060176C"/>
    <w:rsid w:val="00601F60"/>
    <w:rsid w:val="006029E2"/>
    <w:rsid w:val="00605678"/>
    <w:rsid w:val="00605F4A"/>
    <w:rsid w:val="00606142"/>
    <w:rsid w:val="00606ACC"/>
    <w:rsid w:val="006075DD"/>
    <w:rsid w:val="006102B1"/>
    <w:rsid w:val="00610CB7"/>
    <w:rsid w:val="00612DB2"/>
    <w:rsid w:val="00612E4B"/>
    <w:rsid w:val="00614038"/>
    <w:rsid w:val="00614212"/>
    <w:rsid w:val="00614BA5"/>
    <w:rsid w:val="00615954"/>
    <w:rsid w:val="00615CA0"/>
    <w:rsid w:val="006162A8"/>
    <w:rsid w:val="00616614"/>
    <w:rsid w:val="0061697E"/>
    <w:rsid w:val="00616CA9"/>
    <w:rsid w:val="00620B30"/>
    <w:rsid w:val="00622B77"/>
    <w:rsid w:val="00622C91"/>
    <w:rsid w:val="00623240"/>
    <w:rsid w:val="006234CC"/>
    <w:rsid w:val="0062384C"/>
    <w:rsid w:val="0062554E"/>
    <w:rsid w:val="006260FB"/>
    <w:rsid w:val="00626CF4"/>
    <w:rsid w:val="006271FC"/>
    <w:rsid w:val="00627A4D"/>
    <w:rsid w:val="00630349"/>
    <w:rsid w:val="00630DC3"/>
    <w:rsid w:val="00633255"/>
    <w:rsid w:val="00633968"/>
    <w:rsid w:val="006339D7"/>
    <w:rsid w:val="00633E57"/>
    <w:rsid w:val="006346C1"/>
    <w:rsid w:val="00634707"/>
    <w:rsid w:val="00634854"/>
    <w:rsid w:val="00634C2E"/>
    <w:rsid w:val="0063517C"/>
    <w:rsid w:val="00635C4C"/>
    <w:rsid w:val="00636E3E"/>
    <w:rsid w:val="00637080"/>
    <w:rsid w:val="00637E53"/>
    <w:rsid w:val="00640569"/>
    <w:rsid w:val="006406D1"/>
    <w:rsid w:val="006433C5"/>
    <w:rsid w:val="00643E0D"/>
    <w:rsid w:val="0064413D"/>
    <w:rsid w:val="00644278"/>
    <w:rsid w:val="00644438"/>
    <w:rsid w:val="00644C1A"/>
    <w:rsid w:val="00646F61"/>
    <w:rsid w:val="00647852"/>
    <w:rsid w:val="00647B9C"/>
    <w:rsid w:val="0065108A"/>
    <w:rsid w:val="00651524"/>
    <w:rsid w:val="006517C1"/>
    <w:rsid w:val="00652596"/>
    <w:rsid w:val="00652FFB"/>
    <w:rsid w:val="006530D0"/>
    <w:rsid w:val="00653A57"/>
    <w:rsid w:val="006562FD"/>
    <w:rsid w:val="00656B1A"/>
    <w:rsid w:val="00657083"/>
    <w:rsid w:val="0065715F"/>
    <w:rsid w:val="006571FE"/>
    <w:rsid w:val="00657358"/>
    <w:rsid w:val="0065784D"/>
    <w:rsid w:val="00657C43"/>
    <w:rsid w:val="00657E8B"/>
    <w:rsid w:val="00660124"/>
    <w:rsid w:val="00660521"/>
    <w:rsid w:val="006606AF"/>
    <w:rsid w:val="00660A26"/>
    <w:rsid w:val="006611FA"/>
    <w:rsid w:val="00663438"/>
    <w:rsid w:val="00663F39"/>
    <w:rsid w:val="00664479"/>
    <w:rsid w:val="00664A03"/>
    <w:rsid w:val="006667AA"/>
    <w:rsid w:val="00666F69"/>
    <w:rsid w:val="006700D2"/>
    <w:rsid w:val="006708A8"/>
    <w:rsid w:val="00673223"/>
    <w:rsid w:val="00673B6D"/>
    <w:rsid w:val="00674C19"/>
    <w:rsid w:val="0067653A"/>
    <w:rsid w:val="00680218"/>
    <w:rsid w:val="0068032F"/>
    <w:rsid w:val="00680A0E"/>
    <w:rsid w:val="00680B02"/>
    <w:rsid w:val="00680BF7"/>
    <w:rsid w:val="00680D94"/>
    <w:rsid w:val="00681B8D"/>
    <w:rsid w:val="00682175"/>
    <w:rsid w:val="0068302E"/>
    <w:rsid w:val="00684F39"/>
    <w:rsid w:val="006851AD"/>
    <w:rsid w:val="00685C14"/>
    <w:rsid w:val="00685D20"/>
    <w:rsid w:val="00686137"/>
    <w:rsid w:val="00686C78"/>
    <w:rsid w:val="00687E64"/>
    <w:rsid w:val="00690E28"/>
    <w:rsid w:val="00691315"/>
    <w:rsid w:val="00691969"/>
    <w:rsid w:val="00692554"/>
    <w:rsid w:val="006941EB"/>
    <w:rsid w:val="00694382"/>
    <w:rsid w:val="00694DE2"/>
    <w:rsid w:val="00695097"/>
    <w:rsid w:val="006968AD"/>
    <w:rsid w:val="00696AF3"/>
    <w:rsid w:val="00696DAE"/>
    <w:rsid w:val="006A01B1"/>
    <w:rsid w:val="006A0831"/>
    <w:rsid w:val="006A0839"/>
    <w:rsid w:val="006A09F2"/>
    <w:rsid w:val="006A1A94"/>
    <w:rsid w:val="006A29B5"/>
    <w:rsid w:val="006A5F1F"/>
    <w:rsid w:val="006A74D4"/>
    <w:rsid w:val="006A78A4"/>
    <w:rsid w:val="006A7FB8"/>
    <w:rsid w:val="006B1EF9"/>
    <w:rsid w:val="006B3B4B"/>
    <w:rsid w:val="006B4406"/>
    <w:rsid w:val="006B51E1"/>
    <w:rsid w:val="006B5F7D"/>
    <w:rsid w:val="006B646C"/>
    <w:rsid w:val="006B6C79"/>
    <w:rsid w:val="006B76E4"/>
    <w:rsid w:val="006C0393"/>
    <w:rsid w:val="006C07F7"/>
    <w:rsid w:val="006C15D9"/>
    <w:rsid w:val="006C2076"/>
    <w:rsid w:val="006C22DF"/>
    <w:rsid w:val="006C2CC5"/>
    <w:rsid w:val="006C391E"/>
    <w:rsid w:val="006C4C23"/>
    <w:rsid w:val="006C4C58"/>
    <w:rsid w:val="006C5AA3"/>
    <w:rsid w:val="006C5F25"/>
    <w:rsid w:val="006C68F4"/>
    <w:rsid w:val="006C7122"/>
    <w:rsid w:val="006D0243"/>
    <w:rsid w:val="006D0293"/>
    <w:rsid w:val="006D1531"/>
    <w:rsid w:val="006D20F7"/>
    <w:rsid w:val="006D77DF"/>
    <w:rsid w:val="006D7C5B"/>
    <w:rsid w:val="006E0147"/>
    <w:rsid w:val="006E04A6"/>
    <w:rsid w:val="006E1516"/>
    <w:rsid w:val="006E170F"/>
    <w:rsid w:val="006E17C5"/>
    <w:rsid w:val="006E3AC4"/>
    <w:rsid w:val="006E43AD"/>
    <w:rsid w:val="006E51A7"/>
    <w:rsid w:val="006E64DD"/>
    <w:rsid w:val="006E6502"/>
    <w:rsid w:val="006F2057"/>
    <w:rsid w:val="006F2809"/>
    <w:rsid w:val="006F2CCB"/>
    <w:rsid w:val="006F3D0E"/>
    <w:rsid w:val="006F4060"/>
    <w:rsid w:val="006F4234"/>
    <w:rsid w:val="006F56D4"/>
    <w:rsid w:val="006F57F0"/>
    <w:rsid w:val="006F72DE"/>
    <w:rsid w:val="006F7700"/>
    <w:rsid w:val="006F7BD2"/>
    <w:rsid w:val="006F7CAC"/>
    <w:rsid w:val="00701407"/>
    <w:rsid w:val="007018A6"/>
    <w:rsid w:val="00701B01"/>
    <w:rsid w:val="007029F8"/>
    <w:rsid w:val="007050DA"/>
    <w:rsid w:val="007054F3"/>
    <w:rsid w:val="00705E06"/>
    <w:rsid w:val="007064A8"/>
    <w:rsid w:val="007065B0"/>
    <w:rsid w:val="00707300"/>
    <w:rsid w:val="00710811"/>
    <w:rsid w:val="0071255E"/>
    <w:rsid w:val="00712646"/>
    <w:rsid w:val="007128BA"/>
    <w:rsid w:val="00712AE2"/>
    <w:rsid w:val="00712BBB"/>
    <w:rsid w:val="00712FA1"/>
    <w:rsid w:val="0071318C"/>
    <w:rsid w:val="007153D8"/>
    <w:rsid w:val="00715C16"/>
    <w:rsid w:val="00716D09"/>
    <w:rsid w:val="00717723"/>
    <w:rsid w:val="00721D84"/>
    <w:rsid w:val="00722A01"/>
    <w:rsid w:val="00722F57"/>
    <w:rsid w:val="007232C8"/>
    <w:rsid w:val="007233F8"/>
    <w:rsid w:val="00723D0C"/>
    <w:rsid w:val="00723F4F"/>
    <w:rsid w:val="00724302"/>
    <w:rsid w:val="0072591D"/>
    <w:rsid w:val="00725C33"/>
    <w:rsid w:val="0072666B"/>
    <w:rsid w:val="007267D0"/>
    <w:rsid w:val="007270E8"/>
    <w:rsid w:val="007272BC"/>
    <w:rsid w:val="00727BB7"/>
    <w:rsid w:val="00727C4C"/>
    <w:rsid w:val="0073018C"/>
    <w:rsid w:val="00731045"/>
    <w:rsid w:val="00733207"/>
    <w:rsid w:val="00733847"/>
    <w:rsid w:val="007340C5"/>
    <w:rsid w:val="007350F0"/>
    <w:rsid w:val="007358A4"/>
    <w:rsid w:val="00735AD7"/>
    <w:rsid w:val="00735D50"/>
    <w:rsid w:val="00735F22"/>
    <w:rsid w:val="007368B8"/>
    <w:rsid w:val="007369BB"/>
    <w:rsid w:val="00736F4C"/>
    <w:rsid w:val="00737EC0"/>
    <w:rsid w:val="00744168"/>
    <w:rsid w:val="007446CD"/>
    <w:rsid w:val="0074498D"/>
    <w:rsid w:val="00744D7B"/>
    <w:rsid w:val="00745CC8"/>
    <w:rsid w:val="00745D16"/>
    <w:rsid w:val="0074634A"/>
    <w:rsid w:val="00746AB2"/>
    <w:rsid w:val="0074727A"/>
    <w:rsid w:val="007475A3"/>
    <w:rsid w:val="0075064D"/>
    <w:rsid w:val="0075093A"/>
    <w:rsid w:val="00752623"/>
    <w:rsid w:val="00753DBA"/>
    <w:rsid w:val="00754907"/>
    <w:rsid w:val="00757A0A"/>
    <w:rsid w:val="0076065A"/>
    <w:rsid w:val="00760FCA"/>
    <w:rsid w:val="00761F5C"/>
    <w:rsid w:val="00762098"/>
    <w:rsid w:val="00763282"/>
    <w:rsid w:val="00763504"/>
    <w:rsid w:val="0076499F"/>
    <w:rsid w:val="00764ABB"/>
    <w:rsid w:val="00764ACB"/>
    <w:rsid w:val="00764C56"/>
    <w:rsid w:val="00765263"/>
    <w:rsid w:val="007657F1"/>
    <w:rsid w:val="00765D09"/>
    <w:rsid w:val="00766A96"/>
    <w:rsid w:val="00766B0C"/>
    <w:rsid w:val="00766F69"/>
    <w:rsid w:val="007673AE"/>
    <w:rsid w:val="00770903"/>
    <w:rsid w:val="00773072"/>
    <w:rsid w:val="00774BF8"/>
    <w:rsid w:val="0077551C"/>
    <w:rsid w:val="007761ED"/>
    <w:rsid w:val="0077622A"/>
    <w:rsid w:val="007766D6"/>
    <w:rsid w:val="0077697B"/>
    <w:rsid w:val="00776BC9"/>
    <w:rsid w:val="007770D0"/>
    <w:rsid w:val="00777BE9"/>
    <w:rsid w:val="00777ECA"/>
    <w:rsid w:val="00781CC3"/>
    <w:rsid w:val="007834F0"/>
    <w:rsid w:val="00783672"/>
    <w:rsid w:val="0078513B"/>
    <w:rsid w:val="007854EB"/>
    <w:rsid w:val="00785646"/>
    <w:rsid w:val="0078783B"/>
    <w:rsid w:val="007904EE"/>
    <w:rsid w:val="00790F82"/>
    <w:rsid w:val="007912D0"/>
    <w:rsid w:val="007921D8"/>
    <w:rsid w:val="00793E7F"/>
    <w:rsid w:val="0079470A"/>
    <w:rsid w:val="00794ABC"/>
    <w:rsid w:val="00794F60"/>
    <w:rsid w:val="007950D5"/>
    <w:rsid w:val="00795664"/>
    <w:rsid w:val="00796C40"/>
    <w:rsid w:val="00797DE5"/>
    <w:rsid w:val="007A0207"/>
    <w:rsid w:val="007A19A3"/>
    <w:rsid w:val="007A20C4"/>
    <w:rsid w:val="007A26C3"/>
    <w:rsid w:val="007A273C"/>
    <w:rsid w:val="007A29EF"/>
    <w:rsid w:val="007A31F6"/>
    <w:rsid w:val="007A3E93"/>
    <w:rsid w:val="007A4922"/>
    <w:rsid w:val="007A5AF4"/>
    <w:rsid w:val="007A6791"/>
    <w:rsid w:val="007A7DCE"/>
    <w:rsid w:val="007B0A9B"/>
    <w:rsid w:val="007B2944"/>
    <w:rsid w:val="007B2F69"/>
    <w:rsid w:val="007B344F"/>
    <w:rsid w:val="007B3D06"/>
    <w:rsid w:val="007B5030"/>
    <w:rsid w:val="007B5627"/>
    <w:rsid w:val="007B5CD9"/>
    <w:rsid w:val="007B61DF"/>
    <w:rsid w:val="007B683A"/>
    <w:rsid w:val="007B6CFF"/>
    <w:rsid w:val="007C07E1"/>
    <w:rsid w:val="007C0AD3"/>
    <w:rsid w:val="007C1D61"/>
    <w:rsid w:val="007C1EE4"/>
    <w:rsid w:val="007C24CD"/>
    <w:rsid w:val="007C2BC5"/>
    <w:rsid w:val="007C4FC1"/>
    <w:rsid w:val="007C5626"/>
    <w:rsid w:val="007C58D1"/>
    <w:rsid w:val="007C5AA2"/>
    <w:rsid w:val="007C6812"/>
    <w:rsid w:val="007C6DDB"/>
    <w:rsid w:val="007C773B"/>
    <w:rsid w:val="007C7ED7"/>
    <w:rsid w:val="007D07CB"/>
    <w:rsid w:val="007D103D"/>
    <w:rsid w:val="007D118B"/>
    <w:rsid w:val="007D3209"/>
    <w:rsid w:val="007D52DA"/>
    <w:rsid w:val="007D53A2"/>
    <w:rsid w:val="007D546F"/>
    <w:rsid w:val="007D5B63"/>
    <w:rsid w:val="007D5DB0"/>
    <w:rsid w:val="007D5FE5"/>
    <w:rsid w:val="007D702D"/>
    <w:rsid w:val="007D7218"/>
    <w:rsid w:val="007D72CD"/>
    <w:rsid w:val="007E0582"/>
    <w:rsid w:val="007E0EFA"/>
    <w:rsid w:val="007E16CA"/>
    <w:rsid w:val="007E2198"/>
    <w:rsid w:val="007E3B27"/>
    <w:rsid w:val="007E40CA"/>
    <w:rsid w:val="007E4365"/>
    <w:rsid w:val="007E4A58"/>
    <w:rsid w:val="007E4BAF"/>
    <w:rsid w:val="007E4FFD"/>
    <w:rsid w:val="007E50AC"/>
    <w:rsid w:val="007E57D8"/>
    <w:rsid w:val="007E6D44"/>
    <w:rsid w:val="007E6EF3"/>
    <w:rsid w:val="007F09E9"/>
    <w:rsid w:val="007F0CD6"/>
    <w:rsid w:val="007F1595"/>
    <w:rsid w:val="007F286F"/>
    <w:rsid w:val="007F3C8B"/>
    <w:rsid w:val="007F56A8"/>
    <w:rsid w:val="007F7178"/>
    <w:rsid w:val="007F743B"/>
    <w:rsid w:val="007F7C0A"/>
    <w:rsid w:val="007F7CB8"/>
    <w:rsid w:val="00800D60"/>
    <w:rsid w:val="00801279"/>
    <w:rsid w:val="008013BB"/>
    <w:rsid w:val="008015E8"/>
    <w:rsid w:val="008016CE"/>
    <w:rsid w:val="008018FF"/>
    <w:rsid w:val="00803A2C"/>
    <w:rsid w:val="00804A27"/>
    <w:rsid w:val="00805D42"/>
    <w:rsid w:val="00806BA7"/>
    <w:rsid w:val="008073F1"/>
    <w:rsid w:val="0080752B"/>
    <w:rsid w:val="00810533"/>
    <w:rsid w:val="00810716"/>
    <w:rsid w:val="00810962"/>
    <w:rsid w:val="008118DC"/>
    <w:rsid w:val="0081221F"/>
    <w:rsid w:val="00812909"/>
    <w:rsid w:val="008129F5"/>
    <w:rsid w:val="008136C7"/>
    <w:rsid w:val="00813AFA"/>
    <w:rsid w:val="00813F77"/>
    <w:rsid w:val="00814158"/>
    <w:rsid w:val="00814B64"/>
    <w:rsid w:val="00815A1A"/>
    <w:rsid w:val="00815FBB"/>
    <w:rsid w:val="00815FD7"/>
    <w:rsid w:val="00817C96"/>
    <w:rsid w:val="00820A35"/>
    <w:rsid w:val="0082105D"/>
    <w:rsid w:val="00823CDA"/>
    <w:rsid w:val="00824E2D"/>
    <w:rsid w:val="00826454"/>
    <w:rsid w:val="00826CA7"/>
    <w:rsid w:val="00826D2D"/>
    <w:rsid w:val="00827DAE"/>
    <w:rsid w:val="008312E1"/>
    <w:rsid w:val="008315DF"/>
    <w:rsid w:val="008319C8"/>
    <w:rsid w:val="00831E80"/>
    <w:rsid w:val="00832C0E"/>
    <w:rsid w:val="00833124"/>
    <w:rsid w:val="00833341"/>
    <w:rsid w:val="008336CB"/>
    <w:rsid w:val="00833BE6"/>
    <w:rsid w:val="00833D2F"/>
    <w:rsid w:val="00833FCA"/>
    <w:rsid w:val="00835B15"/>
    <w:rsid w:val="00836A12"/>
    <w:rsid w:val="00836BB9"/>
    <w:rsid w:val="00836F89"/>
    <w:rsid w:val="00841A13"/>
    <w:rsid w:val="00841E99"/>
    <w:rsid w:val="00842B9E"/>
    <w:rsid w:val="00843062"/>
    <w:rsid w:val="008434B9"/>
    <w:rsid w:val="00843823"/>
    <w:rsid w:val="00843B4C"/>
    <w:rsid w:val="00844613"/>
    <w:rsid w:val="008447AD"/>
    <w:rsid w:val="00844A58"/>
    <w:rsid w:val="00844CA7"/>
    <w:rsid w:val="00844EAF"/>
    <w:rsid w:val="00845F70"/>
    <w:rsid w:val="00846867"/>
    <w:rsid w:val="008472C2"/>
    <w:rsid w:val="00847C39"/>
    <w:rsid w:val="0085035E"/>
    <w:rsid w:val="008508EB"/>
    <w:rsid w:val="00852117"/>
    <w:rsid w:val="00852786"/>
    <w:rsid w:val="00852BEC"/>
    <w:rsid w:val="00853832"/>
    <w:rsid w:val="0085431F"/>
    <w:rsid w:val="00854439"/>
    <w:rsid w:val="00854D24"/>
    <w:rsid w:val="0085701F"/>
    <w:rsid w:val="008621D4"/>
    <w:rsid w:val="0086259E"/>
    <w:rsid w:val="00862BD6"/>
    <w:rsid w:val="00862C7B"/>
    <w:rsid w:val="00862F56"/>
    <w:rsid w:val="00863029"/>
    <w:rsid w:val="00863650"/>
    <w:rsid w:val="00863E4F"/>
    <w:rsid w:val="00864C63"/>
    <w:rsid w:val="008654A9"/>
    <w:rsid w:val="0086580B"/>
    <w:rsid w:val="00866029"/>
    <w:rsid w:val="00866B3D"/>
    <w:rsid w:val="008702DA"/>
    <w:rsid w:val="00871B3C"/>
    <w:rsid w:val="00872A96"/>
    <w:rsid w:val="00872C36"/>
    <w:rsid w:val="00873500"/>
    <w:rsid w:val="008743D4"/>
    <w:rsid w:val="00874404"/>
    <w:rsid w:val="00875C72"/>
    <w:rsid w:val="00876EB5"/>
    <w:rsid w:val="008802E6"/>
    <w:rsid w:val="0088164B"/>
    <w:rsid w:val="008816BF"/>
    <w:rsid w:val="00882ED0"/>
    <w:rsid w:val="00883715"/>
    <w:rsid w:val="00883C30"/>
    <w:rsid w:val="00883C8C"/>
    <w:rsid w:val="00883F1C"/>
    <w:rsid w:val="008842FD"/>
    <w:rsid w:val="00886145"/>
    <w:rsid w:val="00886B71"/>
    <w:rsid w:val="00887368"/>
    <w:rsid w:val="008879DB"/>
    <w:rsid w:val="008925C3"/>
    <w:rsid w:val="00892AB6"/>
    <w:rsid w:val="008937AD"/>
    <w:rsid w:val="00894C59"/>
    <w:rsid w:val="00895092"/>
    <w:rsid w:val="00895552"/>
    <w:rsid w:val="00895DC5"/>
    <w:rsid w:val="00895E61"/>
    <w:rsid w:val="00896550"/>
    <w:rsid w:val="00897085"/>
    <w:rsid w:val="008A0E57"/>
    <w:rsid w:val="008A0F03"/>
    <w:rsid w:val="008A0F62"/>
    <w:rsid w:val="008A20F8"/>
    <w:rsid w:val="008A2748"/>
    <w:rsid w:val="008A3DB0"/>
    <w:rsid w:val="008A4838"/>
    <w:rsid w:val="008A4E32"/>
    <w:rsid w:val="008A5215"/>
    <w:rsid w:val="008A59DC"/>
    <w:rsid w:val="008A5E2A"/>
    <w:rsid w:val="008A6987"/>
    <w:rsid w:val="008A7128"/>
    <w:rsid w:val="008B0393"/>
    <w:rsid w:val="008B0610"/>
    <w:rsid w:val="008B07D1"/>
    <w:rsid w:val="008B112D"/>
    <w:rsid w:val="008B15FE"/>
    <w:rsid w:val="008B19E9"/>
    <w:rsid w:val="008B1FED"/>
    <w:rsid w:val="008B2A2B"/>
    <w:rsid w:val="008B3673"/>
    <w:rsid w:val="008B3F22"/>
    <w:rsid w:val="008B4982"/>
    <w:rsid w:val="008B70A8"/>
    <w:rsid w:val="008B7B1B"/>
    <w:rsid w:val="008C0AF9"/>
    <w:rsid w:val="008C12C3"/>
    <w:rsid w:val="008C1F91"/>
    <w:rsid w:val="008C2D9B"/>
    <w:rsid w:val="008C2E31"/>
    <w:rsid w:val="008C3BBC"/>
    <w:rsid w:val="008C5288"/>
    <w:rsid w:val="008C5F9D"/>
    <w:rsid w:val="008C6D13"/>
    <w:rsid w:val="008C79D4"/>
    <w:rsid w:val="008D0054"/>
    <w:rsid w:val="008D0BB2"/>
    <w:rsid w:val="008D0FDB"/>
    <w:rsid w:val="008D11F5"/>
    <w:rsid w:val="008D14C3"/>
    <w:rsid w:val="008D1BA2"/>
    <w:rsid w:val="008D1EA6"/>
    <w:rsid w:val="008D23F0"/>
    <w:rsid w:val="008D2A73"/>
    <w:rsid w:val="008D3318"/>
    <w:rsid w:val="008D3396"/>
    <w:rsid w:val="008D3E5A"/>
    <w:rsid w:val="008D46D4"/>
    <w:rsid w:val="008D58E0"/>
    <w:rsid w:val="008D63EC"/>
    <w:rsid w:val="008D6493"/>
    <w:rsid w:val="008D6E75"/>
    <w:rsid w:val="008D785A"/>
    <w:rsid w:val="008D7998"/>
    <w:rsid w:val="008E147D"/>
    <w:rsid w:val="008E1C77"/>
    <w:rsid w:val="008E26B5"/>
    <w:rsid w:val="008E3111"/>
    <w:rsid w:val="008E42B2"/>
    <w:rsid w:val="008E66B7"/>
    <w:rsid w:val="008F279F"/>
    <w:rsid w:val="008F2857"/>
    <w:rsid w:val="008F2E3F"/>
    <w:rsid w:val="008F32AE"/>
    <w:rsid w:val="008F4C69"/>
    <w:rsid w:val="008F4FAA"/>
    <w:rsid w:val="008F537A"/>
    <w:rsid w:val="008F65D7"/>
    <w:rsid w:val="008F68D0"/>
    <w:rsid w:val="008F78DC"/>
    <w:rsid w:val="00900EE6"/>
    <w:rsid w:val="00901110"/>
    <w:rsid w:val="00901E16"/>
    <w:rsid w:val="00901E93"/>
    <w:rsid w:val="00902726"/>
    <w:rsid w:val="00903163"/>
    <w:rsid w:val="009033D1"/>
    <w:rsid w:val="00903660"/>
    <w:rsid w:val="00905689"/>
    <w:rsid w:val="00905A1F"/>
    <w:rsid w:val="0090723A"/>
    <w:rsid w:val="009072DF"/>
    <w:rsid w:val="009073B3"/>
    <w:rsid w:val="00907949"/>
    <w:rsid w:val="00907EDA"/>
    <w:rsid w:val="009105B4"/>
    <w:rsid w:val="0091075B"/>
    <w:rsid w:val="0091091B"/>
    <w:rsid w:val="009110DD"/>
    <w:rsid w:val="00911740"/>
    <w:rsid w:val="0091281E"/>
    <w:rsid w:val="00913B41"/>
    <w:rsid w:val="00913C23"/>
    <w:rsid w:val="00914CF7"/>
    <w:rsid w:val="00914D8C"/>
    <w:rsid w:val="00914E1A"/>
    <w:rsid w:val="00915C61"/>
    <w:rsid w:val="009168A5"/>
    <w:rsid w:val="009170D3"/>
    <w:rsid w:val="00920E16"/>
    <w:rsid w:val="009215CC"/>
    <w:rsid w:val="009222CE"/>
    <w:rsid w:val="009223B8"/>
    <w:rsid w:val="00922D13"/>
    <w:rsid w:val="00923C02"/>
    <w:rsid w:val="00923C1D"/>
    <w:rsid w:val="00923DEA"/>
    <w:rsid w:val="009252DF"/>
    <w:rsid w:val="0092636F"/>
    <w:rsid w:val="00926602"/>
    <w:rsid w:val="00930428"/>
    <w:rsid w:val="009310C2"/>
    <w:rsid w:val="0093154D"/>
    <w:rsid w:val="00931AD9"/>
    <w:rsid w:val="00931CC2"/>
    <w:rsid w:val="00931F1A"/>
    <w:rsid w:val="0093225B"/>
    <w:rsid w:val="00933095"/>
    <w:rsid w:val="0093311C"/>
    <w:rsid w:val="00933138"/>
    <w:rsid w:val="00933415"/>
    <w:rsid w:val="00934AD2"/>
    <w:rsid w:val="00934BF5"/>
    <w:rsid w:val="00934D9E"/>
    <w:rsid w:val="009357C6"/>
    <w:rsid w:val="009359AF"/>
    <w:rsid w:val="00935BC4"/>
    <w:rsid w:val="009369BA"/>
    <w:rsid w:val="009373E0"/>
    <w:rsid w:val="00937406"/>
    <w:rsid w:val="00937BF2"/>
    <w:rsid w:val="00937D2B"/>
    <w:rsid w:val="009407F7"/>
    <w:rsid w:val="009416BA"/>
    <w:rsid w:val="00941840"/>
    <w:rsid w:val="0094199B"/>
    <w:rsid w:val="00941C74"/>
    <w:rsid w:val="00942882"/>
    <w:rsid w:val="00943DBA"/>
    <w:rsid w:val="009443D0"/>
    <w:rsid w:val="00944983"/>
    <w:rsid w:val="00945611"/>
    <w:rsid w:val="009465F1"/>
    <w:rsid w:val="009475A0"/>
    <w:rsid w:val="00950BAA"/>
    <w:rsid w:val="00954966"/>
    <w:rsid w:val="00954B86"/>
    <w:rsid w:val="00956123"/>
    <w:rsid w:val="009564AF"/>
    <w:rsid w:val="00956994"/>
    <w:rsid w:val="00956A1F"/>
    <w:rsid w:val="00957435"/>
    <w:rsid w:val="00957613"/>
    <w:rsid w:val="00957826"/>
    <w:rsid w:val="009602C5"/>
    <w:rsid w:val="00960511"/>
    <w:rsid w:val="00960971"/>
    <w:rsid w:val="00960A52"/>
    <w:rsid w:val="00960B14"/>
    <w:rsid w:val="00961438"/>
    <w:rsid w:val="0096194C"/>
    <w:rsid w:val="009622AD"/>
    <w:rsid w:val="00962A63"/>
    <w:rsid w:val="00962D60"/>
    <w:rsid w:val="00963AD2"/>
    <w:rsid w:val="00963BEB"/>
    <w:rsid w:val="00963FB2"/>
    <w:rsid w:val="009647CB"/>
    <w:rsid w:val="00964915"/>
    <w:rsid w:val="00964C68"/>
    <w:rsid w:val="00965BFE"/>
    <w:rsid w:val="0097036C"/>
    <w:rsid w:val="00970B6E"/>
    <w:rsid w:val="00970CDA"/>
    <w:rsid w:val="009719DF"/>
    <w:rsid w:val="00972368"/>
    <w:rsid w:val="00973FE0"/>
    <w:rsid w:val="009741A7"/>
    <w:rsid w:val="00974C9A"/>
    <w:rsid w:val="0097517C"/>
    <w:rsid w:val="00975286"/>
    <w:rsid w:val="00975AEA"/>
    <w:rsid w:val="009762BD"/>
    <w:rsid w:val="00976675"/>
    <w:rsid w:val="00976802"/>
    <w:rsid w:val="00976C6D"/>
    <w:rsid w:val="009775E1"/>
    <w:rsid w:val="009803BE"/>
    <w:rsid w:val="009808C2"/>
    <w:rsid w:val="0098127B"/>
    <w:rsid w:val="00981BE1"/>
    <w:rsid w:val="00981D90"/>
    <w:rsid w:val="00981E75"/>
    <w:rsid w:val="009822C4"/>
    <w:rsid w:val="009830D3"/>
    <w:rsid w:val="00983467"/>
    <w:rsid w:val="00983E25"/>
    <w:rsid w:val="00983E71"/>
    <w:rsid w:val="009867A2"/>
    <w:rsid w:val="009869E3"/>
    <w:rsid w:val="00986AA0"/>
    <w:rsid w:val="00986DC0"/>
    <w:rsid w:val="00987548"/>
    <w:rsid w:val="00987EFC"/>
    <w:rsid w:val="0099030D"/>
    <w:rsid w:val="009905C4"/>
    <w:rsid w:val="00990D65"/>
    <w:rsid w:val="00990DC0"/>
    <w:rsid w:val="00991000"/>
    <w:rsid w:val="00992EAE"/>
    <w:rsid w:val="00993354"/>
    <w:rsid w:val="00993F6E"/>
    <w:rsid w:val="00994505"/>
    <w:rsid w:val="0099524E"/>
    <w:rsid w:val="009958A7"/>
    <w:rsid w:val="00996B21"/>
    <w:rsid w:val="00996E3A"/>
    <w:rsid w:val="009A0E64"/>
    <w:rsid w:val="009A1AED"/>
    <w:rsid w:val="009A28BD"/>
    <w:rsid w:val="009A28C7"/>
    <w:rsid w:val="009A2ABE"/>
    <w:rsid w:val="009A3805"/>
    <w:rsid w:val="009A471F"/>
    <w:rsid w:val="009A55A7"/>
    <w:rsid w:val="009A5C66"/>
    <w:rsid w:val="009A5E87"/>
    <w:rsid w:val="009A6D02"/>
    <w:rsid w:val="009A76E6"/>
    <w:rsid w:val="009A7CCC"/>
    <w:rsid w:val="009A7FFC"/>
    <w:rsid w:val="009B0A05"/>
    <w:rsid w:val="009B0C1C"/>
    <w:rsid w:val="009B1A9E"/>
    <w:rsid w:val="009B2066"/>
    <w:rsid w:val="009B27D1"/>
    <w:rsid w:val="009B2C93"/>
    <w:rsid w:val="009B393E"/>
    <w:rsid w:val="009B5C0A"/>
    <w:rsid w:val="009B5CFE"/>
    <w:rsid w:val="009B61AE"/>
    <w:rsid w:val="009B72E7"/>
    <w:rsid w:val="009B7642"/>
    <w:rsid w:val="009C0E1B"/>
    <w:rsid w:val="009C15AD"/>
    <w:rsid w:val="009C21A9"/>
    <w:rsid w:val="009C278F"/>
    <w:rsid w:val="009C3ED4"/>
    <w:rsid w:val="009C4AF8"/>
    <w:rsid w:val="009C532E"/>
    <w:rsid w:val="009C6D6B"/>
    <w:rsid w:val="009D0B63"/>
    <w:rsid w:val="009D0C98"/>
    <w:rsid w:val="009D141E"/>
    <w:rsid w:val="009D17D7"/>
    <w:rsid w:val="009D1889"/>
    <w:rsid w:val="009D18D4"/>
    <w:rsid w:val="009D365C"/>
    <w:rsid w:val="009D3A6E"/>
    <w:rsid w:val="009D612F"/>
    <w:rsid w:val="009E05C2"/>
    <w:rsid w:val="009E1C4B"/>
    <w:rsid w:val="009E23F7"/>
    <w:rsid w:val="009E250C"/>
    <w:rsid w:val="009E32F4"/>
    <w:rsid w:val="009E3438"/>
    <w:rsid w:val="009E4386"/>
    <w:rsid w:val="009E5449"/>
    <w:rsid w:val="009E594A"/>
    <w:rsid w:val="009E5CDF"/>
    <w:rsid w:val="009E6803"/>
    <w:rsid w:val="009E6BE2"/>
    <w:rsid w:val="009E7CAE"/>
    <w:rsid w:val="009F0853"/>
    <w:rsid w:val="009F11A4"/>
    <w:rsid w:val="009F4407"/>
    <w:rsid w:val="009F5373"/>
    <w:rsid w:val="009F690B"/>
    <w:rsid w:val="009F6B78"/>
    <w:rsid w:val="009F7E8B"/>
    <w:rsid w:val="00A00A85"/>
    <w:rsid w:val="00A0222A"/>
    <w:rsid w:val="00A0328D"/>
    <w:rsid w:val="00A036D0"/>
    <w:rsid w:val="00A03796"/>
    <w:rsid w:val="00A04349"/>
    <w:rsid w:val="00A04917"/>
    <w:rsid w:val="00A05347"/>
    <w:rsid w:val="00A06C66"/>
    <w:rsid w:val="00A078F3"/>
    <w:rsid w:val="00A07D2E"/>
    <w:rsid w:val="00A07EA0"/>
    <w:rsid w:val="00A1078B"/>
    <w:rsid w:val="00A10A7D"/>
    <w:rsid w:val="00A112AF"/>
    <w:rsid w:val="00A11333"/>
    <w:rsid w:val="00A114D1"/>
    <w:rsid w:val="00A11641"/>
    <w:rsid w:val="00A1187C"/>
    <w:rsid w:val="00A12A1D"/>
    <w:rsid w:val="00A12C4D"/>
    <w:rsid w:val="00A136F3"/>
    <w:rsid w:val="00A14F1D"/>
    <w:rsid w:val="00A166EC"/>
    <w:rsid w:val="00A17820"/>
    <w:rsid w:val="00A218C9"/>
    <w:rsid w:val="00A218F5"/>
    <w:rsid w:val="00A21EDC"/>
    <w:rsid w:val="00A22503"/>
    <w:rsid w:val="00A2415D"/>
    <w:rsid w:val="00A2507C"/>
    <w:rsid w:val="00A25187"/>
    <w:rsid w:val="00A25492"/>
    <w:rsid w:val="00A265B8"/>
    <w:rsid w:val="00A26D07"/>
    <w:rsid w:val="00A26E7B"/>
    <w:rsid w:val="00A27CF5"/>
    <w:rsid w:val="00A317E5"/>
    <w:rsid w:val="00A32930"/>
    <w:rsid w:val="00A340B7"/>
    <w:rsid w:val="00A343FE"/>
    <w:rsid w:val="00A34AF1"/>
    <w:rsid w:val="00A34B4E"/>
    <w:rsid w:val="00A36A2E"/>
    <w:rsid w:val="00A36DE7"/>
    <w:rsid w:val="00A36F0F"/>
    <w:rsid w:val="00A373A1"/>
    <w:rsid w:val="00A411D2"/>
    <w:rsid w:val="00A430A8"/>
    <w:rsid w:val="00A438A4"/>
    <w:rsid w:val="00A459E0"/>
    <w:rsid w:val="00A46F37"/>
    <w:rsid w:val="00A4739A"/>
    <w:rsid w:val="00A47D8E"/>
    <w:rsid w:val="00A47F3F"/>
    <w:rsid w:val="00A505AC"/>
    <w:rsid w:val="00A50687"/>
    <w:rsid w:val="00A509A5"/>
    <w:rsid w:val="00A50A4E"/>
    <w:rsid w:val="00A52142"/>
    <w:rsid w:val="00A5234E"/>
    <w:rsid w:val="00A52C2A"/>
    <w:rsid w:val="00A531A5"/>
    <w:rsid w:val="00A53784"/>
    <w:rsid w:val="00A55B8E"/>
    <w:rsid w:val="00A56EC5"/>
    <w:rsid w:val="00A57787"/>
    <w:rsid w:val="00A5788B"/>
    <w:rsid w:val="00A578FC"/>
    <w:rsid w:val="00A60583"/>
    <w:rsid w:val="00A61660"/>
    <w:rsid w:val="00A61B46"/>
    <w:rsid w:val="00A622AA"/>
    <w:rsid w:val="00A624A2"/>
    <w:rsid w:val="00A6285D"/>
    <w:rsid w:val="00A62B2E"/>
    <w:rsid w:val="00A65453"/>
    <w:rsid w:val="00A6689D"/>
    <w:rsid w:val="00A670DE"/>
    <w:rsid w:val="00A678C3"/>
    <w:rsid w:val="00A701C8"/>
    <w:rsid w:val="00A705B0"/>
    <w:rsid w:val="00A7086B"/>
    <w:rsid w:val="00A70C0D"/>
    <w:rsid w:val="00A711F9"/>
    <w:rsid w:val="00A721A5"/>
    <w:rsid w:val="00A727EE"/>
    <w:rsid w:val="00A72E07"/>
    <w:rsid w:val="00A72F1D"/>
    <w:rsid w:val="00A730F0"/>
    <w:rsid w:val="00A737FF"/>
    <w:rsid w:val="00A75404"/>
    <w:rsid w:val="00A772D1"/>
    <w:rsid w:val="00A8023F"/>
    <w:rsid w:val="00A8054F"/>
    <w:rsid w:val="00A81C1A"/>
    <w:rsid w:val="00A82E46"/>
    <w:rsid w:val="00A839B9"/>
    <w:rsid w:val="00A83E04"/>
    <w:rsid w:val="00A83E6D"/>
    <w:rsid w:val="00A83E6F"/>
    <w:rsid w:val="00A858F9"/>
    <w:rsid w:val="00A8604A"/>
    <w:rsid w:val="00A8651C"/>
    <w:rsid w:val="00A8779D"/>
    <w:rsid w:val="00A902E7"/>
    <w:rsid w:val="00A90898"/>
    <w:rsid w:val="00A90F20"/>
    <w:rsid w:val="00A91332"/>
    <w:rsid w:val="00A92E93"/>
    <w:rsid w:val="00A9388F"/>
    <w:rsid w:val="00A947C1"/>
    <w:rsid w:val="00A950CD"/>
    <w:rsid w:val="00A963D8"/>
    <w:rsid w:val="00A974D9"/>
    <w:rsid w:val="00A97ADC"/>
    <w:rsid w:val="00AA0D1E"/>
    <w:rsid w:val="00AA2B9B"/>
    <w:rsid w:val="00AA2D50"/>
    <w:rsid w:val="00AA3673"/>
    <w:rsid w:val="00AA459C"/>
    <w:rsid w:val="00AA4682"/>
    <w:rsid w:val="00AA50D2"/>
    <w:rsid w:val="00AA57AB"/>
    <w:rsid w:val="00AA61A3"/>
    <w:rsid w:val="00AA6757"/>
    <w:rsid w:val="00AA68AE"/>
    <w:rsid w:val="00AA6BCE"/>
    <w:rsid w:val="00AA6BEB"/>
    <w:rsid w:val="00AA6F09"/>
    <w:rsid w:val="00AA7171"/>
    <w:rsid w:val="00AA7751"/>
    <w:rsid w:val="00AB1259"/>
    <w:rsid w:val="00AB1C60"/>
    <w:rsid w:val="00AB2497"/>
    <w:rsid w:val="00AB2995"/>
    <w:rsid w:val="00AB3511"/>
    <w:rsid w:val="00AB6762"/>
    <w:rsid w:val="00AB6B37"/>
    <w:rsid w:val="00AB6E39"/>
    <w:rsid w:val="00AC0FF2"/>
    <w:rsid w:val="00AC17B0"/>
    <w:rsid w:val="00AC2CC0"/>
    <w:rsid w:val="00AC3461"/>
    <w:rsid w:val="00AC34AB"/>
    <w:rsid w:val="00AC415A"/>
    <w:rsid w:val="00AC4562"/>
    <w:rsid w:val="00AC49B6"/>
    <w:rsid w:val="00AC4E45"/>
    <w:rsid w:val="00AC535B"/>
    <w:rsid w:val="00AC59BC"/>
    <w:rsid w:val="00AC5B87"/>
    <w:rsid w:val="00AC7430"/>
    <w:rsid w:val="00AC7981"/>
    <w:rsid w:val="00AD09FA"/>
    <w:rsid w:val="00AD0A06"/>
    <w:rsid w:val="00AD145F"/>
    <w:rsid w:val="00AD1731"/>
    <w:rsid w:val="00AD19FF"/>
    <w:rsid w:val="00AD20DE"/>
    <w:rsid w:val="00AD342A"/>
    <w:rsid w:val="00AD5BCD"/>
    <w:rsid w:val="00AD62AF"/>
    <w:rsid w:val="00AD64E0"/>
    <w:rsid w:val="00AD6D65"/>
    <w:rsid w:val="00AD79CF"/>
    <w:rsid w:val="00AD7C9A"/>
    <w:rsid w:val="00AD7F36"/>
    <w:rsid w:val="00AE0C3B"/>
    <w:rsid w:val="00AE13DD"/>
    <w:rsid w:val="00AE18EC"/>
    <w:rsid w:val="00AE1D67"/>
    <w:rsid w:val="00AE2EED"/>
    <w:rsid w:val="00AE3526"/>
    <w:rsid w:val="00AE475D"/>
    <w:rsid w:val="00AE622F"/>
    <w:rsid w:val="00AE6B26"/>
    <w:rsid w:val="00AE7A38"/>
    <w:rsid w:val="00AF04A6"/>
    <w:rsid w:val="00AF0641"/>
    <w:rsid w:val="00AF0ADF"/>
    <w:rsid w:val="00AF0B89"/>
    <w:rsid w:val="00AF22D1"/>
    <w:rsid w:val="00AF24F8"/>
    <w:rsid w:val="00AF2E75"/>
    <w:rsid w:val="00AF3B10"/>
    <w:rsid w:val="00AF3C74"/>
    <w:rsid w:val="00AF4686"/>
    <w:rsid w:val="00AF53CC"/>
    <w:rsid w:val="00AF548C"/>
    <w:rsid w:val="00AF5F82"/>
    <w:rsid w:val="00AF6AB3"/>
    <w:rsid w:val="00AF7C12"/>
    <w:rsid w:val="00B0035C"/>
    <w:rsid w:val="00B029CD"/>
    <w:rsid w:val="00B02B6F"/>
    <w:rsid w:val="00B04574"/>
    <w:rsid w:val="00B04CCC"/>
    <w:rsid w:val="00B07A0D"/>
    <w:rsid w:val="00B10C1C"/>
    <w:rsid w:val="00B10FDF"/>
    <w:rsid w:val="00B116E2"/>
    <w:rsid w:val="00B12679"/>
    <w:rsid w:val="00B144E7"/>
    <w:rsid w:val="00B14DDB"/>
    <w:rsid w:val="00B14E21"/>
    <w:rsid w:val="00B14E4D"/>
    <w:rsid w:val="00B153EE"/>
    <w:rsid w:val="00B16A35"/>
    <w:rsid w:val="00B16CF8"/>
    <w:rsid w:val="00B1732A"/>
    <w:rsid w:val="00B17F3A"/>
    <w:rsid w:val="00B21711"/>
    <w:rsid w:val="00B22506"/>
    <w:rsid w:val="00B22797"/>
    <w:rsid w:val="00B22C9D"/>
    <w:rsid w:val="00B24110"/>
    <w:rsid w:val="00B25945"/>
    <w:rsid w:val="00B25C5B"/>
    <w:rsid w:val="00B2697E"/>
    <w:rsid w:val="00B3154F"/>
    <w:rsid w:val="00B31B41"/>
    <w:rsid w:val="00B326C2"/>
    <w:rsid w:val="00B32B22"/>
    <w:rsid w:val="00B332E3"/>
    <w:rsid w:val="00B33900"/>
    <w:rsid w:val="00B339CC"/>
    <w:rsid w:val="00B33D5D"/>
    <w:rsid w:val="00B35490"/>
    <w:rsid w:val="00B35BED"/>
    <w:rsid w:val="00B361A1"/>
    <w:rsid w:val="00B36775"/>
    <w:rsid w:val="00B37005"/>
    <w:rsid w:val="00B37073"/>
    <w:rsid w:val="00B378D7"/>
    <w:rsid w:val="00B37957"/>
    <w:rsid w:val="00B4046B"/>
    <w:rsid w:val="00B40B76"/>
    <w:rsid w:val="00B40F4D"/>
    <w:rsid w:val="00B41C3D"/>
    <w:rsid w:val="00B433D3"/>
    <w:rsid w:val="00B46596"/>
    <w:rsid w:val="00B506EC"/>
    <w:rsid w:val="00B54072"/>
    <w:rsid w:val="00B54889"/>
    <w:rsid w:val="00B551D1"/>
    <w:rsid w:val="00B5522A"/>
    <w:rsid w:val="00B55563"/>
    <w:rsid w:val="00B559AE"/>
    <w:rsid w:val="00B55BAF"/>
    <w:rsid w:val="00B55C3C"/>
    <w:rsid w:val="00B5607F"/>
    <w:rsid w:val="00B56E46"/>
    <w:rsid w:val="00B57EB9"/>
    <w:rsid w:val="00B610B6"/>
    <w:rsid w:val="00B61F90"/>
    <w:rsid w:val="00B63189"/>
    <w:rsid w:val="00B635BD"/>
    <w:rsid w:val="00B645EB"/>
    <w:rsid w:val="00B6495C"/>
    <w:rsid w:val="00B64E68"/>
    <w:rsid w:val="00B64F88"/>
    <w:rsid w:val="00B655CC"/>
    <w:rsid w:val="00B666B7"/>
    <w:rsid w:val="00B66F31"/>
    <w:rsid w:val="00B67116"/>
    <w:rsid w:val="00B671CB"/>
    <w:rsid w:val="00B674E0"/>
    <w:rsid w:val="00B67B5C"/>
    <w:rsid w:val="00B712B4"/>
    <w:rsid w:val="00B744B5"/>
    <w:rsid w:val="00B74A32"/>
    <w:rsid w:val="00B74B39"/>
    <w:rsid w:val="00B76481"/>
    <w:rsid w:val="00B7690E"/>
    <w:rsid w:val="00B76917"/>
    <w:rsid w:val="00B76F25"/>
    <w:rsid w:val="00B77E06"/>
    <w:rsid w:val="00B80E46"/>
    <w:rsid w:val="00B82916"/>
    <w:rsid w:val="00B86142"/>
    <w:rsid w:val="00B912B1"/>
    <w:rsid w:val="00B9281D"/>
    <w:rsid w:val="00B9693C"/>
    <w:rsid w:val="00B96E84"/>
    <w:rsid w:val="00B97F50"/>
    <w:rsid w:val="00BA1347"/>
    <w:rsid w:val="00BA184E"/>
    <w:rsid w:val="00BA19CA"/>
    <w:rsid w:val="00BA25A8"/>
    <w:rsid w:val="00BA37D3"/>
    <w:rsid w:val="00BA4E69"/>
    <w:rsid w:val="00BA54D9"/>
    <w:rsid w:val="00BA669A"/>
    <w:rsid w:val="00BA691B"/>
    <w:rsid w:val="00BB058A"/>
    <w:rsid w:val="00BB1DE0"/>
    <w:rsid w:val="00BB39DF"/>
    <w:rsid w:val="00BB4A36"/>
    <w:rsid w:val="00BB5766"/>
    <w:rsid w:val="00BB5ECE"/>
    <w:rsid w:val="00BB5FB3"/>
    <w:rsid w:val="00BB7B41"/>
    <w:rsid w:val="00BB7E5D"/>
    <w:rsid w:val="00BC03CA"/>
    <w:rsid w:val="00BC0483"/>
    <w:rsid w:val="00BC06C5"/>
    <w:rsid w:val="00BC0CB4"/>
    <w:rsid w:val="00BC60C1"/>
    <w:rsid w:val="00BC62B0"/>
    <w:rsid w:val="00BC6B23"/>
    <w:rsid w:val="00BC764C"/>
    <w:rsid w:val="00BC7DE5"/>
    <w:rsid w:val="00BD1437"/>
    <w:rsid w:val="00BD18CD"/>
    <w:rsid w:val="00BD199F"/>
    <w:rsid w:val="00BD2564"/>
    <w:rsid w:val="00BD2609"/>
    <w:rsid w:val="00BD28E2"/>
    <w:rsid w:val="00BD44E2"/>
    <w:rsid w:val="00BD49BA"/>
    <w:rsid w:val="00BD5EAE"/>
    <w:rsid w:val="00BD7009"/>
    <w:rsid w:val="00BE0329"/>
    <w:rsid w:val="00BE0749"/>
    <w:rsid w:val="00BE0B66"/>
    <w:rsid w:val="00BE0DC2"/>
    <w:rsid w:val="00BE1076"/>
    <w:rsid w:val="00BE11B6"/>
    <w:rsid w:val="00BE30D1"/>
    <w:rsid w:val="00BE4DEE"/>
    <w:rsid w:val="00BE517F"/>
    <w:rsid w:val="00BE5728"/>
    <w:rsid w:val="00BE6193"/>
    <w:rsid w:val="00BE7ED0"/>
    <w:rsid w:val="00BF0356"/>
    <w:rsid w:val="00BF041F"/>
    <w:rsid w:val="00BF1056"/>
    <w:rsid w:val="00BF28B6"/>
    <w:rsid w:val="00BF44F8"/>
    <w:rsid w:val="00BF484E"/>
    <w:rsid w:val="00BF48EA"/>
    <w:rsid w:val="00BF6201"/>
    <w:rsid w:val="00BF6717"/>
    <w:rsid w:val="00BF6A55"/>
    <w:rsid w:val="00BF7071"/>
    <w:rsid w:val="00BF7F51"/>
    <w:rsid w:val="00C014EE"/>
    <w:rsid w:val="00C01AB2"/>
    <w:rsid w:val="00C01D4E"/>
    <w:rsid w:val="00C05DDF"/>
    <w:rsid w:val="00C05ECF"/>
    <w:rsid w:val="00C06269"/>
    <w:rsid w:val="00C07D38"/>
    <w:rsid w:val="00C1112E"/>
    <w:rsid w:val="00C11320"/>
    <w:rsid w:val="00C12287"/>
    <w:rsid w:val="00C1285B"/>
    <w:rsid w:val="00C12B06"/>
    <w:rsid w:val="00C13258"/>
    <w:rsid w:val="00C1388B"/>
    <w:rsid w:val="00C14689"/>
    <w:rsid w:val="00C14968"/>
    <w:rsid w:val="00C14CEF"/>
    <w:rsid w:val="00C1569D"/>
    <w:rsid w:val="00C16188"/>
    <w:rsid w:val="00C166C3"/>
    <w:rsid w:val="00C16C08"/>
    <w:rsid w:val="00C17776"/>
    <w:rsid w:val="00C17C33"/>
    <w:rsid w:val="00C17CE2"/>
    <w:rsid w:val="00C20799"/>
    <w:rsid w:val="00C20AC3"/>
    <w:rsid w:val="00C22B55"/>
    <w:rsid w:val="00C24902"/>
    <w:rsid w:val="00C24BEE"/>
    <w:rsid w:val="00C251EE"/>
    <w:rsid w:val="00C257B0"/>
    <w:rsid w:val="00C2620F"/>
    <w:rsid w:val="00C26669"/>
    <w:rsid w:val="00C26D4E"/>
    <w:rsid w:val="00C27152"/>
    <w:rsid w:val="00C2764F"/>
    <w:rsid w:val="00C27C83"/>
    <w:rsid w:val="00C31677"/>
    <w:rsid w:val="00C32284"/>
    <w:rsid w:val="00C3295E"/>
    <w:rsid w:val="00C335C4"/>
    <w:rsid w:val="00C349C1"/>
    <w:rsid w:val="00C34C77"/>
    <w:rsid w:val="00C34F8A"/>
    <w:rsid w:val="00C362FC"/>
    <w:rsid w:val="00C36330"/>
    <w:rsid w:val="00C43A24"/>
    <w:rsid w:val="00C44437"/>
    <w:rsid w:val="00C4738A"/>
    <w:rsid w:val="00C517EC"/>
    <w:rsid w:val="00C51F19"/>
    <w:rsid w:val="00C51F56"/>
    <w:rsid w:val="00C57A87"/>
    <w:rsid w:val="00C60226"/>
    <w:rsid w:val="00C60AB3"/>
    <w:rsid w:val="00C60C5B"/>
    <w:rsid w:val="00C62778"/>
    <w:rsid w:val="00C627B2"/>
    <w:rsid w:val="00C62EFD"/>
    <w:rsid w:val="00C63D86"/>
    <w:rsid w:val="00C64C4C"/>
    <w:rsid w:val="00C64D69"/>
    <w:rsid w:val="00C64F3F"/>
    <w:rsid w:val="00C67549"/>
    <w:rsid w:val="00C70069"/>
    <w:rsid w:val="00C708A7"/>
    <w:rsid w:val="00C7118C"/>
    <w:rsid w:val="00C7121F"/>
    <w:rsid w:val="00C722FE"/>
    <w:rsid w:val="00C7414C"/>
    <w:rsid w:val="00C741E8"/>
    <w:rsid w:val="00C745BB"/>
    <w:rsid w:val="00C74BEB"/>
    <w:rsid w:val="00C76C54"/>
    <w:rsid w:val="00C80040"/>
    <w:rsid w:val="00C80C33"/>
    <w:rsid w:val="00C81A74"/>
    <w:rsid w:val="00C82CAD"/>
    <w:rsid w:val="00C82ED6"/>
    <w:rsid w:val="00C84188"/>
    <w:rsid w:val="00C85341"/>
    <w:rsid w:val="00C855F1"/>
    <w:rsid w:val="00C860F4"/>
    <w:rsid w:val="00C90349"/>
    <w:rsid w:val="00C9127F"/>
    <w:rsid w:val="00C92250"/>
    <w:rsid w:val="00C928F0"/>
    <w:rsid w:val="00C929D2"/>
    <w:rsid w:val="00C93177"/>
    <w:rsid w:val="00C95BF2"/>
    <w:rsid w:val="00CA0E0D"/>
    <w:rsid w:val="00CA3DF2"/>
    <w:rsid w:val="00CA3FAE"/>
    <w:rsid w:val="00CA4C21"/>
    <w:rsid w:val="00CA5307"/>
    <w:rsid w:val="00CA6775"/>
    <w:rsid w:val="00CA6A1A"/>
    <w:rsid w:val="00CA6C20"/>
    <w:rsid w:val="00CA6FCE"/>
    <w:rsid w:val="00CA7019"/>
    <w:rsid w:val="00CA705E"/>
    <w:rsid w:val="00CB077A"/>
    <w:rsid w:val="00CB0F93"/>
    <w:rsid w:val="00CB267F"/>
    <w:rsid w:val="00CB482A"/>
    <w:rsid w:val="00CB5ACF"/>
    <w:rsid w:val="00CB645B"/>
    <w:rsid w:val="00CB65DD"/>
    <w:rsid w:val="00CB66B7"/>
    <w:rsid w:val="00CB7ADB"/>
    <w:rsid w:val="00CC0591"/>
    <w:rsid w:val="00CC13E2"/>
    <w:rsid w:val="00CC1630"/>
    <w:rsid w:val="00CC19DC"/>
    <w:rsid w:val="00CC319E"/>
    <w:rsid w:val="00CC399C"/>
    <w:rsid w:val="00CC5907"/>
    <w:rsid w:val="00CC6056"/>
    <w:rsid w:val="00CC6405"/>
    <w:rsid w:val="00CC64B6"/>
    <w:rsid w:val="00CC64E3"/>
    <w:rsid w:val="00CC6AF4"/>
    <w:rsid w:val="00CC7811"/>
    <w:rsid w:val="00CD0378"/>
    <w:rsid w:val="00CD192E"/>
    <w:rsid w:val="00CD1DC2"/>
    <w:rsid w:val="00CD2D05"/>
    <w:rsid w:val="00CD3B67"/>
    <w:rsid w:val="00CD46A4"/>
    <w:rsid w:val="00CD47B0"/>
    <w:rsid w:val="00CD4E1F"/>
    <w:rsid w:val="00CD5E1D"/>
    <w:rsid w:val="00CD70CF"/>
    <w:rsid w:val="00CE0DE9"/>
    <w:rsid w:val="00CE295B"/>
    <w:rsid w:val="00CE2E84"/>
    <w:rsid w:val="00CE30B0"/>
    <w:rsid w:val="00CE4011"/>
    <w:rsid w:val="00CE44E0"/>
    <w:rsid w:val="00CE633E"/>
    <w:rsid w:val="00CE6B03"/>
    <w:rsid w:val="00CE7ADF"/>
    <w:rsid w:val="00CF08E1"/>
    <w:rsid w:val="00CF2768"/>
    <w:rsid w:val="00CF31CE"/>
    <w:rsid w:val="00CF339C"/>
    <w:rsid w:val="00CF356D"/>
    <w:rsid w:val="00CF3676"/>
    <w:rsid w:val="00CF415F"/>
    <w:rsid w:val="00CF4426"/>
    <w:rsid w:val="00CF4D55"/>
    <w:rsid w:val="00CF5ABA"/>
    <w:rsid w:val="00CF5F12"/>
    <w:rsid w:val="00CF5FCE"/>
    <w:rsid w:val="00CF704E"/>
    <w:rsid w:val="00CF7A07"/>
    <w:rsid w:val="00CF7DD9"/>
    <w:rsid w:val="00D00793"/>
    <w:rsid w:val="00D009D7"/>
    <w:rsid w:val="00D00C91"/>
    <w:rsid w:val="00D00E34"/>
    <w:rsid w:val="00D01B7D"/>
    <w:rsid w:val="00D01DAC"/>
    <w:rsid w:val="00D01FB1"/>
    <w:rsid w:val="00D025DE"/>
    <w:rsid w:val="00D02CB0"/>
    <w:rsid w:val="00D02CC2"/>
    <w:rsid w:val="00D02CEB"/>
    <w:rsid w:val="00D031D0"/>
    <w:rsid w:val="00D04225"/>
    <w:rsid w:val="00D05168"/>
    <w:rsid w:val="00D05829"/>
    <w:rsid w:val="00D05CA7"/>
    <w:rsid w:val="00D06429"/>
    <w:rsid w:val="00D06CE9"/>
    <w:rsid w:val="00D072F0"/>
    <w:rsid w:val="00D07567"/>
    <w:rsid w:val="00D1033E"/>
    <w:rsid w:val="00D1082B"/>
    <w:rsid w:val="00D1099E"/>
    <w:rsid w:val="00D10D40"/>
    <w:rsid w:val="00D11024"/>
    <w:rsid w:val="00D1197D"/>
    <w:rsid w:val="00D1265C"/>
    <w:rsid w:val="00D1267F"/>
    <w:rsid w:val="00D13590"/>
    <w:rsid w:val="00D14128"/>
    <w:rsid w:val="00D1447F"/>
    <w:rsid w:val="00D153CD"/>
    <w:rsid w:val="00D1545D"/>
    <w:rsid w:val="00D15B80"/>
    <w:rsid w:val="00D15BE6"/>
    <w:rsid w:val="00D16003"/>
    <w:rsid w:val="00D16054"/>
    <w:rsid w:val="00D16F0A"/>
    <w:rsid w:val="00D1732D"/>
    <w:rsid w:val="00D17DB6"/>
    <w:rsid w:val="00D2059D"/>
    <w:rsid w:val="00D23286"/>
    <w:rsid w:val="00D232B9"/>
    <w:rsid w:val="00D235C3"/>
    <w:rsid w:val="00D2529D"/>
    <w:rsid w:val="00D25FBF"/>
    <w:rsid w:val="00D260A1"/>
    <w:rsid w:val="00D268FD"/>
    <w:rsid w:val="00D26B99"/>
    <w:rsid w:val="00D272B0"/>
    <w:rsid w:val="00D2789C"/>
    <w:rsid w:val="00D27E70"/>
    <w:rsid w:val="00D27FAF"/>
    <w:rsid w:val="00D27FBF"/>
    <w:rsid w:val="00D31533"/>
    <w:rsid w:val="00D33298"/>
    <w:rsid w:val="00D34130"/>
    <w:rsid w:val="00D349CE"/>
    <w:rsid w:val="00D34F80"/>
    <w:rsid w:val="00D351B2"/>
    <w:rsid w:val="00D353F5"/>
    <w:rsid w:val="00D360F4"/>
    <w:rsid w:val="00D36E3F"/>
    <w:rsid w:val="00D37E13"/>
    <w:rsid w:val="00D407EF"/>
    <w:rsid w:val="00D424CE"/>
    <w:rsid w:val="00D44112"/>
    <w:rsid w:val="00D445E3"/>
    <w:rsid w:val="00D44683"/>
    <w:rsid w:val="00D4495B"/>
    <w:rsid w:val="00D44CC5"/>
    <w:rsid w:val="00D45B88"/>
    <w:rsid w:val="00D478AF"/>
    <w:rsid w:val="00D51E64"/>
    <w:rsid w:val="00D52505"/>
    <w:rsid w:val="00D54549"/>
    <w:rsid w:val="00D55028"/>
    <w:rsid w:val="00D55CBD"/>
    <w:rsid w:val="00D56087"/>
    <w:rsid w:val="00D56EE9"/>
    <w:rsid w:val="00D57111"/>
    <w:rsid w:val="00D57A8A"/>
    <w:rsid w:val="00D57B7E"/>
    <w:rsid w:val="00D607CE"/>
    <w:rsid w:val="00D60A3B"/>
    <w:rsid w:val="00D60DC1"/>
    <w:rsid w:val="00D611D0"/>
    <w:rsid w:val="00D61890"/>
    <w:rsid w:val="00D619AE"/>
    <w:rsid w:val="00D61AAB"/>
    <w:rsid w:val="00D61D0D"/>
    <w:rsid w:val="00D62039"/>
    <w:rsid w:val="00D632A7"/>
    <w:rsid w:val="00D635C7"/>
    <w:rsid w:val="00D63803"/>
    <w:rsid w:val="00D63E22"/>
    <w:rsid w:val="00D644F1"/>
    <w:rsid w:val="00D6538C"/>
    <w:rsid w:val="00D66600"/>
    <w:rsid w:val="00D668D6"/>
    <w:rsid w:val="00D6702A"/>
    <w:rsid w:val="00D679B2"/>
    <w:rsid w:val="00D67A9A"/>
    <w:rsid w:val="00D67B8B"/>
    <w:rsid w:val="00D7050B"/>
    <w:rsid w:val="00D70A09"/>
    <w:rsid w:val="00D71930"/>
    <w:rsid w:val="00D72B05"/>
    <w:rsid w:val="00D733A1"/>
    <w:rsid w:val="00D7464D"/>
    <w:rsid w:val="00D7685A"/>
    <w:rsid w:val="00D774B8"/>
    <w:rsid w:val="00D775FD"/>
    <w:rsid w:val="00D77E2C"/>
    <w:rsid w:val="00D8064C"/>
    <w:rsid w:val="00D82021"/>
    <w:rsid w:val="00D823A2"/>
    <w:rsid w:val="00D82870"/>
    <w:rsid w:val="00D82E10"/>
    <w:rsid w:val="00D84484"/>
    <w:rsid w:val="00D84BA8"/>
    <w:rsid w:val="00D84D2B"/>
    <w:rsid w:val="00D85911"/>
    <w:rsid w:val="00D85DF4"/>
    <w:rsid w:val="00D862B2"/>
    <w:rsid w:val="00D86ED1"/>
    <w:rsid w:val="00D8761A"/>
    <w:rsid w:val="00D87FDD"/>
    <w:rsid w:val="00D913E2"/>
    <w:rsid w:val="00D92225"/>
    <w:rsid w:val="00D92F4F"/>
    <w:rsid w:val="00D942A5"/>
    <w:rsid w:val="00D94DA2"/>
    <w:rsid w:val="00D94E20"/>
    <w:rsid w:val="00D961D9"/>
    <w:rsid w:val="00D96702"/>
    <w:rsid w:val="00D96F22"/>
    <w:rsid w:val="00DA096F"/>
    <w:rsid w:val="00DA0C71"/>
    <w:rsid w:val="00DA0C9C"/>
    <w:rsid w:val="00DA1432"/>
    <w:rsid w:val="00DA2415"/>
    <w:rsid w:val="00DA26F1"/>
    <w:rsid w:val="00DA2FC0"/>
    <w:rsid w:val="00DA3B89"/>
    <w:rsid w:val="00DA3E01"/>
    <w:rsid w:val="00DA512A"/>
    <w:rsid w:val="00DA59F8"/>
    <w:rsid w:val="00DA5D41"/>
    <w:rsid w:val="00DB0151"/>
    <w:rsid w:val="00DB0338"/>
    <w:rsid w:val="00DB0AC5"/>
    <w:rsid w:val="00DB1667"/>
    <w:rsid w:val="00DB1FCA"/>
    <w:rsid w:val="00DB332D"/>
    <w:rsid w:val="00DB34E7"/>
    <w:rsid w:val="00DB4E19"/>
    <w:rsid w:val="00DB5F83"/>
    <w:rsid w:val="00DB757B"/>
    <w:rsid w:val="00DB7728"/>
    <w:rsid w:val="00DC10BC"/>
    <w:rsid w:val="00DC1D71"/>
    <w:rsid w:val="00DC3A2B"/>
    <w:rsid w:val="00DC41EA"/>
    <w:rsid w:val="00DC5424"/>
    <w:rsid w:val="00DC729D"/>
    <w:rsid w:val="00DD255F"/>
    <w:rsid w:val="00DD42C9"/>
    <w:rsid w:val="00DD453D"/>
    <w:rsid w:val="00DD5947"/>
    <w:rsid w:val="00DD5DB8"/>
    <w:rsid w:val="00DD5F43"/>
    <w:rsid w:val="00DD6465"/>
    <w:rsid w:val="00DD7752"/>
    <w:rsid w:val="00DE00BD"/>
    <w:rsid w:val="00DE0F80"/>
    <w:rsid w:val="00DE19BE"/>
    <w:rsid w:val="00DE2996"/>
    <w:rsid w:val="00DE2A52"/>
    <w:rsid w:val="00DE51AF"/>
    <w:rsid w:val="00DF0EB7"/>
    <w:rsid w:val="00DF1268"/>
    <w:rsid w:val="00DF187B"/>
    <w:rsid w:val="00DF1FAB"/>
    <w:rsid w:val="00DF2B09"/>
    <w:rsid w:val="00DF37FD"/>
    <w:rsid w:val="00DF54E8"/>
    <w:rsid w:val="00DF6500"/>
    <w:rsid w:val="00E0055B"/>
    <w:rsid w:val="00E0133B"/>
    <w:rsid w:val="00E01363"/>
    <w:rsid w:val="00E017B6"/>
    <w:rsid w:val="00E01CFA"/>
    <w:rsid w:val="00E0229A"/>
    <w:rsid w:val="00E03DB8"/>
    <w:rsid w:val="00E057BF"/>
    <w:rsid w:val="00E0594C"/>
    <w:rsid w:val="00E061F9"/>
    <w:rsid w:val="00E079F4"/>
    <w:rsid w:val="00E07CE8"/>
    <w:rsid w:val="00E10932"/>
    <w:rsid w:val="00E117FA"/>
    <w:rsid w:val="00E11868"/>
    <w:rsid w:val="00E1187D"/>
    <w:rsid w:val="00E1209C"/>
    <w:rsid w:val="00E12615"/>
    <w:rsid w:val="00E133AF"/>
    <w:rsid w:val="00E13438"/>
    <w:rsid w:val="00E1381A"/>
    <w:rsid w:val="00E13F7B"/>
    <w:rsid w:val="00E154C2"/>
    <w:rsid w:val="00E1698A"/>
    <w:rsid w:val="00E1745C"/>
    <w:rsid w:val="00E176EC"/>
    <w:rsid w:val="00E17966"/>
    <w:rsid w:val="00E17CDF"/>
    <w:rsid w:val="00E17D44"/>
    <w:rsid w:val="00E17EFC"/>
    <w:rsid w:val="00E203B7"/>
    <w:rsid w:val="00E20DA1"/>
    <w:rsid w:val="00E22830"/>
    <w:rsid w:val="00E22F3B"/>
    <w:rsid w:val="00E23533"/>
    <w:rsid w:val="00E24F62"/>
    <w:rsid w:val="00E257A2"/>
    <w:rsid w:val="00E258FF"/>
    <w:rsid w:val="00E25AC4"/>
    <w:rsid w:val="00E26FA0"/>
    <w:rsid w:val="00E26FE3"/>
    <w:rsid w:val="00E2725B"/>
    <w:rsid w:val="00E277CE"/>
    <w:rsid w:val="00E27E94"/>
    <w:rsid w:val="00E27F03"/>
    <w:rsid w:val="00E30975"/>
    <w:rsid w:val="00E31DB0"/>
    <w:rsid w:val="00E32B1F"/>
    <w:rsid w:val="00E3306E"/>
    <w:rsid w:val="00E3326E"/>
    <w:rsid w:val="00E334A5"/>
    <w:rsid w:val="00E338A6"/>
    <w:rsid w:val="00E33EDC"/>
    <w:rsid w:val="00E3450F"/>
    <w:rsid w:val="00E345AC"/>
    <w:rsid w:val="00E35557"/>
    <w:rsid w:val="00E35FCA"/>
    <w:rsid w:val="00E3605D"/>
    <w:rsid w:val="00E37477"/>
    <w:rsid w:val="00E3753E"/>
    <w:rsid w:val="00E40106"/>
    <w:rsid w:val="00E40F82"/>
    <w:rsid w:val="00E413BD"/>
    <w:rsid w:val="00E415C2"/>
    <w:rsid w:val="00E42C05"/>
    <w:rsid w:val="00E45CD1"/>
    <w:rsid w:val="00E464C3"/>
    <w:rsid w:val="00E46BD2"/>
    <w:rsid w:val="00E51564"/>
    <w:rsid w:val="00E51E12"/>
    <w:rsid w:val="00E528F2"/>
    <w:rsid w:val="00E53C5B"/>
    <w:rsid w:val="00E54186"/>
    <w:rsid w:val="00E551DD"/>
    <w:rsid w:val="00E564FF"/>
    <w:rsid w:val="00E60A4D"/>
    <w:rsid w:val="00E620EB"/>
    <w:rsid w:val="00E62189"/>
    <w:rsid w:val="00E63347"/>
    <w:rsid w:val="00E6436E"/>
    <w:rsid w:val="00E6502F"/>
    <w:rsid w:val="00E657EF"/>
    <w:rsid w:val="00E65C2C"/>
    <w:rsid w:val="00E66831"/>
    <w:rsid w:val="00E66920"/>
    <w:rsid w:val="00E6777A"/>
    <w:rsid w:val="00E708B8"/>
    <w:rsid w:val="00E70B33"/>
    <w:rsid w:val="00E70E14"/>
    <w:rsid w:val="00E725AD"/>
    <w:rsid w:val="00E73179"/>
    <w:rsid w:val="00E74130"/>
    <w:rsid w:val="00E74837"/>
    <w:rsid w:val="00E75481"/>
    <w:rsid w:val="00E7694F"/>
    <w:rsid w:val="00E7738D"/>
    <w:rsid w:val="00E775A0"/>
    <w:rsid w:val="00E7769E"/>
    <w:rsid w:val="00E77BB6"/>
    <w:rsid w:val="00E8104F"/>
    <w:rsid w:val="00E8336F"/>
    <w:rsid w:val="00E83B6C"/>
    <w:rsid w:val="00E83F8A"/>
    <w:rsid w:val="00E844CE"/>
    <w:rsid w:val="00E85F54"/>
    <w:rsid w:val="00E873D5"/>
    <w:rsid w:val="00E874C0"/>
    <w:rsid w:val="00E90ACA"/>
    <w:rsid w:val="00E91F17"/>
    <w:rsid w:val="00E94713"/>
    <w:rsid w:val="00E95123"/>
    <w:rsid w:val="00E95929"/>
    <w:rsid w:val="00E95E9B"/>
    <w:rsid w:val="00E962F1"/>
    <w:rsid w:val="00EA0553"/>
    <w:rsid w:val="00EA11F5"/>
    <w:rsid w:val="00EA2E55"/>
    <w:rsid w:val="00EA340C"/>
    <w:rsid w:val="00EA528C"/>
    <w:rsid w:val="00EA66D9"/>
    <w:rsid w:val="00EA6D5E"/>
    <w:rsid w:val="00EA7DCC"/>
    <w:rsid w:val="00EB1000"/>
    <w:rsid w:val="00EB1E7C"/>
    <w:rsid w:val="00EB1EA9"/>
    <w:rsid w:val="00EB3617"/>
    <w:rsid w:val="00EB3F93"/>
    <w:rsid w:val="00EB660C"/>
    <w:rsid w:val="00EB7815"/>
    <w:rsid w:val="00EB7F55"/>
    <w:rsid w:val="00EC016A"/>
    <w:rsid w:val="00EC02C2"/>
    <w:rsid w:val="00EC0AFC"/>
    <w:rsid w:val="00EC1399"/>
    <w:rsid w:val="00EC1854"/>
    <w:rsid w:val="00EC316E"/>
    <w:rsid w:val="00EC4C0B"/>
    <w:rsid w:val="00EC4DF5"/>
    <w:rsid w:val="00EC5B43"/>
    <w:rsid w:val="00EC62A0"/>
    <w:rsid w:val="00EC6845"/>
    <w:rsid w:val="00EC6BB0"/>
    <w:rsid w:val="00EC6C3B"/>
    <w:rsid w:val="00EC6F7D"/>
    <w:rsid w:val="00EC6FBB"/>
    <w:rsid w:val="00EC767B"/>
    <w:rsid w:val="00EC7BAF"/>
    <w:rsid w:val="00ED17DA"/>
    <w:rsid w:val="00ED1AAE"/>
    <w:rsid w:val="00ED1D50"/>
    <w:rsid w:val="00ED1E4C"/>
    <w:rsid w:val="00ED26E6"/>
    <w:rsid w:val="00ED298C"/>
    <w:rsid w:val="00ED29A6"/>
    <w:rsid w:val="00ED32C5"/>
    <w:rsid w:val="00ED372A"/>
    <w:rsid w:val="00ED4418"/>
    <w:rsid w:val="00ED4AE3"/>
    <w:rsid w:val="00ED5008"/>
    <w:rsid w:val="00ED523D"/>
    <w:rsid w:val="00ED75D2"/>
    <w:rsid w:val="00EE0545"/>
    <w:rsid w:val="00EE0A26"/>
    <w:rsid w:val="00EE0D9B"/>
    <w:rsid w:val="00EE19F9"/>
    <w:rsid w:val="00EE1AF0"/>
    <w:rsid w:val="00EE1E2B"/>
    <w:rsid w:val="00EE1EFC"/>
    <w:rsid w:val="00EE3054"/>
    <w:rsid w:val="00EE41DB"/>
    <w:rsid w:val="00EE4716"/>
    <w:rsid w:val="00EE4FC5"/>
    <w:rsid w:val="00EE61A4"/>
    <w:rsid w:val="00EE6EB7"/>
    <w:rsid w:val="00EE7B03"/>
    <w:rsid w:val="00EF0954"/>
    <w:rsid w:val="00EF2340"/>
    <w:rsid w:val="00EF3A51"/>
    <w:rsid w:val="00EF51FA"/>
    <w:rsid w:val="00F00316"/>
    <w:rsid w:val="00F006BC"/>
    <w:rsid w:val="00F00722"/>
    <w:rsid w:val="00F01019"/>
    <w:rsid w:val="00F01320"/>
    <w:rsid w:val="00F01AC6"/>
    <w:rsid w:val="00F01BD6"/>
    <w:rsid w:val="00F03BFD"/>
    <w:rsid w:val="00F049D3"/>
    <w:rsid w:val="00F05F32"/>
    <w:rsid w:val="00F0783D"/>
    <w:rsid w:val="00F07DCD"/>
    <w:rsid w:val="00F11581"/>
    <w:rsid w:val="00F12FCC"/>
    <w:rsid w:val="00F131D7"/>
    <w:rsid w:val="00F14B9B"/>
    <w:rsid w:val="00F168E0"/>
    <w:rsid w:val="00F21111"/>
    <w:rsid w:val="00F21826"/>
    <w:rsid w:val="00F221BA"/>
    <w:rsid w:val="00F224DF"/>
    <w:rsid w:val="00F2276E"/>
    <w:rsid w:val="00F22C54"/>
    <w:rsid w:val="00F23A9F"/>
    <w:rsid w:val="00F23B2E"/>
    <w:rsid w:val="00F23E82"/>
    <w:rsid w:val="00F23F73"/>
    <w:rsid w:val="00F24E0A"/>
    <w:rsid w:val="00F2642D"/>
    <w:rsid w:val="00F266FB"/>
    <w:rsid w:val="00F2764F"/>
    <w:rsid w:val="00F27B51"/>
    <w:rsid w:val="00F30535"/>
    <w:rsid w:val="00F305C8"/>
    <w:rsid w:val="00F309A7"/>
    <w:rsid w:val="00F32498"/>
    <w:rsid w:val="00F32806"/>
    <w:rsid w:val="00F3317E"/>
    <w:rsid w:val="00F33724"/>
    <w:rsid w:val="00F33B40"/>
    <w:rsid w:val="00F33E85"/>
    <w:rsid w:val="00F34782"/>
    <w:rsid w:val="00F35B4F"/>
    <w:rsid w:val="00F3654B"/>
    <w:rsid w:val="00F37351"/>
    <w:rsid w:val="00F373AA"/>
    <w:rsid w:val="00F40291"/>
    <w:rsid w:val="00F405E0"/>
    <w:rsid w:val="00F410CD"/>
    <w:rsid w:val="00F43F4D"/>
    <w:rsid w:val="00F444FA"/>
    <w:rsid w:val="00F44893"/>
    <w:rsid w:val="00F454D7"/>
    <w:rsid w:val="00F45EC8"/>
    <w:rsid w:val="00F46B63"/>
    <w:rsid w:val="00F47F1B"/>
    <w:rsid w:val="00F50696"/>
    <w:rsid w:val="00F50708"/>
    <w:rsid w:val="00F50813"/>
    <w:rsid w:val="00F51831"/>
    <w:rsid w:val="00F51BEF"/>
    <w:rsid w:val="00F522B3"/>
    <w:rsid w:val="00F52769"/>
    <w:rsid w:val="00F53708"/>
    <w:rsid w:val="00F53860"/>
    <w:rsid w:val="00F539B2"/>
    <w:rsid w:val="00F5441F"/>
    <w:rsid w:val="00F55F27"/>
    <w:rsid w:val="00F5682A"/>
    <w:rsid w:val="00F572F0"/>
    <w:rsid w:val="00F575BF"/>
    <w:rsid w:val="00F57731"/>
    <w:rsid w:val="00F608D3"/>
    <w:rsid w:val="00F610D5"/>
    <w:rsid w:val="00F616BF"/>
    <w:rsid w:val="00F61E53"/>
    <w:rsid w:val="00F62235"/>
    <w:rsid w:val="00F62F93"/>
    <w:rsid w:val="00F644A2"/>
    <w:rsid w:val="00F64692"/>
    <w:rsid w:val="00F655CA"/>
    <w:rsid w:val="00F65E73"/>
    <w:rsid w:val="00F67948"/>
    <w:rsid w:val="00F7011E"/>
    <w:rsid w:val="00F7071F"/>
    <w:rsid w:val="00F71338"/>
    <w:rsid w:val="00F71C70"/>
    <w:rsid w:val="00F7247C"/>
    <w:rsid w:val="00F7365A"/>
    <w:rsid w:val="00F73A9F"/>
    <w:rsid w:val="00F73EF3"/>
    <w:rsid w:val="00F74474"/>
    <w:rsid w:val="00F74A64"/>
    <w:rsid w:val="00F75DE6"/>
    <w:rsid w:val="00F75DF2"/>
    <w:rsid w:val="00F76C22"/>
    <w:rsid w:val="00F777BD"/>
    <w:rsid w:val="00F80A23"/>
    <w:rsid w:val="00F81D14"/>
    <w:rsid w:val="00F823C1"/>
    <w:rsid w:val="00F839FF"/>
    <w:rsid w:val="00F86645"/>
    <w:rsid w:val="00F86B0E"/>
    <w:rsid w:val="00F8768A"/>
    <w:rsid w:val="00F911F8"/>
    <w:rsid w:val="00F913E3"/>
    <w:rsid w:val="00F93866"/>
    <w:rsid w:val="00F93B0A"/>
    <w:rsid w:val="00F93C34"/>
    <w:rsid w:val="00F94113"/>
    <w:rsid w:val="00F94C76"/>
    <w:rsid w:val="00F94EAF"/>
    <w:rsid w:val="00F96AD5"/>
    <w:rsid w:val="00F96BBC"/>
    <w:rsid w:val="00F97698"/>
    <w:rsid w:val="00FA096D"/>
    <w:rsid w:val="00FA162A"/>
    <w:rsid w:val="00FA34DA"/>
    <w:rsid w:val="00FA5924"/>
    <w:rsid w:val="00FA7F67"/>
    <w:rsid w:val="00FB1776"/>
    <w:rsid w:val="00FB208B"/>
    <w:rsid w:val="00FB30F4"/>
    <w:rsid w:val="00FB3CED"/>
    <w:rsid w:val="00FB3E24"/>
    <w:rsid w:val="00FB4D80"/>
    <w:rsid w:val="00FB4FD0"/>
    <w:rsid w:val="00FB5950"/>
    <w:rsid w:val="00FB6595"/>
    <w:rsid w:val="00FB69D6"/>
    <w:rsid w:val="00FB7580"/>
    <w:rsid w:val="00FC00FD"/>
    <w:rsid w:val="00FC0455"/>
    <w:rsid w:val="00FC0E29"/>
    <w:rsid w:val="00FC15C0"/>
    <w:rsid w:val="00FC1715"/>
    <w:rsid w:val="00FC17AA"/>
    <w:rsid w:val="00FC1A5B"/>
    <w:rsid w:val="00FC3CCD"/>
    <w:rsid w:val="00FC3D0C"/>
    <w:rsid w:val="00FC456C"/>
    <w:rsid w:val="00FC4E85"/>
    <w:rsid w:val="00FC4EB6"/>
    <w:rsid w:val="00FC5BD1"/>
    <w:rsid w:val="00FC614E"/>
    <w:rsid w:val="00FC6457"/>
    <w:rsid w:val="00FC7A8F"/>
    <w:rsid w:val="00FC7EA8"/>
    <w:rsid w:val="00FD06C4"/>
    <w:rsid w:val="00FD1A84"/>
    <w:rsid w:val="00FD2B7F"/>
    <w:rsid w:val="00FD2C25"/>
    <w:rsid w:val="00FD30EE"/>
    <w:rsid w:val="00FD31F7"/>
    <w:rsid w:val="00FD3322"/>
    <w:rsid w:val="00FD43BE"/>
    <w:rsid w:val="00FD4E94"/>
    <w:rsid w:val="00FD5D8A"/>
    <w:rsid w:val="00FD7372"/>
    <w:rsid w:val="00FD7DF5"/>
    <w:rsid w:val="00FE067B"/>
    <w:rsid w:val="00FE0AFA"/>
    <w:rsid w:val="00FE0BF8"/>
    <w:rsid w:val="00FE12D2"/>
    <w:rsid w:val="00FE14DE"/>
    <w:rsid w:val="00FE1B4A"/>
    <w:rsid w:val="00FE1ECE"/>
    <w:rsid w:val="00FE4926"/>
    <w:rsid w:val="00FE673C"/>
    <w:rsid w:val="00FE7183"/>
    <w:rsid w:val="00FF048B"/>
    <w:rsid w:val="00FF0521"/>
    <w:rsid w:val="00FF063F"/>
    <w:rsid w:val="00FF09B9"/>
    <w:rsid w:val="00FF10BE"/>
    <w:rsid w:val="00FF1747"/>
    <w:rsid w:val="00FF1CB2"/>
    <w:rsid w:val="00FF3797"/>
    <w:rsid w:val="00FF444A"/>
    <w:rsid w:val="00FF5492"/>
    <w:rsid w:val="00FF65CB"/>
    <w:rsid w:val="00FF6644"/>
    <w:rsid w:val="00FF6DCE"/>
    <w:rsid w:val="00FF6E42"/>
    <w:rsid w:val="00FF75BD"/>
    <w:rsid w:val="00FF77DF"/>
    <w:rsid w:val="00FF7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page number" w:uiPriority="99"/>
    <w:lsdException w:name="Title" w:qFormat="1"/>
    <w:lsdException w:name="Subtitle" w:uiPriority="11"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600"/>
    <w:pPr>
      <w:jc w:val="both"/>
    </w:pPr>
    <w:rPr>
      <w:rFonts w:cs="Angsana New"/>
      <w:sz w:val="22"/>
      <w:szCs w:val="24"/>
      <w:lang w:val="en-GB"/>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4E0F"/>
    <w:rPr>
      <w:sz w:val="18"/>
      <w:u w:val="single"/>
      <w:vertAlign w:val="baseline"/>
    </w:rPr>
  </w:style>
  <w:style w:type="character" w:styleId="PageNumber">
    <w:name w:val="page number"/>
    <w:uiPriority w:val="99"/>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rFonts w:cs="Times New Roman"/>
    </w:rPr>
  </w:style>
  <w:style w:type="paragraph" w:styleId="Footer">
    <w:name w:val="footer"/>
    <w:basedOn w:val="Normal"/>
    <w:link w:val="FooterChar"/>
    <w:rsid w:val="00424E0F"/>
    <w:pPr>
      <w:tabs>
        <w:tab w:val="center" w:pos="4320"/>
        <w:tab w:val="right" w:pos="8640"/>
      </w:tabs>
      <w:ind w:firstLine="720"/>
      <w:jc w:val="right"/>
    </w:pPr>
    <w:rPr>
      <w:rFonts w:cs="Times New Roman"/>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rFonts w:cs="Times New Roman"/>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odyTextIndent">
    <w:name w:val="Body Text Indent"/>
    <w:basedOn w:val="Normal"/>
    <w:rsid w:val="00424E0F"/>
    <w:pPr>
      <w:spacing w:before="120" w:after="120"/>
      <w:ind w:left="1440" w:hanging="720"/>
      <w:jc w:val="left"/>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cs="Times New Roman"/>
      <w:b/>
      <w:bCs/>
      <w:caps/>
    </w:rPr>
  </w:style>
  <w:style w:type="paragraph" w:customStyle="1" w:styleId="Cornernotation">
    <w:name w:val="Corner notation"/>
    <w:basedOn w:val="Normal"/>
    <w:rsid w:val="00424E0F"/>
    <w:pPr>
      <w:ind w:left="284" w:right="4398" w:hanging="284"/>
      <w:jc w:val="left"/>
    </w:pPr>
  </w:style>
  <w:style w:type="paragraph" w:customStyle="1" w:styleId="Para1">
    <w:name w:val="Para1"/>
    <w:basedOn w:val="Normal"/>
    <w:link w:val="Para1Char1"/>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cs="Times New Roman"/>
      <w:sz w:val="20"/>
      <w:lang w:val="x-none"/>
    </w:rPr>
  </w:style>
  <w:style w:type="paragraph" w:customStyle="1" w:styleId="xl24">
    <w:name w:val="xl24"/>
    <w:basedOn w:val="Normal"/>
    <w:pPr>
      <w:spacing w:before="100" w:beforeAutospacing="1" w:after="100" w:afterAutospacing="1"/>
    </w:pPr>
    <w:rPr>
      <w:rFonts w:eastAsia="Arial Unicode MS"/>
      <w:b/>
      <w:bCs/>
      <w:szCs w:val="22"/>
    </w:rPr>
  </w:style>
  <w:style w:type="paragraph" w:customStyle="1" w:styleId="xl25">
    <w:name w:val="xl25"/>
    <w:basedOn w:val="Normal"/>
    <w:pPr>
      <w:spacing w:before="100" w:beforeAutospacing="1" w:after="100" w:afterAutospacing="1"/>
    </w:pPr>
    <w:rPr>
      <w:rFonts w:eastAsia="Arial Unicode MS"/>
      <w:b/>
      <w:bCs/>
      <w:szCs w:val="22"/>
    </w:rPr>
  </w:style>
  <w:style w:type="paragraph" w:customStyle="1" w:styleId="xl26">
    <w:name w:val="xl26"/>
    <w:basedOn w:val="Normal"/>
    <w:pPr>
      <w:spacing w:before="100" w:beforeAutospacing="1" w:after="100" w:afterAutospacing="1"/>
      <w:jc w:val="center"/>
    </w:pPr>
    <w:rPr>
      <w:rFonts w:eastAsia="Arial Unicode MS"/>
      <w:b/>
      <w:bCs/>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Cs w:val="22"/>
    </w:rPr>
  </w:style>
  <w:style w:type="paragraph" w:customStyle="1" w:styleId="xl34">
    <w:name w:val="xl34"/>
    <w:basedOn w:val="Normal"/>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pPr>
      <w:spacing w:before="100" w:beforeAutospacing="1" w:after="100" w:afterAutospacing="1"/>
      <w:jc w:val="center"/>
      <w:textAlignment w:val="top"/>
    </w:pPr>
    <w:rPr>
      <w:rFonts w:eastAsia="Arial Unicode MS"/>
      <w:szCs w:val="22"/>
    </w:rPr>
  </w:style>
  <w:style w:type="paragraph" w:customStyle="1" w:styleId="xl41">
    <w:name w:val="xl41"/>
    <w:basedOn w:val="Normal"/>
    <w:pPr>
      <w:spacing w:before="100" w:beforeAutospacing="1" w:after="100" w:afterAutospacing="1"/>
      <w:textAlignment w:val="top"/>
    </w:pPr>
    <w:rPr>
      <w:rFonts w:eastAsia="Arial Unicode MS"/>
      <w:szCs w:val="22"/>
    </w:rPr>
  </w:style>
  <w:style w:type="paragraph" w:customStyle="1" w:styleId="xl42">
    <w:name w:val="xl42"/>
    <w:basedOn w:val="Normal"/>
    <w:pPr>
      <w:spacing w:before="100" w:beforeAutospacing="1" w:after="100" w:afterAutospacing="1"/>
      <w:jc w:val="center"/>
    </w:pPr>
    <w:rPr>
      <w:rFonts w:eastAsia="Arial Unicode MS"/>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Cs w:val="22"/>
    </w:rPr>
  </w:style>
  <w:style w:type="paragraph" w:customStyle="1" w:styleId="xl56">
    <w:name w:val="xl56"/>
    <w:basedOn w:val="Normal"/>
    <w:pPr>
      <w:spacing w:before="100" w:beforeAutospacing="1" w:after="100" w:afterAutospacing="1"/>
    </w:pPr>
    <w:rPr>
      <w:rFonts w:eastAsia="Arial Unicode MS"/>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pPr>
      <w:widowControl w:val="0"/>
      <w:tabs>
        <w:tab w:val="left" w:pos="720"/>
      </w:tabs>
      <w:spacing w:before="120" w:after="120"/>
    </w:pPr>
  </w:style>
  <w:style w:type="paragraph" w:styleId="NormalWeb">
    <w:name w:val="Normal (Web)"/>
    <w:basedOn w:val="Normal"/>
    <w:uiPriority w:val="99"/>
    <w:rsid w:val="00424E0F"/>
    <w:pPr>
      <w:spacing w:before="100" w:beforeAutospacing="1" w:after="100" w:afterAutospacing="1"/>
      <w:jc w:val="left"/>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rPr>
  </w:style>
  <w:style w:type="character" w:styleId="Strong">
    <w:name w:val="Strong"/>
    <w:qFormat/>
    <w:rsid w:val="00424E0F"/>
    <w:rPr>
      <w:b/>
      <w:bCs/>
    </w:rPr>
  </w:style>
  <w:style w:type="paragraph" w:customStyle="1" w:styleId="Para10">
    <w:name w:val="Para 1"/>
    <w:basedOn w:val="BodyText"/>
    <w:rsid w:val="00424E0F"/>
    <w:pPr>
      <w:ind w:firstLine="0"/>
    </w:pPr>
    <w:rPr>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Cs w:val="18"/>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snapToGrid w:val="0"/>
      <w:szCs w:val="18"/>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i/>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jc w:val="left"/>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cs="Times New Roman"/>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rPr>
      <w:rFonts w:cs="Times New Roman"/>
    </w:r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jc w:val="left"/>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rFonts w:cs="Times New Roman"/>
      <w:szCs w:val="22"/>
      <w:lang w:val="en-US"/>
    </w:rPr>
  </w:style>
  <w:style w:type="paragraph" w:customStyle="1" w:styleId="Para40">
    <w:name w:val="Para4"/>
    <w:basedOn w:val="Para3"/>
    <w:rsid w:val="00424E0F"/>
    <w:p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jc w:val="left"/>
    </w:pPr>
    <w:rPr>
      <w:rFonts w:eastAsia="Calibri" w:cs="Times New Roman"/>
      <w:color w:val="000000"/>
      <w:sz w:val="24"/>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cs="Times New Roma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jc w:val="left"/>
    </w:pPr>
    <w:rPr>
      <w:rFonts w:eastAsia="Malgun Gothic" w:cs="Times New Roman"/>
      <w:caps/>
      <w:snapToGrid w:val="0"/>
    </w:rPr>
  </w:style>
  <w:style w:type="paragraph" w:styleId="TOC9">
    <w:name w:val="toc 9"/>
    <w:basedOn w:val="Normal"/>
    <w:next w:val="Normal"/>
    <w:autoRedefine/>
    <w:rsid w:val="001416C5"/>
    <w:pPr>
      <w:tabs>
        <w:tab w:val="num" w:pos="1440"/>
      </w:tabs>
      <w:spacing w:before="120" w:after="120"/>
      <w:ind w:left="1440" w:hanging="360"/>
      <w:jc w:val="left"/>
    </w:pPr>
    <w:rPr>
      <w:rFonts w:eastAsia="Times New Roman" w:cs="Times New Roman"/>
    </w:rPr>
  </w:style>
  <w:style w:type="paragraph" w:styleId="ListParagraph">
    <w:name w:val="List Paragraph"/>
    <w:basedOn w:val="Normal"/>
    <w:uiPriority w:val="34"/>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paragraph" w:customStyle="1" w:styleId="CBD-Para">
    <w:name w:val="CBD-Para"/>
    <w:basedOn w:val="Normal"/>
    <w:link w:val="CBD-ParaCharChar"/>
    <w:rsid w:val="00F23E82"/>
    <w:pPr>
      <w:keepLines/>
      <w:numPr>
        <w:numId w:val="15"/>
      </w:numPr>
      <w:spacing w:before="120" w:after="120"/>
    </w:pPr>
    <w:rPr>
      <w:rFonts w:eastAsia="Times New Roman" w:cs="Times New Roman"/>
      <w:szCs w:val="22"/>
      <w:lang w:val="en-US"/>
    </w:rPr>
  </w:style>
  <w:style w:type="character" w:customStyle="1" w:styleId="CBD-ParaCharChar">
    <w:name w:val="CBD-Para Char Char"/>
    <w:link w:val="CBD-Para"/>
    <w:rsid w:val="00F23E82"/>
    <w:rPr>
      <w:rFonts w:eastAsia="Times New Roman"/>
      <w:sz w:val="22"/>
      <w:szCs w:val="22"/>
    </w:rPr>
  </w:style>
  <w:style w:type="paragraph" w:customStyle="1" w:styleId="CBD-Para-a">
    <w:name w:val="CBD-Para-a"/>
    <w:basedOn w:val="CBD-Para"/>
    <w:rsid w:val="00F23E82"/>
    <w:pPr>
      <w:numPr>
        <w:ilvl w:val="1"/>
      </w:numPr>
      <w:spacing w:before="60" w:after="60"/>
    </w:pPr>
  </w:style>
  <w:style w:type="paragraph" w:customStyle="1" w:styleId="CBD-Doc-Type">
    <w:name w:val="CBD-Doc-Type"/>
    <w:basedOn w:val="Normal"/>
    <w:rsid w:val="00813AFA"/>
    <w:pPr>
      <w:spacing w:before="240" w:after="120"/>
    </w:pPr>
    <w:rPr>
      <w:rFonts w:eastAsia="Times New Roman"/>
      <w:b/>
      <w:i/>
      <w:sz w:val="24"/>
    </w:rPr>
  </w:style>
  <w:style w:type="paragraph" w:customStyle="1" w:styleId="CBD-Para-1">
    <w:name w:val="CBD-Para-1"/>
    <w:basedOn w:val="Normal"/>
    <w:qFormat/>
    <w:rsid w:val="004C7BEC"/>
    <w:pPr>
      <w:keepLines/>
      <w:numPr>
        <w:numId w:val="16"/>
      </w:numPr>
      <w:tabs>
        <w:tab w:val="left" w:pos="720"/>
      </w:tabs>
      <w:spacing w:before="120" w:after="120"/>
    </w:pPr>
    <w:rPr>
      <w:rFonts w:eastAsia="Times New Roman" w:cs="Times New Roman"/>
    </w:rPr>
  </w:style>
  <w:style w:type="character" w:customStyle="1" w:styleId="SubtitleChar">
    <w:name w:val="Subtitle Char"/>
    <w:link w:val="Subtitle"/>
    <w:uiPriority w:val="11"/>
    <w:rsid w:val="00657E8B"/>
    <w:rPr>
      <w:rFonts w:cs="Angsana New"/>
      <w:b/>
      <w:bCs/>
      <w:sz w:val="22"/>
      <w:szCs w:val="24"/>
      <w:lang w:val="en-GB"/>
    </w:rPr>
  </w:style>
  <w:style w:type="character" w:customStyle="1" w:styleId="Para1Char1">
    <w:name w:val="Para1 Char1"/>
    <w:link w:val="Para1"/>
    <w:rsid w:val="00844CA7"/>
    <w:rPr>
      <w:rFonts w:cs="Angsana New"/>
      <w:snapToGrid w:val="0"/>
      <w:sz w:val="22"/>
      <w:szCs w:val="18"/>
      <w:lang w:val="en-GB"/>
    </w:rPr>
  </w:style>
  <w:style w:type="paragraph" w:customStyle="1" w:styleId="Heading1centred">
    <w:name w:val="Heading 1 (centred)"/>
    <w:basedOn w:val="Normal"/>
    <w:next w:val="Para1"/>
    <w:rsid w:val="00E26FA0"/>
    <w:pPr>
      <w:keepNext/>
      <w:tabs>
        <w:tab w:val="left" w:pos="709"/>
      </w:tabs>
      <w:spacing w:before="240" w:after="120"/>
      <w:jc w:val="center"/>
    </w:pPr>
    <w:rPr>
      <w:rFonts w:eastAsia="Times New Roman" w:cs="Times New Roman"/>
      <w:b/>
      <w:caps/>
    </w:rPr>
  </w:style>
  <w:style w:type="character" w:customStyle="1" w:styleId="None">
    <w:name w:val="None"/>
    <w:rsid w:val="00CF2768"/>
  </w:style>
  <w:style w:type="paragraph" w:customStyle="1" w:styleId="Numberedparagraph">
    <w:name w:val="Numbered paragraph"/>
    <w:basedOn w:val="Normal"/>
    <w:rsid w:val="003D4A4F"/>
    <w:pPr>
      <w:numPr>
        <w:numId w:val="22"/>
      </w:numPr>
      <w:spacing w:before="120" w:after="120"/>
    </w:pPr>
    <w:rPr>
      <w:rFonts w:eastAsia="Times New Roman" w:cs="Times New Roman"/>
      <w:kern w:val="28"/>
      <w:szCs w:val="20"/>
    </w:rPr>
  </w:style>
  <w:style w:type="paragraph" w:styleId="NoSpacing">
    <w:name w:val="No Spacing"/>
    <w:uiPriority w:val="1"/>
    <w:qFormat/>
    <w:rsid w:val="00610CB7"/>
    <w:rPr>
      <w:rFonts w:ascii="Calibri" w:eastAsia="Calibri" w:hAnsi="Calibri"/>
      <w:sz w:val="22"/>
      <w:szCs w:val="22"/>
      <w:lang w:val="en-CA"/>
    </w:rPr>
  </w:style>
  <w:style w:type="character" w:styleId="PlaceholderText">
    <w:name w:val="Placeholder Text"/>
    <w:basedOn w:val="DefaultParagraphFont"/>
    <w:uiPriority w:val="99"/>
    <w:semiHidden/>
    <w:rsid w:val="006B1EF9"/>
    <w:rPr>
      <w:color w:val="808080"/>
    </w:rPr>
  </w:style>
  <w:style w:type="character" w:customStyle="1" w:styleId="UnresolvedMention">
    <w:name w:val="Unresolved Mention"/>
    <w:basedOn w:val="DefaultParagraphFont"/>
    <w:uiPriority w:val="99"/>
    <w:semiHidden/>
    <w:unhideWhenUsed/>
    <w:rsid w:val="006B1EF9"/>
    <w:rPr>
      <w:color w:val="808080"/>
      <w:shd w:val="clear" w:color="auto" w:fill="E6E6E6"/>
    </w:rPr>
  </w:style>
  <w:style w:type="character" w:customStyle="1" w:styleId="StyleFootnoteReferencenumberFootnoteReferenceSuperscript-EF">
    <w:name w:val="Style Footnote ReferencenumberFootnote Reference Superscript-E F..."/>
    <w:basedOn w:val="FootnoteReference"/>
    <w:rsid w:val="006B1EF9"/>
    <w:rPr>
      <w:kern w:val="22"/>
      <w:sz w:val="18"/>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page number" w:uiPriority="99"/>
    <w:lsdException w:name="Title" w:qFormat="1"/>
    <w:lsdException w:name="Subtitle" w:uiPriority="11" w:qFormat="1"/>
    <w:lsdException w:name="Body Text 2" w:uiPriority="99"/>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600"/>
    <w:pPr>
      <w:jc w:val="both"/>
    </w:pPr>
    <w:rPr>
      <w:rFonts w:cs="Angsana New"/>
      <w:sz w:val="22"/>
      <w:szCs w:val="24"/>
      <w:lang w:val="en-GB"/>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4E0F"/>
    <w:rPr>
      <w:sz w:val="18"/>
      <w:u w:val="single"/>
      <w:vertAlign w:val="baseline"/>
    </w:rPr>
  </w:style>
  <w:style w:type="character" w:styleId="PageNumber">
    <w:name w:val="page number"/>
    <w:uiPriority w:val="99"/>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rPr>
      <w:rFonts w:cs="Times New Roman"/>
    </w:rPr>
  </w:style>
  <w:style w:type="paragraph" w:styleId="Footer">
    <w:name w:val="footer"/>
    <w:basedOn w:val="Normal"/>
    <w:link w:val="FooterChar"/>
    <w:rsid w:val="00424E0F"/>
    <w:pPr>
      <w:tabs>
        <w:tab w:val="center" w:pos="4320"/>
        <w:tab w:val="right" w:pos="8640"/>
      </w:tabs>
      <w:ind w:firstLine="720"/>
      <w:jc w:val="right"/>
    </w:pPr>
    <w:rPr>
      <w:rFonts w:cs="Times New Roman"/>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24E0F"/>
    <w:pPr>
      <w:keepLines/>
      <w:spacing w:after="60"/>
      <w:ind w:firstLine="720"/>
    </w:pPr>
    <w:rPr>
      <w:rFonts w:cs="Times New Roman"/>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odyTextIndent">
    <w:name w:val="Body Text Indent"/>
    <w:basedOn w:val="Normal"/>
    <w:rsid w:val="00424E0F"/>
    <w:pPr>
      <w:spacing w:before="120" w:after="120"/>
      <w:ind w:left="1440" w:hanging="720"/>
      <w:jc w:val="left"/>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cs="Times New Roman"/>
      <w:b/>
      <w:bCs/>
      <w:caps/>
    </w:rPr>
  </w:style>
  <w:style w:type="paragraph" w:customStyle="1" w:styleId="Cornernotation">
    <w:name w:val="Corner notation"/>
    <w:basedOn w:val="Normal"/>
    <w:rsid w:val="00424E0F"/>
    <w:pPr>
      <w:ind w:left="284" w:right="4398" w:hanging="284"/>
      <w:jc w:val="left"/>
    </w:pPr>
  </w:style>
  <w:style w:type="paragraph" w:customStyle="1" w:styleId="Para1">
    <w:name w:val="Para1"/>
    <w:basedOn w:val="Normal"/>
    <w:link w:val="Para1Char1"/>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cs="Times New Roman"/>
      <w:sz w:val="20"/>
      <w:lang w:val="x-none"/>
    </w:rPr>
  </w:style>
  <w:style w:type="paragraph" w:customStyle="1" w:styleId="xl24">
    <w:name w:val="xl24"/>
    <w:basedOn w:val="Normal"/>
    <w:pPr>
      <w:spacing w:before="100" w:beforeAutospacing="1" w:after="100" w:afterAutospacing="1"/>
    </w:pPr>
    <w:rPr>
      <w:rFonts w:eastAsia="Arial Unicode MS"/>
      <w:b/>
      <w:bCs/>
      <w:szCs w:val="22"/>
    </w:rPr>
  </w:style>
  <w:style w:type="paragraph" w:customStyle="1" w:styleId="xl25">
    <w:name w:val="xl25"/>
    <w:basedOn w:val="Normal"/>
    <w:pPr>
      <w:spacing w:before="100" w:beforeAutospacing="1" w:after="100" w:afterAutospacing="1"/>
    </w:pPr>
    <w:rPr>
      <w:rFonts w:eastAsia="Arial Unicode MS"/>
      <w:b/>
      <w:bCs/>
      <w:szCs w:val="22"/>
    </w:rPr>
  </w:style>
  <w:style w:type="paragraph" w:customStyle="1" w:styleId="xl26">
    <w:name w:val="xl26"/>
    <w:basedOn w:val="Normal"/>
    <w:pPr>
      <w:spacing w:before="100" w:beforeAutospacing="1" w:after="100" w:afterAutospacing="1"/>
      <w:jc w:val="center"/>
    </w:pPr>
    <w:rPr>
      <w:rFonts w:eastAsia="Arial Unicode MS"/>
      <w:b/>
      <w:bCs/>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Cs w:val="22"/>
    </w:rPr>
  </w:style>
  <w:style w:type="paragraph" w:customStyle="1" w:styleId="xl34">
    <w:name w:val="xl34"/>
    <w:basedOn w:val="Normal"/>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pPr>
      <w:spacing w:before="100" w:beforeAutospacing="1" w:after="100" w:afterAutospacing="1"/>
      <w:jc w:val="center"/>
      <w:textAlignment w:val="top"/>
    </w:pPr>
    <w:rPr>
      <w:rFonts w:eastAsia="Arial Unicode MS"/>
      <w:szCs w:val="22"/>
    </w:rPr>
  </w:style>
  <w:style w:type="paragraph" w:customStyle="1" w:styleId="xl41">
    <w:name w:val="xl41"/>
    <w:basedOn w:val="Normal"/>
    <w:pPr>
      <w:spacing w:before="100" w:beforeAutospacing="1" w:after="100" w:afterAutospacing="1"/>
      <w:textAlignment w:val="top"/>
    </w:pPr>
    <w:rPr>
      <w:rFonts w:eastAsia="Arial Unicode MS"/>
      <w:szCs w:val="22"/>
    </w:rPr>
  </w:style>
  <w:style w:type="paragraph" w:customStyle="1" w:styleId="xl42">
    <w:name w:val="xl42"/>
    <w:basedOn w:val="Normal"/>
    <w:pPr>
      <w:spacing w:before="100" w:beforeAutospacing="1" w:after="100" w:afterAutospacing="1"/>
      <w:jc w:val="center"/>
    </w:pPr>
    <w:rPr>
      <w:rFonts w:eastAsia="Arial Unicode MS"/>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Cs w:val="22"/>
    </w:rPr>
  </w:style>
  <w:style w:type="paragraph" w:customStyle="1" w:styleId="xl56">
    <w:name w:val="xl56"/>
    <w:basedOn w:val="Normal"/>
    <w:pPr>
      <w:spacing w:before="100" w:beforeAutospacing="1" w:after="100" w:afterAutospacing="1"/>
    </w:pPr>
    <w:rPr>
      <w:rFonts w:eastAsia="Arial Unicode MS"/>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pPr>
      <w:widowControl w:val="0"/>
      <w:tabs>
        <w:tab w:val="left" w:pos="720"/>
      </w:tabs>
      <w:spacing w:before="120" w:after="120"/>
    </w:pPr>
  </w:style>
  <w:style w:type="paragraph" w:styleId="NormalWeb">
    <w:name w:val="Normal (Web)"/>
    <w:basedOn w:val="Normal"/>
    <w:uiPriority w:val="99"/>
    <w:rsid w:val="00424E0F"/>
    <w:pPr>
      <w:spacing w:before="100" w:beforeAutospacing="1" w:after="100" w:afterAutospacing="1"/>
      <w:jc w:val="left"/>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link w:val="SubtitleChar"/>
    <w:uiPriority w:val="11"/>
    <w:qFormat/>
    <w:rPr>
      <w:b/>
      <w:bCs/>
    </w:rPr>
  </w:style>
  <w:style w:type="character" w:styleId="Strong">
    <w:name w:val="Strong"/>
    <w:qFormat/>
    <w:rsid w:val="00424E0F"/>
    <w:rPr>
      <w:b/>
      <w:bCs/>
    </w:rPr>
  </w:style>
  <w:style w:type="paragraph" w:customStyle="1" w:styleId="Para10">
    <w:name w:val="Para 1"/>
    <w:basedOn w:val="BodyText"/>
    <w:rsid w:val="00424E0F"/>
    <w:pPr>
      <w:ind w:firstLine="0"/>
    </w:pPr>
    <w:rPr>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Cs w:val="18"/>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snapToGrid w:val="0"/>
      <w:szCs w:val="18"/>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i/>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jc w:val="left"/>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cs="Times New Roman"/>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rPr>
      <w:rFonts w:cs="Times New Roman"/>
    </w:r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jc w:val="left"/>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rFonts w:cs="Times New Roman"/>
      <w:szCs w:val="22"/>
      <w:lang w:val="en-US"/>
    </w:rPr>
  </w:style>
  <w:style w:type="paragraph" w:customStyle="1" w:styleId="Para40">
    <w:name w:val="Para4"/>
    <w:basedOn w:val="Para3"/>
    <w:rsid w:val="00424E0F"/>
    <w:p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basedOn w:val="Heading1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jc w:val="left"/>
    </w:pPr>
    <w:rPr>
      <w:rFonts w:eastAsia="Calibri" w:cs="Times New Roman"/>
      <w:color w:val="000000"/>
      <w:sz w:val="24"/>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cs="Times New Roma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jc w:val="left"/>
    </w:pPr>
    <w:rPr>
      <w:rFonts w:eastAsia="Malgun Gothic" w:cs="Times New Roman"/>
      <w:caps/>
      <w:snapToGrid w:val="0"/>
    </w:rPr>
  </w:style>
  <w:style w:type="paragraph" w:styleId="TOC9">
    <w:name w:val="toc 9"/>
    <w:basedOn w:val="Normal"/>
    <w:next w:val="Normal"/>
    <w:autoRedefine/>
    <w:rsid w:val="001416C5"/>
    <w:pPr>
      <w:tabs>
        <w:tab w:val="num" w:pos="1440"/>
      </w:tabs>
      <w:spacing w:before="120" w:after="120"/>
      <w:ind w:left="1440" w:hanging="360"/>
      <w:jc w:val="left"/>
    </w:pPr>
    <w:rPr>
      <w:rFonts w:eastAsia="Times New Roman" w:cs="Times New Roman"/>
    </w:rPr>
  </w:style>
  <w:style w:type="paragraph" w:styleId="ListParagraph">
    <w:name w:val="List Paragraph"/>
    <w:basedOn w:val="Normal"/>
    <w:uiPriority w:val="34"/>
    <w:qFormat/>
    <w:rsid w:val="0098127B"/>
    <w:pPr>
      <w:ind w:left="720"/>
    </w:pPr>
  </w:style>
  <w:style w:type="character" w:customStyle="1" w:styleId="CommentTextChar">
    <w:name w:val="Comment Text Char"/>
    <w:link w:val="CommentText"/>
    <w:uiPriority w:val="99"/>
    <w:rsid w:val="00FD31F7"/>
    <w:rPr>
      <w:rFonts w:cs="Angsana New"/>
      <w:szCs w:val="24"/>
      <w:lang w:val="en-GB"/>
    </w:rPr>
  </w:style>
  <w:style w:type="paragraph" w:customStyle="1" w:styleId="CBD-Para">
    <w:name w:val="CBD-Para"/>
    <w:basedOn w:val="Normal"/>
    <w:link w:val="CBD-ParaCharChar"/>
    <w:rsid w:val="00F23E82"/>
    <w:pPr>
      <w:keepLines/>
      <w:numPr>
        <w:numId w:val="15"/>
      </w:numPr>
      <w:spacing w:before="120" w:after="120"/>
    </w:pPr>
    <w:rPr>
      <w:rFonts w:eastAsia="Times New Roman" w:cs="Times New Roman"/>
      <w:szCs w:val="22"/>
      <w:lang w:val="en-US"/>
    </w:rPr>
  </w:style>
  <w:style w:type="character" w:customStyle="1" w:styleId="CBD-ParaCharChar">
    <w:name w:val="CBD-Para Char Char"/>
    <w:link w:val="CBD-Para"/>
    <w:rsid w:val="00F23E82"/>
    <w:rPr>
      <w:rFonts w:eastAsia="Times New Roman"/>
      <w:sz w:val="22"/>
      <w:szCs w:val="22"/>
    </w:rPr>
  </w:style>
  <w:style w:type="paragraph" w:customStyle="1" w:styleId="CBD-Para-a">
    <w:name w:val="CBD-Para-a"/>
    <w:basedOn w:val="CBD-Para"/>
    <w:rsid w:val="00F23E82"/>
    <w:pPr>
      <w:numPr>
        <w:ilvl w:val="1"/>
      </w:numPr>
      <w:spacing w:before="60" w:after="60"/>
    </w:pPr>
  </w:style>
  <w:style w:type="paragraph" w:customStyle="1" w:styleId="CBD-Doc-Type">
    <w:name w:val="CBD-Doc-Type"/>
    <w:basedOn w:val="Normal"/>
    <w:rsid w:val="00813AFA"/>
    <w:pPr>
      <w:spacing w:before="240" w:after="120"/>
    </w:pPr>
    <w:rPr>
      <w:rFonts w:eastAsia="Times New Roman"/>
      <w:b/>
      <w:i/>
      <w:sz w:val="24"/>
    </w:rPr>
  </w:style>
  <w:style w:type="paragraph" w:customStyle="1" w:styleId="CBD-Para-1">
    <w:name w:val="CBD-Para-1"/>
    <w:basedOn w:val="Normal"/>
    <w:qFormat/>
    <w:rsid w:val="004C7BEC"/>
    <w:pPr>
      <w:keepLines/>
      <w:numPr>
        <w:numId w:val="16"/>
      </w:numPr>
      <w:tabs>
        <w:tab w:val="left" w:pos="720"/>
      </w:tabs>
      <w:spacing w:before="120" w:after="120"/>
    </w:pPr>
    <w:rPr>
      <w:rFonts w:eastAsia="Times New Roman" w:cs="Times New Roman"/>
    </w:rPr>
  </w:style>
  <w:style w:type="character" w:customStyle="1" w:styleId="SubtitleChar">
    <w:name w:val="Subtitle Char"/>
    <w:link w:val="Subtitle"/>
    <w:uiPriority w:val="11"/>
    <w:rsid w:val="00657E8B"/>
    <w:rPr>
      <w:rFonts w:cs="Angsana New"/>
      <w:b/>
      <w:bCs/>
      <w:sz w:val="22"/>
      <w:szCs w:val="24"/>
      <w:lang w:val="en-GB"/>
    </w:rPr>
  </w:style>
  <w:style w:type="character" w:customStyle="1" w:styleId="Para1Char1">
    <w:name w:val="Para1 Char1"/>
    <w:link w:val="Para1"/>
    <w:rsid w:val="00844CA7"/>
    <w:rPr>
      <w:rFonts w:cs="Angsana New"/>
      <w:snapToGrid w:val="0"/>
      <w:sz w:val="22"/>
      <w:szCs w:val="18"/>
      <w:lang w:val="en-GB"/>
    </w:rPr>
  </w:style>
  <w:style w:type="paragraph" w:customStyle="1" w:styleId="Heading1centred">
    <w:name w:val="Heading 1 (centred)"/>
    <w:basedOn w:val="Normal"/>
    <w:next w:val="Para1"/>
    <w:rsid w:val="00E26FA0"/>
    <w:pPr>
      <w:keepNext/>
      <w:tabs>
        <w:tab w:val="left" w:pos="709"/>
      </w:tabs>
      <w:spacing w:before="240" w:after="120"/>
      <w:jc w:val="center"/>
    </w:pPr>
    <w:rPr>
      <w:rFonts w:eastAsia="Times New Roman" w:cs="Times New Roman"/>
      <w:b/>
      <w:caps/>
    </w:rPr>
  </w:style>
  <w:style w:type="character" w:customStyle="1" w:styleId="None">
    <w:name w:val="None"/>
    <w:rsid w:val="00CF2768"/>
  </w:style>
  <w:style w:type="paragraph" w:customStyle="1" w:styleId="Numberedparagraph">
    <w:name w:val="Numbered paragraph"/>
    <w:basedOn w:val="Normal"/>
    <w:rsid w:val="003D4A4F"/>
    <w:pPr>
      <w:numPr>
        <w:numId w:val="22"/>
      </w:numPr>
      <w:spacing w:before="120" w:after="120"/>
    </w:pPr>
    <w:rPr>
      <w:rFonts w:eastAsia="Times New Roman" w:cs="Times New Roman"/>
      <w:kern w:val="28"/>
      <w:szCs w:val="20"/>
    </w:rPr>
  </w:style>
  <w:style w:type="paragraph" w:styleId="NoSpacing">
    <w:name w:val="No Spacing"/>
    <w:uiPriority w:val="1"/>
    <w:qFormat/>
    <w:rsid w:val="00610CB7"/>
    <w:rPr>
      <w:rFonts w:ascii="Calibri" w:eastAsia="Calibri" w:hAnsi="Calibri"/>
      <w:sz w:val="22"/>
      <w:szCs w:val="22"/>
      <w:lang w:val="en-CA"/>
    </w:rPr>
  </w:style>
  <w:style w:type="character" w:styleId="PlaceholderText">
    <w:name w:val="Placeholder Text"/>
    <w:basedOn w:val="DefaultParagraphFont"/>
    <w:uiPriority w:val="99"/>
    <w:semiHidden/>
    <w:rsid w:val="006B1EF9"/>
    <w:rPr>
      <w:color w:val="808080"/>
    </w:rPr>
  </w:style>
  <w:style w:type="character" w:customStyle="1" w:styleId="UnresolvedMention">
    <w:name w:val="Unresolved Mention"/>
    <w:basedOn w:val="DefaultParagraphFont"/>
    <w:uiPriority w:val="99"/>
    <w:semiHidden/>
    <w:unhideWhenUsed/>
    <w:rsid w:val="006B1EF9"/>
    <w:rPr>
      <w:color w:val="808080"/>
      <w:shd w:val="clear" w:color="auto" w:fill="E6E6E6"/>
    </w:rPr>
  </w:style>
  <w:style w:type="character" w:customStyle="1" w:styleId="StyleFootnoteReferencenumberFootnoteReferenceSuperscript-EF">
    <w:name w:val="Style Footnote ReferencenumberFootnote Reference Superscript-E F..."/>
    <w:basedOn w:val="FootnoteReference"/>
    <w:rsid w:val="006B1EF9"/>
    <w:rPr>
      <w:kern w:val="22"/>
      <w:sz w:val="18"/>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110369161">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23226927">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85570174">
      <w:bodyDiv w:val="1"/>
      <w:marLeft w:val="0"/>
      <w:marRight w:val="0"/>
      <w:marTop w:val="0"/>
      <w:marBottom w:val="0"/>
      <w:divBdr>
        <w:top w:val="none" w:sz="0" w:space="0" w:color="auto"/>
        <w:left w:val="none" w:sz="0" w:space="0" w:color="auto"/>
        <w:bottom w:val="none" w:sz="0" w:space="0" w:color="auto"/>
        <w:right w:val="none" w:sz="0" w:space="0" w:color="auto"/>
      </w:divBdr>
    </w:div>
    <w:div w:id="415900749">
      <w:bodyDiv w:val="1"/>
      <w:marLeft w:val="0"/>
      <w:marRight w:val="0"/>
      <w:marTop w:val="0"/>
      <w:marBottom w:val="0"/>
      <w:divBdr>
        <w:top w:val="none" w:sz="0" w:space="0" w:color="auto"/>
        <w:left w:val="none" w:sz="0" w:space="0" w:color="auto"/>
        <w:bottom w:val="none" w:sz="0" w:space="0" w:color="auto"/>
        <w:right w:val="none" w:sz="0" w:space="0" w:color="auto"/>
      </w:divBdr>
    </w:div>
    <w:div w:id="587467817">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926">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mop/default.shtml?id=13236" TargetMode="External"/><Relationship Id="rId18" Type="http://schemas.openxmlformats.org/officeDocument/2006/relationships/hyperlink" Target="https://github.com/scbd" TargetMode="External"/><Relationship Id="rId26" Type="http://schemas.openxmlformats.org/officeDocument/2006/relationships/footer" Target="footer2.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demo.chm-cbd.net" TargetMode="External"/><Relationship Id="rId34" Type="http://schemas.openxmlformats.org/officeDocument/2006/relationships/hyperlink" Target="https://www.cbd.int/doc/decisions/mop-08/mop-08-dec-03-en.pdf" TargetMode="External"/><Relationship Id="rId42" Type="http://schemas.openxmlformats.org/officeDocument/2006/relationships/footer" Target="footer7.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cbd.int/doc/decisions/cop-13/cop-13-dec-23-en.pdf" TargetMode="External"/><Relationship Id="rId17" Type="http://schemas.openxmlformats.org/officeDocument/2006/relationships/hyperlink" Target="mailto:onlinereporting@cbd.int"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m.cbd.int" TargetMode="External"/><Relationship Id="rId20" Type="http://schemas.openxmlformats.org/officeDocument/2006/relationships/hyperlink" Target="http://www.informea.org/about/api" TargetMode="External"/><Relationship Id="rId29" Type="http://schemas.openxmlformats.org/officeDocument/2006/relationships/header" Target="head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header" Target="header6.xml"/><Relationship Id="rId37" Type="http://schemas.openxmlformats.org/officeDocument/2006/relationships/hyperlink" Target="https://www.cbd.int/doc/decisions/mop-08/mop-08-dec-03-en.pdf" TargetMode="External"/><Relationship Id="rId40" Type="http://schemas.openxmlformats.org/officeDocument/2006/relationships/footer" Target="footer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np-mop-01/np-mop-01-dec-08-en.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cbd.int/decision/mop/default.shtml?id=13236" TargetMode="External"/><Relationship Id="rId10" Type="http://schemas.openxmlformats.org/officeDocument/2006/relationships/image" Target="media/image2.emf"/><Relationship Id="rId19" Type="http://schemas.openxmlformats.org/officeDocument/2006/relationships/hyperlink" Target="http://www.informea.org" TargetMode="External"/><Relationship Id="rId31" Type="http://schemas.openxmlformats.org/officeDocument/2006/relationships/footer" Target="footer4.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mop-08/mop-08-dec-03-en.pdf" TargetMode="External"/><Relationship Id="rId22" Type="http://schemas.openxmlformats.org/officeDocument/2006/relationships/hyperlink" Target="http://www.informea.org/about"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s://www.cbd.int/doc/decisions/np-mop-02/np-mop-02-dec-08-en.pdf" TargetMode="External"/><Relationship Id="rId43" Type="http://schemas.openxmlformats.org/officeDocument/2006/relationships/hyperlink" Target="https://www.cbd.int/biobridge/about/pl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biobridge/platform" TargetMode="External"/><Relationship Id="rId3" Type="http://schemas.openxmlformats.org/officeDocument/2006/relationships/hyperlink" Target="https://demo.chm-cbd.net/" TargetMode="External"/><Relationship Id="rId7" Type="http://schemas.openxmlformats.org/officeDocument/2006/relationships/hyperlink" Target="https://www.cbd.int/bio-bridge/BBI-Action-Plan-2017-2020.pdf" TargetMode="External"/><Relationship Id="rId12" Type="http://schemas.openxmlformats.org/officeDocument/2006/relationships/hyperlink" Target="https://www.cbd.int/doc/decisions/cop-10/cop-10-dec-02-en.pdf" TargetMode="External"/><Relationship Id="rId2" Type="http://schemas.openxmlformats.org/officeDocument/2006/relationships/hyperlink" Target="https://www.cbd.int/doc/newsletters/default.shtml" TargetMode="External"/><Relationship Id="rId1" Type="http://schemas.openxmlformats.org/officeDocument/2006/relationships/hyperlink" Target="https://www.cbd.int/meetings/ABSCBIAC-2018-01" TargetMode="External"/><Relationship Id="rId6" Type="http://schemas.openxmlformats.org/officeDocument/2006/relationships/hyperlink" Target="http://www.idlo.int/what-we-do/initiatives/advancing-nagoya-protocol" TargetMode="External"/><Relationship Id="rId11" Type="http://schemas.openxmlformats.org/officeDocument/2006/relationships/hyperlink" Target="https://www.cbd.int/cooperation/csp" TargetMode="External"/><Relationship Id="rId5" Type="http://schemas.openxmlformats.org/officeDocument/2006/relationships/hyperlink" Target="http://bch.cbd.int/onlineconferences/portal_detection/lab_network.shtml" TargetMode="External"/><Relationship Id="rId10" Type="http://schemas.openxmlformats.org/officeDocument/2006/relationships/hyperlink" Target="https://www.cbd.int/biobridge/projects/selected" TargetMode="External"/><Relationship Id="rId4" Type="http://schemas.openxmlformats.org/officeDocument/2006/relationships/hyperlink" Target="http://www.biodiversityfinance.net/regional-nodes" TargetMode="External"/><Relationship Id="rId9" Type="http://schemas.openxmlformats.org/officeDocument/2006/relationships/hyperlink" Target="https://www.cbd.int/doc/notifications/2018/ntf-2018-022-bbi-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612048C9524CBEBBA5EE9FCC34D613"/>
        <w:category>
          <w:name w:val="General"/>
          <w:gallery w:val="placeholder"/>
        </w:category>
        <w:types>
          <w:type w:val="bbPlcHdr"/>
        </w:types>
        <w:behaviors>
          <w:behavior w:val="content"/>
        </w:behaviors>
        <w:guid w:val="{92CD3392-405D-47F1-AC57-0D5AD2B312EA}"/>
      </w:docPartPr>
      <w:docPartBody>
        <w:p w:rsidR="008E13F4" w:rsidRDefault="00350F83">
          <w:r w:rsidRPr="00DC4F36">
            <w:rPr>
              <w:rStyle w:val="PlaceholderText"/>
            </w:rPr>
            <w:t>[Subject]</w:t>
          </w:r>
        </w:p>
      </w:docPartBody>
    </w:docPart>
    <w:docPart>
      <w:docPartPr>
        <w:name w:val="8470BC641A834C9BA34F1791DD295202"/>
        <w:category>
          <w:name w:val="General"/>
          <w:gallery w:val="placeholder"/>
        </w:category>
        <w:types>
          <w:type w:val="bbPlcHdr"/>
        </w:types>
        <w:behaviors>
          <w:behavior w:val="content"/>
        </w:behaviors>
        <w:guid w:val="{E6F7F9DB-934C-4EFD-AEF2-EB00AB617F10}"/>
      </w:docPartPr>
      <w:docPartBody>
        <w:p w:rsidR="008E13F4" w:rsidRDefault="00350F83">
          <w:r w:rsidRPr="00DC4F3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Helvetica"/>
    <w:panose1 w:val="020B0604020202020204"/>
    <w:charset w:val="00"/>
    <w:family w:val="swiss"/>
    <w:pitch w:val="variable"/>
    <w:sig w:usb0="20002A87" w:usb1="00000000" w:usb2="00000000"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altName w:val="CID Font+ F"/>
    <w:panose1 w:val="020F0502020204030204"/>
    <w:charset w:val="00"/>
    <w:family w:val="swiss"/>
    <w:pitch w:val="variable"/>
    <w:sig w:usb0="E00002FF" w:usb1="4000A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83"/>
    <w:rsid w:val="00350F83"/>
    <w:rsid w:val="008E1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F8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423A-6755-4DA3-ABFC-347D8D28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10247</Words>
  <Characters>61180</Characters>
  <Application>Microsoft Office Word</Application>
  <DocSecurity>0</DocSecurity>
  <Lines>913</Lines>
  <Paragraphs>263</Paragraphs>
  <ScaleCrop>false</ScaleCrop>
  <HeadingPairs>
    <vt:vector size="2" baseType="variant">
      <vt:variant>
        <vt:lpstr>Title</vt:lpstr>
      </vt:variant>
      <vt:variant>
        <vt:i4>1</vt:i4>
      </vt:variant>
    </vt:vector>
  </HeadingPairs>
  <TitlesOfParts>
    <vt:vector size="1" baseType="lpstr">
      <vt:lpstr>Capacity-building, technical and scientific cooperation, technology transfer and the clearing-house mechanism</vt:lpstr>
    </vt:vector>
  </TitlesOfParts>
  <Company>SCBD</Company>
  <LinksUpToDate>false</LinksUpToDate>
  <CharactersWithSpaces>71164</CharactersWithSpaces>
  <SharedDoc>false</SharedDoc>
  <HLinks>
    <vt:vector size="126" baseType="variant">
      <vt:variant>
        <vt:i4>5570639</vt:i4>
      </vt:variant>
      <vt:variant>
        <vt:i4>24</vt:i4>
      </vt:variant>
      <vt:variant>
        <vt:i4>0</vt:i4>
      </vt:variant>
      <vt:variant>
        <vt:i4>5</vt:i4>
      </vt:variant>
      <vt:variant>
        <vt:lpwstr>https://www.cbd.int/biobridge/about/plan</vt:lpwstr>
      </vt:variant>
      <vt:variant>
        <vt:lpwstr/>
      </vt:variant>
      <vt:variant>
        <vt:i4>5701723</vt:i4>
      </vt:variant>
      <vt:variant>
        <vt:i4>21</vt:i4>
      </vt:variant>
      <vt:variant>
        <vt:i4>0</vt:i4>
      </vt:variant>
      <vt:variant>
        <vt:i4>5</vt:i4>
      </vt:variant>
      <vt:variant>
        <vt:lpwstr>http://www.informea.org/about</vt:lpwstr>
      </vt:variant>
      <vt:variant>
        <vt:lpwstr/>
      </vt:variant>
      <vt:variant>
        <vt:i4>524299</vt:i4>
      </vt:variant>
      <vt:variant>
        <vt:i4>18</vt:i4>
      </vt:variant>
      <vt:variant>
        <vt:i4>0</vt:i4>
      </vt:variant>
      <vt:variant>
        <vt:i4>5</vt:i4>
      </vt:variant>
      <vt:variant>
        <vt:lpwstr>https://demo.chm-cbd.net/</vt:lpwstr>
      </vt:variant>
      <vt:variant>
        <vt:lpwstr/>
      </vt:variant>
      <vt:variant>
        <vt:i4>524366</vt:i4>
      </vt:variant>
      <vt:variant>
        <vt:i4>15</vt:i4>
      </vt:variant>
      <vt:variant>
        <vt:i4>0</vt:i4>
      </vt:variant>
      <vt:variant>
        <vt:i4>5</vt:i4>
      </vt:variant>
      <vt:variant>
        <vt:lpwstr>http://www.informea.org/about/api</vt:lpwstr>
      </vt:variant>
      <vt:variant>
        <vt:lpwstr/>
      </vt:variant>
      <vt:variant>
        <vt:i4>4194389</vt:i4>
      </vt:variant>
      <vt:variant>
        <vt:i4>12</vt:i4>
      </vt:variant>
      <vt:variant>
        <vt:i4>0</vt:i4>
      </vt:variant>
      <vt:variant>
        <vt:i4>5</vt:i4>
      </vt:variant>
      <vt:variant>
        <vt:lpwstr>http://www.informea.org/</vt:lpwstr>
      </vt:variant>
      <vt:variant>
        <vt:lpwstr/>
      </vt:variant>
      <vt:variant>
        <vt:i4>7143467</vt:i4>
      </vt:variant>
      <vt:variant>
        <vt:i4>9</vt:i4>
      </vt:variant>
      <vt:variant>
        <vt:i4>0</vt:i4>
      </vt:variant>
      <vt:variant>
        <vt:i4>5</vt:i4>
      </vt:variant>
      <vt:variant>
        <vt:lpwstr>https://github.com/scbd</vt:lpwstr>
      </vt:variant>
      <vt:variant>
        <vt:lpwstr/>
      </vt:variant>
      <vt:variant>
        <vt:i4>7012442</vt:i4>
      </vt:variant>
      <vt:variant>
        <vt:i4>6</vt:i4>
      </vt:variant>
      <vt:variant>
        <vt:i4>0</vt:i4>
      </vt:variant>
      <vt:variant>
        <vt:i4>5</vt:i4>
      </vt:variant>
      <vt:variant>
        <vt:lpwstr>mailto:onlinereporting@cbd.int</vt:lpwstr>
      </vt:variant>
      <vt:variant>
        <vt:lpwstr/>
      </vt:variant>
      <vt:variant>
        <vt:i4>5898324</vt:i4>
      </vt:variant>
      <vt:variant>
        <vt:i4>3</vt:i4>
      </vt:variant>
      <vt:variant>
        <vt:i4>0</vt:i4>
      </vt:variant>
      <vt:variant>
        <vt:i4>5</vt:i4>
      </vt:variant>
      <vt:variant>
        <vt:lpwstr>https://chm.cbd.int/</vt:lpwstr>
      </vt:variant>
      <vt:variant>
        <vt:lpwstr/>
      </vt:variant>
      <vt:variant>
        <vt:i4>8126513</vt:i4>
      </vt:variant>
      <vt:variant>
        <vt:i4>0</vt:i4>
      </vt:variant>
      <vt:variant>
        <vt:i4>0</vt:i4>
      </vt:variant>
      <vt:variant>
        <vt:i4>5</vt:i4>
      </vt:variant>
      <vt:variant>
        <vt:lpwstr>https://www.cbd.int/doc/decisions/np-mop-01/np-mop-01-dec-08-en.pdf</vt:lpwstr>
      </vt:variant>
      <vt:variant>
        <vt:lpwstr/>
      </vt:variant>
      <vt:variant>
        <vt:i4>589902</vt:i4>
      </vt:variant>
      <vt:variant>
        <vt:i4>33</vt:i4>
      </vt:variant>
      <vt:variant>
        <vt:i4>0</vt:i4>
      </vt:variant>
      <vt:variant>
        <vt:i4>5</vt:i4>
      </vt:variant>
      <vt:variant>
        <vt:lpwstr>https://www.cbd.int/doc/decisions/cop-10/cop-10-dec-02-en.pdf</vt:lpwstr>
      </vt:variant>
      <vt:variant>
        <vt:lpwstr/>
      </vt:variant>
      <vt:variant>
        <vt:i4>7274550</vt:i4>
      </vt:variant>
      <vt:variant>
        <vt:i4>30</vt:i4>
      </vt:variant>
      <vt:variant>
        <vt:i4>0</vt:i4>
      </vt:variant>
      <vt:variant>
        <vt:i4>5</vt:i4>
      </vt:variant>
      <vt:variant>
        <vt:lpwstr>https://www.cbd.int/cooperation/csp</vt:lpwstr>
      </vt:variant>
      <vt:variant>
        <vt:lpwstr/>
      </vt:variant>
      <vt:variant>
        <vt:i4>8257649</vt:i4>
      </vt:variant>
      <vt:variant>
        <vt:i4>27</vt:i4>
      </vt:variant>
      <vt:variant>
        <vt:i4>0</vt:i4>
      </vt:variant>
      <vt:variant>
        <vt:i4>5</vt:i4>
      </vt:variant>
      <vt:variant>
        <vt:lpwstr>https://www.cbd.int/biobridge/projects/selected</vt:lpwstr>
      </vt:variant>
      <vt:variant>
        <vt:lpwstr/>
      </vt:variant>
      <vt:variant>
        <vt:i4>2424945</vt:i4>
      </vt:variant>
      <vt:variant>
        <vt:i4>24</vt:i4>
      </vt:variant>
      <vt:variant>
        <vt:i4>0</vt:i4>
      </vt:variant>
      <vt:variant>
        <vt:i4>5</vt:i4>
      </vt:variant>
      <vt:variant>
        <vt:lpwstr>https://www.cbd.int/doc/notifications/2018/ntf-2018-022-bbi-en.pdf</vt:lpwstr>
      </vt:variant>
      <vt:variant>
        <vt:lpwstr/>
      </vt:variant>
      <vt:variant>
        <vt:i4>7667745</vt:i4>
      </vt:variant>
      <vt:variant>
        <vt:i4>21</vt:i4>
      </vt:variant>
      <vt:variant>
        <vt:i4>0</vt:i4>
      </vt:variant>
      <vt:variant>
        <vt:i4>5</vt:i4>
      </vt:variant>
      <vt:variant>
        <vt:lpwstr>https://www.cbd.int/biobridge/platform</vt:lpwstr>
      </vt:variant>
      <vt:variant>
        <vt:lpwstr/>
      </vt:variant>
      <vt:variant>
        <vt:i4>1310798</vt:i4>
      </vt:variant>
      <vt:variant>
        <vt:i4>18</vt:i4>
      </vt:variant>
      <vt:variant>
        <vt:i4>0</vt:i4>
      </vt:variant>
      <vt:variant>
        <vt:i4>5</vt:i4>
      </vt:variant>
      <vt:variant>
        <vt:lpwstr>https://www.cbd.int/bio-bridge/BBI-Action-Plan-2017-2020.pdf</vt:lpwstr>
      </vt:variant>
      <vt:variant>
        <vt:lpwstr/>
      </vt:variant>
      <vt:variant>
        <vt:i4>5439582</vt:i4>
      </vt:variant>
      <vt:variant>
        <vt:i4>15</vt:i4>
      </vt:variant>
      <vt:variant>
        <vt:i4>0</vt:i4>
      </vt:variant>
      <vt:variant>
        <vt:i4>5</vt:i4>
      </vt:variant>
      <vt:variant>
        <vt:lpwstr>http://www.idlo.int/what-we-do/initiatives/advancing-nagoya-protocol</vt:lpwstr>
      </vt:variant>
      <vt:variant>
        <vt:lpwstr/>
      </vt:variant>
      <vt:variant>
        <vt:i4>3539040</vt:i4>
      </vt:variant>
      <vt:variant>
        <vt:i4>12</vt:i4>
      </vt:variant>
      <vt:variant>
        <vt:i4>0</vt:i4>
      </vt:variant>
      <vt:variant>
        <vt:i4>5</vt:i4>
      </vt:variant>
      <vt:variant>
        <vt:lpwstr>http://bch.cbd.int/onlineconferences/portal_detection/lab_network.shtml</vt:lpwstr>
      </vt:variant>
      <vt:variant>
        <vt:lpwstr/>
      </vt:variant>
      <vt:variant>
        <vt:i4>524354</vt:i4>
      </vt:variant>
      <vt:variant>
        <vt:i4>9</vt:i4>
      </vt:variant>
      <vt:variant>
        <vt:i4>0</vt:i4>
      </vt:variant>
      <vt:variant>
        <vt:i4>5</vt:i4>
      </vt:variant>
      <vt:variant>
        <vt:lpwstr>http://www.biodiversityfinance.net/regional-nodes</vt:lpwstr>
      </vt:variant>
      <vt:variant>
        <vt:lpwstr/>
      </vt:variant>
      <vt:variant>
        <vt:i4>524299</vt:i4>
      </vt:variant>
      <vt:variant>
        <vt:i4>6</vt:i4>
      </vt:variant>
      <vt:variant>
        <vt:i4>0</vt:i4>
      </vt:variant>
      <vt:variant>
        <vt:i4>5</vt:i4>
      </vt:variant>
      <vt:variant>
        <vt:lpwstr>https://demo.chm-cbd.net/</vt:lpwstr>
      </vt:variant>
      <vt:variant>
        <vt:lpwstr/>
      </vt:variant>
      <vt:variant>
        <vt:i4>1835086</vt:i4>
      </vt:variant>
      <vt:variant>
        <vt:i4>3</vt:i4>
      </vt:variant>
      <vt:variant>
        <vt:i4>0</vt:i4>
      </vt:variant>
      <vt:variant>
        <vt:i4>5</vt:i4>
      </vt:variant>
      <vt:variant>
        <vt:lpwstr>https://www.cbd.int/doc/newsletters/default.shtml</vt:lpwstr>
      </vt:variant>
      <vt:variant>
        <vt:lpwstr/>
      </vt:variant>
      <vt:variant>
        <vt:i4>5046358</vt:i4>
      </vt:variant>
      <vt:variant>
        <vt:i4>0</vt:i4>
      </vt:variant>
      <vt:variant>
        <vt:i4>0</vt:i4>
      </vt:variant>
      <vt:variant>
        <vt:i4>5</vt:i4>
      </vt:variant>
      <vt:variant>
        <vt:lpwstr>https://www.cbd.int/meetings/ABSCBIAC-2018-01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technical and scientific cooperation, technology transfer and the clearing-house mechanism</dc:title>
  <dc:subject>CBD/SBI/2/9</dc:subject>
  <dc:creator>SCBD</dc:creator>
  <cp:lastModifiedBy>Orestes Plasencia</cp:lastModifiedBy>
  <cp:revision>2</cp:revision>
  <cp:lastPrinted>2018-05-11T14:45:00Z</cp:lastPrinted>
  <dcterms:created xsi:type="dcterms:W3CDTF">2018-06-04T13:52:00Z</dcterms:created>
  <dcterms:modified xsi:type="dcterms:W3CDTF">2018-06-04T13:52:00Z</dcterms:modified>
</cp:coreProperties>
</file>