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0553181" w14:textId="0D1AAC1C"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007B0C1E" w:rsidRPr="007B0C1E">
              <w:rPr>
                <w:rFonts w:eastAsiaTheme="minorEastAsia"/>
                <w:sz w:val="24"/>
                <w:szCs w:val="22"/>
                <w:lang w:eastAsia="zh-CN"/>
              </w:rPr>
              <w:t>WG.II</w:t>
            </w:r>
            <w:proofErr w:type="gramEnd"/>
            <w:r w:rsidR="007B0C1E" w:rsidRPr="007B0C1E">
              <w:rPr>
                <w:rFonts w:eastAsiaTheme="minorEastAsia"/>
                <w:sz w:val="24"/>
                <w:szCs w:val="22"/>
                <w:lang w:eastAsia="zh-CN"/>
              </w:rPr>
              <w:t>/CRP</w:t>
            </w:r>
            <w:r w:rsidR="007B0C1E">
              <w:rPr>
                <w:rFonts w:eastAsiaTheme="minorEastAsia" w:hint="eastAsia"/>
                <w:sz w:val="24"/>
                <w:szCs w:val="22"/>
                <w:lang w:eastAsia="zh-CN"/>
              </w:rPr>
              <w:t>.</w:t>
            </w:r>
            <w:r w:rsidR="003D18A0">
              <w:rPr>
                <w:rFonts w:eastAsiaTheme="minorEastAsia" w:hint="eastAsia"/>
                <w:sz w:val="24"/>
                <w:szCs w:val="22"/>
                <w:lang w:eastAsia="zh-CN"/>
              </w:rPr>
              <w:t>3</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249AFF5C"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 xml:space="preserve">22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764B958C"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3D18A0">
        <w:rPr>
          <w:rFonts w:hint="eastAsia"/>
          <w:b w:val="0"/>
          <w:szCs w:val="24"/>
          <w:lang w:eastAsia="zh-CN"/>
        </w:rPr>
        <w:t>21</w:t>
      </w:r>
    </w:p>
    <w:p w14:paraId="4542BE6F" w14:textId="20E8EB27" w:rsidR="008E72FC" w:rsidRPr="00447289" w:rsidRDefault="003D18A0" w:rsidP="003D18A0">
      <w:pPr>
        <w:pStyle w:val="Cornernotation-Item"/>
        <w:ind w:right="0"/>
        <w:rPr>
          <w:sz w:val="24"/>
          <w:szCs w:val="24"/>
          <w:lang w:eastAsia="zh-CN"/>
        </w:rPr>
      </w:pPr>
      <w:r>
        <w:rPr>
          <w:rFonts w:hint="eastAsia"/>
          <w:sz w:val="24"/>
          <w:szCs w:val="24"/>
          <w:lang w:val="en-GB" w:eastAsia="zh-CN"/>
        </w:rPr>
        <w:t>外来入侵物种</w:t>
      </w:r>
      <w:r w:rsidR="000A1FED">
        <w:rPr>
          <w:rFonts w:hint="eastAsia"/>
          <w:sz w:val="24"/>
          <w:szCs w:val="24"/>
          <w:lang w:val="en-GB" w:eastAsia="zh-CN"/>
        </w:rPr>
        <w:t xml:space="preserve"> </w:t>
      </w:r>
    </w:p>
    <w:p w14:paraId="3B20E9AD" w14:textId="078F448D" w:rsidR="005A2C22" w:rsidRPr="00447289" w:rsidRDefault="007B0C1E" w:rsidP="003D18A0">
      <w:pPr>
        <w:pStyle w:val="CBDNormalNoNumber"/>
        <w:spacing w:before="0" w:after="0"/>
        <w:rPr>
          <w:lang w:eastAsia="zh-CN"/>
        </w:rPr>
      </w:pPr>
      <w:r w:rsidRPr="00447289">
        <w:rPr>
          <w:rFonts w:hint="eastAsia"/>
          <w:sz w:val="24"/>
          <w:szCs w:val="24"/>
          <w:lang w:eastAsia="zh-CN"/>
        </w:rPr>
        <w:t>第二工作组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2811BAD5" w14:textId="77777777" w:rsidR="003D18A0" w:rsidRDefault="003D18A0" w:rsidP="00447289">
      <w:pPr>
        <w:pStyle w:val="Item"/>
        <w:keepNext/>
        <w:ind w:left="490"/>
        <w:outlineLvl w:val="0"/>
        <w:rPr>
          <w:rFonts w:ascii="宋体" w:eastAsia="宋体" w:hAnsi="宋体" w:cs="宋体"/>
          <w:sz w:val="28"/>
          <w:szCs w:val="28"/>
          <w:lang w:eastAsia="zh-CN"/>
        </w:rPr>
      </w:pPr>
      <w:bookmarkStart w:id="6" w:name="_Toc178609097"/>
    </w:p>
    <w:bookmarkEnd w:id="6"/>
    <w:p w14:paraId="4B3933C7" w14:textId="0654DDEE" w:rsidR="003D18A0" w:rsidRDefault="003D18A0" w:rsidP="00447289">
      <w:pPr>
        <w:pStyle w:val="Item"/>
        <w:keepNext/>
        <w:ind w:left="490"/>
        <w:outlineLvl w:val="0"/>
        <w:rPr>
          <w:rFonts w:ascii="宋体" w:eastAsia="宋体" w:hAnsi="宋体" w:cs="宋体"/>
          <w:sz w:val="28"/>
          <w:szCs w:val="28"/>
          <w:lang w:eastAsia="zh-CN"/>
        </w:rPr>
      </w:pPr>
      <w:r>
        <w:rPr>
          <w:rFonts w:ascii="宋体" w:eastAsia="宋体" w:hAnsi="宋体" w:cs="宋体" w:hint="eastAsia"/>
          <w:sz w:val="28"/>
          <w:szCs w:val="28"/>
          <w:lang w:eastAsia="zh-CN"/>
        </w:rPr>
        <w:t>外来入侵物种</w:t>
      </w:r>
    </w:p>
    <w:p w14:paraId="31003302" w14:textId="00BE5956" w:rsidR="007B0C1E" w:rsidRPr="007B0C1E" w:rsidRDefault="007B0C1E" w:rsidP="00447289">
      <w:pPr>
        <w:pStyle w:val="Item"/>
        <w:keepNext/>
        <w:spacing w:after="240"/>
        <w:ind w:left="490"/>
        <w:outlineLvl w:val="0"/>
        <w:rPr>
          <w:caps/>
          <w:szCs w:val="24"/>
          <w:lang w:eastAsia="zh-CN"/>
        </w:rPr>
      </w:pPr>
      <w:r w:rsidRPr="007B0C1E">
        <w:rPr>
          <w:rFonts w:ascii="宋体" w:eastAsia="宋体" w:hAnsi="宋体" w:cs="宋体" w:hint="eastAsia"/>
          <w:szCs w:val="24"/>
          <w:lang w:eastAsia="zh-CN"/>
        </w:rPr>
        <w:t>第二工作组主席提交的决定草案</w:t>
      </w:r>
    </w:p>
    <w:p w14:paraId="3FC765F0" w14:textId="77777777"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jc w:val="left"/>
        <w:rPr>
          <w:rFonts w:eastAsia="楷体"/>
          <w:sz w:val="24"/>
          <w:szCs w:val="24"/>
          <w:lang w:eastAsia="zh-CN"/>
        </w:rPr>
      </w:pPr>
      <w:r w:rsidRPr="003D18A0">
        <w:rPr>
          <w:rFonts w:eastAsia="楷体"/>
          <w:sz w:val="24"/>
          <w:szCs w:val="24"/>
          <w:lang w:eastAsia="zh-CN"/>
        </w:rPr>
        <w:t>缔约方大会，</w:t>
      </w:r>
      <w:r w:rsidRPr="003D18A0">
        <w:rPr>
          <w:rFonts w:eastAsia="楷体"/>
          <w:sz w:val="24"/>
          <w:szCs w:val="24"/>
          <w:lang w:eastAsia="zh-CN"/>
        </w:rPr>
        <w:t xml:space="preserve"> </w:t>
      </w:r>
    </w:p>
    <w:p w14:paraId="5F9E8E50" w14:textId="77777777"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rFonts w:eastAsia="楷体"/>
          <w:sz w:val="24"/>
          <w:szCs w:val="24"/>
          <w:lang w:eastAsia="zh-CN"/>
        </w:rPr>
        <w:t>回顾</w:t>
      </w:r>
      <w:r w:rsidRPr="003D18A0">
        <w:rPr>
          <w:sz w:val="24"/>
          <w:szCs w:val="24"/>
          <w:lang w:eastAsia="zh-CN"/>
        </w:rPr>
        <w:t>其</w:t>
      </w:r>
      <w:r w:rsidRPr="003D18A0">
        <w:rPr>
          <w:sz w:val="24"/>
          <w:szCs w:val="24"/>
          <w:lang w:eastAsia="zh-CN"/>
        </w:rPr>
        <w:t>2022</w:t>
      </w:r>
      <w:r w:rsidRPr="003D18A0">
        <w:rPr>
          <w:sz w:val="24"/>
          <w:szCs w:val="24"/>
          <w:lang w:eastAsia="zh-CN"/>
        </w:rPr>
        <w:t>年</w:t>
      </w:r>
      <w:r w:rsidRPr="003D18A0">
        <w:rPr>
          <w:sz w:val="24"/>
          <w:szCs w:val="24"/>
          <w:lang w:eastAsia="zh-CN"/>
        </w:rPr>
        <w:t>12</w:t>
      </w:r>
      <w:r w:rsidRPr="003D18A0">
        <w:rPr>
          <w:sz w:val="24"/>
          <w:szCs w:val="24"/>
          <w:lang w:eastAsia="zh-CN"/>
        </w:rPr>
        <w:t>月</w:t>
      </w:r>
      <w:r w:rsidRPr="003D18A0">
        <w:rPr>
          <w:sz w:val="24"/>
          <w:szCs w:val="24"/>
          <w:lang w:eastAsia="zh-CN"/>
        </w:rPr>
        <w:t>19</w:t>
      </w:r>
      <w:r w:rsidRPr="003D18A0">
        <w:rPr>
          <w:sz w:val="24"/>
          <w:szCs w:val="24"/>
          <w:lang w:eastAsia="zh-CN"/>
        </w:rPr>
        <w:t>日第</w:t>
      </w:r>
      <w:r w:rsidRPr="003D18A0">
        <w:fldChar w:fldCharType="begin"/>
      </w:r>
      <w:r w:rsidRPr="003D18A0">
        <w:rPr>
          <w:lang w:eastAsia="zh-CN"/>
        </w:rPr>
        <w:instrText>HYPERLINK "https://www.cbd.int/doc/decisions/cop-15/cop-15-dec-04-zh.pdf"</w:instrText>
      </w:r>
      <w:r w:rsidRPr="003D18A0">
        <w:fldChar w:fldCharType="separate"/>
      </w:r>
      <w:r w:rsidRPr="003D18A0">
        <w:rPr>
          <w:color w:val="0000FF"/>
          <w:sz w:val="24"/>
          <w:szCs w:val="24"/>
          <w:u w:val="single"/>
          <w:lang w:eastAsia="zh-CN"/>
        </w:rPr>
        <w:t>15/4</w:t>
      </w:r>
      <w:r w:rsidRPr="003D18A0">
        <w:rPr>
          <w:color w:val="0000FF"/>
          <w:sz w:val="24"/>
          <w:szCs w:val="24"/>
          <w:u w:val="single"/>
          <w:lang w:eastAsia="zh-CN"/>
        </w:rPr>
        <w:fldChar w:fldCharType="end"/>
      </w:r>
      <w:r w:rsidRPr="003D18A0">
        <w:rPr>
          <w:sz w:val="24"/>
          <w:szCs w:val="24"/>
          <w:lang w:eastAsia="zh-CN"/>
        </w:rPr>
        <w:t>号、第</w:t>
      </w:r>
      <w:r w:rsidRPr="003D18A0">
        <w:fldChar w:fldCharType="begin"/>
      </w:r>
      <w:r w:rsidRPr="003D18A0">
        <w:rPr>
          <w:lang w:eastAsia="zh-CN"/>
        </w:rPr>
        <w:instrText>HYPERLINK "https://www.cbd.int/doc/decisions/cop-15/cop-15-dec-27-zh.pdf"</w:instrText>
      </w:r>
      <w:r w:rsidRPr="003D18A0">
        <w:fldChar w:fldCharType="separate"/>
      </w:r>
      <w:r w:rsidRPr="003D18A0">
        <w:rPr>
          <w:color w:val="0000FF"/>
          <w:sz w:val="24"/>
          <w:szCs w:val="24"/>
          <w:u w:val="single"/>
          <w:lang w:eastAsia="zh-CN"/>
        </w:rPr>
        <w:t>15/27</w:t>
      </w:r>
      <w:r w:rsidRPr="003D18A0">
        <w:rPr>
          <w:color w:val="0000FF"/>
          <w:sz w:val="24"/>
          <w:szCs w:val="24"/>
          <w:u w:val="single"/>
          <w:lang w:eastAsia="zh-CN"/>
        </w:rPr>
        <w:fldChar w:fldCharType="end"/>
      </w:r>
      <w:r w:rsidRPr="003D18A0">
        <w:rPr>
          <w:sz w:val="24"/>
          <w:szCs w:val="24"/>
          <w:lang w:eastAsia="zh-CN"/>
        </w:rPr>
        <w:t>号和第</w:t>
      </w:r>
      <w:r w:rsidRPr="003D18A0">
        <w:fldChar w:fldCharType="begin"/>
      </w:r>
      <w:r w:rsidRPr="003D18A0">
        <w:rPr>
          <w:lang w:eastAsia="zh-CN"/>
        </w:rPr>
        <w:instrText>HYPERLINK "https://www.cbd.int/doc/decisions/cop-15/cop-15-dec-19-zh.pdf"</w:instrText>
      </w:r>
      <w:r w:rsidRPr="003D18A0">
        <w:fldChar w:fldCharType="separate"/>
      </w:r>
      <w:r w:rsidRPr="003D18A0">
        <w:rPr>
          <w:rFonts w:eastAsia="Times New Roman"/>
          <w:color w:val="0000FF"/>
          <w:kern w:val="22"/>
          <w:sz w:val="24"/>
          <w:u w:val="single"/>
          <w:lang w:val="en-CA" w:eastAsia="zh-CN"/>
        </w:rPr>
        <w:t>15/19</w:t>
      </w:r>
      <w:r w:rsidRPr="003D18A0">
        <w:rPr>
          <w:rFonts w:eastAsia="Times New Roman"/>
          <w:color w:val="0000FF"/>
          <w:kern w:val="22"/>
          <w:sz w:val="24"/>
          <w:u w:val="single"/>
          <w:lang w:val="en-CA" w:eastAsia="zh-CN"/>
        </w:rPr>
        <w:fldChar w:fldCharType="end"/>
      </w:r>
      <w:r w:rsidRPr="003D18A0">
        <w:rPr>
          <w:color w:val="000000" w:themeColor="text1"/>
          <w:kern w:val="22"/>
          <w:sz w:val="24"/>
          <w:u w:val="single"/>
          <w:lang w:val="en-CA" w:eastAsia="zh-CN"/>
        </w:rPr>
        <w:t>号</w:t>
      </w:r>
      <w:r w:rsidRPr="003D18A0">
        <w:rPr>
          <w:sz w:val="24"/>
          <w:szCs w:val="24"/>
          <w:lang w:eastAsia="zh-CN"/>
        </w:rPr>
        <w:t>决定，</w:t>
      </w:r>
      <w:r w:rsidRPr="003D18A0">
        <w:rPr>
          <w:rFonts w:eastAsia="楷体"/>
          <w:sz w:val="24"/>
          <w:szCs w:val="24"/>
          <w:lang w:eastAsia="zh-CN"/>
        </w:rPr>
        <w:t>认识到</w:t>
      </w:r>
      <w:r w:rsidRPr="003D18A0">
        <w:rPr>
          <w:sz w:val="24"/>
          <w:szCs w:val="24"/>
          <w:lang w:eastAsia="zh-CN"/>
        </w:rPr>
        <w:t>迫切需要执行《昆明</w:t>
      </w:r>
      <w:r w:rsidRPr="003D18A0">
        <w:rPr>
          <w:sz w:val="24"/>
          <w:szCs w:val="24"/>
          <w:lang w:eastAsia="zh-CN"/>
        </w:rPr>
        <w:t>-</w:t>
      </w:r>
      <w:r w:rsidRPr="003D18A0">
        <w:rPr>
          <w:sz w:val="24"/>
          <w:szCs w:val="24"/>
          <w:lang w:eastAsia="zh-CN"/>
        </w:rPr>
        <w:t>蒙特利尔全球生物多样性框架》</w:t>
      </w:r>
      <w:r w:rsidRPr="003D18A0">
        <w:rPr>
          <w:sz w:val="24"/>
          <w:szCs w:val="24"/>
          <w:vertAlign w:val="superscript"/>
          <w:lang w:val="en-GB" w:eastAsia="zh-CN"/>
        </w:rPr>
        <w:footnoteReference w:id="2"/>
      </w:r>
      <w:r w:rsidRPr="003D18A0">
        <w:rPr>
          <w:sz w:val="24"/>
          <w:szCs w:val="24"/>
          <w:lang w:eastAsia="zh-CN"/>
        </w:rPr>
        <w:t>，特别是其行动目标</w:t>
      </w:r>
      <w:r w:rsidRPr="003D18A0">
        <w:rPr>
          <w:sz w:val="24"/>
          <w:szCs w:val="24"/>
          <w:lang w:eastAsia="zh-CN"/>
        </w:rPr>
        <w:t>6</w:t>
      </w:r>
      <w:r w:rsidRPr="003D18A0">
        <w:rPr>
          <w:sz w:val="24"/>
          <w:szCs w:val="24"/>
          <w:lang w:eastAsia="zh-CN"/>
        </w:rPr>
        <w:t>，</w:t>
      </w:r>
    </w:p>
    <w:p w14:paraId="60C68301" w14:textId="496BAF10" w:rsidR="003D18A0" w:rsidRPr="003D18A0" w:rsidRDefault="003D18A0" w:rsidP="003D18A0">
      <w:pPr>
        <w:tabs>
          <w:tab w:val="clear" w:pos="567"/>
          <w:tab w:val="clear" w:pos="1134"/>
          <w:tab w:val="clear" w:pos="1701"/>
          <w:tab w:val="clear" w:pos="2268"/>
        </w:tabs>
        <w:spacing w:before="120" w:after="120" w:line="240" w:lineRule="atLeast"/>
        <w:ind w:left="490" w:firstLine="490"/>
        <w:rPr>
          <w:sz w:val="24"/>
          <w:szCs w:val="24"/>
          <w:lang w:eastAsia="zh-CN"/>
        </w:rPr>
      </w:pPr>
      <w:r w:rsidRPr="003D18A0">
        <w:rPr>
          <w:rFonts w:eastAsia="楷体" w:hint="eastAsia"/>
          <w:sz w:val="24"/>
          <w:szCs w:val="24"/>
          <w:lang w:eastAsia="zh-CN"/>
        </w:rPr>
        <w:t>1.</w:t>
      </w:r>
      <w:r w:rsidRPr="003D18A0">
        <w:rPr>
          <w:rFonts w:eastAsia="楷体"/>
          <w:sz w:val="24"/>
          <w:szCs w:val="24"/>
          <w:lang w:eastAsia="zh-CN"/>
        </w:rPr>
        <w:tab/>
      </w:r>
      <w:r w:rsidRPr="003D18A0">
        <w:rPr>
          <w:rFonts w:eastAsia="楷体" w:hint="eastAsia"/>
          <w:sz w:val="24"/>
          <w:szCs w:val="24"/>
          <w:lang w:eastAsia="zh-CN"/>
        </w:rPr>
        <w:t>欢迎</w:t>
      </w:r>
      <w:r w:rsidRPr="003D18A0">
        <w:rPr>
          <w:sz w:val="24"/>
          <w:szCs w:val="24"/>
          <w:lang w:eastAsia="zh-CN"/>
        </w:rPr>
        <w:t>生物多样性和生态系统服务政府间科学与政策平台</w:t>
      </w:r>
      <w:r w:rsidRPr="003D18A0">
        <w:rPr>
          <w:sz w:val="24"/>
          <w:szCs w:val="24"/>
          <w:lang w:val="en-CA" w:eastAsia="zh-CN"/>
        </w:rPr>
        <w:t>关于</w:t>
      </w:r>
      <w:r w:rsidRPr="003D18A0">
        <w:rPr>
          <w:sz w:val="24"/>
          <w:szCs w:val="24"/>
          <w:lang w:eastAsia="zh-CN"/>
        </w:rPr>
        <w:t>外来入侵物种及其控制的评估报告</w:t>
      </w:r>
      <w:r w:rsidRPr="003D18A0">
        <w:rPr>
          <w:iCs/>
          <w:sz w:val="24"/>
          <w:szCs w:val="24"/>
          <w:vertAlign w:val="superscript"/>
          <w:lang w:val="en-GB" w:eastAsia="zh-CN"/>
        </w:rPr>
        <w:footnoteReference w:id="3"/>
      </w:r>
      <w:r w:rsidRPr="003D18A0">
        <w:rPr>
          <w:sz w:val="24"/>
          <w:szCs w:val="24"/>
          <w:lang w:eastAsia="zh-CN"/>
        </w:rPr>
        <w:t>，包括其决策者摘要，并注意到该报告与在《生物多样性公约》</w:t>
      </w:r>
      <w:r w:rsidR="00447FFC">
        <w:rPr>
          <w:rStyle w:val="FootnoteReference"/>
          <w:sz w:val="24"/>
          <w:szCs w:val="24"/>
          <w:lang w:eastAsia="zh-CN"/>
        </w:rPr>
        <w:footnoteReference w:id="4"/>
      </w:r>
      <w:r w:rsidRPr="003D18A0">
        <w:rPr>
          <w:sz w:val="24"/>
          <w:szCs w:val="24"/>
          <w:lang w:eastAsia="zh-CN"/>
        </w:rPr>
        <w:t>下开展的工作以及与执行《昆明</w:t>
      </w:r>
      <w:r w:rsidRPr="003D18A0">
        <w:rPr>
          <w:sz w:val="24"/>
          <w:szCs w:val="24"/>
          <w:lang w:eastAsia="zh-CN"/>
        </w:rPr>
        <w:t>-</w:t>
      </w:r>
      <w:r w:rsidRPr="003D18A0">
        <w:rPr>
          <w:sz w:val="24"/>
          <w:szCs w:val="24"/>
          <w:lang w:eastAsia="zh-CN"/>
        </w:rPr>
        <w:t>蒙特利尔全球生物多样性框架》的相关性；</w:t>
      </w:r>
    </w:p>
    <w:p w14:paraId="22773FEE" w14:textId="78C2D42C"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eastAsia="zh-CN"/>
        </w:rPr>
        <w:t>2</w:t>
      </w:r>
      <w:r w:rsidRPr="003D18A0">
        <w:rPr>
          <w:rFonts w:eastAsia="楷体" w:hint="eastAsia"/>
          <w:sz w:val="24"/>
          <w:szCs w:val="24"/>
          <w:lang w:eastAsia="zh-CN"/>
        </w:rPr>
        <w:t>.</w:t>
      </w:r>
      <w:r w:rsidRPr="003D18A0">
        <w:rPr>
          <w:rFonts w:eastAsia="楷体"/>
          <w:sz w:val="24"/>
          <w:szCs w:val="24"/>
          <w:lang w:eastAsia="zh-CN"/>
        </w:rPr>
        <w:tab/>
      </w:r>
      <w:r w:rsidRPr="003D18A0">
        <w:rPr>
          <w:rFonts w:eastAsia="楷体"/>
          <w:sz w:val="24"/>
          <w:szCs w:val="24"/>
          <w:lang w:eastAsia="zh-CN"/>
        </w:rPr>
        <w:t>鼓励</w:t>
      </w:r>
      <w:r w:rsidRPr="003D18A0">
        <w:rPr>
          <w:sz w:val="24"/>
          <w:szCs w:val="24"/>
          <w:lang w:val="en-CA" w:eastAsia="zh-CN"/>
        </w:rPr>
        <w:t>缔约方、其他国家政府、相关组织、土著人民和地方社区以及相关利益攸关方在执行《公约》和《框架》时，包括在更新、修订和执行国家生物多样性战略和行动计划以及编写第七次及以后的国家报告时，酌情利用评估中所载的</w:t>
      </w:r>
      <w:r w:rsidRPr="003D18A0">
        <w:rPr>
          <w:sz w:val="24"/>
          <w:szCs w:val="24"/>
          <w:lang w:val="en-CA" w:eastAsia="zh-CN"/>
        </w:rPr>
        <w:t xml:space="preserve">        </w:t>
      </w:r>
      <w:r w:rsidRPr="003D18A0">
        <w:rPr>
          <w:sz w:val="24"/>
          <w:szCs w:val="24"/>
          <w:lang w:val="en-CA" w:eastAsia="zh-CN"/>
        </w:rPr>
        <w:t>信息，并敦促发达国家缔约方、其他有能力的缔约方和相关组织在这方面向发展中国家提供支持，包括提供能力建设、资金和技术转让；</w:t>
      </w:r>
    </w:p>
    <w:p w14:paraId="53DC5624" w14:textId="2B3386B9"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val="en-CA" w:eastAsia="zh-CN"/>
        </w:rPr>
        <w:t>3</w:t>
      </w:r>
      <w:r w:rsidRPr="003D18A0">
        <w:rPr>
          <w:rFonts w:eastAsia="楷体" w:hint="eastAsia"/>
          <w:sz w:val="24"/>
          <w:szCs w:val="24"/>
          <w:lang w:val="en-CA" w:eastAsia="zh-CN"/>
        </w:rPr>
        <w:t>.</w:t>
      </w:r>
      <w:r w:rsidRPr="003D18A0">
        <w:rPr>
          <w:rFonts w:eastAsia="楷体"/>
          <w:sz w:val="24"/>
          <w:szCs w:val="24"/>
          <w:lang w:val="en-CA" w:eastAsia="zh-CN"/>
        </w:rPr>
        <w:tab/>
      </w:r>
      <w:r w:rsidRPr="003D18A0">
        <w:rPr>
          <w:rFonts w:eastAsia="楷体"/>
          <w:sz w:val="24"/>
          <w:szCs w:val="24"/>
          <w:lang w:val="en-CA" w:eastAsia="zh-CN"/>
        </w:rPr>
        <w:t>认识到</w:t>
      </w:r>
      <w:r w:rsidRPr="003D18A0">
        <w:rPr>
          <w:sz w:val="24"/>
          <w:szCs w:val="24"/>
          <w:lang w:val="en-CA" w:eastAsia="zh-CN"/>
        </w:rPr>
        <w:t>增加信息和执行手段的可得性和可及性并解决生物入侵方面的重大知识差距，特别是在发展中国家这样做，将带来更加强有力和有效的政策工具和管理行动，而且特别需要更多的努力和合作来改善非洲、亚洲以及拉丁美洲和加勒比地区的数据收集工作；</w:t>
      </w:r>
    </w:p>
    <w:p w14:paraId="46E18443" w14:textId="6C652D86"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val="en-CA" w:eastAsia="zh-CN"/>
        </w:rPr>
        <w:lastRenderedPageBreak/>
        <w:t>4</w:t>
      </w:r>
      <w:r w:rsidRPr="003D18A0">
        <w:rPr>
          <w:rFonts w:eastAsia="楷体" w:hint="eastAsia"/>
          <w:sz w:val="24"/>
          <w:szCs w:val="24"/>
          <w:lang w:val="en-CA" w:eastAsia="zh-CN"/>
        </w:rPr>
        <w:t>.</w:t>
      </w:r>
      <w:r w:rsidRPr="003D18A0">
        <w:rPr>
          <w:rFonts w:eastAsia="楷体"/>
          <w:sz w:val="24"/>
          <w:szCs w:val="24"/>
          <w:lang w:val="en-CA" w:eastAsia="zh-CN"/>
        </w:rPr>
        <w:tab/>
      </w:r>
      <w:r w:rsidRPr="003D18A0">
        <w:rPr>
          <w:rFonts w:eastAsia="楷体"/>
          <w:sz w:val="24"/>
          <w:szCs w:val="24"/>
          <w:lang w:val="en-CA" w:eastAsia="zh-CN"/>
        </w:rPr>
        <w:t>着重指出</w:t>
      </w:r>
      <w:r w:rsidRPr="003D18A0">
        <w:rPr>
          <w:sz w:val="24"/>
          <w:szCs w:val="24"/>
          <w:lang w:val="en-CA" w:eastAsia="zh-CN"/>
        </w:rPr>
        <w:t>[</w:t>
      </w:r>
      <w:r w:rsidRPr="003D18A0">
        <w:rPr>
          <w:sz w:val="24"/>
          <w:szCs w:val="24"/>
          <w:lang w:val="en-CA" w:eastAsia="zh-CN"/>
        </w:rPr>
        <w:t>根据《公约》第</w:t>
      </w:r>
      <w:r w:rsidRPr="003D18A0">
        <w:rPr>
          <w:sz w:val="24"/>
          <w:szCs w:val="24"/>
          <w:lang w:val="en-CA" w:eastAsia="zh-CN"/>
        </w:rPr>
        <w:t>20</w:t>
      </w:r>
      <w:r w:rsidRPr="003D18A0">
        <w:rPr>
          <w:sz w:val="24"/>
          <w:szCs w:val="24"/>
          <w:lang w:val="en-CA" w:eastAsia="zh-CN"/>
        </w:rPr>
        <w:t>和</w:t>
      </w:r>
      <w:r w:rsidRPr="003D18A0">
        <w:rPr>
          <w:sz w:val="24"/>
          <w:szCs w:val="24"/>
          <w:lang w:val="en-CA" w:eastAsia="zh-CN"/>
        </w:rPr>
        <w:t>21</w:t>
      </w:r>
      <w:proofErr w:type="gramStart"/>
      <w:r w:rsidRPr="003D18A0">
        <w:rPr>
          <w:sz w:val="24"/>
          <w:szCs w:val="24"/>
          <w:lang w:val="en-CA" w:eastAsia="zh-CN"/>
        </w:rPr>
        <w:t>条</w:t>
      </w:r>
      <w:r w:rsidRPr="003D18A0">
        <w:rPr>
          <w:sz w:val="24"/>
          <w:szCs w:val="24"/>
          <w:lang w:val="en-CA" w:eastAsia="zh-CN"/>
        </w:rPr>
        <w:t>]</w:t>
      </w:r>
      <w:r w:rsidRPr="003D18A0">
        <w:rPr>
          <w:sz w:val="24"/>
          <w:szCs w:val="24"/>
          <w:lang w:val="en-CA" w:eastAsia="zh-CN"/>
        </w:rPr>
        <w:t>获得充分和持续的财政资源和其他资源</w:t>
      </w:r>
      <w:proofErr w:type="gramEnd"/>
      <w:r w:rsidRPr="003D18A0">
        <w:rPr>
          <w:sz w:val="24"/>
          <w:szCs w:val="24"/>
          <w:lang w:val="en-CA" w:eastAsia="zh-CN"/>
        </w:rPr>
        <w:t>，包括支持发展中国家的国际资金，是采取行动对生物入侵进行长期管理，包括消除、控制和持续监测外来入侵物种及其引进渠道的基础，并提高这些行动的效力；</w:t>
      </w:r>
    </w:p>
    <w:p w14:paraId="549BC85E" w14:textId="3C19F3C9"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eastAsia="zh-CN"/>
        </w:rPr>
        <w:t>5</w:t>
      </w:r>
      <w:r w:rsidRPr="003D18A0">
        <w:rPr>
          <w:rFonts w:eastAsia="楷体" w:hint="eastAsia"/>
          <w:sz w:val="24"/>
          <w:szCs w:val="24"/>
          <w:lang w:eastAsia="zh-CN"/>
        </w:rPr>
        <w:t>.</w:t>
      </w:r>
      <w:r w:rsidRPr="003D18A0">
        <w:rPr>
          <w:rFonts w:eastAsia="楷体"/>
          <w:sz w:val="24"/>
          <w:szCs w:val="24"/>
          <w:lang w:eastAsia="zh-CN"/>
        </w:rPr>
        <w:tab/>
      </w:r>
      <w:r w:rsidRPr="003D18A0">
        <w:rPr>
          <w:rFonts w:eastAsia="楷体"/>
          <w:sz w:val="24"/>
          <w:szCs w:val="24"/>
          <w:lang w:eastAsia="zh-CN"/>
        </w:rPr>
        <w:t>赞赏地注意到</w:t>
      </w:r>
      <w:r w:rsidRPr="003D18A0">
        <w:rPr>
          <w:sz w:val="24"/>
          <w:szCs w:val="24"/>
          <w:lang w:val="en-CA" w:eastAsia="zh-CN"/>
        </w:rPr>
        <w:t>全球生物多样性信息机构为更好地获取关于外来入侵物种的数据和信息所进行的努力；</w:t>
      </w:r>
    </w:p>
    <w:p w14:paraId="7762A9AB" w14:textId="7F6C630C"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eastAsia="zh-CN"/>
        </w:rPr>
        <w:t>6</w:t>
      </w:r>
      <w:r w:rsidRPr="003D18A0">
        <w:rPr>
          <w:rFonts w:eastAsia="楷体" w:hint="eastAsia"/>
          <w:sz w:val="24"/>
          <w:szCs w:val="24"/>
          <w:lang w:eastAsia="zh-CN"/>
        </w:rPr>
        <w:t>.</w:t>
      </w:r>
      <w:r w:rsidRPr="003D18A0">
        <w:rPr>
          <w:rFonts w:eastAsia="楷体"/>
          <w:sz w:val="24"/>
          <w:szCs w:val="24"/>
          <w:lang w:eastAsia="zh-CN"/>
        </w:rPr>
        <w:tab/>
      </w:r>
      <w:r w:rsidRPr="003D18A0">
        <w:rPr>
          <w:rFonts w:eastAsia="楷体"/>
          <w:sz w:val="24"/>
          <w:szCs w:val="24"/>
          <w:lang w:eastAsia="zh-CN"/>
        </w:rPr>
        <w:t>认可</w:t>
      </w:r>
      <w:r w:rsidRPr="003D18A0">
        <w:rPr>
          <w:sz w:val="24"/>
          <w:szCs w:val="24"/>
          <w:lang w:eastAsia="zh-CN"/>
        </w:rPr>
        <w:t>为支持《框架》的执行在外来入侵物种问题特设技术专家组工作的基础上制定并经同行评议进一步补充的以下自愿指导要点：</w:t>
      </w:r>
    </w:p>
    <w:p w14:paraId="1F13F810"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附件一所载最适用于外来入侵物种管理的成本效益、成本效果和多标准分析方法；</w:t>
      </w:r>
    </w:p>
    <w:p w14:paraId="5C2049DD"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附件二所载查明和最大限度减少与活生物体跨境电子商务相关的额外风险及其影响；</w:t>
      </w:r>
    </w:p>
    <w:p w14:paraId="5DBE8B22"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附件三所载与预防气候变化和其他导致生物多样性丧失的驱动因素的潜在风险有关的外来入侵物种管理；</w:t>
      </w:r>
    </w:p>
    <w:p w14:paraId="71EC8E1C"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附件四所载引进外来入侵物种对社会经济和文化价值的潜在后果的风险分析；</w:t>
      </w:r>
    </w:p>
    <w:p w14:paraId="1B14C48E"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附件五所载数据库与支持外来入侵物种管理的相关性；</w:t>
      </w:r>
    </w:p>
    <w:p w14:paraId="06C54325"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附件六所载外来入侵物种管理的其他建议和技术指导；</w:t>
      </w:r>
    </w:p>
    <w:p w14:paraId="58ADA7D3" w14:textId="0F770303"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eastAsia="zh-CN"/>
        </w:rPr>
        <w:t>7</w:t>
      </w:r>
      <w:r w:rsidRPr="003D18A0">
        <w:rPr>
          <w:rFonts w:eastAsia="楷体" w:hint="eastAsia"/>
          <w:sz w:val="24"/>
          <w:szCs w:val="24"/>
          <w:lang w:eastAsia="zh-CN"/>
        </w:rPr>
        <w:t>.</w:t>
      </w:r>
      <w:r w:rsidRPr="003D18A0">
        <w:rPr>
          <w:rFonts w:eastAsia="楷体"/>
          <w:sz w:val="24"/>
          <w:szCs w:val="24"/>
          <w:lang w:eastAsia="zh-CN"/>
        </w:rPr>
        <w:tab/>
      </w:r>
      <w:r w:rsidRPr="003D18A0">
        <w:rPr>
          <w:rFonts w:eastAsia="楷体"/>
          <w:sz w:val="24"/>
          <w:szCs w:val="24"/>
          <w:lang w:eastAsia="zh-CN"/>
        </w:rPr>
        <w:t>敦促</w:t>
      </w:r>
      <w:r w:rsidRPr="003D18A0">
        <w:rPr>
          <w:sz w:val="24"/>
          <w:szCs w:val="24"/>
          <w:lang w:val="en-CA" w:eastAsia="zh-CN"/>
        </w:rPr>
        <w:t>缔约方</w:t>
      </w:r>
      <w:r w:rsidRPr="003D18A0">
        <w:rPr>
          <w:sz w:val="24"/>
          <w:szCs w:val="24"/>
          <w:lang w:val="zh-CN" w:eastAsia="zh-CN"/>
        </w:rPr>
        <w:t>在力所能及范围内</w:t>
      </w:r>
      <w:r w:rsidRPr="003D18A0">
        <w:rPr>
          <w:sz w:val="24"/>
          <w:szCs w:val="24"/>
          <w:lang w:val="en-CA" w:eastAsia="zh-CN"/>
        </w:rPr>
        <w:t>利用第</w:t>
      </w:r>
      <w:r w:rsidRPr="003D18A0">
        <w:rPr>
          <w:sz w:val="24"/>
          <w:szCs w:val="24"/>
          <w:lang w:val="en-CA" w:eastAsia="zh-CN"/>
        </w:rPr>
        <w:t>6</w:t>
      </w:r>
      <w:r w:rsidRPr="003D18A0">
        <w:rPr>
          <w:sz w:val="24"/>
          <w:szCs w:val="24"/>
          <w:lang w:val="en-CA" w:eastAsia="zh-CN"/>
        </w:rPr>
        <w:t>段认可的自愿指导要点，更新和执行国家生物多样性战略和行动计划，指导管理外来入侵物种的国家和地方一级的行动；</w:t>
      </w:r>
    </w:p>
    <w:p w14:paraId="190C2B23" w14:textId="21DC6DD9"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val="en-CA" w:eastAsia="zh-CN"/>
        </w:rPr>
      </w:pPr>
      <w:r>
        <w:rPr>
          <w:rFonts w:eastAsia="楷体" w:hint="eastAsia"/>
          <w:sz w:val="24"/>
          <w:szCs w:val="24"/>
          <w:lang w:val="zh-CN" w:eastAsia="zh-CN"/>
        </w:rPr>
        <w:t>8</w:t>
      </w:r>
      <w:r w:rsidRPr="003D18A0">
        <w:rPr>
          <w:rFonts w:eastAsia="楷体" w:hint="eastAsia"/>
          <w:sz w:val="24"/>
          <w:szCs w:val="24"/>
          <w:lang w:val="zh-CN" w:eastAsia="zh-CN"/>
        </w:rPr>
        <w:t>.</w:t>
      </w:r>
      <w:r w:rsidRPr="003D18A0">
        <w:rPr>
          <w:rFonts w:eastAsia="楷体"/>
          <w:sz w:val="24"/>
          <w:szCs w:val="24"/>
          <w:lang w:val="zh-CN" w:eastAsia="zh-CN"/>
        </w:rPr>
        <w:tab/>
      </w:r>
      <w:r w:rsidRPr="003D18A0">
        <w:rPr>
          <w:rFonts w:eastAsia="楷体"/>
          <w:sz w:val="24"/>
          <w:szCs w:val="24"/>
          <w:lang w:val="zh-CN" w:eastAsia="zh-CN"/>
        </w:rPr>
        <w:t>又敦促</w:t>
      </w:r>
      <w:r w:rsidRPr="003D18A0">
        <w:rPr>
          <w:sz w:val="24"/>
          <w:szCs w:val="24"/>
          <w:lang w:val="zh-CN" w:eastAsia="zh-CN"/>
        </w:rPr>
        <w:t>缔约方在力所能及范围内并</w:t>
      </w:r>
      <w:r w:rsidRPr="003D18A0">
        <w:rPr>
          <w:rFonts w:eastAsia="楷体"/>
          <w:sz w:val="24"/>
          <w:szCs w:val="24"/>
          <w:lang w:val="zh-CN" w:eastAsia="zh-CN"/>
        </w:rPr>
        <w:t>邀请</w:t>
      </w:r>
      <w:r w:rsidRPr="003D18A0">
        <w:rPr>
          <w:sz w:val="24"/>
          <w:szCs w:val="24"/>
          <w:lang w:val="zh-CN" w:eastAsia="zh-CN"/>
        </w:rPr>
        <w:t>其他国家政府和相关国际组织酌情根据本国国情和优先事项，以符合相关国际义务的方式，根据对外来入侵物种及其控制的评估</w:t>
      </w:r>
      <w:r w:rsidRPr="003D18A0">
        <w:rPr>
          <w:sz w:val="24"/>
          <w:szCs w:val="24"/>
          <w:lang w:val="en-CA" w:eastAsia="zh-CN"/>
        </w:rPr>
        <w:t>结果：</w:t>
      </w:r>
    </w:p>
    <w:p w14:paraId="02DF9D42"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利用评估提供的信息，包括外来入侵物种的现状和趋势、外来入侵物种引入和建立种群过程中的直接和间接驱动因素的作用以及用于落实《框架》行动目标</w:t>
      </w:r>
      <w:r w:rsidRPr="003D18A0">
        <w:rPr>
          <w:sz w:val="24"/>
          <w:szCs w:val="24"/>
          <w:lang w:eastAsia="zh-CN"/>
        </w:rPr>
        <w:t>6</w:t>
      </w:r>
      <w:r w:rsidRPr="003D18A0">
        <w:rPr>
          <w:sz w:val="24"/>
          <w:szCs w:val="24"/>
          <w:lang w:eastAsia="zh-CN"/>
        </w:rPr>
        <w:t>的各种有效管理方案，例如跨部门合作等；</w:t>
      </w:r>
    </w:p>
    <w:p w14:paraId="57A0A1A6"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支持和</w:t>
      </w:r>
      <w:r w:rsidRPr="003D18A0">
        <w:rPr>
          <w:sz w:val="24"/>
          <w:szCs w:val="24"/>
          <w:lang w:eastAsia="zh-CN"/>
        </w:rPr>
        <w:t>/</w:t>
      </w:r>
      <w:r w:rsidRPr="003D18A0">
        <w:rPr>
          <w:sz w:val="24"/>
          <w:szCs w:val="24"/>
          <w:lang w:eastAsia="zh-CN"/>
        </w:rPr>
        <w:t>或制定政策工具，寻求相关部门之间的协同作用，以管理外来入侵物种，并酌情考虑利用现有的多部门方法来实现必要的协调；</w:t>
      </w:r>
    </w:p>
    <w:p w14:paraId="486651BF"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以符合相关国际义务的方式，考虑到具体国情和国家法律，制定或加强现有的国家监管文书，</w:t>
      </w:r>
      <w:r w:rsidRPr="003D18A0">
        <w:rPr>
          <w:sz w:val="24"/>
          <w:szCs w:val="24"/>
          <w:lang w:eastAsia="zh-CN"/>
        </w:rPr>
        <w:t xml:space="preserve"> </w:t>
      </w:r>
      <w:r w:rsidRPr="003D18A0">
        <w:rPr>
          <w:sz w:val="24"/>
          <w:szCs w:val="24"/>
          <w:lang w:eastAsia="zh-CN"/>
        </w:rPr>
        <w:t>以减少外来入侵物种的运输和引入，在适当情况下可使用相关自愿指导意见和行为守则作为补充，包括对在线贸易和现有标准尚未涵盖的领域实行监管；</w:t>
      </w:r>
    </w:p>
    <w:p w14:paraId="185AE135"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发展或加强及早发现新引进的外来物种，对其做出快速反应的能力，以防止其建群；</w:t>
      </w:r>
    </w:p>
    <w:p w14:paraId="717E7967"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除其他外，通过促进外来入侵物种管理相关领域的进一步科学和社会经济研究以及支持能力建设、技术转让以及技术和科学合作的办法，弥补评估中发现的知识和数据空白；</w:t>
      </w:r>
    </w:p>
    <w:p w14:paraId="1C046BBE"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lastRenderedPageBreak/>
        <w:t>通过提供财政资源等方式，支持开放和可互操作的信息平台系统、基础设施和数据共享的开发、更新和长期运行，支持外来入侵物种的管理；</w:t>
      </w:r>
    </w:p>
    <w:p w14:paraId="70A60D4B"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让妇女、青年、土著人民和地方社区、科学和技术团体等广泛利益攸关方参与外来入侵物种的管理；</w:t>
      </w:r>
    </w:p>
    <w:p w14:paraId="2D58FC12"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提高关于外来入侵物种及其管理的公众意识；</w:t>
      </w:r>
    </w:p>
    <w:p w14:paraId="49CB01E6"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寻找机会加强国家之间以及国际和区域机制之间和跨部门的协调与合作，</w:t>
      </w:r>
      <w:r w:rsidRPr="003D18A0">
        <w:rPr>
          <w:sz w:val="24"/>
          <w:szCs w:val="24"/>
          <w:lang w:eastAsia="zh-CN"/>
        </w:rPr>
        <w:t>[</w:t>
      </w:r>
      <w:r w:rsidRPr="003D18A0">
        <w:rPr>
          <w:sz w:val="24"/>
          <w:szCs w:val="24"/>
          <w:lang w:eastAsia="zh-CN"/>
        </w:rPr>
        <w:t>支持实施</w:t>
      </w:r>
      <w:r w:rsidRPr="003D18A0">
        <w:rPr>
          <w:sz w:val="24"/>
          <w:szCs w:val="24"/>
          <w:lang w:eastAsia="zh-CN"/>
        </w:rPr>
        <w:t>“</w:t>
      </w:r>
      <w:r w:rsidRPr="003D18A0">
        <w:rPr>
          <w:sz w:val="24"/>
          <w:szCs w:val="24"/>
          <w:lang w:eastAsia="zh-CN"/>
        </w:rPr>
        <w:t>同一健康</w:t>
      </w:r>
      <w:r w:rsidRPr="003D18A0">
        <w:rPr>
          <w:sz w:val="24"/>
          <w:szCs w:val="24"/>
          <w:lang w:eastAsia="zh-CN"/>
        </w:rPr>
        <w:t>”</w:t>
      </w:r>
      <w:r w:rsidRPr="003D18A0">
        <w:rPr>
          <w:sz w:val="24"/>
          <w:szCs w:val="24"/>
          <w:lang w:eastAsia="zh-CN"/>
        </w:rPr>
        <w:t>和其他整体方法，</w:t>
      </w:r>
      <w:r w:rsidRPr="003D18A0">
        <w:rPr>
          <w:sz w:val="24"/>
          <w:szCs w:val="24"/>
          <w:lang w:eastAsia="zh-CN"/>
        </w:rPr>
        <w:t xml:space="preserve">] </w:t>
      </w:r>
      <w:r w:rsidRPr="003D18A0">
        <w:rPr>
          <w:sz w:val="24"/>
          <w:szCs w:val="24"/>
          <w:lang w:eastAsia="zh-CN"/>
        </w:rPr>
        <w:t>确保采取持续的战略行动来管理外来入侵</w:t>
      </w:r>
      <w:r w:rsidRPr="003D18A0">
        <w:rPr>
          <w:sz w:val="24"/>
          <w:szCs w:val="24"/>
          <w:lang w:eastAsia="zh-CN"/>
        </w:rPr>
        <w:t xml:space="preserve">   </w:t>
      </w:r>
      <w:r w:rsidRPr="003D18A0">
        <w:rPr>
          <w:sz w:val="24"/>
          <w:szCs w:val="24"/>
          <w:lang w:eastAsia="zh-CN"/>
        </w:rPr>
        <w:t>物种；</w:t>
      </w:r>
    </w:p>
    <w:p w14:paraId="0C14B9B6"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开展知识共享和能力建设活动，支持缔约方，特别是发展中国家缔约方实施行动目标</w:t>
      </w:r>
      <w:r w:rsidRPr="003D18A0">
        <w:rPr>
          <w:sz w:val="24"/>
          <w:szCs w:val="24"/>
          <w:lang w:eastAsia="zh-CN"/>
        </w:rPr>
        <w:t>6</w:t>
      </w:r>
      <w:r w:rsidRPr="003D18A0">
        <w:rPr>
          <w:sz w:val="24"/>
          <w:szCs w:val="24"/>
          <w:lang w:eastAsia="zh-CN"/>
        </w:rPr>
        <w:t>，确保土著人民和地方社区、妇女和青年参加这些活动；</w:t>
      </w:r>
    </w:p>
    <w:p w14:paraId="122536D7" w14:textId="5ABBE331"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jc w:val="left"/>
        <w:rPr>
          <w:sz w:val="24"/>
          <w:szCs w:val="24"/>
          <w:lang w:val="en-CA" w:eastAsia="zh-CN"/>
        </w:rPr>
      </w:pPr>
      <w:r>
        <w:rPr>
          <w:rFonts w:eastAsia="楷体" w:hint="eastAsia"/>
          <w:sz w:val="24"/>
          <w:szCs w:val="24"/>
          <w:lang w:val="zh-CN" w:eastAsia="zh-CN"/>
        </w:rPr>
        <w:t>9</w:t>
      </w:r>
      <w:r w:rsidRPr="003D18A0">
        <w:rPr>
          <w:rFonts w:eastAsia="楷体" w:hint="eastAsia"/>
          <w:sz w:val="24"/>
          <w:szCs w:val="24"/>
          <w:lang w:val="zh-CN" w:eastAsia="zh-CN"/>
        </w:rPr>
        <w:t>.</w:t>
      </w:r>
      <w:r w:rsidRPr="003D18A0">
        <w:rPr>
          <w:rFonts w:eastAsia="楷体"/>
          <w:sz w:val="24"/>
          <w:szCs w:val="24"/>
          <w:lang w:val="zh-CN" w:eastAsia="zh-CN"/>
        </w:rPr>
        <w:tab/>
      </w:r>
      <w:r w:rsidRPr="003D18A0">
        <w:rPr>
          <w:rFonts w:eastAsia="楷体"/>
          <w:sz w:val="24"/>
          <w:szCs w:val="24"/>
          <w:lang w:val="zh-CN" w:eastAsia="zh-CN"/>
        </w:rPr>
        <w:t>请</w:t>
      </w:r>
      <w:r w:rsidRPr="003D18A0">
        <w:rPr>
          <w:sz w:val="24"/>
          <w:szCs w:val="24"/>
          <w:lang w:val="zh-CN" w:eastAsia="zh-CN"/>
        </w:rPr>
        <w:t>执行秘书在资源允许的情况下开展以下工作</w:t>
      </w:r>
      <w:r w:rsidRPr="003D18A0">
        <w:rPr>
          <w:sz w:val="24"/>
          <w:szCs w:val="24"/>
          <w:lang w:val="en-CA" w:eastAsia="zh-CN"/>
        </w:rPr>
        <w:t>：</w:t>
      </w:r>
    </w:p>
    <w:p w14:paraId="38B580AA" w14:textId="77777777" w:rsidR="003D18A0" w:rsidRPr="003D18A0" w:rsidRDefault="003D18A0" w:rsidP="003D18A0">
      <w:pPr>
        <w:numPr>
          <w:ilvl w:val="0"/>
          <w:numId w:val="161"/>
        </w:numPr>
        <w:tabs>
          <w:tab w:val="clear" w:pos="567"/>
          <w:tab w:val="clear" w:pos="1134"/>
          <w:tab w:val="clear" w:pos="1701"/>
          <w:tab w:val="clear" w:pos="2268"/>
        </w:tabs>
        <w:snapToGrid w:val="0"/>
        <w:spacing w:before="120" w:after="120" w:line="240" w:lineRule="atLeast"/>
        <w:ind w:left="490" w:firstLine="490"/>
        <w:jc w:val="left"/>
        <w:rPr>
          <w:sz w:val="24"/>
          <w:szCs w:val="24"/>
          <w:lang w:val="en-GB" w:eastAsia="zh-CN"/>
        </w:rPr>
      </w:pPr>
      <w:r w:rsidRPr="003D18A0">
        <w:rPr>
          <w:sz w:val="24"/>
          <w:szCs w:val="24"/>
          <w:lang w:eastAsia="zh-CN"/>
        </w:rPr>
        <w:t>通过机构间外来入侵物种问题联络小组进一步加强相关组织之间的合作</w:t>
      </w:r>
      <w:r w:rsidRPr="003D18A0">
        <w:rPr>
          <w:sz w:val="24"/>
          <w:szCs w:val="24"/>
          <w:lang w:val="en-GB" w:eastAsia="zh-CN"/>
        </w:rPr>
        <w:t>，</w:t>
      </w:r>
      <w:r w:rsidRPr="003D18A0">
        <w:rPr>
          <w:sz w:val="24"/>
          <w:szCs w:val="24"/>
          <w:lang w:val="zh-CN" w:eastAsia="zh-CN"/>
        </w:rPr>
        <w:t>以期根据各自的任务规定通过以下方式支持落实行动目标</w:t>
      </w:r>
      <w:r w:rsidRPr="003D18A0">
        <w:rPr>
          <w:sz w:val="24"/>
          <w:szCs w:val="24"/>
          <w:lang w:val="en-GB" w:eastAsia="zh-CN"/>
        </w:rPr>
        <w:t>6</w:t>
      </w:r>
      <w:r w:rsidRPr="003D18A0">
        <w:rPr>
          <w:sz w:val="24"/>
          <w:szCs w:val="24"/>
          <w:lang w:val="en-GB" w:eastAsia="zh-CN"/>
        </w:rPr>
        <w:t>：</w:t>
      </w:r>
    </w:p>
    <w:p w14:paraId="2615DA31" w14:textId="77777777" w:rsidR="003D18A0" w:rsidRPr="003D18A0" w:rsidRDefault="003D18A0" w:rsidP="003D18A0">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继续评估缔约方特别是发展中国家落实行动目标</w:t>
      </w:r>
      <w:r w:rsidRPr="003D18A0">
        <w:rPr>
          <w:sz w:val="24"/>
          <w:szCs w:val="24"/>
          <w:lang w:val="en-GB" w:eastAsia="zh-CN"/>
        </w:rPr>
        <w:t>6</w:t>
      </w:r>
      <w:r w:rsidRPr="003D18A0">
        <w:rPr>
          <w:sz w:val="24"/>
          <w:szCs w:val="24"/>
          <w:lang w:val="zh-CN" w:eastAsia="zh-CN"/>
        </w:rPr>
        <w:t>的现有能力以及科学、技术和工艺需求</w:t>
      </w:r>
      <w:r w:rsidRPr="003D18A0">
        <w:rPr>
          <w:sz w:val="24"/>
          <w:szCs w:val="24"/>
          <w:lang w:val="en-GB" w:eastAsia="zh-CN"/>
        </w:rPr>
        <w:t>；</w:t>
      </w:r>
    </w:p>
    <w:p w14:paraId="2F605AE0" w14:textId="77777777" w:rsidR="003D18A0" w:rsidRPr="003D18A0" w:rsidRDefault="003D18A0" w:rsidP="003D18A0">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分享小组成员汲取的经验教训</w:t>
      </w:r>
      <w:r w:rsidRPr="003D18A0">
        <w:rPr>
          <w:sz w:val="24"/>
          <w:szCs w:val="24"/>
          <w:lang w:val="en-GB" w:eastAsia="zh-CN"/>
        </w:rPr>
        <w:t>，</w:t>
      </w:r>
      <w:r w:rsidRPr="003D18A0">
        <w:rPr>
          <w:sz w:val="24"/>
          <w:szCs w:val="24"/>
          <w:lang w:val="zh-CN" w:eastAsia="zh-CN"/>
        </w:rPr>
        <w:t>这些经验教训可能有助于根据《公约》开展与外来入侵物种有关的工作</w:t>
      </w:r>
      <w:r w:rsidRPr="003D18A0">
        <w:rPr>
          <w:sz w:val="24"/>
          <w:szCs w:val="24"/>
          <w:lang w:val="en-GB" w:eastAsia="zh-CN"/>
        </w:rPr>
        <w:t>；</w:t>
      </w:r>
    </w:p>
    <w:p w14:paraId="1E8B0B62" w14:textId="77777777" w:rsidR="003D18A0" w:rsidRPr="003D18A0" w:rsidRDefault="003D18A0" w:rsidP="003D18A0">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根据需要制定能力建设活动和指导意见</w:t>
      </w:r>
      <w:r w:rsidRPr="003D18A0">
        <w:rPr>
          <w:sz w:val="24"/>
          <w:szCs w:val="24"/>
          <w:lang w:val="en-GB" w:eastAsia="zh-CN"/>
        </w:rPr>
        <w:t>，</w:t>
      </w:r>
      <w:r w:rsidRPr="003D18A0">
        <w:rPr>
          <w:sz w:val="24"/>
          <w:szCs w:val="24"/>
          <w:lang w:val="zh-CN" w:eastAsia="zh-CN"/>
        </w:rPr>
        <w:t>弥补上述需求评估查明的空白</w:t>
      </w:r>
      <w:r w:rsidRPr="003D18A0">
        <w:rPr>
          <w:sz w:val="24"/>
          <w:szCs w:val="24"/>
          <w:lang w:val="en-GB" w:eastAsia="zh-CN"/>
        </w:rPr>
        <w:t>；</w:t>
      </w:r>
    </w:p>
    <w:p w14:paraId="5740776E" w14:textId="77777777" w:rsidR="003D18A0" w:rsidRPr="003D18A0" w:rsidRDefault="003D18A0" w:rsidP="003D18A0">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促进国际合作</w:t>
      </w:r>
      <w:r w:rsidRPr="003D18A0">
        <w:rPr>
          <w:sz w:val="24"/>
          <w:szCs w:val="24"/>
          <w:lang w:val="en-GB" w:eastAsia="zh-CN"/>
        </w:rPr>
        <w:t>，</w:t>
      </w:r>
      <w:r w:rsidRPr="003D18A0">
        <w:rPr>
          <w:sz w:val="24"/>
          <w:szCs w:val="24"/>
          <w:lang w:val="zh-CN" w:eastAsia="zh-CN"/>
        </w:rPr>
        <w:t>实现在土著人民和地方社区的参与下管理外来入侵物种</w:t>
      </w:r>
      <w:r w:rsidRPr="003D18A0">
        <w:rPr>
          <w:sz w:val="24"/>
          <w:szCs w:val="24"/>
          <w:lang w:val="en-GB" w:eastAsia="zh-CN"/>
        </w:rPr>
        <w:t>；</w:t>
      </w:r>
    </w:p>
    <w:p w14:paraId="5F32A614" w14:textId="77777777" w:rsidR="003D18A0" w:rsidRPr="003D18A0" w:rsidRDefault="003D18A0" w:rsidP="003D18A0">
      <w:p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0"/>
          <w:szCs w:val="20"/>
          <w:lang w:val="zh-CN" w:eastAsia="zh-CN"/>
        </w:rPr>
        <w:t>(</w:t>
      </w:r>
      <w:r w:rsidRPr="003D18A0">
        <w:rPr>
          <w:sz w:val="20"/>
          <w:szCs w:val="20"/>
          <w:lang w:val="zh-CN" w:eastAsia="zh-CN"/>
        </w:rPr>
        <w:t>五</w:t>
      </w:r>
      <w:r w:rsidRPr="003D18A0">
        <w:rPr>
          <w:sz w:val="20"/>
          <w:szCs w:val="20"/>
          <w:lang w:val="zh-CN" w:eastAsia="zh-CN"/>
        </w:rPr>
        <w:t>)</w:t>
      </w:r>
      <w:r w:rsidRPr="003D18A0">
        <w:rPr>
          <w:sz w:val="24"/>
          <w:szCs w:val="24"/>
          <w:lang w:val="zh-CN" w:eastAsia="zh-CN"/>
        </w:rPr>
        <w:t xml:space="preserve"> </w:t>
      </w:r>
      <w:r w:rsidRPr="003D18A0">
        <w:rPr>
          <w:sz w:val="24"/>
          <w:szCs w:val="24"/>
          <w:lang w:val="zh-CN" w:eastAsia="zh-CN"/>
        </w:rPr>
        <w:tab/>
      </w:r>
      <w:r w:rsidRPr="003D18A0">
        <w:rPr>
          <w:sz w:val="24"/>
          <w:szCs w:val="24"/>
          <w:lang w:val="zh-CN" w:eastAsia="zh-CN"/>
        </w:rPr>
        <w:t>加强与相关行业，例如旅游业和贸易业以及全球生物多样性信息机构所属工作队的合作</w:t>
      </w:r>
      <w:r w:rsidRPr="003D18A0">
        <w:rPr>
          <w:sz w:val="24"/>
          <w:szCs w:val="24"/>
          <w:lang w:val="en-GB" w:eastAsia="zh-CN"/>
        </w:rPr>
        <w:t>，</w:t>
      </w:r>
      <w:r w:rsidRPr="003D18A0">
        <w:rPr>
          <w:sz w:val="24"/>
          <w:szCs w:val="24"/>
          <w:lang w:val="zh-CN" w:eastAsia="zh-CN"/>
        </w:rPr>
        <w:t>改善获取外来入侵物种数据和信息的机会</w:t>
      </w:r>
      <w:r w:rsidRPr="003D18A0">
        <w:rPr>
          <w:sz w:val="24"/>
          <w:szCs w:val="24"/>
          <w:lang w:val="en-GB" w:eastAsia="zh-CN"/>
        </w:rPr>
        <w:t>；</w:t>
      </w:r>
    </w:p>
    <w:p w14:paraId="351A356B" w14:textId="77777777" w:rsidR="003D18A0" w:rsidRPr="003D18A0" w:rsidRDefault="003D18A0" w:rsidP="003D18A0">
      <w:pPr>
        <w:numPr>
          <w:ilvl w:val="0"/>
          <w:numId w:val="161"/>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举办不限成员名额在线论坛，促进以下方面的信息和经验交流：</w:t>
      </w:r>
      <w:r w:rsidRPr="003D18A0">
        <w:rPr>
          <w:sz w:val="24"/>
          <w:szCs w:val="24"/>
          <w:lang w:eastAsia="zh-CN"/>
        </w:rPr>
        <w:t xml:space="preserve"> </w:t>
      </w:r>
    </w:p>
    <w:p w14:paraId="49800FC7" w14:textId="77777777" w:rsidR="003D18A0" w:rsidRPr="003D18A0" w:rsidRDefault="003D18A0" w:rsidP="003D18A0">
      <w:pPr>
        <w:numPr>
          <w:ilvl w:val="0"/>
          <w:numId w:val="157"/>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缔约方和利益攸关方为落实行动目标</w:t>
      </w:r>
      <w:r w:rsidRPr="003D18A0">
        <w:rPr>
          <w:sz w:val="24"/>
          <w:szCs w:val="24"/>
          <w:lang w:val="en-GB" w:eastAsia="zh-CN"/>
        </w:rPr>
        <w:t>6</w:t>
      </w:r>
      <w:r w:rsidRPr="003D18A0">
        <w:rPr>
          <w:sz w:val="24"/>
          <w:szCs w:val="24"/>
          <w:lang w:val="zh-CN" w:eastAsia="zh-CN"/>
        </w:rPr>
        <w:t>特别是促进国际和区域合作所开展的工作</w:t>
      </w:r>
      <w:r w:rsidRPr="003D18A0">
        <w:rPr>
          <w:sz w:val="24"/>
          <w:szCs w:val="24"/>
          <w:lang w:val="en-GB" w:eastAsia="zh-CN"/>
        </w:rPr>
        <w:t>；</w:t>
      </w:r>
    </w:p>
    <w:p w14:paraId="50EA3130" w14:textId="77777777" w:rsidR="003D18A0" w:rsidRPr="003D18A0" w:rsidRDefault="003D18A0" w:rsidP="003D18A0">
      <w:pPr>
        <w:numPr>
          <w:ilvl w:val="0"/>
          <w:numId w:val="157"/>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可以用来促进共同应对生物入侵以及外来入侵物种的威胁和影响的方法</w:t>
      </w:r>
      <w:r w:rsidRPr="003D18A0">
        <w:rPr>
          <w:sz w:val="24"/>
          <w:szCs w:val="24"/>
          <w:lang w:val="en-GB" w:eastAsia="zh-CN"/>
        </w:rPr>
        <w:t>，</w:t>
      </w:r>
      <w:r w:rsidRPr="003D18A0">
        <w:rPr>
          <w:sz w:val="24"/>
          <w:szCs w:val="24"/>
          <w:lang w:val="zh-CN" w:eastAsia="zh-CN"/>
        </w:rPr>
        <w:t>以及如何将这些单独的方法纳入</w:t>
      </w:r>
      <w:r w:rsidRPr="003D18A0">
        <w:rPr>
          <w:rFonts w:eastAsia="Times New Roman"/>
          <w:sz w:val="24"/>
          <w:szCs w:val="24"/>
          <w:lang w:val="en-GB" w:eastAsia="zh-CN"/>
        </w:rPr>
        <w:t>“</w:t>
      </w:r>
      <w:r w:rsidRPr="003D18A0">
        <w:rPr>
          <w:sz w:val="24"/>
          <w:szCs w:val="24"/>
          <w:lang w:val="zh-CN" w:eastAsia="zh-CN"/>
        </w:rPr>
        <w:t>同一健康</w:t>
      </w:r>
      <w:r w:rsidRPr="003D18A0">
        <w:rPr>
          <w:rFonts w:eastAsia="Times New Roman"/>
          <w:sz w:val="24"/>
          <w:szCs w:val="24"/>
          <w:lang w:val="en-GB" w:eastAsia="zh-CN"/>
        </w:rPr>
        <w:t>”</w:t>
      </w:r>
      <w:r w:rsidRPr="003D18A0">
        <w:rPr>
          <w:sz w:val="24"/>
          <w:szCs w:val="24"/>
          <w:lang w:val="zh-CN" w:eastAsia="zh-CN"/>
        </w:rPr>
        <w:t>方法</w:t>
      </w:r>
      <w:r w:rsidRPr="003D18A0">
        <w:rPr>
          <w:sz w:val="24"/>
          <w:szCs w:val="24"/>
          <w:lang w:val="en-GB" w:eastAsia="zh-CN"/>
        </w:rPr>
        <w:t>；</w:t>
      </w:r>
    </w:p>
    <w:p w14:paraId="436DEDDB" w14:textId="77777777" w:rsidR="003D18A0" w:rsidRPr="003D18A0" w:rsidRDefault="003D18A0" w:rsidP="003D18A0">
      <w:pPr>
        <w:numPr>
          <w:ilvl w:val="0"/>
          <w:numId w:val="161"/>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向科学、技术和工艺咨询附属机构未来会议报告上述活动的进展情况。</w:t>
      </w:r>
    </w:p>
    <w:p w14:paraId="6B4AC837" w14:textId="77777777" w:rsidR="003D18A0" w:rsidRPr="003D18A0" w:rsidRDefault="003D18A0" w:rsidP="003D18A0">
      <w:pPr>
        <w:tabs>
          <w:tab w:val="clear" w:pos="567"/>
          <w:tab w:val="clear" w:pos="1134"/>
          <w:tab w:val="clear" w:pos="1701"/>
          <w:tab w:val="clear" w:pos="2268"/>
        </w:tabs>
        <w:ind w:left="490"/>
        <w:jc w:val="left"/>
        <w:rPr>
          <w:b/>
          <w:bCs/>
          <w:caps/>
          <w:kern w:val="22"/>
          <w:sz w:val="24"/>
          <w:szCs w:val="24"/>
          <w:lang w:val="en-GB" w:eastAsia="zh-CN"/>
        </w:rPr>
      </w:pPr>
    </w:p>
    <w:p w14:paraId="2EEFE822" w14:textId="77777777" w:rsidR="003D18A0" w:rsidRPr="003D18A0" w:rsidRDefault="003D18A0" w:rsidP="003D18A0">
      <w:pPr>
        <w:tabs>
          <w:tab w:val="clear" w:pos="567"/>
          <w:tab w:val="clear" w:pos="1134"/>
          <w:tab w:val="clear" w:pos="1701"/>
          <w:tab w:val="clear" w:pos="2268"/>
        </w:tabs>
        <w:ind w:left="490"/>
        <w:jc w:val="left"/>
        <w:rPr>
          <w:b/>
          <w:bCs/>
          <w:caps/>
          <w:kern w:val="22"/>
          <w:sz w:val="24"/>
          <w:szCs w:val="24"/>
          <w:lang w:val="en-GB" w:eastAsia="zh-CN"/>
        </w:rPr>
      </w:pPr>
      <w:r w:rsidRPr="003D18A0">
        <w:rPr>
          <w:b/>
          <w:bCs/>
          <w:caps/>
          <w:kern w:val="22"/>
          <w:sz w:val="24"/>
          <w:szCs w:val="24"/>
          <w:lang w:val="en-GB" w:eastAsia="zh-CN"/>
        </w:rPr>
        <w:t>附件一</w:t>
      </w:r>
    </w:p>
    <w:p w14:paraId="44A92775"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ind w:left="490"/>
        <w:rPr>
          <w:b/>
          <w:bCs/>
          <w:caps/>
          <w:kern w:val="22"/>
          <w:sz w:val="24"/>
          <w:szCs w:val="24"/>
          <w:lang w:val="en-GB" w:eastAsia="zh-CN"/>
        </w:rPr>
      </w:pPr>
      <w:r w:rsidRPr="003D18A0">
        <w:rPr>
          <w:b/>
          <w:bCs/>
          <w:caps/>
          <w:kern w:val="22"/>
          <w:sz w:val="24"/>
          <w:szCs w:val="24"/>
          <w:lang w:val="en-GB" w:eastAsia="zh-CN"/>
        </w:rPr>
        <w:t>最适用于外来入侵物种管理的成本效益、成本效率和多标准分析方法</w:t>
      </w:r>
    </w:p>
    <w:p w14:paraId="285B9BCE"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jc w:val="left"/>
        <w:rPr>
          <w:rFonts w:eastAsia="Times New Roman"/>
          <w:sz w:val="24"/>
          <w:szCs w:val="24"/>
          <w:lang w:val="en-GB" w:eastAsia="zh-CN"/>
        </w:rPr>
      </w:pPr>
      <w:r w:rsidRPr="003D18A0">
        <w:rPr>
          <w:rFonts w:ascii="宋体" w:hAnsi="宋体" w:cs="宋体" w:hint="eastAsia"/>
          <w:sz w:val="24"/>
          <w:szCs w:val="24"/>
          <w:lang w:val="en-GB" w:eastAsia="zh-CN"/>
        </w:rPr>
        <w:t>本附件载有对缔约方和利益攸关方的咨询和自愿指导意见，以期支持执行《昆明</w:t>
      </w:r>
      <w:r w:rsidRPr="003D18A0">
        <w:rPr>
          <w:rFonts w:eastAsia="Times New Roman"/>
          <w:sz w:val="24"/>
          <w:szCs w:val="24"/>
          <w:lang w:val="en-GB" w:eastAsia="zh-CN"/>
        </w:rPr>
        <w:t>-</w:t>
      </w:r>
      <w:r w:rsidRPr="003D18A0">
        <w:rPr>
          <w:rFonts w:ascii="宋体" w:hAnsi="宋体" w:cs="宋体" w:hint="eastAsia"/>
          <w:sz w:val="24"/>
          <w:szCs w:val="24"/>
          <w:lang w:val="en-GB" w:eastAsia="zh-CN"/>
        </w:rPr>
        <w:t>蒙特利尔全球生物多样性框架》特别是关于外来入侵物种的行动目标</w:t>
      </w:r>
      <w:r w:rsidRPr="003D18A0">
        <w:rPr>
          <w:rFonts w:eastAsia="Times New Roman"/>
          <w:sz w:val="24"/>
          <w:szCs w:val="24"/>
          <w:lang w:val="en-GB" w:eastAsia="zh-CN"/>
        </w:rPr>
        <w:t>6</w:t>
      </w:r>
      <w:r w:rsidRPr="003D18A0">
        <w:rPr>
          <w:rFonts w:ascii="宋体" w:hAnsi="宋体" w:cs="宋体" w:hint="eastAsia"/>
          <w:sz w:val="24"/>
          <w:szCs w:val="24"/>
          <w:lang w:val="en-GB" w:eastAsia="zh-CN"/>
        </w:rPr>
        <w:t>以及其他相关行动目标。</w:t>
      </w:r>
    </w:p>
    <w:p w14:paraId="5D7501AE"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rFonts w:eastAsia="Times New Roman"/>
          <w:sz w:val="24"/>
          <w:szCs w:val="24"/>
          <w:lang w:val="en-GB" w:eastAsia="zh-CN"/>
        </w:rPr>
      </w:pPr>
      <w:r w:rsidRPr="003D18A0">
        <w:rPr>
          <w:rFonts w:ascii="宋体" w:hAnsi="宋体" w:cs="宋体" w:hint="eastAsia"/>
          <w:sz w:val="24"/>
          <w:szCs w:val="24"/>
          <w:lang w:val="en-GB" w:eastAsia="zh-CN"/>
        </w:rPr>
        <w:lastRenderedPageBreak/>
        <w:t>行动目标</w:t>
      </w:r>
      <w:r w:rsidRPr="003D18A0">
        <w:rPr>
          <w:rFonts w:eastAsia="Times New Roman"/>
          <w:sz w:val="24"/>
          <w:szCs w:val="24"/>
          <w:lang w:val="en-GB" w:eastAsia="zh-CN"/>
        </w:rPr>
        <w:t>6</w:t>
      </w:r>
      <w:r w:rsidRPr="003D18A0">
        <w:rPr>
          <w:rFonts w:ascii="宋体" w:hAnsi="宋体" w:cs="宋体" w:hint="eastAsia"/>
          <w:sz w:val="24"/>
          <w:szCs w:val="24"/>
          <w:lang w:val="en-GB" w:eastAsia="zh-CN"/>
        </w:rPr>
        <w:t>除其他外强调需要确定和管理外来入侵物种</w:t>
      </w:r>
      <w:r w:rsidRPr="003D18A0">
        <w:rPr>
          <w:rFonts w:eastAsia="Times New Roman"/>
          <w:szCs w:val="24"/>
          <w:vertAlign w:val="superscript"/>
          <w:lang w:val="en-GB" w:eastAsia="zh-CN"/>
        </w:rPr>
        <w:footnoteReference w:id="5"/>
      </w:r>
      <w:r w:rsidRPr="003D18A0">
        <w:rPr>
          <w:rFonts w:ascii="宋体" w:hAnsi="宋体" w:cs="宋体" w:hint="eastAsia"/>
          <w:sz w:val="24"/>
          <w:szCs w:val="24"/>
          <w:lang w:val="en-GB" w:eastAsia="zh-CN"/>
        </w:rPr>
        <w:t>和引进途径，防止重点外来入侵物种的引进和建群。鉴于外来物种有多种引进途径，且许多国家已经存在多种外来物种和外来入侵物种，有必要优先采取行动管理这些物种以及可能涉及生物多样性或易受入侵影响的最重要的途径</w:t>
      </w:r>
      <w:r w:rsidRPr="003D18A0">
        <w:rPr>
          <w:rFonts w:eastAsia="Times New Roman"/>
          <w:szCs w:val="24"/>
          <w:vertAlign w:val="superscript"/>
          <w:lang w:val="en-GB" w:eastAsia="zh-CN"/>
        </w:rPr>
        <w:footnoteReference w:id="6"/>
      </w:r>
      <w:r w:rsidRPr="003D18A0">
        <w:rPr>
          <w:rFonts w:eastAsia="Times New Roman"/>
          <w:sz w:val="24"/>
          <w:szCs w:val="24"/>
          <w:lang w:val="en-GB" w:eastAsia="zh-CN"/>
        </w:rPr>
        <w:t xml:space="preserve"> </w:t>
      </w:r>
      <w:r w:rsidRPr="003D18A0">
        <w:rPr>
          <w:rFonts w:ascii="宋体" w:hAnsi="宋体" w:cs="宋体" w:hint="eastAsia"/>
          <w:sz w:val="24"/>
          <w:szCs w:val="24"/>
          <w:lang w:val="en-GB" w:eastAsia="zh-CN"/>
        </w:rPr>
        <w:t>和地带，同时考虑到可行性、资源有效性和生物多样性对人类的不同价值。</w:t>
      </w:r>
    </w:p>
    <w:p w14:paraId="6CCE53DD"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rFonts w:eastAsia="Times New Roman"/>
          <w:sz w:val="24"/>
          <w:szCs w:val="24"/>
          <w:lang w:val="en-GB" w:eastAsia="zh-CN"/>
        </w:rPr>
      </w:pPr>
      <w:r w:rsidRPr="003D18A0">
        <w:rPr>
          <w:rFonts w:ascii="宋体" w:hAnsi="宋体" w:cs="宋体" w:hint="eastAsia"/>
          <w:sz w:val="24"/>
          <w:szCs w:val="24"/>
          <w:lang w:val="en-GB" w:eastAsia="zh-CN"/>
        </w:rPr>
        <w:t>为了帮助排定外来入侵物种管理努力和最终决定的先后次序，可使用一系列方法分析具体管理行动的成本、效益和效果，例如</w:t>
      </w:r>
      <w:r w:rsidRPr="003D18A0">
        <w:rPr>
          <w:rFonts w:eastAsia="Times New Roman"/>
          <w:szCs w:val="24"/>
          <w:vertAlign w:val="superscript"/>
          <w:lang w:val="en-GB" w:eastAsia="zh-CN"/>
        </w:rPr>
        <w:footnoteReference w:id="7"/>
      </w:r>
      <w:r w:rsidRPr="003D18A0">
        <w:rPr>
          <w:rFonts w:eastAsia="Times New Roman"/>
          <w:sz w:val="24"/>
          <w:szCs w:val="24"/>
          <w:lang w:val="en-GB" w:eastAsia="zh-CN"/>
        </w:rPr>
        <w:t>:</w:t>
      </w:r>
    </w:p>
    <w:p w14:paraId="42743574"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适当的成本效益分析：以货币价值评估管理特定物种或采取管理行动的成本和效益；</w:t>
      </w:r>
    </w:p>
    <w:p w14:paraId="7F3379D4"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成本效率分析：评估执行一个方案的成本和效益，但效益是以非经济尺度计量的，例如得到保护的受威胁物种的数量，或对土著人民、地方社区、妇女和青年的社会、文化和环境影响；</w:t>
      </w:r>
    </w:p>
    <w:p w14:paraId="74D5C049"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多标准方法：用一系列通常以不同尺度计量的标准进行评估，以确定各种干预方案的先后次序；</w:t>
      </w:r>
    </w:p>
    <w:p w14:paraId="473E9D8A"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科学的风险评估：通常通过现有证据和专家意见相结合的办法；</w:t>
      </w:r>
    </w:p>
    <w:p w14:paraId="482E9C10"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风险管理：确定应采取的减少风险的措施和行动。</w:t>
      </w:r>
    </w:p>
    <w:p w14:paraId="3F25DEFD"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8"/>
          <w:szCs w:val="28"/>
          <w:lang w:val="en-GB" w:eastAsia="zh-CN"/>
        </w:rPr>
      </w:pPr>
      <w:r w:rsidRPr="003D18A0">
        <w:rPr>
          <w:rFonts w:ascii="宋体" w:hAnsi="宋体" w:cs="宋体" w:hint="eastAsia"/>
          <w:sz w:val="24"/>
          <w:szCs w:val="24"/>
          <w:lang w:val="en-GB" w:eastAsia="zh-CN"/>
        </w:rPr>
        <w:t>以下两节介绍其中的三种方法（成本效益分析、成本效率分析、多标准方法），</w:t>
      </w:r>
      <w:r w:rsidRPr="003D18A0">
        <w:rPr>
          <w:sz w:val="24"/>
          <w:szCs w:val="24"/>
          <w:lang w:val="en-GB" w:eastAsia="zh-CN"/>
        </w:rPr>
        <w:t>这些方法适用于广泛的风险分析过程</w:t>
      </w:r>
      <w:r w:rsidRPr="003D18A0">
        <w:rPr>
          <w:sz w:val="24"/>
          <w:szCs w:val="24"/>
          <w:vertAlign w:val="superscript"/>
          <w:lang w:val="en-GB" w:eastAsia="zh-CN"/>
        </w:rPr>
        <w:footnoteReference w:id="8"/>
      </w:r>
      <w:r w:rsidRPr="003D18A0">
        <w:rPr>
          <w:rFonts w:ascii="宋体" w:hAnsi="宋体" w:cs="宋体" w:hint="eastAsia"/>
          <w:sz w:val="24"/>
          <w:szCs w:val="24"/>
          <w:lang w:val="en-GB" w:eastAsia="zh-CN"/>
        </w:rPr>
        <w:t>，有助于分析与其他依靠纯科学数据的方法（如风险评估）所用信息在性质上不相同的信息</w:t>
      </w:r>
      <w:r w:rsidRPr="003D18A0">
        <w:rPr>
          <w:sz w:val="24"/>
          <w:szCs w:val="24"/>
          <w:vertAlign w:val="superscript"/>
          <w:lang w:val="en-GB" w:eastAsia="zh-CN"/>
        </w:rPr>
        <w:footnoteReference w:id="9"/>
      </w:r>
      <w:r w:rsidRPr="003D18A0">
        <w:rPr>
          <w:rFonts w:ascii="宋体" w:hAnsi="宋体" w:cs="宋体" w:hint="eastAsia"/>
          <w:sz w:val="24"/>
          <w:szCs w:val="24"/>
          <w:lang w:val="en-GB" w:eastAsia="zh-CN"/>
        </w:rPr>
        <w:t>。</w:t>
      </w:r>
    </w:p>
    <w:p w14:paraId="2AE86D33" w14:textId="77777777" w:rsidR="003D18A0" w:rsidRPr="003D18A0" w:rsidRDefault="003D18A0" w:rsidP="003D18A0">
      <w:pPr>
        <w:widowControl w:val="0"/>
        <w:tabs>
          <w:tab w:val="clear" w:pos="567"/>
          <w:tab w:val="clear" w:pos="1134"/>
          <w:tab w:val="clear" w:pos="1701"/>
          <w:tab w:val="clear" w:pos="2268"/>
        </w:tabs>
        <w:snapToGrid w:val="0"/>
        <w:spacing w:before="120" w:after="120" w:line="240" w:lineRule="atLeast"/>
        <w:rPr>
          <w:b/>
          <w:bCs/>
          <w:sz w:val="24"/>
          <w:szCs w:val="24"/>
          <w:lang w:val="en-GB" w:eastAsia="zh-CN"/>
        </w:rPr>
      </w:pPr>
      <w:r w:rsidRPr="003D18A0">
        <w:rPr>
          <w:b/>
          <w:bCs/>
          <w:sz w:val="24"/>
          <w:szCs w:val="24"/>
          <w:lang w:val="en-GB" w:eastAsia="zh-CN"/>
        </w:rPr>
        <w:t>一</w:t>
      </w:r>
      <w:r w:rsidRPr="003D18A0">
        <w:rPr>
          <w:b/>
          <w:bCs/>
          <w:sz w:val="24"/>
          <w:szCs w:val="24"/>
          <w:lang w:val="en-GB" w:eastAsia="zh-CN"/>
        </w:rPr>
        <w:t>.</w:t>
      </w:r>
      <w:r w:rsidRPr="003D18A0">
        <w:rPr>
          <w:b/>
          <w:bCs/>
          <w:sz w:val="24"/>
          <w:szCs w:val="24"/>
          <w:lang w:val="en-GB" w:eastAsia="zh-CN"/>
        </w:rPr>
        <w:tab/>
      </w:r>
      <w:r w:rsidRPr="003D18A0">
        <w:rPr>
          <w:b/>
          <w:bCs/>
          <w:sz w:val="24"/>
          <w:szCs w:val="24"/>
          <w:lang w:val="en-GB" w:eastAsia="zh-CN"/>
        </w:rPr>
        <w:t>成本效益分析和成本效率分析</w:t>
      </w:r>
    </w:p>
    <w:p w14:paraId="31B1F679"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现有的成本效益分析和成本效率分析方法</w:t>
      </w:r>
      <w:r w:rsidRPr="003D18A0">
        <w:rPr>
          <w:rFonts w:ascii="宋体" w:hAnsi="宋体" w:cs="宋体" w:hint="eastAsia"/>
          <w:sz w:val="24"/>
          <w:szCs w:val="24"/>
          <w:lang w:val="en-GB" w:eastAsia="zh-CN"/>
        </w:rPr>
        <w:t>，用于管理外来入侵物种，包括确定先后次序。这些方法也有助于提供信息说明预防行动的必要性和重要性，而这正是实现行动目标</w:t>
      </w:r>
      <w:r w:rsidRPr="003D18A0">
        <w:rPr>
          <w:sz w:val="24"/>
          <w:szCs w:val="24"/>
          <w:lang w:val="en-GB" w:eastAsia="zh-CN"/>
        </w:rPr>
        <w:t>6</w:t>
      </w:r>
      <w:r w:rsidRPr="003D18A0">
        <w:rPr>
          <w:rFonts w:ascii="宋体" w:hAnsi="宋体" w:cs="宋体" w:hint="eastAsia"/>
          <w:sz w:val="24"/>
          <w:szCs w:val="24"/>
          <w:lang w:val="en-GB" w:eastAsia="zh-CN"/>
        </w:rPr>
        <w:t>的关键所在。例如，可把成本效益考虑因素用于确定物种或传播途径（国际和国内）的先后次序，确定最佳管理方案，评估可行性和成本效率。</w:t>
      </w:r>
    </w:p>
    <w:p w14:paraId="13495B99"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成本效益和成本效率分析应尽可能全面，最好涵盖多个领域，如生物多样性、对其他非目标物种的影响、动物福祉、公众接受程度、对土著人民、地方社区、妇女和青年的潜在影响、人类健康问题等，尽管其中一些领域往往难以从经济角度描</w:t>
      </w:r>
      <w:r w:rsidRPr="003D18A0">
        <w:rPr>
          <w:sz w:val="24"/>
          <w:szCs w:val="24"/>
          <w:lang w:val="en-GB" w:eastAsia="zh-CN"/>
        </w:rPr>
        <w:lastRenderedPageBreak/>
        <w:t>述。同样，进行这种类型的分析，应逐案考虑何时进行干预，即使在缺乏所有有利信息的情况下，并权衡规划一项管理战略所需的时间与迅速和及早采取行动的重要性。</w:t>
      </w:r>
    </w:p>
    <w:p w14:paraId="004BB5AE"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采取行动消除、遏制或管理和控制外来入侵物种的最终决定会带来巨大的成本和风险，包括不作为的代价；因此在作出管理决定之前，应尽可能进行试点研究和经济评估。然而这样做有时并不可行，有一些快速的方法，如非货币尺度快速评估，可能有助于产生重点物种或地带的</w:t>
      </w:r>
      <w:r w:rsidRPr="003D18A0">
        <w:rPr>
          <w:sz w:val="24"/>
          <w:szCs w:val="24"/>
          <w:lang w:val="en-GB" w:eastAsia="zh-CN"/>
        </w:rPr>
        <w:t>“</w:t>
      </w:r>
      <w:r w:rsidRPr="003D18A0">
        <w:rPr>
          <w:sz w:val="24"/>
          <w:szCs w:val="24"/>
          <w:lang w:val="en-GB" w:eastAsia="zh-CN"/>
        </w:rPr>
        <w:t>短名单</w:t>
      </w:r>
      <w:r w:rsidRPr="003D18A0">
        <w:rPr>
          <w:sz w:val="24"/>
          <w:szCs w:val="24"/>
          <w:lang w:val="en-GB" w:eastAsia="zh-CN"/>
        </w:rPr>
        <w:t>”</w:t>
      </w:r>
      <w:r w:rsidRPr="003D18A0">
        <w:rPr>
          <w:sz w:val="24"/>
          <w:szCs w:val="24"/>
          <w:lang w:val="en-GB" w:eastAsia="zh-CN"/>
        </w:rPr>
        <w:t>，用于指导管理行动。</w:t>
      </w:r>
    </w:p>
    <w:p w14:paraId="7385976B"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涉及岛屿生态系统时，应考虑行动目标</w:t>
      </w:r>
      <w:r w:rsidRPr="003D18A0">
        <w:rPr>
          <w:sz w:val="24"/>
          <w:szCs w:val="24"/>
          <w:lang w:val="en-GB" w:eastAsia="zh-CN"/>
        </w:rPr>
        <w:t>6</w:t>
      </w:r>
      <w:r w:rsidRPr="003D18A0">
        <w:rPr>
          <w:sz w:val="24"/>
          <w:szCs w:val="24"/>
          <w:lang w:val="en-GB" w:eastAsia="zh-CN"/>
        </w:rPr>
        <w:t>重点地带行动排序的呼吁，所用排序工具应符合特定岛屿的生物多样性风险水平和潜在效益规模。</w:t>
      </w:r>
    </w:p>
    <w:p w14:paraId="670EE173"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最后，成本效益分析和成本效率分析还应考虑到提高认识包括教育和指导的重要性，考虑到各缔约方、组织和利益攸关方之间的数据共享，将其作为最大限度利用资源降低干预成本的重要工具。</w:t>
      </w:r>
    </w:p>
    <w:p w14:paraId="40EBF17D" w14:textId="77777777" w:rsidR="003D18A0" w:rsidRPr="003D18A0" w:rsidRDefault="003D18A0" w:rsidP="003D18A0">
      <w:pPr>
        <w:tabs>
          <w:tab w:val="clear" w:pos="567"/>
          <w:tab w:val="clear" w:pos="1134"/>
          <w:tab w:val="clear" w:pos="1701"/>
          <w:tab w:val="clear" w:pos="2268"/>
        </w:tabs>
        <w:snapToGrid w:val="0"/>
        <w:spacing w:before="120" w:after="120" w:line="240" w:lineRule="atLeast"/>
        <w:rPr>
          <w:sz w:val="24"/>
          <w:szCs w:val="24"/>
          <w:lang w:val="en-GB" w:eastAsia="zh-CN"/>
        </w:rPr>
      </w:pPr>
      <w:r w:rsidRPr="003D18A0">
        <w:rPr>
          <w:b/>
          <w:bCs/>
          <w:sz w:val="24"/>
          <w:szCs w:val="24"/>
          <w:lang w:val="en-GB" w:eastAsia="zh-CN"/>
        </w:rPr>
        <w:t>二</w:t>
      </w:r>
      <w:r w:rsidRPr="003D18A0">
        <w:rPr>
          <w:b/>
          <w:bCs/>
          <w:sz w:val="24"/>
          <w:szCs w:val="24"/>
          <w:lang w:val="en-GB" w:eastAsia="zh-CN"/>
        </w:rPr>
        <w:t>.</w:t>
      </w:r>
      <w:r w:rsidRPr="003D18A0">
        <w:rPr>
          <w:b/>
          <w:bCs/>
          <w:sz w:val="24"/>
          <w:szCs w:val="24"/>
          <w:lang w:val="en-GB" w:eastAsia="zh-CN"/>
        </w:rPr>
        <w:tab/>
      </w:r>
      <w:r w:rsidRPr="003D18A0">
        <w:rPr>
          <w:b/>
          <w:bCs/>
          <w:sz w:val="24"/>
          <w:szCs w:val="24"/>
          <w:lang w:val="en-GB" w:eastAsia="zh-CN"/>
        </w:rPr>
        <w:t>多标准分析</w:t>
      </w:r>
    </w:p>
    <w:p w14:paraId="369C13CA"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多标准决策方法提供一个结构化程序，帮助解决涉及多个因素的问题，为需要不同评估标准或数据的复杂问题找到最佳解决方案。这种方法能够快速评估各种选项，已广泛用于有关外来入侵物种的决策，例如进行风险评估。在信息有限或更详细但数据密集型方法（如成本效益分析）可能不切实际的情况下，可结合专家知识和意见使用此方法。多标准方法将问题分解一个个组成部分，以透明和理性的方式评估决策选项。</w:t>
      </w:r>
    </w:p>
    <w:p w14:paraId="1CAFFBE2"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为物种、地带、路径排序，所用分析方法和数据要求往往互不相同。因此多标准方法有助于就外来入侵物种的管理做出决策，例如何时在预防、消除或长期管理目标之间做出选择，如何对大量物种进行快速评估，或如何比较各种管理方案的可行性。应用风险、成本效益和成本效率分析进行基于风险的排序时也可使用多标准决策方法。然后再对使用这种快速方法按实际或潜在影响排序的外来入侵物种进行详细审视，确保管理是有效的、具有成本效益的、可行的。</w:t>
      </w:r>
    </w:p>
    <w:p w14:paraId="265EDC3A"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因为多标准方法常常在无公布数据的情况下使用，所以可能引起对使用专家意见或未经证实的信息的关切。因此应将所用信息和数据的来源、相关性和局限性及其各自的不确定性纳入分析，并在解释结果时说明。多标准分析可利用对一些物种的现有风险分析和影响评估的标准化方法，如外来分类群的环境影响分类</w:t>
      </w:r>
      <w:r w:rsidRPr="003D18A0">
        <w:rPr>
          <w:sz w:val="24"/>
          <w:szCs w:val="24"/>
          <w:vertAlign w:val="superscript"/>
          <w:lang w:val="en-GB" w:eastAsia="zh-CN"/>
        </w:rPr>
        <w:footnoteReference w:id="10"/>
      </w:r>
      <w:r w:rsidRPr="003D18A0">
        <w:rPr>
          <w:sz w:val="24"/>
          <w:szCs w:val="24"/>
          <w:lang w:val="en-GB" w:eastAsia="zh-CN"/>
        </w:rPr>
        <w:t xml:space="preserve"> </w:t>
      </w:r>
      <w:r w:rsidRPr="003D18A0">
        <w:rPr>
          <w:sz w:val="24"/>
          <w:szCs w:val="24"/>
          <w:lang w:val="en-GB" w:eastAsia="zh-CN"/>
        </w:rPr>
        <w:t>和外来分类群的社会经济影响分类</w:t>
      </w:r>
      <w:r w:rsidRPr="003D18A0">
        <w:rPr>
          <w:sz w:val="24"/>
          <w:szCs w:val="24"/>
          <w:vertAlign w:val="superscript"/>
          <w:lang w:val="en-GB" w:eastAsia="zh-CN"/>
        </w:rPr>
        <w:footnoteReference w:id="11"/>
      </w:r>
      <w:r w:rsidRPr="003D18A0">
        <w:rPr>
          <w:sz w:val="24"/>
          <w:szCs w:val="24"/>
          <w:lang w:val="en-GB" w:eastAsia="zh-CN"/>
        </w:rPr>
        <w:t>。将多个标准结合起来支持一个总结论，这种方式也可能导致不同意见，因为这个结论通常基于实用主义而不是经过验证的方法。因此应进行逐案评估，考虑这些方法在具体情况下的效用。</w:t>
      </w:r>
    </w:p>
    <w:p w14:paraId="20336FB8"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可设法改进多标准方法的应用，例如对方法进行检查和协调，制定最佳做法和共同规约；加强与植物健康等其他领域专家的对话以制定最佳做法；应用最新的风</w:t>
      </w:r>
      <w:r w:rsidRPr="003D18A0">
        <w:rPr>
          <w:sz w:val="24"/>
          <w:szCs w:val="24"/>
          <w:lang w:val="en-GB" w:eastAsia="zh-CN"/>
        </w:rPr>
        <w:lastRenderedPageBreak/>
        <w:t>险分析工具如水生物种入侵性筛选工具包</w:t>
      </w:r>
      <w:r w:rsidRPr="003D18A0">
        <w:rPr>
          <w:sz w:val="24"/>
          <w:szCs w:val="24"/>
          <w:vertAlign w:val="superscript"/>
          <w:lang w:val="en-GB" w:eastAsia="zh-CN"/>
        </w:rPr>
        <w:footnoteReference w:id="12"/>
      </w:r>
      <w:r w:rsidRPr="003D18A0">
        <w:rPr>
          <w:sz w:val="24"/>
          <w:szCs w:val="24"/>
          <w:lang w:val="en-GB" w:eastAsia="zh-CN"/>
        </w:rPr>
        <w:t xml:space="preserve"> </w:t>
      </w:r>
      <w:r w:rsidRPr="003D18A0">
        <w:rPr>
          <w:sz w:val="24"/>
          <w:szCs w:val="24"/>
          <w:lang w:val="en-GB" w:eastAsia="zh-CN"/>
        </w:rPr>
        <w:t>和长期分析</w:t>
      </w:r>
      <w:r w:rsidRPr="003D18A0">
        <w:rPr>
          <w:sz w:val="24"/>
          <w:szCs w:val="24"/>
          <w:vertAlign w:val="superscript"/>
          <w:lang w:val="en-GB" w:eastAsia="zh-CN"/>
        </w:rPr>
        <w:footnoteReference w:id="13"/>
      </w:r>
      <w:r w:rsidRPr="003D18A0">
        <w:rPr>
          <w:sz w:val="24"/>
          <w:szCs w:val="24"/>
          <w:lang w:val="en-GB" w:eastAsia="zh-CN"/>
        </w:rPr>
        <w:t xml:space="preserve"> </w:t>
      </w:r>
      <w:r w:rsidRPr="003D18A0">
        <w:rPr>
          <w:sz w:val="24"/>
          <w:szCs w:val="24"/>
          <w:lang w:val="en-GB" w:eastAsia="zh-CN"/>
        </w:rPr>
        <w:t>（如有数据）；增加已公布的经同行评议的供开放获取的定量数据，并加大研究力度以生成定量数据；在征得有关土著人民自由、事先和知情同意</w:t>
      </w:r>
      <w:r w:rsidRPr="003D18A0">
        <w:rPr>
          <w:sz w:val="24"/>
          <w:szCs w:val="24"/>
          <w:vertAlign w:val="superscript"/>
          <w:lang w:val="en-GB" w:eastAsia="zh-CN"/>
        </w:rPr>
        <w:footnoteReference w:id="14"/>
      </w:r>
      <w:r w:rsidRPr="003D18A0">
        <w:rPr>
          <w:sz w:val="24"/>
          <w:szCs w:val="24"/>
          <w:lang w:val="en-GB" w:eastAsia="zh-CN"/>
        </w:rPr>
        <w:t xml:space="preserve"> </w:t>
      </w:r>
      <w:r w:rsidRPr="003D18A0">
        <w:rPr>
          <w:sz w:val="24"/>
          <w:szCs w:val="24"/>
          <w:lang w:val="en-GB" w:eastAsia="zh-CN"/>
        </w:rPr>
        <w:t>的情况下使用传统土著知识（往往是未公布的），补充来自其他公开来源的信息。</w:t>
      </w:r>
    </w:p>
    <w:p w14:paraId="7051A6BB" w14:textId="77777777" w:rsidR="003D18A0" w:rsidRPr="003D18A0" w:rsidRDefault="003D18A0" w:rsidP="003D18A0">
      <w:pPr>
        <w:tabs>
          <w:tab w:val="clear" w:pos="567"/>
          <w:tab w:val="clear" w:pos="1134"/>
          <w:tab w:val="clear" w:pos="1701"/>
          <w:tab w:val="clear" w:pos="2268"/>
        </w:tabs>
        <w:snapToGrid w:val="0"/>
        <w:spacing w:before="120" w:after="120" w:line="240" w:lineRule="atLeast"/>
        <w:rPr>
          <w:sz w:val="24"/>
          <w:szCs w:val="24"/>
          <w:lang w:val="en-GB" w:eastAsia="zh-CN"/>
        </w:rPr>
      </w:pPr>
      <w:r w:rsidRPr="003D18A0">
        <w:rPr>
          <w:b/>
          <w:bCs/>
          <w:sz w:val="24"/>
          <w:szCs w:val="24"/>
          <w:lang w:val="en-GB" w:eastAsia="zh-CN"/>
        </w:rPr>
        <w:t>三</w:t>
      </w:r>
      <w:r w:rsidRPr="003D18A0">
        <w:rPr>
          <w:b/>
          <w:bCs/>
          <w:sz w:val="24"/>
          <w:szCs w:val="24"/>
          <w:lang w:val="en-GB" w:eastAsia="zh-CN"/>
        </w:rPr>
        <w:t>.</w:t>
      </w:r>
      <w:r w:rsidRPr="003D18A0">
        <w:rPr>
          <w:b/>
          <w:bCs/>
          <w:sz w:val="24"/>
          <w:szCs w:val="24"/>
          <w:lang w:val="en-GB" w:eastAsia="zh-CN"/>
        </w:rPr>
        <w:tab/>
      </w:r>
      <w:r w:rsidRPr="003D18A0">
        <w:rPr>
          <w:b/>
          <w:bCs/>
          <w:sz w:val="24"/>
          <w:szCs w:val="24"/>
          <w:lang w:val="en-GB" w:eastAsia="zh-CN"/>
        </w:rPr>
        <w:t>外来入侵物种管理的额外行动</w:t>
      </w:r>
    </w:p>
    <w:p w14:paraId="07763951"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rFonts w:eastAsia="Times New Roman"/>
          <w:sz w:val="24"/>
          <w:szCs w:val="24"/>
          <w:lang w:val="en-GB" w:eastAsia="zh-CN"/>
        </w:rPr>
      </w:pPr>
      <w:r w:rsidRPr="003D18A0">
        <w:rPr>
          <w:rFonts w:ascii="宋体" w:hAnsi="宋体" w:cs="宋体" w:hint="eastAsia"/>
          <w:sz w:val="24"/>
          <w:szCs w:val="24"/>
          <w:lang w:val="en-GB" w:eastAsia="zh-CN"/>
        </w:rPr>
        <w:t>建议各缔约方、</w:t>
      </w:r>
      <w:r w:rsidRPr="003D18A0">
        <w:rPr>
          <w:sz w:val="24"/>
          <w:szCs w:val="24"/>
          <w:lang w:val="en-GB" w:eastAsia="zh-CN"/>
        </w:rPr>
        <w:t>地方和次国家政府</w:t>
      </w:r>
      <w:r w:rsidRPr="003D18A0">
        <w:rPr>
          <w:rFonts w:ascii="宋体" w:hAnsi="宋体" w:cs="宋体" w:hint="eastAsia"/>
          <w:sz w:val="24"/>
          <w:szCs w:val="24"/>
          <w:lang w:val="en-GB" w:eastAsia="zh-CN"/>
        </w:rPr>
        <w:t>、组织和利益攸关方酌情采取以下措施</w:t>
      </w:r>
      <w:r w:rsidRPr="003D18A0">
        <w:rPr>
          <w:rFonts w:eastAsia="Times New Roman"/>
          <w:sz w:val="24"/>
          <w:szCs w:val="24"/>
          <w:lang w:val="en-GB" w:eastAsia="zh-CN"/>
        </w:rPr>
        <w:t>:</w:t>
      </w:r>
    </w:p>
    <w:p w14:paraId="5D8182C2"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各级政府制定协调战略，最大限度地减少外来入侵物种的入侵和影响。这些战略将作为国家生物多样性战略和行动计划和（或）国家入侵物种战略和行动计划的一部分来制定。如有可能，应使用相同的时间表，并考虑到更广泛的国际合作。战略内容可包括加强和协调现有方案，采取新的举措查明和填补空白，借助伙伴组织（包括学术界和科学机构、民间社会组织、土著人民和地方社区、妇女和青年）的优势和能力；</w:t>
      </w:r>
    </w:p>
    <w:p w14:paraId="4C823E5E"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分享</w:t>
      </w:r>
      <w:r w:rsidRPr="003D18A0">
        <w:rPr>
          <w:sz w:val="24"/>
          <w:szCs w:val="24"/>
          <w:vertAlign w:val="superscript"/>
          <w:lang w:val="en-CA"/>
        </w:rPr>
        <w:footnoteReference w:id="15"/>
      </w:r>
      <w:r w:rsidRPr="003D18A0">
        <w:rPr>
          <w:sz w:val="24"/>
          <w:szCs w:val="24"/>
          <w:lang w:val="en-GB" w:eastAsia="zh-CN"/>
        </w:rPr>
        <w:t xml:space="preserve"> </w:t>
      </w:r>
      <w:r w:rsidRPr="003D18A0">
        <w:rPr>
          <w:sz w:val="24"/>
          <w:szCs w:val="24"/>
          <w:lang w:val="en-GB" w:eastAsia="zh-CN"/>
        </w:rPr>
        <w:t>关于预防、管理、控制和消除</w:t>
      </w:r>
      <w:r w:rsidRPr="003D18A0">
        <w:rPr>
          <w:sz w:val="24"/>
          <w:szCs w:val="24"/>
          <w:vertAlign w:val="superscript"/>
          <w:lang w:val="en-CA"/>
        </w:rPr>
        <w:footnoteReference w:id="16"/>
      </w:r>
      <w:r w:rsidRPr="003D18A0">
        <w:rPr>
          <w:sz w:val="24"/>
          <w:szCs w:val="24"/>
          <w:lang w:val="en-GB" w:eastAsia="zh-CN"/>
        </w:rPr>
        <w:t xml:space="preserve"> </w:t>
      </w:r>
      <w:r w:rsidRPr="003D18A0">
        <w:rPr>
          <w:sz w:val="24"/>
          <w:szCs w:val="24"/>
          <w:lang w:val="en-GB" w:eastAsia="zh-CN"/>
        </w:rPr>
        <w:t>外来入侵物种的最佳做法的信息，支持风险分析和管理排序。可在各级政府进行机构间和跨部门知识和信息交流</w:t>
      </w:r>
      <w:r w:rsidRPr="003D18A0">
        <w:rPr>
          <w:sz w:val="24"/>
          <w:szCs w:val="24"/>
          <w:vertAlign w:val="superscript"/>
          <w:lang w:val="en-CA"/>
        </w:rPr>
        <w:footnoteReference w:id="17"/>
      </w:r>
      <w:r w:rsidRPr="003D18A0">
        <w:rPr>
          <w:sz w:val="24"/>
          <w:szCs w:val="24"/>
          <w:lang w:val="en-GB" w:eastAsia="zh-CN"/>
        </w:rPr>
        <w:t>，可制定工具（例如排定先后次序的行动清单</w:t>
      </w:r>
      <w:r w:rsidRPr="003D18A0">
        <w:rPr>
          <w:sz w:val="24"/>
          <w:szCs w:val="24"/>
          <w:vertAlign w:val="superscript"/>
          <w:lang w:val="en-CA"/>
        </w:rPr>
        <w:footnoteReference w:id="18"/>
      </w:r>
      <w:r w:rsidRPr="003D18A0">
        <w:rPr>
          <w:sz w:val="24"/>
          <w:szCs w:val="24"/>
          <w:vertAlign w:val="superscript"/>
          <w:lang w:val="en-GB" w:eastAsia="zh-CN"/>
        </w:rPr>
        <w:t xml:space="preserve"> </w:t>
      </w:r>
      <w:r w:rsidRPr="003D18A0">
        <w:rPr>
          <w:sz w:val="24"/>
          <w:szCs w:val="24"/>
          <w:lang w:val="en-GB" w:eastAsia="zh-CN"/>
        </w:rPr>
        <w:t>和通用数据格式）；应用现有最佳确定和排序方法，包括成本效益和多标准方法；培训、能力建设和技术转让工作等；</w:t>
      </w:r>
    </w:p>
    <w:p w14:paraId="3B9F7996"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评估预防、管理、控制和消除外来入侵物种干预战略的成本、效益和先后次序时，考虑到经济、社会和文化价值，以及对本地生物多样性的可能的积极和消极的影响。可借助现有的进程，例如外来物种分类的社会经济影响分类以及关于土著人民和地方社区、妇女和青年和利益攸关方参与决策的国际最佳做法</w:t>
      </w:r>
      <w:r w:rsidRPr="003D18A0">
        <w:rPr>
          <w:sz w:val="24"/>
          <w:szCs w:val="24"/>
          <w:vertAlign w:val="superscript"/>
          <w:lang w:val="en-CA"/>
        </w:rPr>
        <w:footnoteReference w:id="19"/>
      </w:r>
      <w:r w:rsidRPr="003D18A0">
        <w:rPr>
          <w:sz w:val="24"/>
          <w:szCs w:val="24"/>
          <w:lang w:val="en-GB" w:eastAsia="zh-CN"/>
        </w:rPr>
        <w:t>。建议制定准则以便在评估管理的成本、效益和优先事项时，将社会和文化评估更明确地纳入其中。</w:t>
      </w:r>
    </w:p>
    <w:p w14:paraId="7008365F"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凡可能时，决策和风险分析应尽可能地考虑以科学为基础，遵循相关国际组织或文书，如《国际植物保护公约》和世界动物卫生组织商定的国际标准，与此同时，尽可能考虑土著知识体系，包括其社会、文化和生态层面，因为这些有助于进行全面评估；</w:t>
      </w:r>
    </w:p>
    <w:p w14:paraId="061AD446"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lastRenderedPageBreak/>
        <w:t>以整体方式宣传外来入侵物种的风险，包括相关的不确定性，以及与其引进相关的的潜在后果，同时考虑到对生物多样性、经济、土著人民和地方社区的文化和社会价值、公共卫生、动物健康和福祉、生活质量和气候复原力的影响。</w:t>
      </w:r>
    </w:p>
    <w:p w14:paraId="4E4E3B59"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采用早期发现和快速响应措施，防止外来物种的新入侵，包括通过快速风险评估、可能的从假设入手的分布模型、监测、公民科学方案和警报系统以及快速反应规约，如事故指挥系统；</w:t>
      </w:r>
    </w:p>
    <w:p w14:paraId="2A47AED5"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使用针对具体风险水平和生物多样性特征的工具和干预措施。这有助于管理重点地带的预防、消除或控制工作，例如岛屿，外来入侵物种是岛屿生物多样性丧失的主要驱动因素，应使用针对岛屿的排序工具，或是在预防工作非常重要的海洋和毗连的水系；</w:t>
      </w:r>
    </w:p>
    <w:p w14:paraId="1B0AF1A1"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使用决策支助工具，即使存在知识和数据空白情况下，这些工具也能让管理行动能够依照预防性办法付诸实施；</w:t>
      </w:r>
    </w:p>
    <w:p w14:paraId="0DE47593"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黑体"/>
          <w:sz w:val="28"/>
          <w:szCs w:val="28"/>
          <w:lang w:val="en-GB" w:eastAsia="zh-CN"/>
        </w:rPr>
      </w:pPr>
      <w:r w:rsidRPr="003D18A0">
        <w:rPr>
          <w:sz w:val="24"/>
          <w:szCs w:val="24"/>
          <w:lang w:val="en-GB" w:eastAsia="zh-CN"/>
        </w:rPr>
        <w:t>进行快速评估，支持外来入侵物种消除、遏制或管理措施决策。非货币尺度快速评估法有助于生成重点物种的</w:t>
      </w:r>
      <w:r w:rsidRPr="003D18A0">
        <w:rPr>
          <w:sz w:val="24"/>
          <w:szCs w:val="24"/>
          <w:lang w:val="en-GB" w:eastAsia="zh-CN"/>
        </w:rPr>
        <w:t>“</w:t>
      </w:r>
      <w:proofErr w:type="gramStart"/>
      <w:r w:rsidRPr="003D18A0">
        <w:rPr>
          <w:sz w:val="24"/>
          <w:szCs w:val="24"/>
          <w:lang w:val="en-GB" w:eastAsia="zh-CN"/>
        </w:rPr>
        <w:t>短名单</w:t>
      </w:r>
      <w:r w:rsidRPr="003D18A0">
        <w:rPr>
          <w:sz w:val="24"/>
          <w:szCs w:val="24"/>
          <w:lang w:val="en-GB" w:eastAsia="zh-CN"/>
        </w:rPr>
        <w:t>”</w:t>
      </w:r>
      <w:r w:rsidRPr="003D18A0">
        <w:rPr>
          <w:sz w:val="24"/>
          <w:szCs w:val="24"/>
          <w:lang w:val="en-GB" w:eastAsia="zh-CN"/>
        </w:rPr>
        <w:t>，</w:t>
      </w:r>
      <w:proofErr w:type="gramEnd"/>
      <w:r w:rsidRPr="003D18A0">
        <w:rPr>
          <w:sz w:val="24"/>
          <w:szCs w:val="24"/>
          <w:lang w:val="en-GB" w:eastAsia="zh-CN"/>
        </w:rPr>
        <w:t>供管理人员考虑。然而作出管理行动决策时要进行详细的试点研究和经济评估。为了支持风险管理，在下述情况下可能需要采用额外或补充方法：需要快速评估的物种量很大，缺少详细信息，或者需要使用不以货币尺度计量的社会和文化价值投入。</w:t>
      </w:r>
    </w:p>
    <w:p w14:paraId="107F31D7" w14:textId="77777777" w:rsidR="003D18A0" w:rsidRPr="003D18A0" w:rsidRDefault="003D18A0" w:rsidP="003D18A0">
      <w:pPr>
        <w:tabs>
          <w:tab w:val="clear" w:pos="567"/>
          <w:tab w:val="clear" w:pos="1134"/>
          <w:tab w:val="clear" w:pos="1701"/>
          <w:tab w:val="clear" w:pos="2268"/>
        </w:tabs>
        <w:ind w:left="490"/>
        <w:jc w:val="left"/>
        <w:rPr>
          <w:b/>
          <w:bCs/>
          <w:caps/>
          <w:kern w:val="22"/>
          <w:sz w:val="24"/>
          <w:szCs w:val="24"/>
          <w:lang w:val="en-GB" w:eastAsia="zh-CN"/>
        </w:rPr>
      </w:pPr>
    </w:p>
    <w:p w14:paraId="7AA7C9BD" w14:textId="77777777" w:rsidR="003D18A0" w:rsidRPr="003D18A0" w:rsidRDefault="003D18A0" w:rsidP="003D18A0">
      <w:pPr>
        <w:tabs>
          <w:tab w:val="clear" w:pos="567"/>
          <w:tab w:val="clear" w:pos="1134"/>
          <w:tab w:val="clear" w:pos="1701"/>
          <w:tab w:val="clear" w:pos="2268"/>
        </w:tabs>
        <w:ind w:left="490"/>
        <w:jc w:val="left"/>
        <w:rPr>
          <w:b/>
          <w:bCs/>
          <w:caps/>
          <w:kern w:val="22"/>
          <w:sz w:val="24"/>
          <w:szCs w:val="24"/>
          <w:lang w:val="en-GB" w:eastAsia="zh-CN"/>
        </w:rPr>
      </w:pPr>
      <w:r w:rsidRPr="003D18A0">
        <w:rPr>
          <w:b/>
          <w:bCs/>
          <w:caps/>
          <w:kern w:val="22"/>
          <w:sz w:val="24"/>
          <w:szCs w:val="24"/>
          <w:lang w:val="en-GB" w:eastAsia="zh-CN"/>
        </w:rPr>
        <w:t>附件二</w:t>
      </w:r>
    </w:p>
    <w:p w14:paraId="11F34030" w14:textId="77777777" w:rsidR="003D18A0" w:rsidRPr="003D18A0" w:rsidRDefault="003D18A0" w:rsidP="003D18A0">
      <w:pPr>
        <w:tabs>
          <w:tab w:val="clear" w:pos="567"/>
          <w:tab w:val="clear" w:pos="1134"/>
          <w:tab w:val="clear" w:pos="1701"/>
          <w:tab w:val="clear" w:pos="2268"/>
        </w:tabs>
        <w:snapToGrid w:val="0"/>
        <w:ind w:left="490"/>
        <w:rPr>
          <w:b/>
          <w:bCs/>
          <w:caps/>
          <w:kern w:val="22"/>
          <w:sz w:val="28"/>
          <w:szCs w:val="28"/>
          <w:lang w:val="en-GB" w:eastAsia="zh-CN"/>
        </w:rPr>
      </w:pPr>
      <w:r w:rsidRPr="003D18A0">
        <w:rPr>
          <w:b/>
          <w:bCs/>
          <w:sz w:val="24"/>
          <w:szCs w:val="24"/>
          <w:lang w:eastAsia="zh-CN"/>
        </w:rPr>
        <w:t>查明和最大限度减少与活生物体跨境电子商务相关的额外风险及其影响</w:t>
      </w:r>
    </w:p>
    <w:p w14:paraId="3BF233E6"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本附件载有对缔约方和利益攸关方的咨询和自愿指导意见，以期支持执行《昆明</w:t>
      </w:r>
      <w:r w:rsidRPr="003D18A0">
        <w:rPr>
          <w:caps/>
          <w:kern w:val="22"/>
          <w:sz w:val="24"/>
          <w:szCs w:val="24"/>
          <w:lang w:val="en-GB" w:eastAsia="zh-CN"/>
        </w:rPr>
        <w:t>-</w:t>
      </w:r>
      <w:r w:rsidRPr="003D18A0">
        <w:rPr>
          <w:caps/>
          <w:kern w:val="22"/>
          <w:sz w:val="24"/>
          <w:szCs w:val="24"/>
          <w:lang w:val="en-GB" w:eastAsia="zh-CN"/>
        </w:rPr>
        <w:t>蒙特利尔全球生物多样性框架》特别是关于外来入侵物种的行动目标</w:t>
      </w:r>
      <w:r w:rsidRPr="003D18A0">
        <w:rPr>
          <w:caps/>
          <w:kern w:val="22"/>
          <w:sz w:val="24"/>
          <w:szCs w:val="24"/>
          <w:lang w:val="en-GB" w:eastAsia="zh-CN"/>
        </w:rPr>
        <w:t>6</w:t>
      </w:r>
      <w:r w:rsidRPr="003D18A0">
        <w:rPr>
          <w:caps/>
          <w:kern w:val="22"/>
          <w:sz w:val="24"/>
          <w:szCs w:val="24"/>
          <w:lang w:val="en-GB" w:eastAsia="zh-CN"/>
        </w:rPr>
        <w:t>以及其他相关行动目标。</w:t>
      </w:r>
    </w:p>
    <w:p w14:paraId="55BDDCD0"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一</w:t>
      </w:r>
      <w:r w:rsidRPr="003D18A0">
        <w:rPr>
          <w:b/>
          <w:bCs/>
          <w:caps/>
          <w:kern w:val="22"/>
          <w:sz w:val="24"/>
          <w:szCs w:val="24"/>
          <w:lang w:val="en-GB" w:eastAsia="zh-CN"/>
        </w:rPr>
        <w:t>.</w:t>
      </w:r>
      <w:r w:rsidRPr="003D18A0">
        <w:rPr>
          <w:b/>
          <w:bCs/>
          <w:caps/>
          <w:kern w:val="22"/>
          <w:sz w:val="24"/>
          <w:szCs w:val="24"/>
          <w:lang w:val="en-GB" w:eastAsia="zh-CN"/>
        </w:rPr>
        <w:tab/>
      </w:r>
      <w:r w:rsidRPr="003D18A0">
        <w:rPr>
          <w:b/>
          <w:bCs/>
          <w:caps/>
          <w:kern w:val="22"/>
          <w:sz w:val="24"/>
          <w:szCs w:val="24"/>
          <w:lang w:val="en-GB" w:eastAsia="zh-CN"/>
        </w:rPr>
        <w:t>建议国家和次国家当局以及边境机构采取的行动</w:t>
      </w:r>
    </w:p>
    <w:p w14:paraId="6FCD04BB"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A.</w:t>
      </w:r>
      <w:r w:rsidRPr="003D18A0">
        <w:rPr>
          <w:b/>
          <w:bCs/>
          <w:caps/>
          <w:kern w:val="22"/>
          <w:sz w:val="24"/>
          <w:szCs w:val="24"/>
          <w:lang w:val="en-GB" w:eastAsia="zh-CN"/>
        </w:rPr>
        <w:tab/>
      </w:r>
      <w:r w:rsidRPr="003D18A0">
        <w:rPr>
          <w:b/>
          <w:bCs/>
          <w:caps/>
          <w:kern w:val="22"/>
          <w:sz w:val="24"/>
          <w:szCs w:val="24"/>
          <w:lang w:val="en-GB" w:eastAsia="zh-CN"/>
        </w:rPr>
        <w:t>法律、政策和技术行动</w:t>
      </w:r>
    </w:p>
    <w:p w14:paraId="273B6CBA"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建议各缔约方、组织和利益攸关方酌情采取以下行动：</w:t>
      </w:r>
    </w:p>
    <w:p w14:paraId="2DC6D98A"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调查和评估</w:t>
      </w:r>
      <w:r w:rsidRPr="003D18A0">
        <w:rPr>
          <w:kern w:val="22"/>
          <w:sz w:val="24"/>
          <w:szCs w:val="24"/>
          <w:lang w:val="en-GB" w:eastAsia="zh-CN"/>
        </w:rPr>
        <w:t>外来入侵和潜在外来入侵物种所有形式的电子商务</w:t>
      </w:r>
      <w:r w:rsidRPr="003D18A0">
        <w:rPr>
          <w:kern w:val="22"/>
          <w:sz w:val="24"/>
          <w:szCs w:val="24"/>
          <w:vertAlign w:val="superscript"/>
          <w:lang w:val="en-GB" w:eastAsia="zh-CN"/>
        </w:rPr>
        <w:footnoteReference w:id="20"/>
      </w:r>
      <w:r w:rsidRPr="003D18A0">
        <w:rPr>
          <w:kern w:val="22"/>
          <w:sz w:val="24"/>
          <w:szCs w:val="24"/>
          <w:lang w:val="en-GB" w:eastAsia="zh-CN"/>
        </w:rPr>
        <w:t xml:space="preserve"> </w:t>
      </w:r>
      <w:r w:rsidRPr="003D18A0">
        <w:rPr>
          <w:kern w:val="22"/>
          <w:sz w:val="24"/>
          <w:szCs w:val="24"/>
          <w:lang w:val="en-GB" w:eastAsia="zh-CN"/>
        </w:rPr>
        <w:t>带来的风险，包括来自跨境贸易的风险，制定和执行适当的风险管理战略</w:t>
      </w:r>
      <w:r w:rsidRPr="003D18A0">
        <w:rPr>
          <w:kern w:val="22"/>
          <w:sz w:val="24"/>
          <w:szCs w:val="24"/>
          <w:vertAlign w:val="superscript"/>
          <w:lang w:val="en-GB" w:eastAsia="zh-CN"/>
        </w:rPr>
        <w:footnoteReference w:id="21"/>
      </w:r>
      <w:r w:rsidRPr="003D18A0">
        <w:rPr>
          <w:kern w:val="22"/>
          <w:sz w:val="24"/>
          <w:szCs w:val="24"/>
          <w:lang w:val="en-GB" w:eastAsia="zh-CN"/>
        </w:rPr>
        <w:t>；</w:t>
      </w:r>
    </w:p>
    <w:p w14:paraId="40943EED"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酌情审查现有的国家、次国家和地区法律、条例</w:t>
      </w:r>
      <w:r w:rsidRPr="003D18A0">
        <w:rPr>
          <w:kern w:val="22"/>
          <w:sz w:val="24"/>
          <w:szCs w:val="24"/>
          <w:vertAlign w:val="superscript"/>
          <w:lang w:val="en-GB" w:eastAsia="zh-CN"/>
        </w:rPr>
        <w:footnoteReference w:id="22"/>
      </w:r>
      <w:r w:rsidRPr="003D18A0">
        <w:rPr>
          <w:kern w:val="22"/>
          <w:sz w:val="24"/>
          <w:szCs w:val="24"/>
          <w:lang w:val="en-GB" w:eastAsia="zh-CN"/>
        </w:rPr>
        <w:t xml:space="preserve"> </w:t>
      </w:r>
      <w:r w:rsidRPr="003D18A0">
        <w:rPr>
          <w:kern w:val="22"/>
          <w:sz w:val="24"/>
          <w:szCs w:val="24"/>
          <w:lang w:val="en-GB" w:eastAsia="zh-CN"/>
        </w:rPr>
        <w:t>和政策，</w:t>
      </w:r>
      <w:r w:rsidRPr="003D18A0">
        <w:rPr>
          <w:sz w:val="24"/>
          <w:szCs w:val="24"/>
          <w:lang w:val="en-GB" w:eastAsia="zh-CN"/>
        </w:rPr>
        <w:t>核查电子商务是否得到适当处理</w:t>
      </w:r>
      <w:r w:rsidRPr="003D18A0">
        <w:rPr>
          <w:kern w:val="22"/>
          <w:sz w:val="24"/>
          <w:szCs w:val="24"/>
          <w:lang w:val="en-GB" w:eastAsia="zh-CN"/>
        </w:rPr>
        <w:t>，进行必要的修改，确保必要时可以采取执法行动，降低野生生物</w:t>
      </w:r>
      <w:r w:rsidRPr="003D18A0">
        <w:rPr>
          <w:kern w:val="22"/>
          <w:sz w:val="24"/>
          <w:szCs w:val="24"/>
          <w:vertAlign w:val="superscript"/>
          <w:lang w:val="en-GB" w:eastAsia="zh-CN"/>
        </w:rPr>
        <w:footnoteReference w:id="23"/>
      </w:r>
      <w:r w:rsidRPr="003D18A0">
        <w:rPr>
          <w:kern w:val="22"/>
          <w:sz w:val="24"/>
          <w:szCs w:val="24"/>
          <w:lang w:val="en-GB" w:eastAsia="zh-CN"/>
        </w:rPr>
        <w:t xml:space="preserve"> </w:t>
      </w:r>
      <w:r w:rsidRPr="003D18A0">
        <w:rPr>
          <w:kern w:val="22"/>
          <w:sz w:val="24"/>
          <w:szCs w:val="24"/>
          <w:lang w:val="en-GB" w:eastAsia="zh-CN"/>
        </w:rPr>
        <w:t>电子商务带来的生物入侵风险（根据</w:t>
      </w:r>
      <w:r w:rsidRPr="003D18A0">
        <w:rPr>
          <w:kern w:val="22"/>
          <w:sz w:val="24"/>
          <w:szCs w:val="24"/>
          <w:lang w:val="en-GB" w:eastAsia="zh-CN"/>
        </w:rPr>
        <w:t>2016</w:t>
      </w:r>
      <w:r w:rsidRPr="003D18A0">
        <w:rPr>
          <w:kern w:val="22"/>
          <w:sz w:val="24"/>
          <w:szCs w:val="24"/>
          <w:lang w:val="en-GB" w:eastAsia="zh-CN"/>
        </w:rPr>
        <w:t>年</w:t>
      </w:r>
      <w:r w:rsidRPr="003D18A0">
        <w:rPr>
          <w:kern w:val="22"/>
          <w:sz w:val="24"/>
          <w:szCs w:val="24"/>
          <w:lang w:val="en-GB" w:eastAsia="zh-CN"/>
        </w:rPr>
        <w:t>12</w:t>
      </w:r>
      <w:r w:rsidRPr="003D18A0">
        <w:rPr>
          <w:kern w:val="22"/>
          <w:sz w:val="24"/>
          <w:szCs w:val="24"/>
          <w:lang w:val="en-GB" w:eastAsia="zh-CN"/>
        </w:rPr>
        <w:t>月</w:t>
      </w:r>
      <w:r w:rsidRPr="003D18A0">
        <w:rPr>
          <w:kern w:val="22"/>
          <w:sz w:val="24"/>
          <w:szCs w:val="24"/>
          <w:lang w:val="en-GB" w:eastAsia="zh-CN"/>
        </w:rPr>
        <w:t>17</w:t>
      </w:r>
      <w:r w:rsidRPr="003D18A0">
        <w:rPr>
          <w:kern w:val="22"/>
          <w:sz w:val="24"/>
          <w:szCs w:val="24"/>
          <w:lang w:val="en-GB" w:eastAsia="zh-CN"/>
        </w:rPr>
        <w:t>日第</w:t>
      </w:r>
      <w:r w:rsidRPr="003D18A0">
        <w:rPr>
          <w:kern w:val="22"/>
          <w:sz w:val="24"/>
          <w:szCs w:val="24"/>
          <w:lang w:val="en-GB" w:eastAsia="zh-CN"/>
        </w:rPr>
        <w:t>XIII/13</w:t>
      </w:r>
      <w:r w:rsidRPr="003D18A0">
        <w:rPr>
          <w:kern w:val="22"/>
          <w:sz w:val="24"/>
          <w:szCs w:val="24"/>
          <w:lang w:val="en-GB" w:eastAsia="zh-CN"/>
        </w:rPr>
        <w:t>号决定）；</w:t>
      </w:r>
    </w:p>
    <w:p w14:paraId="123EE1FE"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减少与通过网购的外来入侵物种的贸易相关的风险（根据第</w:t>
      </w:r>
      <w:r w:rsidRPr="003D18A0">
        <w:rPr>
          <w:kern w:val="22"/>
          <w:sz w:val="24"/>
          <w:szCs w:val="24"/>
          <w:lang w:val="en-GB" w:eastAsia="zh-CN"/>
        </w:rPr>
        <w:t>XIII/13</w:t>
      </w:r>
      <w:r w:rsidRPr="003D18A0">
        <w:rPr>
          <w:kern w:val="22"/>
          <w:sz w:val="24"/>
          <w:szCs w:val="24"/>
          <w:lang w:val="en-GB" w:eastAsia="zh-CN"/>
        </w:rPr>
        <w:t>号决定，第</w:t>
      </w:r>
      <w:r w:rsidRPr="003D18A0">
        <w:rPr>
          <w:kern w:val="22"/>
          <w:sz w:val="24"/>
          <w:szCs w:val="24"/>
          <w:lang w:val="en-GB" w:eastAsia="zh-CN"/>
        </w:rPr>
        <w:t>7</w:t>
      </w:r>
      <w:r w:rsidRPr="003D18A0">
        <w:rPr>
          <w:kern w:val="22"/>
          <w:sz w:val="24"/>
          <w:szCs w:val="24"/>
          <w:lang w:val="en-GB" w:eastAsia="zh-CN"/>
        </w:rPr>
        <w:t>段），办法是；使用关于制定和实施措施解决引进外来物种作为宠物、水族箱和生态瓶物种、活饵和活食所产生的相关风险的指导意见（根据</w:t>
      </w:r>
      <w:r w:rsidRPr="003D18A0">
        <w:rPr>
          <w:kern w:val="22"/>
          <w:sz w:val="24"/>
          <w:szCs w:val="24"/>
          <w:lang w:val="en-GB" w:eastAsia="zh-CN"/>
        </w:rPr>
        <w:t>2014</w:t>
      </w:r>
      <w:r w:rsidRPr="003D18A0">
        <w:rPr>
          <w:kern w:val="22"/>
          <w:sz w:val="24"/>
          <w:szCs w:val="24"/>
          <w:lang w:val="en-GB" w:eastAsia="zh-CN"/>
        </w:rPr>
        <w:t>年</w:t>
      </w:r>
      <w:r w:rsidRPr="003D18A0">
        <w:rPr>
          <w:kern w:val="22"/>
          <w:sz w:val="24"/>
          <w:szCs w:val="24"/>
          <w:lang w:val="en-GB" w:eastAsia="zh-CN"/>
        </w:rPr>
        <w:t>10</w:t>
      </w:r>
      <w:r w:rsidRPr="003D18A0">
        <w:rPr>
          <w:kern w:val="22"/>
          <w:sz w:val="24"/>
          <w:szCs w:val="24"/>
          <w:lang w:val="en-GB" w:eastAsia="zh-CN"/>
        </w:rPr>
        <w:t>月</w:t>
      </w:r>
      <w:r w:rsidRPr="003D18A0">
        <w:rPr>
          <w:kern w:val="22"/>
          <w:sz w:val="24"/>
          <w:szCs w:val="24"/>
          <w:lang w:val="en-GB" w:eastAsia="zh-CN"/>
        </w:rPr>
        <w:t>10</w:t>
      </w:r>
      <w:r w:rsidRPr="003D18A0">
        <w:rPr>
          <w:kern w:val="22"/>
          <w:sz w:val="24"/>
          <w:szCs w:val="24"/>
          <w:lang w:val="en-GB" w:eastAsia="zh-CN"/>
        </w:rPr>
        <w:lastRenderedPageBreak/>
        <w:t>日第</w:t>
      </w:r>
      <w:r w:rsidRPr="003D18A0">
        <w:rPr>
          <w:kern w:val="22"/>
          <w:sz w:val="24"/>
          <w:szCs w:val="24"/>
          <w:lang w:val="en-GB" w:eastAsia="zh-CN"/>
        </w:rPr>
        <w:t>XII/16</w:t>
      </w:r>
      <w:r w:rsidRPr="003D18A0">
        <w:rPr>
          <w:kern w:val="22"/>
          <w:sz w:val="24"/>
          <w:szCs w:val="24"/>
          <w:lang w:val="en-GB" w:eastAsia="zh-CN"/>
        </w:rPr>
        <w:t>号决定）和关于避免进行活生物体贸易时无意中引进外来入侵物种补充自愿指导意见（根据</w:t>
      </w:r>
      <w:r w:rsidRPr="003D18A0">
        <w:rPr>
          <w:kern w:val="22"/>
          <w:sz w:val="24"/>
          <w:szCs w:val="24"/>
          <w:lang w:val="en-GB" w:eastAsia="zh-CN"/>
        </w:rPr>
        <w:t>2018</w:t>
      </w:r>
      <w:r w:rsidRPr="003D18A0">
        <w:rPr>
          <w:kern w:val="22"/>
          <w:sz w:val="24"/>
          <w:szCs w:val="24"/>
          <w:lang w:val="en-GB" w:eastAsia="zh-CN"/>
        </w:rPr>
        <w:t>年</w:t>
      </w:r>
      <w:r w:rsidRPr="003D18A0">
        <w:rPr>
          <w:kern w:val="22"/>
          <w:sz w:val="24"/>
          <w:szCs w:val="24"/>
          <w:lang w:val="en-GB" w:eastAsia="zh-CN"/>
        </w:rPr>
        <w:t>11</w:t>
      </w:r>
      <w:r w:rsidRPr="003D18A0">
        <w:rPr>
          <w:kern w:val="22"/>
          <w:sz w:val="24"/>
          <w:szCs w:val="24"/>
          <w:lang w:val="en-GB" w:eastAsia="zh-CN"/>
        </w:rPr>
        <w:t>月</w:t>
      </w:r>
      <w:r w:rsidRPr="003D18A0">
        <w:rPr>
          <w:kern w:val="22"/>
          <w:sz w:val="24"/>
          <w:szCs w:val="24"/>
          <w:lang w:val="en-GB" w:eastAsia="zh-CN"/>
        </w:rPr>
        <w:t>29</w:t>
      </w:r>
      <w:r w:rsidRPr="003D18A0">
        <w:rPr>
          <w:kern w:val="22"/>
          <w:sz w:val="24"/>
          <w:szCs w:val="24"/>
          <w:lang w:val="en-GB" w:eastAsia="zh-CN"/>
        </w:rPr>
        <w:t>日第</w:t>
      </w:r>
      <w:r w:rsidRPr="003D18A0">
        <w:rPr>
          <w:kern w:val="22"/>
          <w:sz w:val="24"/>
          <w:szCs w:val="24"/>
          <w:lang w:val="en-GB" w:eastAsia="zh-CN"/>
        </w:rPr>
        <w:t>14/11</w:t>
      </w:r>
      <w:r w:rsidRPr="003D18A0">
        <w:rPr>
          <w:kern w:val="22"/>
          <w:sz w:val="24"/>
          <w:szCs w:val="24"/>
          <w:lang w:val="en-GB" w:eastAsia="zh-CN"/>
        </w:rPr>
        <w:t>号决定）；</w:t>
      </w:r>
    </w:p>
    <w:p w14:paraId="1170833A"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加强国际和区域合作举措和网络</w:t>
      </w:r>
      <w:r w:rsidRPr="003D18A0">
        <w:rPr>
          <w:kern w:val="22"/>
          <w:sz w:val="24"/>
          <w:szCs w:val="24"/>
          <w:lang w:val="en-GB" w:eastAsia="zh-CN"/>
        </w:rPr>
        <w:t>，以期交流良好做法，加强国家和次国家政策和法律，同时顾及具体情况和优先事项；</w:t>
      </w:r>
    </w:p>
    <w:p w14:paraId="2466F328"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与相关组织合作</w:t>
      </w:r>
      <w:r w:rsidRPr="003D18A0">
        <w:rPr>
          <w:kern w:val="22"/>
          <w:sz w:val="24"/>
          <w:szCs w:val="24"/>
          <w:lang w:val="en-GB" w:eastAsia="zh-CN"/>
        </w:rPr>
        <w:t>，建立和支持各种机制，以查明与网购相关的外来入侵物种的发生和传播，重点是高风险和潜在高风险货物，如土壤、生长介质、活生物体（酌情包括其垫料）；</w:t>
      </w:r>
    </w:p>
    <w:p w14:paraId="1C8B0A05"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酌情使用</w:t>
      </w:r>
      <w:r w:rsidRPr="003D18A0">
        <w:rPr>
          <w:kern w:val="22"/>
          <w:sz w:val="24"/>
          <w:szCs w:val="24"/>
          <w:lang w:val="en-GB" w:eastAsia="zh-CN"/>
        </w:rPr>
        <w:t xml:space="preserve"> “</w:t>
      </w:r>
      <w:r w:rsidRPr="003D18A0">
        <w:rPr>
          <w:kern w:val="22"/>
          <w:sz w:val="24"/>
          <w:szCs w:val="24"/>
          <w:lang w:val="en-GB" w:eastAsia="zh-CN"/>
        </w:rPr>
        <w:t>全球引进和入侵物种登记册</w:t>
      </w:r>
      <w:r w:rsidRPr="003D18A0">
        <w:rPr>
          <w:kern w:val="22"/>
          <w:sz w:val="24"/>
          <w:szCs w:val="24"/>
          <w:lang w:val="en-GB" w:eastAsia="zh-CN"/>
        </w:rPr>
        <w:t>”</w:t>
      </w:r>
      <w:r w:rsidRPr="003D18A0">
        <w:rPr>
          <w:kern w:val="22"/>
          <w:sz w:val="24"/>
          <w:szCs w:val="24"/>
          <w:vertAlign w:val="superscript"/>
          <w:lang w:val="en-GB" w:eastAsia="zh-CN"/>
        </w:rPr>
        <w:footnoteReference w:id="24"/>
      </w:r>
      <w:r w:rsidRPr="003D18A0">
        <w:rPr>
          <w:kern w:val="22"/>
          <w:sz w:val="24"/>
          <w:szCs w:val="24"/>
          <w:lang w:val="en-GB" w:eastAsia="zh-CN"/>
        </w:rPr>
        <w:t xml:space="preserve"> </w:t>
      </w:r>
      <w:r w:rsidRPr="003D18A0">
        <w:rPr>
          <w:kern w:val="22"/>
          <w:sz w:val="24"/>
          <w:szCs w:val="24"/>
          <w:lang w:val="en-GB" w:eastAsia="zh-CN"/>
        </w:rPr>
        <w:t>等现有工具，这些工具提供国家一级外来物种和外来入侵物种核对清单，并有助于采取行动查明与网购相关的外来入侵物种；</w:t>
      </w:r>
      <w:r w:rsidRPr="003D18A0">
        <w:rPr>
          <w:kern w:val="22"/>
          <w:sz w:val="24"/>
          <w:szCs w:val="24"/>
          <w:lang w:val="en-GB" w:eastAsia="zh-CN"/>
        </w:rPr>
        <w:t xml:space="preserve">   </w:t>
      </w:r>
    </w:p>
    <w:p w14:paraId="1D0C160B"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在允许外来物种进入之前评估其带来的入侵风险</w:t>
      </w:r>
      <w:r w:rsidRPr="003D18A0">
        <w:rPr>
          <w:kern w:val="22"/>
          <w:sz w:val="24"/>
          <w:szCs w:val="24"/>
          <w:lang w:val="en-GB" w:eastAsia="zh-CN"/>
        </w:rPr>
        <w:t>。此类评估可用于建立或更新外来入侵物种和潜在外来入侵物种清单，防止其意外引进，特别是在岛屿等特别容易受外来入侵物种侵害的地区。这些考虑应与第</w:t>
      </w:r>
      <w:r w:rsidRPr="003D18A0">
        <w:rPr>
          <w:kern w:val="22"/>
          <w:sz w:val="24"/>
          <w:szCs w:val="24"/>
          <w:lang w:val="en-GB" w:eastAsia="zh-CN"/>
        </w:rPr>
        <w:t>XII/16</w:t>
      </w:r>
      <w:r w:rsidRPr="003D18A0">
        <w:rPr>
          <w:kern w:val="22"/>
          <w:sz w:val="24"/>
          <w:szCs w:val="24"/>
          <w:lang w:val="en-GB" w:eastAsia="zh-CN"/>
        </w:rPr>
        <w:t>号和第</w:t>
      </w:r>
      <w:r w:rsidRPr="003D18A0">
        <w:rPr>
          <w:kern w:val="22"/>
          <w:sz w:val="24"/>
          <w:szCs w:val="24"/>
          <w:lang w:val="en-GB" w:eastAsia="zh-CN"/>
        </w:rPr>
        <w:t>14/11</w:t>
      </w:r>
      <w:r w:rsidRPr="003D18A0">
        <w:rPr>
          <w:kern w:val="22"/>
          <w:sz w:val="24"/>
          <w:szCs w:val="24"/>
          <w:lang w:val="en-GB" w:eastAsia="zh-CN"/>
        </w:rPr>
        <w:t>号决定所载指导意见以及其他适用的国际义务和标准保持一致，包括与《服务贸易总协定》</w:t>
      </w:r>
      <w:r w:rsidRPr="003D18A0">
        <w:rPr>
          <w:kern w:val="22"/>
          <w:sz w:val="24"/>
          <w:szCs w:val="24"/>
          <w:vertAlign w:val="superscript"/>
          <w:lang w:val="en-GB" w:eastAsia="zh-CN"/>
        </w:rPr>
        <w:footnoteReference w:id="25"/>
      </w:r>
      <w:r w:rsidRPr="003D18A0">
        <w:rPr>
          <w:kern w:val="22"/>
          <w:sz w:val="24"/>
          <w:szCs w:val="24"/>
          <w:lang w:val="en-GB" w:eastAsia="zh-CN"/>
        </w:rPr>
        <w:t xml:space="preserve"> </w:t>
      </w:r>
      <w:r w:rsidRPr="003D18A0">
        <w:rPr>
          <w:kern w:val="22"/>
          <w:sz w:val="24"/>
          <w:szCs w:val="24"/>
          <w:lang w:val="en-GB" w:eastAsia="zh-CN"/>
        </w:rPr>
        <w:t>相关的跨境电子商务方面的义务和标准；</w:t>
      </w:r>
    </w:p>
    <w:p w14:paraId="73B66E9F"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修订和更新关于植物检疫规定范围之外的或有可能搭其他物种的便车或污染其他物种的外来入侵和潜在外来入侵物种的国际协定和进口规定</w:t>
      </w:r>
      <w:r w:rsidRPr="003D18A0">
        <w:rPr>
          <w:kern w:val="22"/>
          <w:sz w:val="24"/>
          <w:szCs w:val="24"/>
          <w:lang w:val="en-GB" w:eastAsia="zh-CN"/>
        </w:rPr>
        <w:t>（包括电子商务方面的）。</w:t>
      </w:r>
    </w:p>
    <w:p w14:paraId="38BEC6AB"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B.</w:t>
      </w:r>
      <w:r w:rsidRPr="003D18A0">
        <w:rPr>
          <w:b/>
          <w:bCs/>
          <w:caps/>
          <w:kern w:val="22"/>
          <w:sz w:val="24"/>
          <w:szCs w:val="24"/>
          <w:lang w:val="en-GB" w:eastAsia="zh-CN"/>
        </w:rPr>
        <w:tab/>
      </w:r>
      <w:r w:rsidRPr="003D18A0">
        <w:rPr>
          <w:b/>
          <w:bCs/>
          <w:caps/>
          <w:kern w:val="22"/>
          <w:sz w:val="24"/>
          <w:szCs w:val="24"/>
          <w:lang w:val="en-GB" w:eastAsia="zh-CN"/>
        </w:rPr>
        <w:t>利益攸关方的参与</w:t>
      </w:r>
    </w:p>
    <w:p w14:paraId="09D8602C"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建议各缔约方、组织和利益攸关方酌情采取以下行动：</w:t>
      </w:r>
    </w:p>
    <w:p w14:paraId="4CEE277D"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与电子商务利益攸关方合作制定机制，查明电子商务交易商及其所在地和其他利益攸关方，以期便利机构间和多方利益攸关方的参与和合作（根据第</w:t>
      </w:r>
      <w:r w:rsidRPr="003D18A0">
        <w:fldChar w:fldCharType="begin"/>
      </w:r>
      <w:r w:rsidRPr="003D18A0">
        <w:rPr>
          <w:lang w:eastAsia="zh-CN"/>
        </w:rPr>
        <w:instrText>HYPERLINK "https://www.cbd.int/doc/decisions/cop-13/cop-13-dec-13-zh.pdf"</w:instrText>
      </w:r>
      <w:r w:rsidRPr="003D18A0">
        <w:fldChar w:fldCharType="separate"/>
      </w:r>
      <w:r w:rsidRPr="003D18A0">
        <w:rPr>
          <w:caps/>
          <w:color w:val="0000FF"/>
          <w:kern w:val="22"/>
          <w:sz w:val="24"/>
          <w:szCs w:val="24"/>
          <w:u w:val="single"/>
          <w:lang w:val="en-GB" w:eastAsia="zh-CN"/>
        </w:rPr>
        <w:t>XIII/13</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7</w:t>
      </w:r>
      <w:r w:rsidRPr="003D18A0">
        <w:rPr>
          <w:caps/>
          <w:kern w:val="22"/>
          <w:sz w:val="24"/>
          <w:szCs w:val="24"/>
          <w:lang w:val="en-GB" w:eastAsia="zh-CN"/>
        </w:rPr>
        <w:t>段）</w:t>
      </w:r>
      <w:r w:rsidRPr="003D18A0">
        <w:rPr>
          <w:caps/>
          <w:kern w:val="22"/>
          <w:sz w:val="24"/>
          <w:szCs w:val="24"/>
          <w:lang w:val="en-GB" w:eastAsia="zh-CN"/>
        </w:rPr>
        <w:t>;</w:t>
      </w:r>
    </w:p>
    <w:p w14:paraId="676DC664"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与土著人民和地方社区、妇女和青年以及更广泛的社区和公众接触并合作，防止和发现电子商务所致外来入侵物种早期入侵、建群或扩散；</w:t>
      </w:r>
    </w:p>
    <w:p w14:paraId="7960DE50"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提供关于客户国所面临风险（在法律、环境、健康和社会文化方面）的最新高质量信息，促使客户和电子商务交易商遵守进口国的卫生、植物检疫和兽医进口、动物福祉和野生生物贸易规定（根据第</w:t>
      </w:r>
      <w:r w:rsidRPr="003D18A0">
        <w:rPr>
          <w:caps/>
          <w:kern w:val="22"/>
          <w:sz w:val="24"/>
          <w:szCs w:val="24"/>
          <w:lang w:val="en-GB" w:eastAsia="zh-CN"/>
        </w:rPr>
        <w:t>14/11</w:t>
      </w:r>
      <w:r w:rsidRPr="003D18A0">
        <w:rPr>
          <w:caps/>
          <w:kern w:val="22"/>
          <w:sz w:val="24"/>
          <w:szCs w:val="24"/>
          <w:lang w:val="en-GB" w:eastAsia="zh-CN"/>
        </w:rPr>
        <w:t>号决定，第</w:t>
      </w:r>
      <w:r w:rsidRPr="003D18A0">
        <w:rPr>
          <w:caps/>
          <w:kern w:val="22"/>
          <w:sz w:val="24"/>
          <w:szCs w:val="24"/>
          <w:lang w:val="en-GB" w:eastAsia="zh-CN"/>
        </w:rPr>
        <w:t>10</w:t>
      </w:r>
      <w:r w:rsidRPr="003D18A0">
        <w:rPr>
          <w:caps/>
          <w:kern w:val="22"/>
          <w:sz w:val="24"/>
          <w:szCs w:val="24"/>
          <w:lang w:val="en-GB" w:eastAsia="zh-CN"/>
        </w:rPr>
        <w:t>段）</w:t>
      </w:r>
      <w:r w:rsidRPr="003D18A0">
        <w:rPr>
          <w:caps/>
          <w:kern w:val="22"/>
          <w:sz w:val="24"/>
          <w:szCs w:val="24"/>
          <w:lang w:val="en-GB" w:eastAsia="zh-CN"/>
        </w:rPr>
        <w:t>;</w:t>
      </w:r>
    </w:p>
    <w:p w14:paraId="143DAA29"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加强与活生物体销售商和出口商以及电子商务用户的协调和沟通，酌情加强与邮政和快递服务的协调和沟通，帮助传播关于风险和预防措施的信息，同时注意到邮政和快递服务在管制货物进口方面的局限性（根据第</w:t>
      </w:r>
      <w:r w:rsidRPr="003D18A0">
        <w:fldChar w:fldCharType="begin"/>
      </w:r>
      <w:r w:rsidRPr="003D18A0">
        <w:rPr>
          <w:lang w:eastAsia="zh-CN"/>
        </w:rPr>
        <w:instrText>HYPERLINK "https://www.cbd.int/doc/decisions/cop-12/cop-12-dec-16-zh.pdf"</w:instrText>
      </w:r>
      <w:r w:rsidRPr="003D18A0">
        <w:fldChar w:fldCharType="separate"/>
      </w:r>
      <w:r w:rsidRPr="003D18A0">
        <w:rPr>
          <w:caps/>
          <w:color w:val="0000FF"/>
          <w:kern w:val="22"/>
          <w:sz w:val="24"/>
          <w:szCs w:val="24"/>
          <w:u w:val="single"/>
          <w:lang w:val="en-GB" w:eastAsia="zh-CN"/>
        </w:rPr>
        <w:t>XII/16</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24</w:t>
      </w:r>
      <w:r w:rsidRPr="003D18A0">
        <w:rPr>
          <w:caps/>
          <w:kern w:val="22"/>
          <w:sz w:val="24"/>
          <w:szCs w:val="24"/>
          <w:lang w:val="en-GB" w:eastAsia="zh-CN"/>
        </w:rPr>
        <w:t>段，并考虑到第</w:t>
      </w:r>
      <w:r w:rsidRPr="003D18A0">
        <w:fldChar w:fldCharType="begin"/>
      </w:r>
      <w:r w:rsidRPr="003D18A0">
        <w:rPr>
          <w:lang w:eastAsia="zh-CN"/>
        </w:rPr>
        <w:instrText>HYPERLINK "https://www.cbd.int/doc/decisions/cop-14/cop-14-dec-11-zh.pdf"</w:instrText>
      </w:r>
      <w:r w:rsidRPr="003D18A0">
        <w:fldChar w:fldCharType="separate"/>
      </w:r>
      <w:r w:rsidRPr="003D18A0">
        <w:rPr>
          <w:caps/>
          <w:color w:val="0000FF"/>
          <w:kern w:val="22"/>
          <w:sz w:val="24"/>
          <w:szCs w:val="24"/>
          <w:u w:val="single"/>
          <w:lang w:val="en-GB" w:eastAsia="zh-CN"/>
        </w:rPr>
        <w:t>14/11</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号决定附件一第</w:t>
      </w:r>
      <w:r w:rsidRPr="003D18A0">
        <w:rPr>
          <w:caps/>
          <w:kern w:val="22"/>
          <w:sz w:val="24"/>
          <w:szCs w:val="24"/>
          <w:lang w:val="en-GB" w:eastAsia="zh-CN"/>
        </w:rPr>
        <w:t>7</w:t>
      </w:r>
      <w:r w:rsidRPr="003D18A0">
        <w:rPr>
          <w:caps/>
          <w:kern w:val="22"/>
          <w:sz w:val="24"/>
          <w:szCs w:val="24"/>
          <w:lang w:val="en-GB" w:eastAsia="zh-CN"/>
        </w:rPr>
        <w:t>、</w:t>
      </w:r>
      <w:r w:rsidRPr="003D18A0">
        <w:rPr>
          <w:caps/>
          <w:kern w:val="22"/>
          <w:sz w:val="24"/>
          <w:szCs w:val="24"/>
          <w:lang w:val="en-GB" w:eastAsia="zh-CN"/>
        </w:rPr>
        <w:t>9–11</w:t>
      </w:r>
      <w:r w:rsidRPr="003D18A0">
        <w:rPr>
          <w:caps/>
          <w:kern w:val="22"/>
          <w:sz w:val="24"/>
          <w:szCs w:val="24"/>
          <w:lang w:val="en-GB" w:eastAsia="zh-CN"/>
        </w:rPr>
        <w:t>、</w:t>
      </w:r>
      <w:r w:rsidRPr="003D18A0">
        <w:rPr>
          <w:caps/>
          <w:kern w:val="22"/>
          <w:sz w:val="24"/>
          <w:szCs w:val="24"/>
          <w:lang w:val="en-GB" w:eastAsia="zh-CN"/>
        </w:rPr>
        <w:t>13</w:t>
      </w:r>
      <w:r w:rsidRPr="003D18A0">
        <w:rPr>
          <w:caps/>
          <w:kern w:val="22"/>
          <w:sz w:val="24"/>
          <w:szCs w:val="24"/>
          <w:lang w:val="en-GB" w:eastAsia="zh-CN"/>
        </w:rPr>
        <w:t>和</w:t>
      </w:r>
      <w:r w:rsidRPr="003D18A0">
        <w:rPr>
          <w:caps/>
          <w:kern w:val="22"/>
          <w:sz w:val="24"/>
          <w:szCs w:val="24"/>
          <w:lang w:val="en-GB" w:eastAsia="zh-CN"/>
        </w:rPr>
        <w:t>29</w:t>
      </w:r>
      <w:r w:rsidRPr="003D18A0">
        <w:rPr>
          <w:caps/>
          <w:kern w:val="22"/>
          <w:sz w:val="24"/>
          <w:szCs w:val="24"/>
          <w:lang w:val="en-GB" w:eastAsia="zh-CN"/>
        </w:rPr>
        <w:t>段）；</w:t>
      </w:r>
    </w:p>
    <w:p w14:paraId="1CB5AD8E"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与国家和地区贸易主管部门合作，确保进出口规定及时更新、清晰明了，便于电子商务贸易商、土著人民、地方社区和相关利益攸关方使用；</w:t>
      </w:r>
    </w:p>
    <w:p w14:paraId="00CFDF15"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lastRenderedPageBreak/>
        <w:t>向买卖双方通报入侵性或潜在的外来入侵物种，特别是他们负有的法律责任。可寻求社会媒体和专业媒体的参与，如宠物杂志、期刊和书籍，特别是宠物或植物协会或学会的期刊，以及关于生物防治物的杂志和期刊，可发起多机构有针对性的宣传活动传播正确信息，以期转变消费者的价值观（如转向本地和非入侵物种），改变其行为（如防止冲动购买外来入侵物种）（根据第</w:t>
      </w:r>
      <w:r w:rsidRPr="003D18A0">
        <w:fldChar w:fldCharType="begin"/>
      </w:r>
      <w:r w:rsidRPr="003D18A0">
        <w:rPr>
          <w:lang w:eastAsia="zh-CN"/>
        </w:rPr>
        <w:instrText>HYPERLINK "https://www.cbd.int/doc/decisions/cop-13/cop-13-dec-13-zh.pdf"</w:instrText>
      </w:r>
      <w:r w:rsidRPr="003D18A0">
        <w:fldChar w:fldCharType="separate"/>
      </w:r>
      <w:r w:rsidRPr="003D18A0">
        <w:rPr>
          <w:caps/>
          <w:color w:val="0000FF"/>
          <w:kern w:val="22"/>
          <w:sz w:val="24"/>
          <w:szCs w:val="24"/>
          <w:u w:val="single"/>
          <w:lang w:val="en-GB" w:eastAsia="zh-CN"/>
        </w:rPr>
        <w:t>XIII/13</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4</w:t>
      </w:r>
      <w:r w:rsidRPr="003D18A0">
        <w:rPr>
          <w:caps/>
          <w:kern w:val="22"/>
          <w:sz w:val="24"/>
          <w:szCs w:val="24"/>
          <w:lang w:val="en-GB" w:eastAsia="zh-CN"/>
        </w:rPr>
        <w:t>段）</w:t>
      </w:r>
      <w:r w:rsidRPr="003D18A0">
        <w:rPr>
          <w:caps/>
          <w:kern w:val="22"/>
          <w:sz w:val="24"/>
          <w:szCs w:val="24"/>
          <w:lang w:val="en-GB" w:eastAsia="zh-CN"/>
        </w:rPr>
        <w:t>;</w:t>
      </w:r>
    </w:p>
    <w:p w14:paraId="41ADC879"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鼓励与电子商务平台、电子支付服务提供商以及邮政和快递服务机构建立伙伴关系和开展合作，确保在运营中遵守关于外来入侵物种的国家条例、国际标准和指导意见，并与其他国际义务保持一致（根据第</w:t>
      </w:r>
      <w:r w:rsidRPr="003D18A0">
        <w:fldChar w:fldCharType="begin"/>
      </w:r>
      <w:r w:rsidRPr="003D18A0">
        <w:rPr>
          <w:lang w:eastAsia="zh-CN"/>
        </w:rPr>
        <w:instrText>HYPERLINK "https://www.cbd.int/doc/decisions/cop-13/cop-13-dec-13-zh.pdf"</w:instrText>
      </w:r>
      <w:r w:rsidRPr="003D18A0">
        <w:fldChar w:fldCharType="separate"/>
      </w:r>
      <w:r w:rsidRPr="003D18A0">
        <w:rPr>
          <w:caps/>
          <w:color w:val="0000FF"/>
          <w:kern w:val="22"/>
          <w:sz w:val="24"/>
          <w:szCs w:val="24"/>
          <w:u w:val="single"/>
          <w:lang w:val="en-GB" w:eastAsia="zh-CN"/>
        </w:rPr>
        <w:t>XIII/13</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7</w:t>
      </w:r>
      <w:r w:rsidRPr="003D18A0">
        <w:rPr>
          <w:caps/>
          <w:kern w:val="22"/>
          <w:sz w:val="24"/>
          <w:szCs w:val="24"/>
          <w:lang w:val="en-GB" w:eastAsia="zh-CN"/>
        </w:rPr>
        <w:t>条（</w:t>
      </w:r>
      <w:r w:rsidRPr="003D18A0">
        <w:rPr>
          <w:rFonts w:eastAsiaTheme="majorEastAsia"/>
          <w:kern w:val="22"/>
          <w:sz w:val="24"/>
          <w:szCs w:val="24"/>
          <w:lang w:val="en-GB" w:eastAsia="zh-CN"/>
        </w:rPr>
        <w:t>b</w:t>
      </w:r>
      <w:r w:rsidRPr="003D18A0">
        <w:rPr>
          <w:caps/>
          <w:kern w:val="22"/>
          <w:sz w:val="24"/>
          <w:szCs w:val="24"/>
          <w:lang w:val="en-GB" w:eastAsia="zh-CN"/>
        </w:rPr>
        <w:t>）条）；</w:t>
      </w:r>
    </w:p>
    <w:p w14:paraId="42F0AB5D"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实施单一窗口办法，在单一入境点递交满足全部进口、出口和转口监管规定的标准资料和单证</w:t>
      </w:r>
      <w:r w:rsidRPr="003D18A0">
        <w:rPr>
          <w:caps/>
          <w:kern w:val="22"/>
          <w:sz w:val="24"/>
          <w:szCs w:val="24"/>
          <w:vertAlign w:val="superscript"/>
          <w:lang w:val="en-GB" w:eastAsia="zh-CN"/>
        </w:rPr>
        <w:footnoteReference w:id="26"/>
      </w:r>
      <w:r w:rsidRPr="003D18A0">
        <w:rPr>
          <w:caps/>
          <w:kern w:val="22"/>
          <w:sz w:val="24"/>
          <w:szCs w:val="24"/>
          <w:lang w:val="en-GB" w:eastAsia="zh-CN"/>
        </w:rPr>
        <w:t>。在国家和次国家层面实施这一办法有助于报告受管制物品，包括有植物检疫和卫生风险和生物多样性风险的外来活生物体（根据第</w:t>
      </w:r>
      <w:r w:rsidRPr="003D18A0">
        <w:fldChar w:fldCharType="begin"/>
      </w:r>
      <w:r w:rsidRPr="003D18A0">
        <w:rPr>
          <w:lang w:eastAsia="zh-CN"/>
        </w:rPr>
        <w:instrText>HYPERLINK "https://www.cbd.int/doc/decisions/cop-13/cop-13-dec-13-zh.pdf"</w:instrText>
      </w:r>
      <w:r w:rsidRPr="003D18A0">
        <w:fldChar w:fldCharType="separate"/>
      </w:r>
      <w:r w:rsidRPr="003D18A0">
        <w:rPr>
          <w:caps/>
          <w:color w:val="0000FF"/>
          <w:kern w:val="22"/>
          <w:sz w:val="24"/>
          <w:szCs w:val="24"/>
          <w:u w:val="single"/>
          <w:lang w:val="en-GB" w:eastAsia="zh-CN"/>
        </w:rPr>
        <w:t>XIII/13</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7</w:t>
      </w:r>
      <w:r w:rsidRPr="003D18A0">
        <w:rPr>
          <w:caps/>
          <w:kern w:val="22"/>
          <w:sz w:val="24"/>
          <w:szCs w:val="24"/>
          <w:lang w:val="en-GB" w:eastAsia="zh-CN"/>
        </w:rPr>
        <w:t>（</w:t>
      </w:r>
      <w:r w:rsidRPr="003D18A0">
        <w:rPr>
          <w:rFonts w:eastAsiaTheme="majorEastAsia"/>
          <w:kern w:val="22"/>
          <w:sz w:val="24"/>
          <w:szCs w:val="24"/>
          <w:lang w:val="en-GB" w:eastAsia="zh-CN"/>
        </w:rPr>
        <w:t>c</w:t>
      </w:r>
      <w:r w:rsidRPr="003D18A0">
        <w:rPr>
          <w:caps/>
          <w:kern w:val="22"/>
          <w:sz w:val="24"/>
          <w:szCs w:val="24"/>
          <w:lang w:val="en-GB" w:eastAsia="zh-CN"/>
        </w:rPr>
        <w:t>）段，第</w:t>
      </w:r>
      <w:r w:rsidRPr="003D18A0">
        <w:fldChar w:fldCharType="begin"/>
      </w:r>
      <w:r w:rsidRPr="003D18A0">
        <w:rPr>
          <w:lang w:eastAsia="zh-CN"/>
        </w:rPr>
        <w:instrText>HYPERLINK "https://www.cbd.int/doc/decisions/cop-14/cop-14-dec-11-zh.pdf"</w:instrText>
      </w:r>
      <w:r w:rsidRPr="003D18A0">
        <w:fldChar w:fldCharType="separate"/>
      </w:r>
      <w:r w:rsidRPr="003D18A0">
        <w:rPr>
          <w:caps/>
          <w:color w:val="0000FF"/>
          <w:kern w:val="22"/>
          <w:sz w:val="24"/>
          <w:szCs w:val="24"/>
          <w:u w:val="single"/>
          <w:lang w:val="en-GB" w:eastAsia="zh-CN"/>
        </w:rPr>
        <w:t>14/11</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号决定附件一第</w:t>
      </w:r>
      <w:r w:rsidRPr="003D18A0">
        <w:rPr>
          <w:caps/>
          <w:kern w:val="22"/>
          <w:sz w:val="24"/>
          <w:szCs w:val="24"/>
          <w:lang w:val="en-GB" w:eastAsia="zh-CN"/>
        </w:rPr>
        <w:t>32</w:t>
      </w:r>
      <w:r w:rsidRPr="003D18A0">
        <w:rPr>
          <w:caps/>
          <w:kern w:val="22"/>
          <w:sz w:val="24"/>
          <w:szCs w:val="24"/>
          <w:lang w:val="en-GB" w:eastAsia="zh-CN"/>
        </w:rPr>
        <w:t>段）。单一窗口办法可与相关的现有信息系统（如欧洲外来物种信息网）</w:t>
      </w:r>
      <w:r w:rsidRPr="003D18A0">
        <w:rPr>
          <w:caps/>
          <w:kern w:val="22"/>
          <w:sz w:val="24"/>
          <w:szCs w:val="24"/>
          <w:vertAlign w:val="superscript"/>
          <w:lang w:val="en-GB" w:eastAsia="zh-CN"/>
        </w:rPr>
        <w:footnoteReference w:id="27"/>
      </w:r>
      <w:r w:rsidRPr="003D18A0">
        <w:rPr>
          <w:caps/>
          <w:kern w:val="22"/>
          <w:sz w:val="24"/>
          <w:szCs w:val="24"/>
          <w:lang w:val="en-GB" w:eastAsia="zh-CN"/>
        </w:rPr>
        <w:t xml:space="preserve"> </w:t>
      </w:r>
      <w:r w:rsidRPr="003D18A0">
        <w:rPr>
          <w:caps/>
          <w:kern w:val="22"/>
          <w:sz w:val="24"/>
          <w:szCs w:val="24"/>
          <w:lang w:val="en-GB" w:eastAsia="zh-CN"/>
        </w:rPr>
        <w:t>交互运作，分享相关信息（双向数据流）。</w:t>
      </w:r>
    </w:p>
    <w:p w14:paraId="25EAF92F"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C.</w:t>
      </w:r>
      <w:r w:rsidRPr="003D18A0">
        <w:rPr>
          <w:b/>
          <w:bCs/>
          <w:caps/>
          <w:kern w:val="22"/>
          <w:sz w:val="24"/>
          <w:szCs w:val="24"/>
          <w:lang w:val="en-GB" w:eastAsia="zh-CN"/>
        </w:rPr>
        <w:tab/>
      </w:r>
      <w:r w:rsidRPr="003D18A0">
        <w:rPr>
          <w:b/>
          <w:bCs/>
          <w:caps/>
          <w:kern w:val="22"/>
          <w:sz w:val="24"/>
          <w:szCs w:val="24"/>
          <w:lang w:val="en-GB" w:eastAsia="zh-CN"/>
        </w:rPr>
        <w:t>监测和合规</w:t>
      </w:r>
    </w:p>
    <w:p w14:paraId="42665737"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建议各缔约方、组织和利益攸关方酌情采取以下行动：</w:t>
      </w:r>
    </w:p>
    <w:p w14:paraId="6B2CBC55" w14:textId="77777777" w:rsidR="003D18A0" w:rsidRPr="003D18A0" w:rsidRDefault="003D18A0" w:rsidP="003D18A0">
      <w:pPr>
        <w:numPr>
          <w:ilvl w:val="0"/>
          <w:numId w:val="1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根据国家法律和具体情况收集数据（根据第</w:t>
      </w:r>
      <w:r w:rsidRPr="003D18A0">
        <w:fldChar w:fldCharType="begin"/>
      </w:r>
      <w:r w:rsidRPr="003D18A0">
        <w:rPr>
          <w:lang w:eastAsia="zh-CN"/>
        </w:rPr>
        <w:instrText>HYPERLINK "https://www.cbd.int/doc/decisions/cop-14/cop-14-dec-11-zh.pdf"</w:instrText>
      </w:r>
      <w:r w:rsidRPr="003D18A0">
        <w:fldChar w:fldCharType="separate"/>
      </w:r>
      <w:r w:rsidRPr="003D18A0">
        <w:rPr>
          <w:color w:val="0000FF"/>
          <w:kern w:val="22"/>
          <w:sz w:val="24"/>
          <w:szCs w:val="24"/>
          <w:u w:val="single"/>
          <w:lang w:val="en-GB" w:eastAsia="zh-CN"/>
        </w:rPr>
        <w:t>14/11</w:t>
      </w:r>
      <w:r w:rsidRPr="003D18A0">
        <w:rPr>
          <w:color w:val="0000FF"/>
          <w:kern w:val="22"/>
          <w:sz w:val="24"/>
          <w:szCs w:val="24"/>
          <w:u w:val="single"/>
          <w:lang w:val="en-GB" w:eastAsia="zh-CN"/>
        </w:rPr>
        <w:fldChar w:fldCharType="end"/>
      </w:r>
      <w:r w:rsidRPr="003D18A0">
        <w:rPr>
          <w:kern w:val="22"/>
          <w:sz w:val="24"/>
          <w:szCs w:val="24"/>
          <w:lang w:val="en-GB" w:eastAsia="zh-CN"/>
        </w:rPr>
        <w:t>号决定附件一第</w:t>
      </w:r>
      <w:r w:rsidRPr="003D18A0">
        <w:rPr>
          <w:kern w:val="22"/>
          <w:sz w:val="24"/>
          <w:szCs w:val="24"/>
          <w:lang w:val="en-GB" w:eastAsia="zh-CN"/>
        </w:rPr>
        <w:t>34–36</w:t>
      </w:r>
      <w:r w:rsidRPr="003D18A0">
        <w:rPr>
          <w:kern w:val="22"/>
          <w:sz w:val="24"/>
          <w:szCs w:val="24"/>
          <w:lang w:val="en-GB" w:eastAsia="zh-CN"/>
        </w:rPr>
        <w:t>段），使用包括公民科学在内的所有可用手段和工具来监测合规性，评估为降低电子商务相关风险而实施的活动的有效性。收集的数据可与其他相关信息一起使用，包括合规历史和在土著人民和地方社区自由、事先和知情同意</w:t>
      </w:r>
      <w:r w:rsidRPr="003D18A0">
        <w:rPr>
          <w:kern w:val="22"/>
          <w:sz w:val="24"/>
          <w:szCs w:val="24"/>
          <w:vertAlign w:val="superscript"/>
          <w:lang w:val="en-GB" w:eastAsia="zh-CN"/>
        </w:rPr>
        <w:footnoteReference w:id="28"/>
      </w:r>
      <w:r w:rsidRPr="003D18A0">
        <w:rPr>
          <w:kern w:val="22"/>
          <w:sz w:val="24"/>
          <w:szCs w:val="24"/>
          <w:lang w:val="en-GB" w:eastAsia="zh-CN"/>
        </w:rPr>
        <w:t xml:space="preserve"> </w:t>
      </w:r>
      <w:r w:rsidRPr="003D18A0">
        <w:rPr>
          <w:kern w:val="22"/>
          <w:sz w:val="24"/>
          <w:szCs w:val="24"/>
          <w:lang w:val="en-GB" w:eastAsia="zh-CN"/>
        </w:rPr>
        <w:t>下获得的信息，用于指导基于风险的检验，确定是否需要进行调查或采取执法行动。数据分析可用于辨别任何异常趋势和模式，包括潜在的外来物种的入侵和影响风险；</w:t>
      </w:r>
    </w:p>
    <w:p w14:paraId="2E42038A" w14:textId="77777777" w:rsidR="003D18A0" w:rsidRPr="003D18A0" w:rsidRDefault="003D18A0" w:rsidP="003D18A0">
      <w:pPr>
        <w:numPr>
          <w:ilvl w:val="0"/>
          <w:numId w:val="1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利用最佳数据分析做法传播基于风险的良好干预措施做法，促进合法的电子商务，同时查明并制止非法贸易。在可能的情况下，优先使用非侵入性检验技术，促进现有技术（如扫描仪、嗅探犬和其他可用工具）在检测外来入侵物种方面的适用性，进一步开发自动生物传感器，更好地检测快递和邮政系统中的违禁和受限制物品；</w:t>
      </w:r>
    </w:p>
    <w:p w14:paraId="358E85F2" w14:textId="77777777" w:rsidR="003D18A0" w:rsidRPr="003D18A0" w:rsidRDefault="003D18A0" w:rsidP="003D18A0">
      <w:pPr>
        <w:numPr>
          <w:ilvl w:val="0"/>
          <w:numId w:val="1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kern w:val="22"/>
          <w:sz w:val="24"/>
          <w:szCs w:val="24"/>
          <w:lang w:val="en-GB" w:eastAsia="zh-CN"/>
        </w:rPr>
        <w:t>开发和使用培训和图文并茂的工具，便利对电子商务市场进行适度监测和检验，特别是考虑到标签可能使人们更难明白需要检查什么。这可能包括制定指导意见，指导如何监测电子商务平台，发现电子商务交易中有不合规情况时发出警告、通知和采取其他执法行动，根据国家和次国家法律法规适当处理被扣押的受限制物品。</w:t>
      </w:r>
    </w:p>
    <w:p w14:paraId="37B57353"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ind w:left="490" w:hanging="490"/>
        <w:rPr>
          <w:b/>
          <w:bCs/>
          <w:caps/>
          <w:kern w:val="22"/>
          <w:sz w:val="24"/>
          <w:szCs w:val="24"/>
          <w:lang w:val="en-GB" w:eastAsia="zh-CN"/>
        </w:rPr>
      </w:pPr>
      <w:r w:rsidRPr="003D18A0">
        <w:rPr>
          <w:b/>
          <w:bCs/>
          <w:caps/>
          <w:kern w:val="22"/>
          <w:sz w:val="24"/>
          <w:szCs w:val="24"/>
          <w:lang w:val="en-GB" w:eastAsia="zh-CN"/>
        </w:rPr>
        <w:t>二</w:t>
      </w:r>
      <w:r w:rsidRPr="003D18A0">
        <w:rPr>
          <w:b/>
          <w:bCs/>
          <w:caps/>
          <w:kern w:val="22"/>
          <w:sz w:val="24"/>
          <w:szCs w:val="24"/>
          <w:lang w:val="en-GB" w:eastAsia="zh-CN"/>
        </w:rPr>
        <w:t>.</w:t>
      </w:r>
      <w:r w:rsidRPr="003D18A0">
        <w:rPr>
          <w:b/>
          <w:bCs/>
          <w:caps/>
          <w:kern w:val="22"/>
          <w:sz w:val="24"/>
          <w:szCs w:val="24"/>
          <w:lang w:val="en-GB" w:eastAsia="zh-CN"/>
        </w:rPr>
        <w:tab/>
      </w:r>
      <w:r w:rsidRPr="003D18A0">
        <w:rPr>
          <w:b/>
          <w:bCs/>
          <w:caps/>
          <w:kern w:val="22"/>
          <w:sz w:val="24"/>
          <w:szCs w:val="24"/>
          <w:lang w:val="en-GB" w:eastAsia="zh-CN"/>
        </w:rPr>
        <w:t>建议网络市场（销售平台）、电子支付服务提供商以及邮政和快递服务采取的行动</w:t>
      </w:r>
    </w:p>
    <w:p w14:paraId="47160BE5"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网络市场（销售平台）可以分为互有重叠的三种类型，即：</w:t>
      </w:r>
    </w:p>
    <w:p w14:paraId="33D33ABE" w14:textId="77777777" w:rsidR="003D18A0" w:rsidRPr="003D18A0" w:rsidRDefault="003D18A0" w:rsidP="003D18A0">
      <w:pPr>
        <w:numPr>
          <w:ilvl w:val="0"/>
          <w:numId w:val="1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lastRenderedPageBreak/>
        <w:t>在线市场，是销售各种各类商品的大型在线网站，通常为个体零售商提供接触国际买家的渠道（如亿贝和亚马逊）；</w:t>
      </w:r>
    </w:p>
    <w:p w14:paraId="498149BD" w14:textId="77777777" w:rsidR="003D18A0" w:rsidRPr="003D18A0" w:rsidRDefault="003D18A0" w:rsidP="003D18A0">
      <w:pPr>
        <w:numPr>
          <w:ilvl w:val="0"/>
          <w:numId w:val="1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个体零售商，从自己的网站跨境在线销售，也可能拥有实体店；</w:t>
      </w:r>
    </w:p>
    <w:p w14:paraId="7FF6B2C5" w14:textId="77777777" w:rsidR="003D18A0" w:rsidRPr="003D18A0" w:rsidRDefault="003D18A0" w:rsidP="003D18A0">
      <w:pPr>
        <w:numPr>
          <w:ilvl w:val="0"/>
          <w:numId w:val="1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点对点交易平台，例如脸书群组或其他专门买卖某类商品（例如宠物）的在线平台，交易主要在非商业实体间进行。这些平台通常不做跨境生意。</w:t>
      </w:r>
    </w:p>
    <w:p w14:paraId="36352AF9"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建议网络市场（销售平台）、电子支付服务提供商以及邮政和快递服务酌情采取以下行动：</w:t>
      </w:r>
    </w:p>
    <w:p w14:paraId="30BE7297" w14:textId="77777777" w:rsidR="003D18A0" w:rsidRPr="003D18A0" w:rsidRDefault="003D18A0" w:rsidP="003D18A0">
      <w:pPr>
        <w:numPr>
          <w:ilvl w:val="0"/>
          <w:numId w:val="1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利用相关国际机构、国家和次国家主管部门以及其他来源提供的关于外来入侵物种所带来的风险（法律和环境风险）的信息，以便采取相应措施使其用户了解这些风险（根据第</w:t>
      </w:r>
      <w:r w:rsidRPr="003D18A0">
        <w:rPr>
          <w:kern w:val="22"/>
          <w:sz w:val="24"/>
          <w:szCs w:val="24"/>
          <w:lang w:val="en-GB" w:eastAsia="zh-CN"/>
        </w:rPr>
        <w:t>14/11</w:t>
      </w:r>
      <w:r w:rsidRPr="003D18A0">
        <w:rPr>
          <w:kern w:val="22"/>
          <w:sz w:val="24"/>
          <w:szCs w:val="24"/>
          <w:lang w:val="en-GB" w:eastAsia="zh-CN"/>
        </w:rPr>
        <w:t>号决定附件一第</w:t>
      </w:r>
      <w:r w:rsidRPr="003D18A0">
        <w:rPr>
          <w:kern w:val="22"/>
          <w:sz w:val="24"/>
          <w:szCs w:val="24"/>
          <w:lang w:val="en-GB" w:eastAsia="zh-CN"/>
        </w:rPr>
        <w:t>11–13</w:t>
      </w:r>
      <w:r w:rsidRPr="003D18A0">
        <w:rPr>
          <w:kern w:val="22"/>
          <w:sz w:val="24"/>
          <w:szCs w:val="24"/>
          <w:lang w:val="en-GB" w:eastAsia="zh-CN"/>
        </w:rPr>
        <w:t>段）；</w:t>
      </w:r>
    </w:p>
    <w:p w14:paraId="153EE66C" w14:textId="77777777" w:rsidR="003D18A0" w:rsidRPr="003D18A0" w:rsidRDefault="003D18A0" w:rsidP="003D18A0">
      <w:pPr>
        <w:numPr>
          <w:ilvl w:val="0"/>
          <w:numId w:val="1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监测在其平台上进行的电子商务，根据相关的国家和次国家法律提高核实邮包货物的能力，发现非法或有潜在破坏性的外来入侵物种贸易证据时提醒相关当局；</w:t>
      </w:r>
    </w:p>
    <w:p w14:paraId="291A6F5D" w14:textId="77777777" w:rsidR="003D18A0" w:rsidRPr="003D18A0" w:rsidRDefault="003D18A0" w:rsidP="003D18A0">
      <w:pPr>
        <w:numPr>
          <w:ilvl w:val="0"/>
          <w:numId w:val="1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kern w:val="22"/>
          <w:sz w:val="24"/>
          <w:szCs w:val="24"/>
          <w:lang w:val="en-GB" w:eastAsia="zh-CN"/>
        </w:rPr>
        <w:t>根据国际和国家义务制定和采取完善管理措施，最大限度地减少经电子商务引进</w:t>
      </w:r>
      <w:r w:rsidRPr="003D18A0">
        <w:rPr>
          <w:caps/>
          <w:kern w:val="22"/>
          <w:sz w:val="24"/>
          <w:szCs w:val="24"/>
          <w:lang w:val="en-GB" w:eastAsia="zh-CN"/>
        </w:rPr>
        <w:t>外来入侵和潜在外来入侵物种</w:t>
      </w:r>
      <w:r w:rsidRPr="003D18A0">
        <w:rPr>
          <w:kern w:val="22"/>
          <w:sz w:val="24"/>
          <w:szCs w:val="24"/>
          <w:lang w:val="en-GB" w:eastAsia="zh-CN"/>
        </w:rPr>
        <w:t>的风险。</w:t>
      </w:r>
    </w:p>
    <w:p w14:paraId="762F0A1D"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三</w:t>
      </w:r>
      <w:r w:rsidRPr="003D18A0">
        <w:rPr>
          <w:b/>
          <w:bCs/>
          <w:caps/>
          <w:kern w:val="22"/>
          <w:sz w:val="24"/>
          <w:szCs w:val="24"/>
          <w:lang w:val="en-GB" w:eastAsia="zh-CN"/>
        </w:rPr>
        <w:t>.</w:t>
      </w:r>
      <w:r w:rsidRPr="003D18A0">
        <w:rPr>
          <w:b/>
          <w:bCs/>
          <w:caps/>
          <w:kern w:val="22"/>
          <w:sz w:val="24"/>
          <w:szCs w:val="24"/>
          <w:lang w:val="en-GB" w:eastAsia="zh-CN"/>
        </w:rPr>
        <w:tab/>
      </w:r>
      <w:r w:rsidRPr="003D18A0">
        <w:rPr>
          <w:b/>
          <w:bCs/>
          <w:caps/>
          <w:kern w:val="22"/>
          <w:sz w:val="24"/>
          <w:szCs w:val="24"/>
          <w:lang w:val="en-GB" w:eastAsia="zh-CN"/>
        </w:rPr>
        <w:t>建议相关国际组织、机构和协定包括标准制定组织采取的行动</w:t>
      </w:r>
    </w:p>
    <w:p w14:paraId="05A3F7BF"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建议国际组织和机构酌情采取以下行动：</w:t>
      </w:r>
    </w:p>
    <w:p w14:paraId="7E63FB94"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caps/>
          <w:kern w:val="22"/>
          <w:sz w:val="24"/>
          <w:szCs w:val="24"/>
          <w:lang w:val="en-GB" w:eastAsia="zh-CN"/>
        </w:rPr>
        <w:t>分享关于外来入侵和潜在外来入侵物种电子商务的数据</w:t>
      </w:r>
      <w:r w:rsidRPr="003D18A0">
        <w:rPr>
          <w:kern w:val="22"/>
          <w:sz w:val="24"/>
          <w:szCs w:val="24"/>
          <w:lang w:val="en-GB" w:eastAsia="zh-CN"/>
        </w:rPr>
        <w:t>、信息、技术和专门知识；</w:t>
      </w:r>
    </w:p>
    <w:p w14:paraId="5CB74883"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利用相关国际机构制定的指导意见，包括世界海关组织、养护欧洲野生生物和自然生境公约、国际植物保护公约和世界动物卫生组织正在开展的工作</w:t>
      </w:r>
      <w:r w:rsidRPr="003D18A0">
        <w:rPr>
          <w:caps/>
          <w:kern w:val="22"/>
          <w:sz w:val="24"/>
          <w:szCs w:val="24"/>
          <w:vertAlign w:val="superscript"/>
          <w:lang w:val="en-GB" w:eastAsia="zh-CN"/>
        </w:rPr>
        <w:footnoteReference w:id="29"/>
      </w:r>
      <w:r w:rsidRPr="003D18A0">
        <w:rPr>
          <w:caps/>
          <w:kern w:val="22"/>
          <w:sz w:val="24"/>
          <w:szCs w:val="24"/>
          <w:lang w:val="en-GB" w:eastAsia="zh-CN"/>
        </w:rPr>
        <w:t>；</w:t>
      </w:r>
    </w:p>
    <w:p w14:paraId="7E65AB38"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在全球和区域两个层面监测外来入侵和潜在外来入侵物种的电子商务，查明这些物种贸易的趋势和风险；</w:t>
      </w:r>
    </w:p>
    <w:p w14:paraId="1D66772F"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制定指导意见和工具，协助国家边境机构应对违规行为，同时考虑到可能需要国内国际措施双管齐下</w:t>
      </w:r>
      <w:r w:rsidRPr="003D18A0">
        <w:rPr>
          <w:caps/>
          <w:kern w:val="22"/>
          <w:sz w:val="24"/>
          <w:szCs w:val="24"/>
          <w:vertAlign w:val="superscript"/>
          <w:lang w:val="en-GB" w:eastAsia="zh-CN"/>
        </w:rPr>
        <w:footnoteReference w:id="30"/>
      </w:r>
      <w:r w:rsidRPr="003D18A0">
        <w:rPr>
          <w:caps/>
          <w:kern w:val="22"/>
          <w:sz w:val="24"/>
          <w:szCs w:val="24"/>
          <w:lang w:val="en-GB" w:eastAsia="zh-CN"/>
        </w:rPr>
        <w:t>；</w:t>
      </w:r>
    </w:p>
    <w:p w14:paraId="7EF71904"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改进国家边境机构之间的合作，尽可能使现有安全举措与外来入侵物种风险管理和有针对性的（基于风险的）检验挂钩。这还将提供一个机制，让国家边境机构和其他相关部委及时分享跨境电子商务问题的信息；</w:t>
      </w:r>
    </w:p>
    <w:p w14:paraId="6887B193"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与相关组织、缔约方和其他各级政府联合开展能力建设活动，为执行现有国际准则和标准提供技术援助和资源，为所有相关利益攸关方包括土著人民和地方社区制定国家或次国家监管框架或措施，应对与电子商务相关的风险；</w:t>
      </w:r>
    </w:p>
    <w:p w14:paraId="38B44FCF"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lastRenderedPageBreak/>
        <w:t>探索能否将</w:t>
      </w:r>
      <w:r w:rsidRPr="003D18A0">
        <w:rPr>
          <w:caps/>
          <w:kern w:val="22"/>
          <w:sz w:val="24"/>
          <w:szCs w:val="24"/>
          <w:lang w:val="en-GB" w:eastAsia="zh-CN"/>
        </w:rPr>
        <w:t>“</w:t>
      </w:r>
      <w:r w:rsidRPr="003D18A0">
        <w:rPr>
          <w:caps/>
          <w:kern w:val="22"/>
          <w:sz w:val="24"/>
          <w:szCs w:val="24"/>
          <w:lang w:val="en-GB" w:eastAsia="zh-CN"/>
        </w:rPr>
        <w:t>特许经营者</w:t>
      </w:r>
      <w:r w:rsidRPr="003D18A0">
        <w:rPr>
          <w:caps/>
          <w:kern w:val="22"/>
          <w:sz w:val="24"/>
          <w:szCs w:val="24"/>
          <w:lang w:val="en-GB" w:eastAsia="zh-CN"/>
        </w:rPr>
        <w:t>”</w:t>
      </w:r>
      <w:r w:rsidRPr="003D18A0">
        <w:rPr>
          <w:caps/>
          <w:kern w:val="22"/>
          <w:sz w:val="24"/>
          <w:szCs w:val="24"/>
          <w:lang w:val="en-GB" w:eastAsia="zh-CN"/>
        </w:rPr>
        <w:t>概念</w:t>
      </w:r>
      <w:r w:rsidRPr="003D18A0">
        <w:rPr>
          <w:caps/>
          <w:kern w:val="22"/>
          <w:sz w:val="24"/>
          <w:szCs w:val="24"/>
          <w:vertAlign w:val="superscript"/>
          <w:lang w:val="en-GB" w:eastAsia="zh-CN"/>
        </w:rPr>
        <w:footnoteReference w:id="31"/>
      </w:r>
      <w:r w:rsidRPr="003D18A0">
        <w:rPr>
          <w:caps/>
          <w:kern w:val="22"/>
          <w:sz w:val="24"/>
          <w:szCs w:val="24"/>
          <w:lang w:val="en-GB" w:eastAsia="zh-CN"/>
        </w:rPr>
        <w:t xml:space="preserve"> </w:t>
      </w:r>
      <w:r w:rsidRPr="003D18A0">
        <w:rPr>
          <w:caps/>
          <w:kern w:val="22"/>
          <w:sz w:val="24"/>
          <w:szCs w:val="24"/>
          <w:lang w:val="en-GB" w:eastAsia="zh-CN"/>
        </w:rPr>
        <w:t>扩大到跨境电子商务领域，包括邮政运营商、快递公司和电子平台，这样做可降低检验频率；</w:t>
      </w:r>
    </w:p>
    <w:p w14:paraId="78669841"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开发框架和资源，使国际供应链所有参与方都能够进行先进电子数据交换，利用这些数据对包裹进行分类，确定所需的检验级别（基于风险的检验）</w:t>
      </w:r>
      <w:r w:rsidRPr="003D18A0">
        <w:rPr>
          <w:caps/>
          <w:kern w:val="22"/>
          <w:sz w:val="24"/>
          <w:szCs w:val="24"/>
          <w:vertAlign w:val="superscript"/>
          <w:lang w:val="en-GB" w:eastAsia="zh-CN"/>
        </w:rPr>
        <w:footnoteReference w:id="32"/>
      </w:r>
      <w:r w:rsidRPr="003D18A0">
        <w:rPr>
          <w:caps/>
          <w:kern w:val="22"/>
          <w:sz w:val="24"/>
          <w:szCs w:val="24"/>
          <w:lang w:val="en-GB" w:eastAsia="zh-CN"/>
        </w:rPr>
        <w:t>；</w:t>
      </w:r>
    </w:p>
    <w:p w14:paraId="12EBF093"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提高国际组织、区域组织、国家组织和电子商务利益攸关方的认识，了解进出口规定和为防止或最大限度减少电子商务所致外来入侵和潜在外来入侵物种的引进和扩散风险而可采取的行动</w:t>
      </w:r>
      <w:r w:rsidRPr="003D18A0">
        <w:rPr>
          <w:caps/>
          <w:kern w:val="22"/>
          <w:sz w:val="24"/>
          <w:szCs w:val="24"/>
          <w:vertAlign w:val="superscript"/>
          <w:lang w:val="en-GB" w:eastAsia="zh-CN"/>
        </w:rPr>
        <w:footnoteReference w:id="33"/>
      </w:r>
      <w:r w:rsidRPr="003D18A0">
        <w:rPr>
          <w:caps/>
          <w:kern w:val="22"/>
          <w:sz w:val="24"/>
          <w:szCs w:val="24"/>
          <w:lang w:val="en-GB" w:eastAsia="zh-CN"/>
        </w:rPr>
        <w:t xml:space="preserve"> </w:t>
      </w:r>
      <w:r w:rsidRPr="003D18A0">
        <w:rPr>
          <w:caps/>
          <w:kern w:val="22"/>
          <w:sz w:val="24"/>
          <w:szCs w:val="24"/>
          <w:lang w:val="en-GB" w:eastAsia="zh-CN"/>
        </w:rPr>
        <w:t>（根据第</w:t>
      </w:r>
      <w:hyperlink r:id="rId13" w:history="1">
        <w:r w:rsidRPr="003D18A0">
          <w:rPr>
            <w:caps/>
            <w:color w:val="0000FF"/>
            <w:kern w:val="22"/>
            <w:sz w:val="24"/>
            <w:szCs w:val="24"/>
            <w:u w:val="single"/>
            <w:lang w:val="en-GB" w:eastAsia="zh-CN"/>
          </w:rPr>
          <w:t>XIII/13</w:t>
        </w:r>
      </w:hyperlink>
      <w:r w:rsidRPr="003D18A0">
        <w:rPr>
          <w:caps/>
          <w:kern w:val="22"/>
          <w:sz w:val="24"/>
          <w:szCs w:val="24"/>
          <w:lang w:val="en-GB" w:eastAsia="zh-CN"/>
        </w:rPr>
        <w:t>号决定第</w:t>
      </w:r>
      <w:r w:rsidRPr="003D18A0">
        <w:rPr>
          <w:caps/>
          <w:kern w:val="22"/>
          <w:sz w:val="24"/>
          <w:szCs w:val="24"/>
          <w:lang w:val="en-GB" w:eastAsia="zh-CN"/>
        </w:rPr>
        <w:t>7</w:t>
      </w:r>
      <w:r w:rsidRPr="003D18A0">
        <w:rPr>
          <w:caps/>
          <w:kern w:val="22"/>
          <w:sz w:val="24"/>
          <w:szCs w:val="24"/>
          <w:lang w:val="en-GB" w:eastAsia="zh-CN"/>
        </w:rPr>
        <w:t>（</w:t>
      </w:r>
      <w:r w:rsidRPr="003D18A0">
        <w:rPr>
          <w:rFonts w:eastAsiaTheme="majorEastAsia"/>
          <w:kern w:val="22"/>
          <w:sz w:val="24"/>
          <w:szCs w:val="24"/>
          <w:lang w:val="en-GB" w:eastAsia="zh-CN"/>
        </w:rPr>
        <w:t>a</w:t>
      </w:r>
      <w:r w:rsidRPr="003D18A0">
        <w:rPr>
          <w:caps/>
          <w:kern w:val="22"/>
          <w:sz w:val="24"/>
          <w:szCs w:val="24"/>
          <w:lang w:val="en-GB" w:eastAsia="zh-CN"/>
        </w:rPr>
        <w:t>）条）；</w:t>
      </w:r>
    </w:p>
    <w:p w14:paraId="0078EDBB"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sz w:val="24"/>
          <w:szCs w:val="24"/>
          <w:lang w:val="en-CA" w:eastAsia="zh-CN"/>
        </w:rPr>
      </w:pPr>
      <w:r w:rsidRPr="003D18A0">
        <w:rPr>
          <w:caps/>
          <w:kern w:val="22"/>
          <w:sz w:val="24"/>
          <w:szCs w:val="24"/>
          <w:lang w:val="en-GB" w:eastAsia="zh-CN"/>
        </w:rPr>
        <w:t>考虑在外来分类群环境影响分类等框架</w:t>
      </w:r>
      <w:r w:rsidRPr="003D18A0">
        <w:rPr>
          <w:caps/>
          <w:kern w:val="22"/>
          <w:sz w:val="24"/>
          <w:szCs w:val="24"/>
          <w:vertAlign w:val="superscript"/>
          <w:lang w:val="en-GB" w:eastAsia="zh-CN"/>
        </w:rPr>
        <w:footnoteReference w:id="34"/>
      </w:r>
      <w:r w:rsidRPr="003D18A0">
        <w:rPr>
          <w:caps/>
          <w:kern w:val="22"/>
          <w:sz w:val="24"/>
          <w:szCs w:val="24"/>
          <w:lang w:val="en-GB" w:eastAsia="zh-CN"/>
        </w:rPr>
        <w:t xml:space="preserve"> </w:t>
      </w:r>
      <w:r w:rsidRPr="003D18A0">
        <w:rPr>
          <w:caps/>
          <w:kern w:val="22"/>
          <w:sz w:val="24"/>
          <w:szCs w:val="24"/>
          <w:lang w:val="en-GB" w:eastAsia="zh-CN"/>
        </w:rPr>
        <w:t>的基础上，开发和实施一种基于风险的国际外来入侵物种标签系统，以知会买方和进口商并用于网上销售的所有物种。对于寄售的活体外来物种，这种标签可注明有助于识别对生物多样性的危害和识别物种或更低层级分类单元的信息（例如学名和分类序列号或类似编号）（根据</w:t>
      </w:r>
      <w:r w:rsidRPr="003D18A0">
        <w:rPr>
          <w:caps/>
          <w:kern w:val="22"/>
          <w:sz w:val="24"/>
          <w:szCs w:val="24"/>
          <w:lang w:val="en-GB" w:eastAsia="zh-CN"/>
        </w:rPr>
        <w:t>2014</w:t>
      </w:r>
      <w:r w:rsidRPr="003D18A0">
        <w:rPr>
          <w:caps/>
          <w:kern w:val="22"/>
          <w:sz w:val="24"/>
          <w:szCs w:val="24"/>
          <w:lang w:val="en-GB" w:eastAsia="zh-CN"/>
        </w:rPr>
        <w:t>年</w:t>
      </w:r>
      <w:r w:rsidRPr="003D18A0">
        <w:rPr>
          <w:caps/>
          <w:kern w:val="22"/>
          <w:sz w:val="24"/>
          <w:szCs w:val="24"/>
          <w:lang w:val="en-GB" w:eastAsia="zh-CN"/>
        </w:rPr>
        <w:t>10</w:t>
      </w:r>
      <w:r w:rsidRPr="003D18A0">
        <w:rPr>
          <w:caps/>
          <w:kern w:val="22"/>
          <w:sz w:val="24"/>
          <w:szCs w:val="24"/>
          <w:lang w:val="en-GB" w:eastAsia="zh-CN"/>
        </w:rPr>
        <w:t>月</w:t>
      </w:r>
      <w:r w:rsidRPr="003D18A0">
        <w:rPr>
          <w:caps/>
          <w:kern w:val="22"/>
          <w:sz w:val="24"/>
          <w:szCs w:val="24"/>
          <w:lang w:val="en-GB" w:eastAsia="zh-CN"/>
        </w:rPr>
        <w:t>10</w:t>
      </w:r>
      <w:r w:rsidRPr="003D18A0">
        <w:rPr>
          <w:caps/>
          <w:kern w:val="22"/>
          <w:sz w:val="24"/>
          <w:szCs w:val="24"/>
          <w:lang w:val="en-GB" w:eastAsia="zh-CN"/>
        </w:rPr>
        <w:t>日第</w:t>
      </w:r>
      <w:r w:rsidRPr="003D18A0">
        <w:fldChar w:fldCharType="begin"/>
      </w:r>
      <w:r w:rsidRPr="003D18A0">
        <w:rPr>
          <w:lang w:eastAsia="zh-CN"/>
        </w:rPr>
        <w:instrText>HYPERLINK "https://www.cbd.int/doc/decisions/cop-12/cop-12-dec-17-zh.pdf"</w:instrText>
      </w:r>
      <w:r w:rsidRPr="003D18A0">
        <w:fldChar w:fldCharType="separate"/>
      </w:r>
      <w:r w:rsidRPr="003D18A0">
        <w:rPr>
          <w:caps/>
          <w:color w:val="0000FF"/>
          <w:kern w:val="22"/>
          <w:sz w:val="24"/>
          <w:szCs w:val="24"/>
          <w:u w:val="single"/>
          <w:lang w:val="en-GB" w:eastAsia="zh-CN"/>
        </w:rPr>
        <w:t>XII/17</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6(</w:t>
      </w:r>
      <w:r w:rsidRPr="003D18A0">
        <w:rPr>
          <w:rFonts w:eastAsiaTheme="majorEastAsia"/>
          <w:kern w:val="22"/>
          <w:sz w:val="24"/>
          <w:szCs w:val="24"/>
          <w:lang w:val="en-GB" w:eastAsia="zh-CN"/>
        </w:rPr>
        <w:t>g)</w:t>
      </w:r>
      <w:r w:rsidRPr="003D18A0">
        <w:rPr>
          <w:caps/>
          <w:kern w:val="22"/>
          <w:sz w:val="24"/>
          <w:szCs w:val="24"/>
          <w:lang w:val="en-GB" w:eastAsia="zh-CN"/>
        </w:rPr>
        <w:t>段和第</w:t>
      </w:r>
      <w:r w:rsidRPr="003D18A0">
        <w:fldChar w:fldCharType="begin"/>
      </w:r>
      <w:r w:rsidRPr="003D18A0">
        <w:rPr>
          <w:lang w:eastAsia="zh-CN"/>
        </w:rPr>
        <w:instrText>HYPERLINK "https://www.cbd.int/doc/decisions/cop-14/cop-14-dec-11-zh.pdf"</w:instrText>
      </w:r>
      <w:r w:rsidRPr="003D18A0">
        <w:fldChar w:fldCharType="separate"/>
      </w:r>
      <w:r w:rsidRPr="003D18A0">
        <w:rPr>
          <w:caps/>
          <w:color w:val="0000FF"/>
          <w:kern w:val="22"/>
          <w:sz w:val="24"/>
          <w:szCs w:val="24"/>
          <w:u w:val="single"/>
          <w:lang w:val="en-GB" w:eastAsia="zh-CN"/>
        </w:rPr>
        <w:t>14/11</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号决定附件一第</w:t>
      </w:r>
      <w:r w:rsidRPr="003D18A0">
        <w:rPr>
          <w:caps/>
          <w:kern w:val="22"/>
          <w:sz w:val="24"/>
          <w:szCs w:val="24"/>
          <w:lang w:val="en-GB" w:eastAsia="zh-CN"/>
        </w:rPr>
        <w:t>14</w:t>
      </w:r>
      <w:r w:rsidRPr="003D18A0">
        <w:rPr>
          <w:caps/>
          <w:kern w:val="22"/>
          <w:sz w:val="24"/>
          <w:szCs w:val="24"/>
          <w:lang w:val="en-GB" w:eastAsia="zh-CN"/>
        </w:rPr>
        <w:t>段），同时考虑到经济及社会理事会危险货物运输问题专家小组委员会、世界贸易组织、国际植物保护公约、世界动物卫生组织和其他相关组织和文书。</w:t>
      </w:r>
    </w:p>
    <w:p w14:paraId="3A44C67F" w14:textId="77777777" w:rsidR="003D18A0" w:rsidRPr="003D18A0" w:rsidRDefault="003D18A0" w:rsidP="003D18A0">
      <w:pPr>
        <w:tabs>
          <w:tab w:val="clear" w:pos="567"/>
          <w:tab w:val="clear" w:pos="1134"/>
          <w:tab w:val="clear" w:pos="1701"/>
          <w:tab w:val="clear" w:pos="2268"/>
        </w:tabs>
        <w:ind w:left="490"/>
        <w:jc w:val="left"/>
        <w:rPr>
          <w:b/>
          <w:bCs/>
          <w:sz w:val="24"/>
          <w:szCs w:val="24"/>
          <w:lang w:val="en-CA" w:eastAsia="zh-CN"/>
        </w:rPr>
      </w:pPr>
    </w:p>
    <w:p w14:paraId="7B7FCC61" w14:textId="77777777" w:rsidR="003D18A0" w:rsidRPr="003D18A0" w:rsidRDefault="003D18A0" w:rsidP="003D18A0">
      <w:pPr>
        <w:tabs>
          <w:tab w:val="clear" w:pos="567"/>
          <w:tab w:val="clear" w:pos="1134"/>
          <w:tab w:val="clear" w:pos="1701"/>
          <w:tab w:val="clear" w:pos="2268"/>
        </w:tabs>
        <w:ind w:left="490"/>
        <w:jc w:val="left"/>
        <w:rPr>
          <w:b/>
          <w:bCs/>
          <w:sz w:val="24"/>
          <w:szCs w:val="24"/>
          <w:lang w:val="en-GB" w:eastAsia="zh-CN"/>
        </w:rPr>
      </w:pPr>
      <w:r w:rsidRPr="003D18A0">
        <w:rPr>
          <w:b/>
          <w:bCs/>
          <w:sz w:val="24"/>
          <w:szCs w:val="24"/>
          <w:lang w:val="en-CA" w:eastAsia="zh-CN"/>
        </w:rPr>
        <w:t>附件三</w:t>
      </w:r>
    </w:p>
    <w:p w14:paraId="70D08D29" w14:textId="77777777" w:rsidR="003D18A0" w:rsidRPr="003D18A0" w:rsidRDefault="003D18A0" w:rsidP="003D18A0">
      <w:pPr>
        <w:tabs>
          <w:tab w:val="clear" w:pos="567"/>
          <w:tab w:val="clear" w:pos="1134"/>
          <w:tab w:val="clear" w:pos="1701"/>
          <w:tab w:val="clear" w:pos="2268"/>
        </w:tabs>
        <w:ind w:left="490"/>
        <w:jc w:val="left"/>
        <w:rPr>
          <w:rFonts w:eastAsia="黑体"/>
          <w:sz w:val="28"/>
          <w:szCs w:val="28"/>
          <w:lang w:val="en-CA" w:eastAsia="zh-CN"/>
        </w:rPr>
      </w:pPr>
      <w:r w:rsidRPr="003D18A0">
        <w:rPr>
          <w:b/>
          <w:sz w:val="24"/>
          <w:szCs w:val="24"/>
          <w:lang w:val="en-CA" w:eastAsia="zh-CN"/>
        </w:rPr>
        <w:t>与预防气候变化和其他导致生物多样性丧失的驱动因素引起的潜在风险有关的外来入侵物种管理</w:t>
      </w:r>
    </w:p>
    <w:p w14:paraId="0BC45BB4" w14:textId="77777777" w:rsidR="003D18A0" w:rsidRPr="003D18A0" w:rsidRDefault="003D18A0" w:rsidP="003D18A0">
      <w:pPr>
        <w:numPr>
          <w:ilvl w:val="0"/>
          <w:numId w:val="197"/>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本附件载有对缔约方和利益攸关方的建议和自愿指南，以支持执行《昆明</w:t>
      </w:r>
      <w:r w:rsidRPr="003D18A0">
        <w:rPr>
          <w:bCs/>
          <w:sz w:val="24"/>
          <w:lang w:val="en-CA" w:eastAsia="zh-CN"/>
        </w:rPr>
        <w:t>-</w:t>
      </w:r>
      <w:r w:rsidRPr="003D18A0">
        <w:rPr>
          <w:bCs/>
          <w:sz w:val="24"/>
          <w:lang w:val="en-CA" w:eastAsia="zh-CN"/>
        </w:rPr>
        <w:t>蒙特利尔全球生物多样性框架》，特别是关于外来入侵物种的行动目标</w:t>
      </w:r>
      <w:r w:rsidRPr="003D18A0">
        <w:rPr>
          <w:bCs/>
          <w:sz w:val="24"/>
          <w:lang w:val="en-CA" w:eastAsia="zh-CN"/>
        </w:rPr>
        <w:t>6</w:t>
      </w:r>
      <w:r w:rsidRPr="003D18A0">
        <w:rPr>
          <w:bCs/>
          <w:sz w:val="24"/>
          <w:lang w:val="en-CA" w:eastAsia="zh-CN"/>
        </w:rPr>
        <w:t>，以及其他相关的行动目标。</w:t>
      </w:r>
    </w:p>
    <w:p w14:paraId="06FEBAF9" w14:textId="77777777" w:rsidR="003D18A0" w:rsidRPr="003D18A0" w:rsidRDefault="003D18A0" w:rsidP="003D18A0">
      <w:pPr>
        <w:keepNext/>
        <w:keepLines/>
        <w:tabs>
          <w:tab w:val="clear" w:pos="567"/>
          <w:tab w:val="clear" w:pos="1134"/>
          <w:tab w:val="clear" w:pos="1701"/>
          <w:tab w:val="clear" w:pos="2268"/>
        </w:tabs>
        <w:snapToGrid w:val="0"/>
        <w:spacing w:before="240" w:after="120"/>
        <w:jc w:val="left"/>
        <w:outlineLvl w:val="0"/>
        <w:rPr>
          <w:b/>
          <w:caps/>
          <w:sz w:val="24"/>
          <w:szCs w:val="24"/>
          <w:lang w:val="en-CA" w:eastAsia="zh-CN"/>
        </w:rPr>
      </w:pPr>
      <w:r w:rsidRPr="003D18A0">
        <w:rPr>
          <w:rFonts w:hint="eastAsia"/>
          <w:b/>
          <w:caps/>
          <w:sz w:val="24"/>
          <w:szCs w:val="24"/>
          <w:lang w:val="en-CA" w:eastAsia="zh-CN"/>
        </w:rPr>
        <w:t>一</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外来入侵物种、气候变化和其他导致生物多样性丧失的驱动因素之间的联系</w:t>
      </w:r>
    </w:p>
    <w:p w14:paraId="755786DF"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土地使用和气候变化等生物多样性丧失全球驱动因素被认为会导致陆地和水生生态系统的变化，从而对生物多样性产生深远影响。气候变化和其他导致生物多样性丧失的驱动因素助长了许多外来物种的传播和立足，为它们成为入侵物种创造新的机会。</w:t>
      </w:r>
      <w:r w:rsidRPr="003D18A0">
        <w:rPr>
          <w:bCs/>
          <w:sz w:val="24"/>
          <w:lang w:val="en-CA" w:eastAsia="zh-CN"/>
        </w:rPr>
        <w:t>2019</w:t>
      </w:r>
      <w:r w:rsidRPr="003D18A0">
        <w:rPr>
          <w:bCs/>
          <w:sz w:val="24"/>
          <w:lang w:val="en-CA" w:eastAsia="zh-CN"/>
        </w:rPr>
        <w:t>年为外来入侵物种特设技术专家组编写的报告审议了这些相互作用</w:t>
      </w:r>
      <w:r w:rsidRPr="003D18A0">
        <w:rPr>
          <w:bCs/>
          <w:sz w:val="24"/>
          <w:vertAlign w:val="superscript"/>
          <w:lang w:val="en-GB" w:eastAsia="zh-CN"/>
        </w:rPr>
        <w:footnoteReference w:id="35"/>
      </w:r>
      <w:r w:rsidRPr="003D18A0">
        <w:rPr>
          <w:bCs/>
          <w:sz w:val="24"/>
          <w:lang w:val="en-CA" w:eastAsia="zh-CN"/>
        </w:rPr>
        <w:t>，</w:t>
      </w:r>
      <w:r w:rsidRPr="003D18A0">
        <w:rPr>
          <w:bCs/>
          <w:color w:val="000000" w:themeColor="text1"/>
          <w:kern w:val="22"/>
          <w:sz w:val="24"/>
          <w:szCs w:val="24"/>
          <w:lang w:val="en-GB" w:eastAsia="zh-CN"/>
        </w:rPr>
        <w:t>并</w:t>
      </w:r>
      <w:r w:rsidRPr="003D18A0">
        <w:rPr>
          <w:rFonts w:hint="eastAsia"/>
          <w:bCs/>
          <w:color w:val="000000" w:themeColor="text1"/>
          <w:kern w:val="22"/>
          <w:sz w:val="24"/>
          <w:szCs w:val="24"/>
          <w:lang w:val="en-GB" w:eastAsia="zh-CN"/>
        </w:rPr>
        <w:t>且</w:t>
      </w:r>
      <w:r w:rsidRPr="003D18A0">
        <w:rPr>
          <w:bCs/>
          <w:color w:val="000000" w:themeColor="text1"/>
          <w:kern w:val="22"/>
          <w:sz w:val="24"/>
          <w:szCs w:val="24"/>
          <w:lang w:val="en-GB" w:eastAsia="zh-CN"/>
        </w:rPr>
        <w:t>生物多样性和生态系统服务政府间科学与政策平台的《外来入侵物种及其控制专题评估</w:t>
      </w:r>
      <w:r w:rsidRPr="003D18A0">
        <w:rPr>
          <w:rFonts w:hint="eastAsia"/>
          <w:bCs/>
          <w:color w:val="000000" w:themeColor="text1"/>
          <w:kern w:val="22"/>
          <w:sz w:val="24"/>
          <w:szCs w:val="24"/>
          <w:lang w:val="en-GB" w:eastAsia="zh-CN"/>
        </w:rPr>
        <w:t>报告</w:t>
      </w:r>
      <w:r w:rsidRPr="003D18A0">
        <w:rPr>
          <w:bCs/>
          <w:color w:val="000000" w:themeColor="text1"/>
          <w:kern w:val="22"/>
          <w:sz w:val="24"/>
          <w:szCs w:val="24"/>
          <w:lang w:val="en-GB" w:eastAsia="zh-CN"/>
        </w:rPr>
        <w:t>：决策者摘要》也对此做了作了记录。</w:t>
      </w:r>
      <w:r w:rsidRPr="003D18A0">
        <w:rPr>
          <w:bCs/>
          <w:sz w:val="24"/>
          <w:vertAlign w:val="superscript"/>
          <w:lang w:val="en-GB" w:eastAsia="zh-CN"/>
        </w:rPr>
        <w:footnoteReference w:id="36"/>
      </w:r>
    </w:p>
    <w:p w14:paraId="39DDFD7E"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气候变化会增加许多外来入侵物种和潜在外来入侵物种的引入、立足和传播速度和风险。人类对气候变化的适应可能会改变土地用途，增加对生态系统的干扰，</w:t>
      </w:r>
      <w:r w:rsidRPr="003D18A0">
        <w:rPr>
          <w:bCs/>
          <w:sz w:val="24"/>
          <w:lang w:val="en-CA" w:eastAsia="zh-CN"/>
        </w:rPr>
        <w:lastRenderedPageBreak/>
        <w:t>从而便利于外来物种的立足。气候变化还会影响入侵昆虫和病原体等宿主物种的分布范围、扩张和转移，从而可能导致虫害和疾病的传播。</w:t>
      </w:r>
      <w:r w:rsidRPr="003D18A0">
        <w:rPr>
          <w:bCs/>
          <w:sz w:val="24"/>
          <w:lang w:val="en-CA" w:eastAsia="zh-CN"/>
        </w:rPr>
        <w:t xml:space="preserve"> </w:t>
      </w:r>
    </w:p>
    <w:p w14:paraId="14529495"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气候变化与干旱、飓风和洪水以及缓发事件等更频繁的极端天气事件相关联。极端事件可能导致外来入侵物种和潜在外来入侵物种迁移到新的地区，并扰乱生境，使外来入侵物种得以立足和扩散。它们还可能导致突然的人口流动，而流动人口可能会无意中携带外来入侵物种。</w:t>
      </w:r>
    </w:p>
    <w:p w14:paraId="3F1AC862"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并非所有外来物种都能成功侵入，也并非所有外来入侵物种都能从气候变化中受益，因为在不断变化的气候条件下，一些物种的数量可能会减少。然而，尽管某些外来入侵物种的重要性将下降，其他目前影响较小的物种可能会成为显赫的外来入侵物种。</w:t>
      </w:r>
    </w:p>
    <w:p w14:paraId="0186308C"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在气候变化和其他导致生物多样性丧失的驱动因素的影响下，特别是对岛屿生态系统和岛屿国家而言，预防和管理外来入侵物种和潜在外来入侵物种变得更加棘手。面对气候变化，需要有足够的信息、优先考虑采取的行动和其他工具，以支持对外来入侵物种的管理。</w:t>
      </w:r>
      <w:r w:rsidRPr="003D18A0">
        <w:rPr>
          <w:bCs/>
          <w:sz w:val="24"/>
          <w:vertAlign w:val="superscript"/>
          <w:lang w:val="en-GB" w:eastAsia="zh-CN"/>
        </w:rPr>
        <w:footnoteReference w:id="37"/>
      </w:r>
    </w:p>
    <w:p w14:paraId="14010F47"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土地和海洋利用变化与运输、引进、种群建立和传播等生物入侵的各个阶段相互作用。对陆地、水生和海洋生物群落来说都是如此。干扰和土地改造为新物种的殖民和传播提供了新的机会，而土地和海洋利用的变化往往会导致采用引进的物种（例如新的饲料物种和人造林树木）。</w:t>
      </w:r>
      <w:r w:rsidRPr="003D18A0">
        <w:rPr>
          <w:bCs/>
          <w:sz w:val="24"/>
          <w:vertAlign w:val="superscript"/>
          <w:lang w:val="en-CA" w:eastAsia="zh-CN"/>
        </w:rPr>
        <w:footnoteReference w:id="38"/>
      </w:r>
    </w:p>
    <w:p w14:paraId="07B3D4EA" w14:textId="77777777" w:rsidR="003D18A0" w:rsidRPr="003D18A0" w:rsidRDefault="003D18A0" w:rsidP="003D18A0">
      <w:pPr>
        <w:keepNext/>
        <w:keepLines/>
        <w:tabs>
          <w:tab w:val="clear" w:pos="567"/>
          <w:tab w:val="clear" w:pos="1134"/>
          <w:tab w:val="clear" w:pos="1701"/>
          <w:tab w:val="clear" w:pos="2268"/>
        </w:tabs>
        <w:spacing w:before="240" w:after="120"/>
        <w:jc w:val="left"/>
        <w:outlineLvl w:val="0"/>
        <w:rPr>
          <w:b/>
          <w:caps/>
          <w:sz w:val="24"/>
          <w:szCs w:val="24"/>
          <w:lang w:val="en-CA"/>
        </w:rPr>
      </w:pPr>
      <w:r w:rsidRPr="003D18A0">
        <w:rPr>
          <w:rFonts w:hint="eastAsia"/>
          <w:b/>
          <w:caps/>
          <w:sz w:val="24"/>
          <w:szCs w:val="24"/>
          <w:lang w:val="en-CA" w:eastAsia="zh-CN"/>
        </w:rPr>
        <w:t>二</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预测</w:t>
      </w:r>
    </w:p>
    <w:p w14:paraId="18FBC3E1"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管理外来入侵物种对生物多样性和生态系统服务的影响，需要了解这些变化如何可能导致实际和潜在的环境、社会经济和文化影响发生变化，尤其是在气候变化和其他导致生物多样性丧失的驱动因素的背景下，以便相应调整管理方面的优先事项。从这个意义上讲，在不同气候变化情景下的建模和前瞻性练习可能是有所帮助的。</w:t>
      </w:r>
    </w:p>
    <w:p w14:paraId="0D9646AD"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鉴于上述情况，建议缔约方和利益攸关方酌情采取以下技术行动（考虑到</w:t>
      </w:r>
      <w:r w:rsidRPr="003D18A0">
        <w:rPr>
          <w:bCs/>
          <w:sz w:val="24"/>
          <w:lang w:val="en-CA" w:eastAsia="zh-CN"/>
        </w:rPr>
        <w:t>2018</w:t>
      </w:r>
      <w:r w:rsidRPr="003D18A0">
        <w:rPr>
          <w:bCs/>
          <w:sz w:val="24"/>
          <w:lang w:val="en-CA" w:eastAsia="zh-CN"/>
        </w:rPr>
        <w:t>年</w:t>
      </w:r>
      <w:r w:rsidRPr="003D18A0">
        <w:rPr>
          <w:bCs/>
          <w:sz w:val="24"/>
          <w:lang w:val="en-CA" w:eastAsia="zh-CN"/>
        </w:rPr>
        <w:t>11</w:t>
      </w:r>
      <w:r w:rsidRPr="003D18A0">
        <w:rPr>
          <w:bCs/>
          <w:sz w:val="24"/>
          <w:lang w:val="en-CA" w:eastAsia="zh-CN"/>
        </w:rPr>
        <w:t>月</w:t>
      </w:r>
      <w:r w:rsidRPr="003D18A0">
        <w:rPr>
          <w:bCs/>
          <w:sz w:val="24"/>
          <w:lang w:val="en-CA" w:eastAsia="zh-CN"/>
        </w:rPr>
        <w:t>29</w:t>
      </w:r>
      <w:r w:rsidRPr="003D18A0">
        <w:rPr>
          <w:bCs/>
          <w:sz w:val="24"/>
          <w:lang w:val="en-CA" w:eastAsia="zh-CN"/>
        </w:rPr>
        <w:t>日生物多样性公约缔约方大会第</w:t>
      </w:r>
      <w:r w:rsidRPr="003D18A0">
        <w:fldChar w:fldCharType="begin"/>
      </w:r>
      <w:r w:rsidRPr="003D18A0">
        <w:rPr>
          <w:lang w:eastAsia="zh-CN"/>
        </w:rPr>
        <w:instrText>HYPERLINK "https://www.cbd.int/doc/decisions/cop-14/cop-14-dec-05-zh.pdf"</w:instrText>
      </w:r>
      <w:r w:rsidRPr="003D18A0">
        <w:fldChar w:fldCharType="separate"/>
      </w:r>
      <w:r w:rsidRPr="003D18A0">
        <w:fldChar w:fldCharType="end"/>
      </w:r>
      <w:r w:rsidRPr="003D18A0">
        <w:rPr>
          <w:bCs/>
          <w:sz w:val="24"/>
          <w:lang w:val="en-CA" w:eastAsia="zh-CN"/>
        </w:rPr>
        <w:t>号决定，尤其是其附件）</w:t>
      </w:r>
      <w:r w:rsidRPr="003D18A0">
        <w:rPr>
          <w:bCs/>
          <w:sz w:val="24"/>
          <w:lang w:val="en-CA" w:eastAsia="zh-CN"/>
        </w:rPr>
        <w:t>:</w:t>
      </w:r>
    </w:p>
    <w:p w14:paraId="592211F5"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3D18A0">
        <w:rPr>
          <w:sz w:val="24"/>
          <w:szCs w:val="24"/>
          <w:lang w:val="en-CA" w:eastAsia="zh-CN"/>
        </w:rPr>
        <w:t>进行水平扫描，以预报或预测气候变化导致的外来入侵物种未来的实际和潜在风险和影响变化；</w:t>
      </w:r>
      <w:r w:rsidRPr="003D18A0">
        <w:rPr>
          <w:sz w:val="24"/>
          <w:szCs w:val="24"/>
          <w:lang w:val="en-CA" w:eastAsia="zh-CN"/>
        </w:rPr>
        <w:t xml:space="preserve"> </w:t>
      </w:r>
    </w:p>
    <w:p w14:paraId="0B17C18E"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CA" w:eastAsia="zh-CN"/>
        </w:rPr>
        <w:t>辨识气候变化导致的外来入侵物种和潜在外来入侵物种引入途径的变化。目前面临最大风险的气候相似区域未来可能会随着病媒和途径的变化，包括来往这些区域的贸易和人员进出的变化而发生变化；</w:t>
      </w:r>
      <w:r w:rsidRPr="003D18A0">
        <w:rPr>
          <w:rFonts w:eastAsia="Times New Roman"/>
          <w:sz w:val="24"/>
          <w:szCs w:val="24"/>
          <w:lang w:val="en-CA" w:eastAsia="zh-CN"/>
        </w:rPr>
        <w:t xml:space="preserve"> </w:t>
      </w:r>
    </w:p>
    <w:p w14:paraId="296922C7"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CA" w:eastAsia="zh-CN"/>
        </w:rPr>
        <w:t>确认气候变化和其他导致生物多样性丧失的驱动因素对引入新的潜在外来入侵物种的影响或对其引入途径及在原始和入侵社区建立种群的影响；</w:t>
      </w:r>
    </w:p>
    <w:p w14:paraId="4167FCFE"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eastAsia="zh-CN"/>
        </w:rPr>
      </w:pPr>
      <w:r w:rsidRPr="003D18A0">
        <w:rPr>
          <w:rFonts w:ascii="宋体" w:hAnsi="宋体" w:cs="宋体" w:hint="eastAsia"/>
          <w:sz w:val="24"/>
          <w:szCs w:val="24"/>
          <w:lang w:val="en-GB" w:eastAsia="zh-CN"/>
        </w:rPr>
        <w:t>应用建模（例如气候、物种分布和时空尺度）来评估不同气候变化情景下外来入侵物种潜在的扩张范围及其对生物多样性和生态系统服务的影响，包括开发供发展中国家广泛使用的模型</w:t>
      </w:r>
      <w:r w:rsidRPr="003D18A0">
        <w:rPr>
          <w:rFonts w:eastAsia="Times New Roman"/>
          <w:sz w:val="24"/>
          <w:szCs w:val="24"/>
          <w:lang w:val="en-GB" w:eastAsia="zh-CN"/>
        </w:rPr>
        <w:t>;</w:t>
      </w:r>
    </w:p>
    <w:p w14:paraId="4D6167CD"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eastAsia="zh-CN"/>
        </w:rPr>
      </w:pPr>
      <w:r w:rsidRPr="003D18A0">
        <w:rPr>
          <w:rFonts w:ascii="宋体" w:hAnsi="宋体" w:cs="宋体" w:hint="eastAsia"/>
          <w:sz w:val="24"/>
          <w:szCs w:val="24"/>
          <w:lang w:val="en-GB" w:eastAsia="zh-CN"/>
        </w:rPr>
        <w:lastRenderedPageBreak/>
        <w:t>改进方法，利用外来入侵物种数据分析，整合气候变化模型、土地利用情景和贸易趋势，以提高预测能力；</w:t>
      </w:r>
    </w:p>
    <w:p w14:paraId="2CD800E9"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eastAsia="zh-CN"/>
        </w:rPr>
      </w:pPr>
      <w:r w:rsidRPr="003D18A0">
        <w:rPr>
          <w:rFonts w:ascii="宋体" w:hAnsi="宋体" w:cs="宋体" w:hint="eastAsia"/>
          <w:sz w:val="24"/>
          <w:szCs w:val="24"/>
          <w:lang w:val="en-GB" w:eastAsia="zh-CN"/>
        </w:rPr>
        <w:t>确定情景，以了解外来入侵物种在哪些方面可能通过改变生态系统间接加剧气候变化对生物多样性和生态系统服务的影响</w:t>
      </w:r>
      <w:r w:rsidRPr="003D18A0">
        <w:rPr>
          <w:rFonts w:eastAsia="Times New Roman"/>
          <w:sz w:val="24"/>
          <w:szCs w:val="24"/>
          <w:lang w:val="en-GB" w:eastAsia="zh-CN"/>
        </w:rPr>
        <w:t>;</w:t>
      </w:r>
    </w:p>
    <w:p w14:paraId="75A7B186"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eastAsia="zh-CN"/>
        </w:rPr>
      </w:pPr>
      <w:r w:rsidRPr="003D18A0">
        <w:rPr>
          <w:rFonts w:ascii="宋体" w:hAnsi="宋体" w:cs="宋体" w:hint="eastAsia"/>
          <w:sz w:val="24"/>
          <w:szCs w:val="24"/>
          <w:lang w:val="en-GB" w:eastAsia="zh-CN"/>
        </w:rPr>
        <w:t>优化对外来入侵物种的风险分析，包括识别潜在的外来入侵物种（如疾病媒介），这些物种在当前条件下不会产生重大影响，但有可能在气候变化导致人口快速增长时建立种群，或成为入侵物种，并产生更大影响（所谓的</w:t>
      </w:r>
      <w:r w:rsidRPr="003D18A0">
        <w:rPr>
          <w:rFonts w:eastAsia="Times New Roman"/>
          <w:sz w:val="24"/>
          <w:szCs w:val="24"/>
          <w:lang w:val="en-GB" w:eastAsia="zh-CN"/>
        </w:rPr>
        <w:t>“</w:t>
      </w:r>
      <w:r w:rsidRPr="003D18A0">
        <w:rPr>
          <w:rFonts w:ascii="宋体" w:hAnsi="宋体" w:cs="宋体" w:hint="eastAsia"/>
          <w:sz w:val="24"/>
          <w:szCs w:val="24"/>
          <w:lang w:val="en-GB" w:eastAsia="zh-CN"/>
        </w:rPr>
        <w:t>休眠外来物种</w:t>
      </w:r>
      <w:r w:rsidRPr="003D18A0">
        <w:rPr>
          <w:rFonts w:eastAsia="Times New Roman"/>
          <w:sz w:val="24"/>
          <w:szCs w:val="24"/>
          <w:lang w:val="en-GB" w:eastAsia="zh-CN"/>
        </w:rPr>
        <w:t>”</w:t>
      </w:r>
      <w:r w:rsidRPr="003D18A0">
        <w:rPr>
          <w:rFonts w:ascii="宋体" w:hAnsi="宋体" w:cs="宋体" w:hint="eastAsia"/>
          <w:sz w:val="24"/>
          <w:szCs w:val="24"/>
          <w:lang w:val="en-GB" w:eastAsia="zh-CN"/>
        </w:rPr>
        <w:t>）。可以通过利用社会参与和数字技术（例如在动物流行病监测中）和通过利用哨兵站等方法来监测此类物种的丰度、传播和影响的变化，或通过开展基于特征和影响的风险评估来做到这一点；</w:t>
      </w:r>
      <w:r w:rsidRPr="003D18A0">
        <w:rPr>
          <w:rFonts w:eastAsia="Times New Roman"/>
          <w:sz w:val="24"/>
          <w:szCs w:val="24"/>
          <w:lang w:val="en-GB" w:eastAsia="zh-CN"/>
        </w:rPr>
        <w:t xml:space="preserve"> </w:t>
      </w:r>
    </w:p>
    <w:p w14:paraId="3D525B70"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GB" w:eastAsia="zh-CN"/>
        </w:rPr>
        <w:t>加深</w:t>
      </w:r>
      <w:r w:rsidRPr="003D18A0">
        <w:rPr>
          <w:rFonts w:ascii="宋体" w:hAnsi="宋体" w:cs="宋体" w:hint="eastAsia"/>
          <w:sz w:val="24"/>
          <w:szCs w:val="24"/>
          <w:lang w:val="en-CA" w:eastAsia="zh-CN"/>
        </w:rPr>
        <w:t>对外来入侵物种和潜在外来入侵物种的认识，这些物种可能因二氧化碳含量上升、富营养化、营养物质和肥料的存在、杀虫剂、气温上升、极端天气事件发生率上升、火灾情况频率和强度增加、高盐水入侵、海流变化和降水模式变化而从中受益。改进的科学信息将有助于确定管理决策的优先次序，以防止它们的传播和影响，包括采取根除、遏制和控制措施</w:t>
      </w:r>
      <w:r w:rsidRPr="003D18A0">
        <w:rPr>
          <w:rFonts w:eastAsia="Times New Roman"/>
          <w:kern w:val="22"/>
          <w:szCs w:val="24"/>
          <w:vertAlign w:val="superscript"/>
          <w:lang w:val="en-GB"/>
        </w:rPr>
        <w:footnoteReference w:id="39"/>
      </w:r>
      <w:r w:rsidRPr="003D18A0">
        <w:rPr>
          <w:rFonts w:ascii="宋体" w:hAnsi="宋体" w:cs="宋体" w:hint="eastAsia"/>
          <w:sz w:val="24"/>
          <w:szCs w:val="24"/>
          <w:lang w:val="en-CA" w:eastAsia="zh-CN"/>
        </w:rPr>
        <w:t>；</w:t>
      </w:r>
    </w:p>
    <w:p w14:paraId="1B8AB7F9"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CA" w:eastAsia="zh-CN"/>
        </w:rPr>
        <w:t>加深认识外来入侵物种适应新环境条件的风险，包括它们快速进化的潜力及其在疾病蔓延和杂交中的作用，以及了解土地利用变化对生态位可用性的影响</w:t>
      </w:r>
      <w:r w:rsidRPr="003D18A0">
        <w:rPr>
          <w:rFonts w:eastAsia="Times New Roman"/>
          <w:sz w:val="24"/>
          <w:szCs w:val="24"/>
          <w:lang w:val="en-CA" w:eastAsia="zh-CN"/>
        </w:rPr>
        <w:t>;</w:t>
      </w:r>
    </w:p>
    <w:p w14:paraId="33C08E98"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CA" w:eastAsia="zh-CN"/>
        </w:rPr>
        <w:t>在有关人民自由、事先和知情同意</w:t>
      </w:r>
      <w:r w:rsidRPr="003D18A0">
        <w:rPr>
          <w:rFonts w:eastAsia="Times New Roman"/>
          <w:kern w:val="22"/>
          <w:szCs w:val="24"/>
          <w:vertAlign w:val="superscript"/>
          <w:lang w:val="en-GB"/>
        </w:rPr>
        <w:footnoteReference w:id="40"/>
      </w:r>
      <w:r w:rsidRPr="003D18A0">
        <w:rPr>
          <w:rFonts w:ascii="宋体" w:hAnsi="宋体" w:cs="宋体" w:hint="eastAsia"/>
          <w:sz w:val="24"/>
          <w:szCs w:val="24"/>
          <w:lang w:val="en-CA" w:eastAsia="zh-CN"/>
        </w:rPr>
        <w:t>的前提下，利用土著生物文化指标和传统知识形成的早期识别和预警系统，预测气候变化和其他导致生物多样性丧失的驱动因素引来的外来入侵物种和潜在外来入侵物种。</w:t>
      </w:r>
    </w:p>
    <w:p w14:paraId="7D2B2D77" w14:textId="77777777" w:rsidR="003D18A0" w:rsidRPr="003D18A0" w:rsidRDefault="003D18A0" w:rsidP="003D18A0">
      <w:pPr>
        <w:keepNext/>
        <w:keepLines/>
        <w:tabs>
          <w:tab w:val="clear" w:pos="567"/>
          <w:tab w:val="clear" w:pos="1134"/>
          <w:tab w:val="clear" w:pos="1701"/>
          <w:tab w:val="clear" w:pos="2268"/>
        </w:tabs>
        <w:snapToGrid w:val="0"/>
        <w:spacing w:before="240" w:after="120"/>
        <w:jc w:val="left"/>
        <w:outlineLvl w:val="0"/>
        <w:rPr>
          <w:b/>
          <w:caps/>
          <w:sz w:val="24"/>
          <w:szCs w:val="24"/>
          <w:lang w:val="en-CA"/>
        </w:rPr>
      </w:pPr>
      <w:r w:rsidRPr="003D18A0">
        <w:rPr>
          <w:rFonts w:hint="eastAsia"/>
          <w:b/>
          <w:caps/>
          <w:sz w:val="24"/>
          <w:szCs w:val="24"/>
          <w:lang w:val="en-CA" w:eastAsia="zh-CN"/>
        </w:rPr>
        <w:t>三</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规划和预防</w:t>
      </w:r>
    </w:p>
    <w:p w14:paraId="7C7C1CAC"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建议各缔约方、组织和利益攸关方酌情采取以下行动：</w:t>
      </w:r>
    </w:p>
    <w:p w14:paraId="4064E8CC"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在气候变化背景下，根据外来入侵物种潜在的直接和间接影响，如其在疾病传播中的作用，确定应对的优先次序</w:t>
      </w:r>
      <w:r w:rsidRPr="003D18A0">
        <w:rPr>
          <w:sz w:val="24"/>
          <w:szCs w:val="16"/>
          <w:lang w:val="en-CA" w:eastAsia="zh-CN"/>
        </w:rPr>
        <w:t>;</w:t>
      </w:r>
    </w:p>
    <w:p w14:paraId="7A43ACC1"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确定保护区、关键生物多样性区域和其他有效的区域保护措施的优先次序，同时顾及自然对人类的贡献和生态系统货物和服务以及这些重点地带生态系统功能</w:t>
      </w:r>
      <w:r w:rsidRPr="003D18A0">
        <w:rPr>
          <w:sz w:val="24"/>
          <w:szCs w:val="16"/>
          <w:lang w:val="en-CA" w:eastAsia="zh-CN"/>
        </w:rPr>
        <w:t>;</w:t>
      </w:r>
    </w:p>
    <w:p w14:paraId="11474F5E"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监测所有潜在和已有外来物种的传播和影响，特别是在生物多样性和生态系统服务可能因气候变化和其他导致生物多样性丧失的驱动因素而迅速恶化的地带或区域。建议采用基于证据和最佳实践的方法，例如使用遥感或传感器网络，以及地方民间社会团体参与监测的数字工具</w:t>
      </w:r>
      <w:r w:rsidRPr="003D18A0">
        <w:rPr>
          <w:sz w:val="24"/>
          <w:szCs w:val="16"/>
          <w:lang w:val="en-CA" w:eastAsia="zh-CN"/>
        </w:rPr>
        <w:t xml:space="preserve">; </w:t>
      </w:r>
    </w:p>
    <w:p w14:paraId="77BC884F"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最大限度地减少生物入侵的潜在影响，并为极有可能发生极端天气事件的地区制定空间应对规划（例如，将极端天气事件易发地区的动物园、植物园和外来水产养殖设施迁至其他地区）；</w:t>
      </w:r>
    </w:p>
    <w:p w14:paraId="16C643A0"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考虑到灾后废弃物的移动是引入外来物种和外来入侵物种的潜在途径</w:t>
      </w:r>
      <w:r w:rsidRPr="003D18A0">
        <w:rPr>
          <w:sz w:val="24"/>
          <w:szCs w:val="16"/>
          <w:lang w:val="en-CA" w:eastAsia="zh-CN"/>
        </w:rPr>
        <w:t>;</w:t>
      </w:r>
    </w:p>
    <w:p w14:paraId="4F1D0D97"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lastRenderedPageBreak/>
        <w:t>调整当前的路径管理，以减少气候变化和其他导致生物多样性丧失的驱动因素带来的风险，包括预测贸易和人员流动的相关变化</w:t>
      </w:r>
      <w:r w:rsidRPr="003D18A0">
        <w:rPr>
          <w:sz w:val="24"/>
          <w:szCs w:val="16"/>
          <w:lang w:val="en-CA" w:eastAsia="zh-CN"/>
        </w:rPr>
        <w:t>;</w:t>
      </w:r>
    </w:p>
    <w:p w14:paraId="289F4A1A"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让农业、公共卫生机构和工业等各个部门都参与其风险来自跨部门气候变化和其他导致生物多样性丧失的驱动因素的有关外来入侵物种的规划活动，以符合框架中呼吁的全社会和全政府办法</w:t>
      </w:r>
      <w:r w:rsidRPr="003D18A0">
        <w:rPr>
          <w:sz w:val="24"/>
          <w:szCs w:val="16"/>
          <w:lang w:val="en-CA" w:eastAsia="zh-CN"/>
        </w:rPr>
        <w:t>;</w:t>
      </w:r>
    </w:p>
    <w:p w14:paraId="01EA7EAC"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提高公众认识，使其了解气候变化和其他全球变化将进一步加剧外来入侵物种的威胁，并让公众和所有相关部门参与应对规划</w:t>
      </w:r>
      <w:r w:rsidRPr="003D18A0">
        <w:rPr>
          <w:sz w:val="24"/>
          <w:szCs w:val="16"/>
          <w:lang w:val="en-CA" w:eastAsia="zh-CN"/>
        </w:rPr>
        <w:t>;</w:t>
      </w:r>
    </w:p>
    <w:p w14:paraId="1C0A3AF1"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支持土著人民和地方社区预防、监测、控制和减轻气候变化和其他导致生物多样性丧失的驱动因素造成的外来入侵物种影响的最佳做法及其传统知识</w:t>
      </w:r>
      <w:r w:rsidRPr="003D18A0" w:rsidDel="007E42FC">
        <w:rPr>
          <w:sz w:val="24"/>
          <w:szCs w:val="16"/>
          <w:vertAlign w:val="superscript"/>
          <w:lang w:val="en-CA"/>
        </w:rPr>
        <w:footnoteReference w:id="41"/>
      </w:r>
      <w:r w:rsidRPr="003D18A0">
        <w:rPr>
          <w:sz w:val="24"/>
          <w:szCs w:val="16"/>
          <w:lang w:val="en-CA" w:eastAsia="zh-CN"/>
        </w:rPr>
        <w:t>、创新和做法</w:t>
      </w:r>
      <w:r w:rsidRPr="003D18A0">
        <w:rPr>
          <w:color w:val="000080"/>
          <w:sz w:val="24"/>
          <w:szCs w:val="24"/>
          <w:lang w:val="en-CA" w:eastAsia="zh-CN"/>
        </w:rPr>
        <w:t>；</w:t>
      </w:r>
    </w:p>
    <w:p w14:paraId="4F83FAB5"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请区域和地方专家包括动物福利和人畜共患疾病专家参与审议预防、规划和缓解措施时</w:t>
      </w:r>
      <w:r w:rsidRPr="003D18A0">
        <w:rPr>
          <w:sz w:val="24"/>
          <w:szCs w:val="16"/>
          <w:lang w:val="en-CA" w:eastAsia="zh-CN"/>
        </w:rPr>
        <w:t>;</w:t>
      </w:r>
    </w:p>
    <w:p w14:paraId="1535C35B"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kern w:val="22"/>
          <w:sz w:val="24"/>
          <w:szCs w:val="24"/>
          <w:lang w:val="en-CA" w:eastAsia="zh-CN"/>
        </w:rPr>
      </w:pPr>
      <w:r w:rsidRPr="003D18A0">
        <w:rPr>
          <w:sz w:val="24"/>
          <w:szCs w:val="16"/>
          <w:lang w:val="en-CA" w:eastAsia="zh-CN"/>
        </w:rPr>
        <w:t>促进早期发现和快速反应。</w:t>
      </w:r>
    </w:p>
    <w:p w14:paraId="4A94261E" w14:textId="77777777" w:rsidR="003D18A0" w:rsidRPr="003D18A0" w:rsidRDefault="003D18A0" w:rsidP="003D18A0">
      <w:pPr>
        <w:keepNext/>
        <w:keepLines/>
        <w:tabs>
          <w:tab w:val="clear" w:pos="567"/>
          <w:tab w:val="clear" w:pos="1134"/>
          <w:tab w:val="clear" w:pos="1701"/>
          <w:tab w:val="clear" w:pos="2268"/>
        </w:tabs>
        <w:adjustRightInd w:val="0"/>
        <w:snapToGrid w:val="0"/>
        <w:spacing w:before="240" w:after="120"/>
        <w:jc w:val="left"/>
        <w:outlineLvl w:val="0"/>
        <w:rPr>
          <w:b/>
          <w:caps/>
          <w:sz w:val="24"/>
          <w:szCs w:val="24"/>
          <w:lang w:val="en-CA"/>
        </w:rPr>
      </w:pPr>
      <w:r w:rsidRPr="003D18A0">
        <w:rPr>
          <w:rFonts w:hint="eastAsia"/>
          <w:b/>
          <w:caps/>
          <w:sz w:val="24"/>
          <w:szCs w:val="24"/>
          <w:lang w:val="en-CA" w:eastAsia="zh-CN"/>
        </w:rPr>
        <w:t>四</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管理</w:t>
      </w:r>
    </w:p>
    <w:p w14:paraId="30871F3F"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建议各缔约方、组织、土著人民</w:t>
      </w:r>
      <w:r w:rsidRPr="003D18A0">
        <w:rPr>
          <w:bCs/>
          <w:sz w:val="24"/>
          <w:szCs w:val="16"/>
          <w:lang w:val="en-CA" w:eastAsia="zh-CN"/>
        </w:rPr>
        <w:t>和地方社区</w:t>
      </w:r>
      <w:r w:rsidRPr="003D18A0">
        <w:rPr>
          <w:bCs/>
          <w:sz w:val="24"/>
          <w:lang w:val="en-CA" w:eastAsia="zh-CN"/>
        </w:rPr>
        <w:t>以及相关利益攸关方酌情采取以下管理行动：</w:t>
      </w:r>
    </w:p>
    <w:p w14:paraId="4AC67F44"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kern w:val="22"/>
          <w:sz w:val="24"/>
          <w:szCs w:val="24"/>
          <w:lang w:val="en-CA" w:eastAsia="zh-CN"/>
        </w:rPr>
        <w:t>应用适应性管理办法，确立气候变化和其他导致生物多样性丧失的驱动因素背景下管理行动的优先次序，并与其他缔约方和利益攸关方分享信息，以扩大成果；</w:t>
      </w:r>
    </w:p>
    <w:p w14:paraId="3C0D2334"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采取步骤，增强受到气候变化、极端天气事件、自然灾害和相关外来入侵物种侵入威胁的生态系统和生境的长期功能复原力，特别是在岛屿和沿海系统（根据第</w:t>
      </w:r>
      <w:r w:rsidRPr="003D18A0">
        <w:rPr>
          <w:sz w:val="24"/>
          <w:szCs w:val="16"/>
          <w:lang w:val="en-CA" w:eastAsia="zh-CN"/>
        </w:rPr>
        <w:t>14/5</w:t>
      </w:r>
      <w:r w:rsidRPr="003D18A0">
        <w:rPr>
          <w:sz w:val="24"/>
          <w:szCs w:val="16"/>
          <w:lang w:val="en-CA" w:eastAsia="zh-CN"/>
        </w:rPr>
        <w:t>号决定，第</w:t>
      </w:r>
      <w:r w:rsidRPr="003D18A0">
        <w:rPr>
          <w:sz w:val="24"/>
          <w:szCs w:val="16"/>
          <w:lang w:val="en-CA" w:eastAsia="zh-CN"/>
        </w:rPr>
        <w:t>3 (h)</w:t>
      </w:r>
      <w:r w:rsidRPr="003D18A0">
        <w:rPr>
          <w:sz w:val="24"/>
          <w:szCs w:val="16"/>
          <w:lang w:val="en-CA" w:eastAsia="zh-CN"/>
        </w:rPr>
        <w:t>段和第</w:t>
      </w:r>
      <w:r w:rsidRPr="003D18A0">
        <w:rPr>
          <w:sz w:val="24"/>
          <w:szCs w:val="16"/>
          <w:lang w:val="en-CA" w:eastAsia="zh-CN"/>
        </w:rPr>
        <w:t>4(b)</w:t>
      </w:r>
      <w:r w:rsidRPr="003D18A0">
        <w:rPr>
          <w:sz w:val="24"/>
          <w:szCs w:val="16"/>
          <w:lang w:val="en-CA" w:eastAsia="zh-CN"/>
        </w:rPr>
        <w:t>段及附件，以及</w:t>
      </w:r>
      <w:r w:rsidRPr="003D18A0">
        <w:rPr>
          <w:sz w:val="24"/>
          <w:szCs w:val="16"/>
          <w:lang w:val="en-CA" w:eastAsia="zh-CN"/>
        </w:rPr>
        <w:t>2010</w:t>
      </w:r>
      <w:r w:rsidRPr="003D18A0">
        <w:rPr>
          <w:sz w:val="24"/>
          <w:szCs w:val="16"/>
          <w:lang w:val="en-CA" w:eastAsia="zh-CN"/>
        </w:rPr>
        <w:t>年</w:t>
      </w:r>
      <w:r w:rsidRPr="003D18A0">
        <w:rPr>
          <w:sz w:val="24"/>
          <w:szCs w:val="16"/>
          <w:lang w:val="en-CA" w:eastAsia="zh-CN"/>
        </w:rPr>
        <w:t>10</w:t>
      </w:r>
      <w:r w:rsidRPr="003D18A0">
        <w:rPr>
          <w:sz w:val="24"/>
          <w:szCs w:val="16"/>
          <w:lang w:val="en-CA" w:eastAsia="zh-CN"/>
        </w:rPr>
        <w:t>月</w:t>
      </w:r>
      <w:r w:rsidRPr="003D18A0">
        <w:rPr>
          <w:sz w:val="24"/>
          <w:szCs w:val="16"/>
          <w:lang w:val="en-CA" w:eastAsia="zh-CN"/>
        </w:rPr>
        <w:t>29</w:t>
      </w:r>
      <w:r w:rsidRPr="003D18A0">
        <w:rPr>
          <w:sz w:val="24"/>
          <w:szCs w:val="16"/>
          <w:lang w:val="en-CA" w:eastAsia="zh-CN"/>
        </w:rPr>
        <w:t>日第</w:t>
      </w:r>
      <w:r w:rsidRPr="003D18A0">
        <w:fldChar w:fldCharType="begin"/>
      </w:r>
      <w:r w:rsidRPr="003D18A0">
        <w:rPr>
          <w:lang w:eastAsia="zh-CN"/>
        </w:rPr>
        <w:instrText>HYPERLINK "https://www.cbd.int/doc/decisions/cop-10/cop-10-dec-33-zh.pdf"</w:instrText>
      </w:r>
      <w:r w:rsidRPr="003D18A0">
        <w:fldChar w:fldCharType="separate"/>
      </w:r>
      <w:r w:rsidRPr="003D18A0">
        <w:rPr>
          <w:color w:val="0000FF"/>
          <w:sz w:val="24"/>
          <w:szCs w:val="16"/>
          <w:u w:val="single"/>
          <w:lang w:val="en-CA" w:eastAsia="zh-CN"/>
        </w:rPr>
        <w:t>X/33</w:t>
      </w:r>
      <w:r w:rsidRPr="003D18A0">
        <w:rPr>
          <w:color w:val="0000FF"/>
          <w:sz w:val="24"/>
          <w:szCs w:val="16"/>
          <w:u w:val="single"/>
          <w:lang w:val="en-CA" w:eastAsia="zh-CN"/>
        </w:rPr>
        <w:fldChar w:fldCharType="end"/>
      </w:r>
      <w:r w:rsidRPr="003D18A0">
        <w:rPr>
          <w:sz w:val="24"/>
          <w:szCs w:val="16"/>
          <w:lang w:val="en-CA" w:eastAsia="zh-CN"/>
        </w:rPr>
        <w:t>号决定，第</w:t>
      </w:r>
      <w:r w:rsidRPr="003D18A0">
        <w:rPr>
          <w:sz w:val="24"/>
          <w:szCs w:val="16"/>
          <w:lang w:val="en-CA" w:eastAsia="zh-CN"/>
        </w:rPr>
        <w:t>8(n)</w:t>
      </w:r>
      <w:r w:rsidRPr="003D18A0">
        <w:rPr>
          <w:sz w:val="24"/>
          <w:szCs w:val="16"/>
          <w:lang w:val="en-CA" w:eastAsia="zh-CN"/>
        </w:rPr>
        <w:t>段）；</w:t>
      </w:r>
    </w:p>
    <w:p w14:paraId="5F0C5103"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在可能的情况下采取重点管理行动，包括缓解、监测、遏制、根除或控制可能作为非本地来源入侵物种和外来潜在入侵物种扩散到已确定的脆弱地区或土著社区；</w:t>
      </w:r>
    </w:p>
    <w:p w14:paraId="768CD919"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将现有数据和信息整理到国际在线数据库（如全球入侵物种数据库）</w:t>
      </w:r>
      <w:r w:rsidRPr="003D18A0" w:rsidDel="007E42FC">
        <w:rPr>
          <w:sz w:val="24"/>
          <w:szCs w:val="16"/>
          <w:lang w:val="en-CA" w:eastAsia="zh-CN"/>
        </w:rPr>
        <w:t xml:space="preserve"> </w:t>
      </w:r>
      <w:r w:rsidRPr="003D18A0" w:rsidDel="007E42FC">
        <w:rPr>
          <w:sz w:val="24"/>
          <w:szCs w:val="16"/>
          <w:vertAlign w:val="superscript"/>
          <w:lang w:val="en-CA"/>
        </w:rPr>
        <w:footnoteReference w:id="42"/>
      </w:r>
      <w:r w:rsidRPr="003D18A0">
        <w:rPr>
          <w:sz w:val="24"/>
          <w:szCs w:val="16"/>
          <w:lang w:val="en-CA" w:eastAsia="zh-CN"/>
        </w:rPr>
        <w:t>，从而能够就采取行动减轻气候变化和其他导致生物多样性丧失的驱动因素带来的外来入侵物种的影响的有效性进行互操作性数据和信息收集和传播；</w:t>
      </w:r>
    </w:p>
    <w:p w14:paraId="14717B56"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在设想迁地保护措施（如迁移或协助迁徙）时，考虑采取预防性方法，避免意外的生态后果，如外来入侵物种的引入和传播（根据第</w:t>
      </w:r>
      <w:r w:rsidRPr="003D18A0">
        <w:rPr>
          <w:sz w:val="24"/>
          <w:szCs w:val="16"/>
          <w:lang w:val="en-CA" w:eastAsia="zh-CN"/>
        </w:rPr>
        <w:t>X/33</w:t>
      </w:r>
      <w:r w:rsidRPr="003D18A0">
        <w:rPr>
          <w:sz w:val="24"/>
          <w:szCs w:val="16"/>
          <w:lang w:val="en-CA" w:eastAsia="zh-CN"/>
        </w:rPr>
        <w:t>号决定，第</w:t>
      </w:r>
      <w:r w:rsidRPr="003D18A0">
        <w:rPr>
          <w:sz w:val="24"/>
          <w:szCs w:val="16"/>
          <w:lang w:val="en-CA" w:eastAsia="zh-CN"/>
        </w:rPr>
        <w:t xml:space="preserve">8 </w:t>
      </w:r>
      <w:r w:rsidRPr="003D18A0">
        <w:rPr>
          <w:sz w:val="24"/>
          <w:szCs w:val="16"/>
          <w:lang w:val="en-CA" w:eastAsia="zh-CN"/>
        </w:rPr>
        <w:t>（</w:t>
      </w:r>
      <w:r w:rsidRPr="003D18A0">
        <w:rPr>
          <w:sz w:val="24"/>
          <w:szCs w:val="16"/>
          <w:lang w:val="en-CA" w:eastAsia="zh-CN"/>
        </w:rPr>
        <w:t>e</w:t>
      </w:r>
      <w:r w:rsidRPr="003D18A0">
        <w:rPr>
          <w:sz w:val="24"/>
          <w:szCs w:val="16"/>
          <w:lang w:val="en-CA" w:eastAsia="zh-CN"/>
        </w:rPr>
        <w:t>）条）</w:t>
      </w:r>
      <w:r w:rsidRPr="003D18A0">
        <w:rPr>
          <w:sz w:val="24"/>
          <w:szCs w:val="16"/>
          <w:lang w:val="en-CA" w:eastAsia="zh-CN"/>
        </w:rPr>
        <w:t>;</w:t>
      </w:r>
    </w:p>
    <w:p w14:paraId="60955168"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lastRenderedPageBreak/>
        <w:t>与土著人民和地方社区合作，经其自由、事先、知情同意后记录和支持最佳做法和传统知识，以监测、控制和减轻气候变化及其他导致生物多样性丧失的驱动因素造成的外来入侵物种、疾病和物种分布变化的影响</w:t>
      </w:r>
      <w:r w:rsidRPr="003D18A0">
        <w:rPr>
          <w:sz w:val="24"/>
          <w:szCs w:val="16"/>
          <w:lang w:val="en-CA" w:eastAsia="zh-CN"/>
        </w:rPr>
        <w:t>;</w:t>
      </w:r>
    </w:p>
    <w:p w14:paraId="5B60E157"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提供用于收集和分析数据的工具</w:t>
      </w:r>
      <w:r w:rsidRPr="003D18A0">
        <w:rPr>
          <w:sz w:val="24"/>
          <w:szCs w:val="16"/>
          <w:vertAlign w:val="superscript"/>
          <w:lang w:val="en-CA"/>
        </w:rPr>
        <w:footnoteReference w:id="43"/>
      </w:r>
      <w:r w:rsidRPr="003D18A0">
        <w:rPr>
          <w:sz w:val="24"/>
          <w:szCs w:val="16"/>
          <w:lang w:val="en-CA" w:eastAsia="zh-CN"/>
        </w:rPr>
        <w:t>和机制，以便作出有效决策，处理气候变化与外来入侵物种之间的联系</w:t>
      </w:r>
      <w:r w:rsidRPr="003D18A0">
        <w:rPr>
          <w:sz w:val="24"/>
          <w:szCs w:val="16"/>
          <w:lang w:val="en-CA" w:eastAsia="zh-CN"/>
        </w:rPr>
        <w:t>;</w:t>
      </w:r>
    </w:p>
    <w:p w14:paraId="2EB1A94A"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利用引入外来入侵物种的途径分类和对其优先排序的考虑因素</w:t>
      </w:r>
      <w:r w:rsidRPr="003D18A0">
        <w:rPr>
          <w:sz w:val="24"/>
          <w:szCs w:val="16"/>
          <w:vertAlign w:val="superscript"/>
          <w:lang w:val="en-CA"/>
        </w:rPr>
        <w:footnoteReference w:id="44"/>
      </w:r>
      <w:r w:rsidRPr="003D18A0">
        <w:rPr>
          <w:sz w:val="24"/>
          <w:szCs w:val="16"/>
          <w:lang w:val="en-CA" w:eastAsia="zh-CN"/>
        </w:rPr>
        <w:t>，对途径分类有一个共同理解和称谓（根据第</w:t>
      </w:r>
      <w:r w:rsidRPr="003D18A0">
        <w:rPr>
          <w:sz w:val="24"/>
          <w:szCs w:val="16"/>
          <w:lang w:val="en-CA" w:eastAsia="zh-CN"/>
        </w:rPr>
        <w:t>XII/17</w:t>
      </w:r>
      <w:r w:rsidRPr="003D18A0">
        <w:rPr>
          <w:sz w:val="24"/>
          <w:szCs w:val="16"/>
          <w:lang w:val="en-CA" w:eastAsia="zh-CN"/>
        </w:rPr>
        <w:t>号决定，第</w:t>
      </w:r>
      <w:r w:rsidRPr="003D18A0">
        <w:rPr>
          <w:sz w:val="24"/>
          <w:szCs w:val="16"/>
          <w:lang w:val="en-CA" w:eastAsia="zh-CN"/>
        </w:rPr>
        <w:t xml:space="preserve">6 </w:t>
      </w:r>
      <w:r w:rsidRPr="003D18A0">
        <w:rPr>
          <w:sz w:val="24"/>
          <w:szCs w:val="16"/>
          <w:lang w:val="en-CA" w:eastAsia="zh-CN"/>
        </w:rPr>
        <w:t>（</w:t>
      </w:r>
      <w:r w:rsidRPr="003D18A0">
        <w:rPr>
          <w:sz w:val="24"/>
          <w:szCs w:val="16"/>
          <w:lang w:val="en-CA" w:eastAsia="zh-CN"/>
        </w:rPr>
        <w:t>d</w:t>
      </w:r>
      <w:r w:rsidRPr="003D18A0">
        <w:rPr>
          <w:sz w:val="24"/>
          <w:szCs w:val="16"/>
          <w:lang w:val="en-CA" w:eastAsia="zh-CN"/>
        </w:rPr>
        <w:t>）条）；</w:t>
      </w:r>
    </w:p>
    <w:p w14:paraId="70B837D3"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kern w:val="22"/>
          <w:sz w:val="24"/>
          <w:szCs w:val="24"/>
          <w:lang w:val="en-CA" w:eastAsia="zh-CN"/>
        </w:rPr>
      </w:pPr>
      <w:r w:rsidRPr="003D18A0">
        <w:rPr>
          <w:sz w:val="24"/>
          <w:szCs w:val="16"/>
          <w:lang w:val="en-CA" w:eastAsia="zh-CN"/>
        </w:rPr>
        <w:t>确保关于气候变化和其他导致生物多样性丧失的驱动因素的国家政策认识到它们与外来入侵物种的潜在立足和传播之间的联系，特别是通过适应气候变化的活动。</w:t>
      </w:r>
    </w:p>
    <w:p w14:paraId="66427F7A" w14:textId="77777777" w:rsidR="003D18A0" w:rsidRPr="003D18A0" w:rsidRDefault="003D18A0" w:rsidP="003D18A0">
      <w:pPr>
        <w:keepNext/>
        <w:keepLines/>
        <w:tabs>
          <w:tab w:val="clear" w:pos="567"/>
          <w:tab w:val="clear" w:pos="1134"/>
          <w:tab w:val="clear" w:pos="1701"/>
          <w:tab w:val="clear" w:pos="2268"/>
        </w:tabs>
        <w:spacing w:before="240" w:after="120"/>
        <w:jc w:val="left"/>
        <w:outlineLvl w:val="0"/>
        <w:rPr>
          <w:b/>
          <w:caps/>
          <w:sz w:val="24"/>
          <w:szCs w:val="24"/>
          <w:lang w:val="en-CA" w:eastAsia="zh-CN"/>
        </w:rPr>
      </w:pPr>
      <w:r w:rsidRPr="003D18A0">
        <w:rPr>
          <w:rFonts w:hint="eastAsia"/>
          <w:b/>
          <w:caps/>
          <w:sz w:val="24"/>
          <w:szCs w:val="24"/>
          <w:lang w:val="en-CA" w:eastAsia="zh-CN"/>
        </w:rPr>
        <w:t>五</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国家、区域和国际合作</w:t>
      </w:r>
    </w:p>
    <w:p w14:paraId="202165D5"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以下领域可受益于针对</w:t>
      </w:r>
      <w:r w:rsidRPr="003D18A0">
        <w:rPr>
          <w:bCs/>
          <w:color w:val="000000" w:themeColor="text1"/>
          <w:kern w:val="22"/>
          <w:sz w:val="24"/>
          <w:szCs w:val="24"/>
          <w:lang w:val="en-GB" w:eastAsia="zh-CN"/>
        </w:rPr>
        <w:t>外来入侵物种相关挑战所</w:t>
      </w:r>
      <w:r w:rsidRPr="003D18A0">
        <w:rPr>
          <w:bCs/>
          <w:sz w:val="24"/>
          <w:lang w:val="en-CA" w:eastAsia="zh-CN"/>
        </w:rPr>
        <w:t>开展的国家、区域和国际合作</w:t>
      </w:r>
      <w:r w:rsidRPr="003D18A0">
        <w:rPr>
          <w:bCs/>
          <w:color w:val="000000" w:themeColor="text1"/>
          <w:kern w:val="22"/>
          <w:sz w:val="24"/>
          <w:szCs w:val="24"/>
          <w:lang w:val="en-GB" w:eastAsia="zh-CN"/>
        </w:rPr>
        <w:t>：</w:t>
      </w:r>
    </w:p>
    <w:p w14:paraId="3C4C4F2E"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24"/>
          <w:lang w:val="en-CA" w:eastAsia="zh-CN"/>
        </w:rPr>
        <w:t>国家和国际气候减缓和适应战略</w:t>
      </w:r>
      <w:r w:rsidRPr="003D18A0">
        <w:rPr>
          <w:sz w:val="24"/>
          <w:szCs w:val="16"/>
          <w:lang w:val="en-CA" w:eastAsia="zh-CN"/>
        </w:rPr>
        <w:t>、环境影响评估和应对规划活动（根据第</w:t>
      </w:r>
      <w:r w:rsidRPr="003D18A0">
        <w:rPr>
          <w:sz w:val="24"/>
          <w:szCs w:val="16"/>
          <w:lang w:val="en-CA" w:eastAsia="zh-CN"/>
        </w:rPr>
        <w:t>X/33</w:t>
      </w:r>
      <w:r w:rsidRPr="003D18A0">
        <w:rPr>
          <w:sz w:val="24"/>
          <w:szCs w:val="16"/>
          <w:lang w:val="en-CA" w:eastAsia="zh-CN"/>
        </w:rPr>
        <w:t>号决定，</w:t>
      </w:r>
      <w:r w:rsidRPr="003D18A0">
        <w:rPr>
          <w:sz w:val="24"/>
          <w:szCs w:val="16"/>
          <w:lang w:val="en-CA" w:eastAsia="zh-CN"/>
        </w:rPr>
        <w:t>8 (p)</w:t>
      </w:r>
      <w:r w:rsidRPr="003D18A0">
        <w:rPr>
          <w:sz w:val="24"/>
          <w:szCs w:val="16"/>
          <w:lang w:val="en-CA" w:eastAsia="zh-CN"/>
        </w:rPr>
        <w:t>段）；</w:t>
      </w:r>
    </w:p>
    <w:p w14:paraId="56867765"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24"/>
          <w:lang w:val="en-CA" w:eastAsia="zh-CN"/>
        </w:rPr>
        <w:t>在其他相关公约下制定的政策指导（例如《联合国气候变化框架公约》、</w:t>
      </w:r>
      <w:r w:rsidRPr="003D18A0">
        <w:rPr>
          <w:sz w:val="24"/>
          <w:szCs w:val="24"/>
          <w:vertAlign w:val="superscript"/>
          <w:lang w:val="en-GB" w:eastAsia="zh-CN"/>
        </w:rPr>
        <w:footnoteReference w:id="45"/>
      </w:r>
      <w:r w:rsidRPr="003D18A0">
        <w:rPr>
          <w:sz w:val="24"/>
          <w:szCs w:val="24"/>
          <w:lang w:val="en-CA" w:eastAsia="zh-CN"/>
        </w:rPr>
        <w:t>《养护野生动物迁徙物种公约》、</w:t>
      </w:r>
      <w:r w:rsidRPr="003D18A0">
        <w:rPr>
          <w:sz w:val="24"/>
          <w:szCs w:val="24"/>
          <w:vertAlign w:val="superscript"/>
          <w:lang w:val="en-GB" w:eastAsia="zh-CN"/>
        </w:rPr>
        <w:footnoteReference w:id="46"/>
      </w:r>
      <w:r w:rsidRPr="003D18A0">
        <w:rPr>
          <w:color w:val="000000"/>
          <w:sz w:val="24"/>
          <w:szCs w:val="24"/>
          <w:lang w:val="en-CA" w:eastAsia="zh-CN"/>
        </w:rPr>
        <w:t>《粮食和农业植物遗传资源国际条约》、</w:t>
      </w:r>
      <w:r w:rsidRPr="003D18A0">
        <w:rPr>
          <w:color w:val="000000"/>
          <w:sz w:val="24"/>
          <w:szCs w:val="24"/>
          <w:vertAlign w:val="superscript"/>
          <w:lang w:val="en-GB" w:eastAsia="zh-CN"/>
        </w:rPr>
        <w:footnoteReference w:id="47"/>
      </w:r>
      <w:r w:rsidRPr="003D18A0">
        <w:rPr>
          <w:color w:val="000000"/>
          <w:sz w:val="24"/>
          <w:szCs w:val="24"/>
          <w:lang w:val="en-CA" w:eastAsia="zh-CN"/>
        </w:rPr>
        <w:t>《濒危野生动植物种国际贸易公约》</w:t>
      </w:r>
      <w:r w:rsidRPr="003D18A0">
        <w:rPr>
          <w:color w:val="000000"/>
          <w:sz w:val="24"/>
          <w:szCs w:val="24"/>
          <w:vertAlign w:val="superscript"/>
          <w:lang w:val="en-GB" w:eastAsia="zh-CN"/>
        </w:rPr>
        <w:footnoteReference w:id="48"/>
      </w:r>
      <w:r w:rsidRPr="003D18A0">
        <w:rPr>
          <w:sz w:val="24"/>
          <w:szCs w:val="24"/>
          <w:lang w:val="en-CA" w:eastAsia="zh-CN"/>
        </w:rPr>
        <w:t>和《联合国关于在发生严重干旱和</w:t>
      </w:r>
      <w:r w:rsidRPr="003D18A0">
        <w:rPr>
          <w:sz w:val="24"/>
          <w:szCs w:val="24"/>
          <w:lang w:val="en-CA" w:eastAsia="zh-CN"/>
        </w:rPr>
        <w:t>/</w:t>
      </w:r>
      <w:r w:rsidRPr="003D18A0">
        <w:rPr>
          <w:sz w:val="24"/>
          <w:szCs w:val="24"/>
          <w:lang w:val="en-CA" w:eastAsia="zh-CN"/>
        </w:rPr>
        <w:t>或荒漠化的国家特别是在非洲防治荒漠化的公约</w:t>
      </w:r>
      <w:r w:rsidRPr="003D18A0">
        <w:rPr>
          <w:sz w:val="24"/>
          <w:szCs w:val="16"/>
          <w:lang w:val="en-CA" w:eastAsia="zh-CN"/>
        </w:rPr>
        <w:t>》）</w:t>
      </w:r>
      <w:r w:rsidRPr="003D18A0">
        <w:rPr>
          <w:sz w:val="24"/>
          <w:szCs w:val="16"/>
          <w:vertAlign w:val="superscript"/>
          <w:lang w:val="en-GB" w:eastAsia="zh-CN"/>
        </w:rPr>
        <w:footnoteReference w:id="49"/>
      </w:r>
      <w:r w:rsidRPr="003D18A0">
        <w:rPr>
          <w:sz w:val="24"/>
          <w:szCs w:val="16"/>
          <w:lang w:val="en-CA" w:eastAsia="zh-CN"/>
        </w:rPr>
        <w:t>；</w:t>
      </w:r>
    </w:p>
    <w:p w14:paraId="7F9F35CE"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在可持续发展目标下的国家和国际承诺和行动；</w:t>
      </w:r>
    </w:p>
    <w:p w14:paraId="19E0110E"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rPr>
      </w:pPr>
      <w:r w:rsidRPr="003D18A0">
        <w:rPr>
          <w:sz w:val="24"/>
          <w:szCs w:val="16"/>
          <w:lang w:val="en-CA" w:eastAsia="zh-CN"/>
        </w:rPr>
        <w:t>“</w:t>
      </w:r>
      <w:proofErr w:type="gramStart"/>
      <w:r w:rsidRPr="003D18A0">
        <w:rPr>
          <w:sz w:val="24"/>
          <w:szCs w:val="16"/>
          <w:lang w:val="en-CA" w:eastAsia="zh-CN"/>
        </w:rPr>
        <w:t>同一健康</w:t>
      </w:r>
      <w:r w:rsidRPr="003D18A0">
        <w:rPr>
          <w:sz w:val="24"/>
          <w:szCs w:val="16"/>
          <w:lang w:val="en-CA" w:eastAsia="zh-CN"/>
        </w:rPr>
        <w:t>”</w:t>
      </w:r>
      <w:r w:rsidRPr="003D18A0">
        <w:rPr>
          <w:sz w:val="24"/>
          <w:szCs w:val="16"/>
          <w:lang w:val="en-CA" w:eastAsia="zh-CN"/>
        </w:rPr>
        <w:t>方法</w:t>
      </w:r>
      <w:proofErr w:type="gramEnd"/>
      <w:r w:rsidRPr="003D18A0">
        <w:rPr>
          <w:sz w:val="24"/>
          <w:szCs w:val="16"/>
          <w:lang w:val="en-CA"/>
        </w:rPr>
        <w:t>;</w:t>
      </w:r>
    </w:p>
    <w:p w14:paraId="43FB0B3F"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由全球环境基金、清洁发展机制、绿色气候基金、</w:t>
      </w:r>
      <w:r w:rsidRPr="003D18A0">
        <w:rPr>
          <w:color w:val="202124"/>
          <w:sz w:val="24"/>
          <w:szCs w:val="24"/>
          <w:lang w:eastAsia="zh-CN"/>
        </w:rPr>
        <w:t>蓝色基金、损失和损害基金</w:t>
      </w:r>
      <w:r w:rsidRPr="003D18A0">
        <w:rPr>
          <w:sz w:val="24"/>
          <w:szCs w:val="16"/>
          <w:lang w:val="en-CA" w:eastAsia="zh-CN"/>
        </w:rPr>
        <w:t>等多边机构或论坛和其他捐助方资助的方案和其他活动；</w:t>
      </w:r>
    </w:p>
    <w:p w14:paraId="10EB3C77" w14:textId="77777777" w:rsidR="003D18A0" w:rsidRPr="003D18A0" w:rsidRDefault="003D18A0" w:rsidP="00E06312">
      <w:pPr>
        <w:numPr>
          <w:ilvl w:val="0"/>
          <w:numId w:val="238"/>
        </w:num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jc w:val="left"/>
        <w:rPr>
          <w:b/>
          <w:sz w:val="24"/>
          <w:szCs w:val="24"/>
          <w:lang w:val="en-CA" w:eastAsia="zh-CN"/>
        </w:rPr>
      </w:pPr>
      <w:r w:rsidRPr="003D18A0">
        <w:rPr>
          <w:sz w:val="24"/>
          <w:szCs w:val="16"/>
          <w:lang w:val="en-CA" w:eastAsia="zh-CN"/>
        </w:rPr>
        <w:t>为致力于救灾的政府和非政府发展援助机构和人员组织培训、能力建设和知识转让，以识别通过其各项活动引入和传播外来入侵物种和潜在外来入侵物种的风险。</w:t>
      </w:r>
    </w:p>
    <w:p w14:paraId="2B7B6D22" w14:textId="77777777" w:rsidR="003D18A0" w:rsidRPr="003D18A0" w:rsidRDefault="003D18A0" w:rsidP="003D18A0">
      <w:pPr>
        <w:tabs>
          <w:tab w:val="clear" w:pos="567"/>
          <w:tab w:val="clear" w:pos="1134"/>
          <w:tab w:val="clear" w:pos="1701"/>
          <w:tab w:val="clear" w:pos="2268"/>
        </w:tabs>
        <w:ind w:firstLine="490"/>
        <w:jc w:val="left"/>
        <w:rPr>
          <w:b/>
          <w:bCs/>
          <w:sz w:val="24"/>
          <w:szCs w:val="24"/>
          <w:lang w:val="en-GB" w:eastAsia="zh-CN"/>
        </w:rPr>
      </w:pPr>
      <w:r w:rsidRPr="003D18A0">
        <w:rPr>
          <w:sz w:val="24"/>
          <w:szCs w:val="28"/>
          <w:lang w:val="en-CA" w:eastAsia="zh-CN"/>
        </w:rPr>
        <w:br w:type="page"/>
      </w:r>
      <w:r w:rsidRPr="003D18A0">
        <w:rPr>
          <w:b/>
          <w:bCs/>
          <w:sz w:val="24"/>
          <w:szCs w:val="24"/>
          <w:lang w:val="en-CA" w:eastAsia="zh-CN"/>
        </w:rPr>
        <w:lastRenderedPageBreak/>
        <w:t>附件四</w:t>
      </w:r>
      <w:bookmarkStart w:id="7" w:name="_Toc118355053"/>
    </w:p>
    <w:p w14:paraId="39168B44" w14:textId="77777777" w:rsidR="003D18A0" w:rsidRPr="003D18A0" w:rsidRDefault="003D18A0" w:rsidP="003D18A0">
      <w:pPr>
        <w:tabs>
          <w:tab w:val="clear" w:pos="567"/>
          <w:tab w:val="clear" w:pos="1134"/>
          <w:tab w:val="clear" w:pos="1701"/>
          <w:tab w:val="clear" w:pos="2268"/>
        </w:tabs>
        <w:ind w:firstLine="490"/>
        <w:rPr>
          <w:bCs/>
          <w:i/>
          <w:iCs/>
          <w:sz w:val="28"/>
          <w:szCs w:val="24"/>
          <w:lang w:val="en-GB" w:eastAsia="zh-CN"/>
        </w:rPr>
      </w:pPr>
      <w:r w:rsidRPr="003D18A0">
        <w:rPr>
          <w:b/>
          <w:sz w:val="24"/>
          <w:szCs w:val="24"/>
          <w:lang w:val="en-GB" w:eastAsia="zh-CN"/>
        </w:rPr>
        <w:t>引进外来入侵物种对社会经济和文化价值造成潜在后果的风险分析</w:t>
      </w:r>
      <w:bookmarkEnd w:id="7"/>
    </w:p>
    <w:p w14:paraId="30E98858" w14:textId="77777777" w:rsidR="003D18A0" w:rsidRPr="00E06312" w:rsidRDefault="003D18A0" w:rsidP="00E06312">
      <w:pPr>
        <w:pStyle w:val="Para1"/>
        <w:numPr>
          <w:ilvl w:val="0"/>
          <w:numId w:val="235"/>
        </w:numPr>
        <w:tabs>
          <w:tab w:val="clear" w:pos="567"/>
          <w:tab w:val="clear" w:pos="1134"/>
          <w:tab w:val="clear" w:pos="1701"/>
          <w:tab w:val="clear" w:pos="2268"/>
        </w:tabs>
        <w:adjustRightInd w:val="0"/>
        <w:snapToGrid w:val="0"/>
        <w:ind w:left="490" w:firstLine="0"/>
        <w:jc w:val="left"/>
        <w:rPr>
          <w:bCs/>
          <w:sz w:val="24"/>
          <w:lang w:eastAsia="zh-CN"/>
        </w:rPr>
      </w:pPr>
      <w:r w:rsidRPr="00E06312">
        <w:rPr>
          <w:bCs/>
          <w:sz w:val="24"/>
          <w:lang w:eastAsia="zh-CN"/>
        </w:rPr>
        <w:t>本附件载有对缔约方和利益攸关方的建议和自愿指南，以支持执行《昆明</w:t>
      </w:r>
      <w:r w:rsidRPr="00E06312">
        <w:rPr>
          <w:bCs/>
          <w:sz w:val="24"/>
          <w:lang w:eastAsia="zh-CN"/>
        </w:rPr>
        <w:t>-</w:t>
      </w:r>
      <w:r w:rsidRPr="00E06312">
        <w:rPr>
          <w:bCs/>
          <w:sz w:val="24"/>
          <w:lang w:eastAsia="zh-CN"/>
        </w:rPr>
        <w:t>蒙特利尔全球生物多样性框架》，特别是关于外来入侵物种的行动目标</w:t>
      </w:r>
      <w:r w:rsidRPr="00E06312">
        <w:rPr>
          <w:bCs/>
          <w:sz w:val="24"/>
          <w:lang w:eastAsia="zh-CN"/>
        </w:rPr>
        <w:t>6</w:t>
      </w:r>
      <w:r w:rsidRPr="00E06312">
        <w:rPr>
          <w:bCs/>
          <w:sz w:val="24"/>
          <w:lang w:eastAsia="zh-CN"/>
        </w:rPr>
        <w:t>，以及其他相关的行动目标。</w:t>
      </w:r>
    </w:p>
    <w:p w14:paraId="0A206D3E" w14:textId="77777777" w:rsidR="003D18A0" w:rsidRPr="003D18A0" w:rsidRDefault="003D18A0" w:rsidP="003D18A0">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3D18A0">
        <w:rPr>
          <w:bCs/>
          <w:sz w:val="24"/>
          <w:lang w:val="en-CA" w:eastAsia="zh-CN"/>
        </w:rPr>
        <w:t>社会经济和文化价值往往取决于背景环境，因为它们可能涵盖安全、物质和非物质资产、健康以及社会、精神和文化关系等问题。因此，对于外来入侵物种的影响应按具体情况逐案确定。与环境影响评估同时发展起来的社会影响评估</w:t>
      </w:r>
      <w:r w:rsidRPr="003D18A0">
        <w:rPr>
          <w:bCs/>
          <w:sz w:val="24"/>
          <w:vertAlign w:val="superscript"/>
          <w:lang w:val="en-CA"/>
        </w:rPr>
        <w:footnoteReference w:id="50"/>
      </w:r>
      <w:r w:rsidRPr="003D18A0">
        <w:rPr>
          <w:bCs/>
          <w:sz w:val="24"/>
          <w:lang w:val="en-CA" w:eastAsia="zh-CN"/>
        </w:rPr>
        <w:t>为确定、评估和解决社会成本和效益提供了一个结构化过程。</w:t>
      </w:r>
    </w:p>
    <w:p w14:paraId="190B8BC3" w14:textId="77777777" w:rsidR="003D18A0" w:rsidRPr="003D18A0" w:rsidRDefault="003D18A0" w:rsidP="003D18A0">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3D18A0">
        <w:rPr>
          <w:bCs/>
          <w:sz w:val="24"/>
          <w:lang w:val="en-CA" w:eastAsia="zh-CN"/>
        </w:rPr>
        <w:t>风险分析可以在决策过程中考虑科学和技术信息以及社会经济和文化信息。在这方面，成本收益和成本效益分析的投入（见附件一）在风险分析期间可能是有用的，并有助于审视社会经济和文化价值。</w:t>
      </w:r>
    </w:p>
    <w:p w14:paraId="6AFD8012" w14:textId="77777777" w:rsidR="003D18A0" w:rsidRPr="003D18A0" w:rsidRDefault="003D18A0" w:rsidP="003D18A0">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3D18A0">
        <w:rPr>
          <w:bCs/>
          <w:sz w:val="24"/>
          <w:lang w:val="en-CA" w:eastAsia="zh-CN"/>
        </w:rPr>
        <w:t>此外，在风险分析方面，风险沟通在促进共同了解外来入侵物种的风险、制定可信的风险管理方案和一致的法规以及提高人们的认识方面发挥着重要作用。</w:t>
      </w:r>
    </w:p>
    <w:p w14:paraId="1A271047" w14:textId="77777777" w:rsidR="003D18A0" w:rsidRPr="003D18A0" w:rsidRDefault="003D18A0" w:rsidP="003D18A0">
      <w:pPr>
        <w:keepNext/>
        <w:tabs>
          <w:tab w:val="clear" w:pos="567"/>
          <w:tab w:val="clear" w:pos="1134"/>
          <w:tab w:val="clear" w:pos="1701"/>
          <w:tab w:val="clear" w:pos="2268"/>
          <w:tab w:val="num" w:pos="360"/>
          <w:tab w:val="left" w:pos="720"/>
        </w:tabs>
        <w:spacing w:before="240" w:after="120"/>
        <w:jc w:val="left"/>
        <w:outlineLvl w:val="0"/>
        <w:rPr>
          <w:b/>
          <w:caps/>
          <w:kern w:val="22"/>
          <w:sz w:val="24"/>
          <w:szCs w:val="24"/>
          <w:lang w:val="en-GB" w:eastAsia="zh-CN"/>
        </w:rPr>
      </w:pPr>
      <w:r w:rsidRPr="003D18A0">
        <w:rPr>
          <w:b/>
          <w:caps/>
          <w:sz w:val="24"/>
          <w:szCs w:val="24"/>
          <w:lang w:val="en-CA" w:eastAsia="zh-CN"/>
        </w:rPr>
        <w:tab/>
      </w:r>
      <w:r w:rsidRPr="003D18A0">
        <w:rPr>
          <w:rFonts w:hint="eastAsia"/>
          <w:b/>
          <w:caps/>
          <w:sz w:val="24"/>
          <w:szCs w:val="24"/>
          <w:lang w:val="en-CA" w:eastAsia="zh-CN"/>
        </w:rPr>
        <w:t xml:space="preserve"> </w:t>
      </w:r>
      <w:r w:rsidRPr="003D18A0">
        <w:rPr>
          <w:b/>
          <w:caps/>
          <w:sz w:val="24"/>
          <w:szCs w:val="24"/>
          <w:lang w:val="en-CA" w:eastAsia="zh-CN"/>
        </w:rPr>
        <w:t>社会经济和文化价值的考虑因素</w:t>
      </w:r>
    </w:p>
    <w:p w14:paraId="67A83042" w14:textId="77777777" w:rsidR="003D18A0" w:rsidRPr="003D18A0" w:rsidRDefault="003D18A0" w:rsidP="003D18A0">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3D18A0">
        <w:rPr>
          <w:bCs/>
          <w:sz w:val="24"/>
          <w:lang w:val="en-CA" w:eastAsia="zh-CN"/>
        </w:rPr>
        <w:t>建议各缔约方、组织和利益攸关方酌情采取以下行动</w:t>
      </w:r>
      <w:r w:rsidRPr="003D18A0">
        <w:rPr>
          <w:bCs/>
          <w:sz w:val="24"/>
          <w:lang w:val="en-CA" w:eastAsia="zh-CN"/>
        </w:rPr>
        <w:t>:</w:t>
      </w:r>
    </w:p>
    <w:p w14:paraId="3A504438"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jc w:val="left"/>
        <w:rPr>
          <w:kern w:val="22"/>
          <w:sz w:val="24"/>
          <w:szCs w:val="24"/>
          <w:lang w:val="en-CA" w:eastAsia="zh-CN"/>
        </w:rPr>
      </w:pPr>
      <w:r w:rsidRPr="003D18A0">
        <w:rPr>
          <w:sz w:val="24"/>
          <w:szCs w:val="24"/>
          <w:lang w:val="en-CA" w:eastAsia="zh-CN"/>
        </w:rPr>
        <w:t>承认和尊重土著人民和地方社区、妇女和青年的传统知识</w:t>
      </w:r>
      <w:r w:rsidRPr="003D18A0" w:rsidDel="007E42FC">
        <w:rPr>
          <w:sz w:val="24"/>
          <w:szCs w:val="16"/>
          <w:vertAlign w:val="superscript"/>
          <w:lang w:val="en-CA"/>
        </w:rPr>
        <w:footnoteReference w:id="51"/>
      </w:r>
      <w:r w:rsidRPr="003D18A0">
        <w:rPr>
          <w:sz w:val="24"/>
          <w:szCs w:val="24"/>
          <w:lang w:val="en-CA" w:eastAsia="zh-CN"/>
        </w:rPr>
        <w:t>、创新和做法，这有助于监测、及早发现和控制外来入侵物种，整合新兴技术需以补充和尊重土著知识体系的方式进行；</w:t>
      </w:r>
    </w:p>
    <w:p w14:paraId="3455F5EE"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kern w:val="22"/>
          <w:sz w:val="24"/>
          <w:szCs w:val="24"/>
          <w:lang w:val="en-CA" w:eastAsia="zh-CN"/>
        </w:rPr>
      </w:pPr>
      <w:r w:rsidRPr="003D18A0">
        <w:rPr>
          <w:rFonts w:ascii="宋体" w:hAnsi="宋体" w:cs="宋体" w:hint="eastAsia"/>
          <w:sz w:val="24"/>
          <w:szCs w:val="24"/>
          <w:lang w:val="en-CA" w:eastAsia="zh-CN"/>
        </w:rPr>
        <w:t>通过适合文化的解决方案和能力建设，促进土著人民、地方社区、妇女、青年和利益攸关方之间的知识和信息共享，从而确保他们在适用的情况下获得自由、事先和知情同意</w:t>
      </w:r>
      <w:r w:rsidRPr="003D18A0">
        <w:rPr>
          <w:rFonts w:eastAsia="Times New Roman"/>
          <w:szCs w:val="24"/>
          <w:vertAlign w:val="superscript"/>
          <w:lang w:val="en-GB"/>
        </w:rPr>
        <w:footnoteReference w:id="52"/>
      </w:r>
      <w:r w:rsidRPr="003D18A0">
        <w:rPr>
          <w:rFonts w:ascii="宋体" w:hAnsi="宋体" w:cs="宋体" w:hint="eastAsia"/>
          <w:sz w:val="24"/>
          <w:szCs w:val="24"/>
          <w:lang w:val="en-CA" w:eastAsia="zh-CN"/>
        </w:rPr>
        <w:t>后，积极参与有关外来入侵物种管理的决策和做法</w:t>
      </w:r>
      <w:r w:rsidRPr="003D18A0">
        <w:rPr>
          <w:rFonts w:eastAsia="Times New Roman"/>
          <w:sz w:val="24"/>
          <w:szCs w:val="24"/>
          <w:lang w:val="en-CA" w:eastAsia="zh-CN"/>
        </w:rPr>
        <w:t>;</w:t>
      </w:r>
    </w:p>
    <w:p w14:paraId="60C88047"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sz w:val="24"/>
          <w:szCs w:val="24"/>
          <w:lang w:val="en-CA" w:eastAsia="zh-CN"/>
        </w:rPr>
      </w:pPr>
      <w:r w:rsidRPr="003D18A0">
        <w:rPr>
          <w:rFonts w:ascii="宋体" w:hAnsi="宋体" w:cs="宋体" w:hint="eastAsia"/>
          <w:sz w:val="24"/>
          <w:szCs w:val="24"/>
          <w:lang w:val="en-CA" w:eastAsia="zh-CN"/>
        </w:rPr>
        <w:t>制定准则，在评估外来入侵物种管理措施的成本、收益和优先次序时，更明确地纳入社会经济和文化价值。这可以借鉴关于土著人民、地方社区和相关利益攸关方参与决策的现有进程（例如外来物种的社会经济影响分类）</w:t>
      </w:r>
      <w:r w:rsidRPr="003D18A0">
        <w:rPr>
          <w:rFonts w:eastAsia="Times New Roman"/>
          <w:kern w:val="22"/>
          <w:sz w:val="24"/>
          <w:szCs w:val="24"/>
          <w:vertAlign w:val="superscript"/>
          <w:lang w:val="en-CA" w:eastAsia="zh-CN"/>
        </w:rPr>
        <w:t xml:space="preserve"> </w:t>
      </w:r>
      <w:r w:rsidRPr="003D18A0">
        <w:rPr>
          <w:rFonts w:eastAsia="Times New Roman"/>
          <w:kern w:val="22"/>
          <w:szCs w:val="24"/>
          <w:vertAlign w:val="superscript"/>
          <w:lang w:val="en-GB"/>
        </w:rPr>
        <w:footnoteReference w:id="53"/>
      </w:r>
      <w:r w:rsidRPr="003D18A0">
        <w:rPr>
          <w:rFonts w:ascii="宋体" w:hAnsi="宋体" w:cs="宋体" w:hint="eastAsia"/>
          <w:sz w:val="24"/>
          <w:szCs w:val="24"/>
          <w:lang w:val="en-CA" w:eastAsia="zh-CN"/>
        </w:rPr>
        <w:t>和国际最佳做法，以及适用于其他进程相同范围的现有准则（例如《卡塔赫纳生物安全议定书》第</w:t>
      </w:r>
      <w:r w:rsidRPr="003D18A0">
        <w:rPr>
          <w:rFonts w:eastAsia="Times New Roman"/>
          <w:sz w:val="24"/>
          <w:szCs w:val="24"/>
          <w:lang w:val="en-CA" w:eastAsia="zh-CN"/>
        </w:rPr>
        <w:t>26</w:t>
      </w:r>
      <w:r w:rsidRPr="003D18A0">
        <w:rPr>
          <w:rFonts w:ascii="宋体" w:hAnsi="宋体" w:cs="宋体" w:hint="eastAsia"/>
          <w:sz w:val="24"/>
          <w:szCs w:val="24"/>
          <w:lang w:val="en-CA" w:eastAsia="zh-CN"/>
        </w:rPr>
        <w:t>条背景下的社会经济因素评估指南）；</w:t>
      </w:r>
    </w:p>
    <w:p w14:paraId="06EE1550"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sz w:val="24"/>
          <w:szCs w:val="24"/>
          <w:lang w:val="en-CA" w:eastAsia="zh-CN"/>
        </w:rPr>
      </w:pPr>
      <w:r w:rsidRPr="003D18A0">
        <w:rPr>
          <w:rFonts w:ascii="宋体" w:hAnsi="宋体" w:cs="宋体" w:hint="eastAsia"/>
          <w:sz w:val="24"/>
          <w:szCs w:val="24"/>
          <w:lang w:val="en-CA" w:eastAsia="zh-CN"/>
        </w:rPr>
        <w:lastRenderedPageBreak/>
        <w:t>收集关于外来入侵物种的社会经济和文化影响的定性和定量数据（例如如何衡量外来入侵物种对珍贵、神圣、具有文化和精神意义的本地物种的影响）</w:t>
      </w:r>
      <w:r w:rsidRPr="003D18A0">
        <w:rPr>
          <w:rFonts w:ascii="宋体" w:hAnsi="宋体" w:cs="宋体"/>
          <w:sz w:val="24"/>
          <w:szCs w:val="24"/>
          <w:vertAlign w:val="superscript"/>
          <w:lang w:val="en-CA" w:eastAsia="zh-CN"/>
        </w:rPr>
        <w:footnoteReference w:id="54"/>
      </w:r>
      <w:r w:rsidRPr="003D18A0">
        <w:rPr>
          <w:rFonts w:ascii="宋体" w:hAnsi="宋体" w:cs="宋体" w:hint="eastAsia"/>
          <w:sz w:val="24"/>
          <w:szCs w:val="24"/>
          <w:lang w:val="en-CA" w:eastAsia="zh-CN"/>
        </w:rPr>
        <w:t>并制定在外来入侵物种的优先排序和管理中考虑这些信息的方法；</w:t>
      </w:r>
    </w:p>
    <w:p w14:paraId="76B458A7"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sz w:val="24"/>
          <w:szCs w:val="24"/>
          <w:lang w:val="en-CA" w:eastAsia="zh-CN"/>
        </w:rPr>
      </w:pPr>
      <w:r w:rsidRPr="003D18A0">
        <w:rPr>
          <w:rFonts w:ascii="宋体" w:hAnsi="宋体" w:cs="宋体" w:hint="eastAsia"/>
          <w:sz w:val="24"/>
          <w:szCs w:val="24"/>
          <w:lang w:val="en-CA" w:eastAsia="zh-CN"/>
        </w:rPr>
        <w:t>考虑到公众意识、所有年龄段的教育活动，特别是在学校和对消费者的教育，以及风险沟通，以支持利益攸关方参与考虑外来入侵物种对社会经济和文化价值的影响；</w:t>
      </w:r>
    </w:p>
    <w:p w14:paraId="7FBA0084"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sz w:val="24"/>
          <w:szCs w:val="24"/>
          <w:lang w:val="en-CA" w:eastAsia="zh-CN"/>
        </w:rPr>
      </w:pPr>
      <w:r w:rsidRPr="003D18A0">
        <w:rPr>
          <w:rFonts w:ascii="宋体" w:hAnsi="宋体" w:cs="宋体" w:hint="eastAsia"/>
          <w:sz w:val="24"/>
          <w:szCs w:val="24"/>
          <w:lang w:val="en-CA" w:eastAsia="zh-CN"/>
        </w:rPr>
        <w:t>利用社会影响评估，以评估外来物种和外来入侵物种的多阶段管理干预措施对人类和社区的影响。这将有助于分析在干预前后和干预过程中收集的信息</w:t>
      </w:r>
      <w:r w:rsidRPr="003D18A0">
        <w:rPr>
          <w:rFonts w:eastAsia="Times New Roman"/>
          <w:szCs w:val="24"/>
          <w:vertAlign w:val="superscript"/>
          <w:lang w:val="en-GB"/>
        </w:rPr>
        <w:footnoteReference w:id="55"/>
      </w:r>
      <w:r w:rsidRPr="003D18A0">
        <w:rPr>
          <w:rFonts w:ascii="宋体" w:hAnsi="宋体" w:cs="宋体" w:hint="eastAsia"/>
          <w:sz w:val="24"/>
          <w:szCs w:val="24"/>
          <w:lang w:val="en-CA" w:eastAsia="zh-CN"/>
        </w:rPr>
        <w:t>。</w:t>
      </w:r>
    </w:p>
    <w:p w14:paraId="1DB2BFEA" w14:textId="77777777" w:rsidR="003D18A0" w:rsidRPr="003D18A0" w:rsidRDefault="003D18A0" w:rsidP="003D18A0">
      <w:pPr>
        <w:tabs>
          <w:tab w:val="clear" w:pos="567"/>
          <w:tab w:val="clear" w:pos="1134"/>
          <w:tab w:val="clear" w:pos="1701"/>
          <w:tab w:val="clear" w:pos="2268"/>
        </w:tabs>
        <w:jc w:val="left"/>
        <w:rPr>
          <w:b/>
          <w:bCs/>
          <w:sz w:val="24"/>
          <w:szCs w:val="24"/>
          <w:lang w:val="en-CA" w:eastAsia="zh-CN"/>
        </w:rPr>
      </w:pPr>
    </w:p>
    <w:p w14:paraId="6D794680" w14:textId="77777777" w:rsidR="003D18A0" w:rsidRPr="003D18A0" w:rsidRDefault="003D18A0" w:rsidP="003D18A0">
      <w:pPr>
        <w:tabs>
          <w:tab w:val="clear" w:pos="567"/>
          <w:tab w:val="clear" w:pos="1134"/>
          <w:tab w:val="clear" w:pos="1701"/>
          <w:tab w:val="clear" w:pos="2268"/>
        </w:tabs>
        <w:ind w:firstLine="490"/>
        <w:jc w:val="left"/>
        <w:rPr>
          <w:sz w:val="24"/>
          <w:szCs w:val="24"/>
          <w:lang w:val="en-CA" w:eastAsia="zh-CN"/>
        </w:rPr>
      </w:pPr>
      <w:r w:rsidRPr="003D18A0">
        <w:rPr>
          <w:b/>
          <w:bCs/>
          <w:sz w:val="24"/>
          <w:szCs w:val="24"/>
          <w:lang w:val="en-CA" w:eastAsia="zh-CN"/>
        </w:rPr>
        <w:t>附录</w:t>
      </w:r>
    </w:p>
    <w:p w14:paraId="60929C2D" w14:textId="77777777" w:rsidR="003D18A0" w:rsidRPr="003D18A0" w:rsidRDefault="003D18A0" w:rsidP="003D18A0">
      <w:pPr>
        <w:tabs>
          <w:tab w:val="clear" w:pos="567"/>
          <w:tab w:val="clear" w:pos="1134"/>
          <w:tab w:val="clear" w:pos="1701"/>
          <w:tab w:val="clear" w:pos="2268"/>
        </w:tabs>
        <w:ind w:firstLine="490"/>
        <w:rPr>
          <w:b/>
          <w:bCs/>
          <w:sz w:val="24"/>
          <w:szCs w:val="24"/>
          <w:lang w:val="en-CA" w:eastAsia="zh-CN"/>
        </w:rPr>
      </w:pPr>
      <w:r w:rsidRPr="003D18A0">
        <w:rPr>
          <w:b/>
          <w:bCs/>
          <w:sz w:val="24"/>
          <w:szCs w:val="24"/>
          <w:lang w:val="en-CA" w:eastAsia="zh-CN"/>
        </w:rPr>
        <w:t>考虑社会经济和文化价值因素的范例</w:t>
      </w:r>
    </w:p>
    <w:p w14:paraId="737E57F7" w14:textId="77777777" w:rsidR="003D18A0" w:rsidRPr="003D18A0" w:rsidRDefault="003D18A0" w:rsidP="003D18A0">
      <w:pPr>
        <w:keepNext/>
        <w:tabs>
          <w:tab w:val="clear" w:pos="567"/>
          <w:tab w:val="clear" w:pos="1134"/>
          <w:tab w:val="clear" w:pos="1701"/>
          <w:tab w:val="clear" w:pos="2268"/>
        </w:tabs>
        <w:spacing w:before="120" w:after="120" w:line="240" w:lineRule="atLeast"/>
        <w:jc w:val="left"/>
        <w:outlineLvl w:val="1"/>
        <w:rPr>
          <w:b/>
          <w:bCs/>
          <w:sz w:val="24"/>
          <w:szCs w:val="24"/>
          <w:lang w:val="en-CA" w:eastAsia="zh-CN"/>
        </w:rPr>
      </w:pPr>
      <w:r w:rsidRPr="003D18A0">
        <w:rPr>
          <w:b/>
          <w:bCs/>
          <w:sz w:val="24"/>
          <w:szCs w:val="24"/>
          <w:lang w:val="en-CA" w:eastAsia="zh-CN"/>
        </w:rPr>
        <w:tab/>
      </w:r>
      <w:r w:rsidRPr="003D18A0">
        <w:rPr>
          <w:b/>
          <w:bCs/>
          <w:sz w:val="24"/>
          <w:szCs w:val="24"/>
          <w:lang w:val="en-CA" w:eastAsia="zh-CN"/>
        </w:rPr>
        <w:t>尼泊尔</w:t>
      </w:r>
    </w:p>
    <w:p w14:paraId="510194F7" w14:textId="77777777" w:rsidR="003D18A0" w:rsidRPr="00E06312" w:rsidRDefault="003D18A0" w:rsidP="00E06312">
      <w:pPr>
        <w:pStyle w:val="Para1"/>
        <w:numPr>
          <w:ilvl w:val="0"/>
          <w:numId w:val="237"/>
        </w:numPr>
        <w:tabs>
          <w:tab w:val="clear" w:pos="567"/>
          <w:tab w:val="clear" w:pos="1134"/>
          <w:tab w:val="clear" w:pos="1701"/>
          <w:tab w:val="clear" w:pos="2268"/>
        </w:tabs>
        <w:snapToGrid w:val="0"/>
        <w:spacing w:line="240" w:lineRule="atLeast"/>
        <w:ind w:left="490" w:firstLine="0"/>
        <w:jc w:val="left"/>
        <w:rPr>
          <w:bCs/>
          <w:sz w:val="24"/>
          <w:lang w:eastAsia="zh-CN"/>
        </w:rPr>
      </w:pPr>
      <w:r w:rsidRPr="00E06312">
        <w:rPr>
          <w:bCs/>
          <w:sz w:val="24"/>
          <w:lang w:eastAsia="zh-CN"/>
        </w:rPr>
        <w:t>政府机构与各不同组织和社区合作，制定了提高认识宣传、研究和实地管理战略，以支持建立预警系统，遏制外来入侵物种的传播和影响，并促进恢复受其影响的原生生境。应对这一挑战需要在政府机构、研究机构、地方社区和土著组织等利益攸关方之间持续合作。通过合作，有可能减轻入侵物种的不利影响，保护尼泊尔独特的生物多样性以造福于子孙后代。</w:t>
      </w:r>
    </w:p>
    <w:p w14:paraId="44BCB9D9" w14:textId="77777777" w:rsidR="003D18A0" w:rsidRPr="003D18A0" w:rsidRDefault="003D18A0" w:rsidP="003D18A0">
      <w:pPr>
        <w:keepNext/>
        <w:tabs>
          <w:tab w:val="clear" w:pos="567"/>
          <w:tab w:val="clear" w:pos="1134"/>
          <w:tab w:val="clear" w:pos="1701"/>
          <w:tab w:val="clear" w:pos="2268"/>
        </w:tabs>
        <w:spacing w:before="120" w:after="120" w:line="240" w:lineRule="atLeast"/>
        <w:ind w:firstLine="490"/>
        <w:jc w:val="left"/>
        <w:outlineLvl w:val="1"/>
        <w:rPr>
          <w:b/>
          <w:bCs/>
          <w:sz w:val="24"/>
          <w:szCs w:val="24"/>
          <w:lang w:val="en-CA"/>
        </w:rPr>
      </w:pPr>
      <w:r w:rsidRPr="003D18A0">
        <w:rPr>
          <w:b/>
          <w:bCs/>
          <w:sz w:val="24"/>
          <w:szCs w:val="24"/>
          <w:lang w:val="en-CA" w:eastAsia="zh-CN"/>
        </w:rPr>
        <w:t>新西兰</w:t>
      </w:r>
    </w:p>
    <w:p w14:paraId="173285D0" w14:textId="77777777" w:rsidR="003D18A0" w:rsidRPr="003D18A0" w:rsidRDefault="003D18A0" w:rsidP="003D18A0">
      <w:pPr>
        <w:numPr>
          <w:ilvl w:val="0"/>
          <w:numId w:val="197"/>
        </w:numPr>
        <w:tabs>
          <w:tab w:val="clear" w:pos="567"/>
          <w:tab w:val="clear" w:pos="1134"/>
          <w:tab w:val="clear" w:pos="1701"/>
          <w:tab w:val="clear" w:pos="2268"/>
        </w:tabs>
        <w:snapToGrid w:val="0"/>
        <w:spacing w:before="120" w:after="120" w:line="240" w:lineRule="atLeast"/>
        <w:ind w:left="490" w:firstLine="490"/>
        <w:jc w:val="left"/>
        <w:rPr>
          <w:bCs/>
          <w:sz w:val="24"/>
          <w:lang w:val="en-CA" w:eastAsia="zh-CN"/>
        </w:rPr>
      </w:pPr>
      <w:r w:rsidRPr="003D18A0">
        <w:rPr>
          <w:bCs/>
          <w:sz w:val="24"/>
          <w:lang w:val="en-CA" w:eastAsia="zh-CN"/>
        </w:rPr>
        <w:t>新西兰政府正在努力将文化知识、价值和展望（</w:t>
      </w:r>
      <w:proofErr w:type="spellStart"/>
      <w:r w:rsidRPr="003D18A0">
        <w:rPr>
          <w:bCs/>
          <w:i/>
          <w:iCs/>
          <w:sz w:val="24"/>
          <w:lang w:val="en-CA" w:eastAsia="zh-CN"/>
        </w:rPr>
        <w:t>mātauranga</w:t>
      </w:r>
      <w:proofErr w:type="spellEnd"/>
      <w:r w:rsidRPr="003D18A0">
        <w:rPr>
          <w:bCs/>
          <w:sz w:val="24"/>
          <w:lang w:val="en-CA" w:eastAsia="zh-CN"/>
        </w:rPr>
        <w:t>）纳入外来入侵物种的管理之中。毛利人参与了对外来入侵物种的管理，尤其是在具有文化和精神意义的（</w:t>
      </w:r>
      <w:r w:rsidRPr="003D18A0">
        <w:rPr>
          <w:bCs/>
          <w:i/>
          <w:iCs/>
          <w:sz w:val="24"/>
          <w:lang w:val="en-CA" w:eastAsia="zh-CN"/>
        </w:rPr>
        <w:t>taonga</w:t>
      </w:r>
      <w:r w:rsidRPr="003D18A0">
        <w:rPr>
          <w:bCs/>
          <w:sz w:val="24"/>
          <w:lang w:val="en-CA" w:eastAsia="zh-CN"/>
        </w:rPr>
        <w:t>）物种面临风险时。国家外来入侵物种制度提供了一个在《怀唐伊条约》独特宪法背景下与土著人民合作促进改善生物多样性成果的范例。</w:t>
      </w:r>
    </w:p>
    <w:p w14:paraId="08443716" w14:textId="77777777" w:rsidR="003D18A0" w:rsidRPr="003D18A0" w:rsidRDefault="003D18A0" w:rsidP="003D18A0">
      <w:pPr>
        <w:keepNext/>
        <w:tabs>
          <w:tab w:val="clear" w:pos="567"/>
          <w:tab w:val="clear" w:pos="1134"/>
          <w:tab w:val="clear" w:pos="1701"/>
          <w:tab w:val="clear" w:pos="2268"/>
        </w:tabs>
        <w:spacing w:before="120" w:after="120" w:line="240" w:lineRule="atLeast"/>
        <w:ind w:firstLine="490"/>
        <w:jc w:val="left"/>
        <w:outlineLvl w:val="1"/>
        <w:rPr>
          <w:b/>
          <w:bCs/>
          <w:sz w:val="24"/>
          <w:szCs w:val="24"/>
          <w:lang w:val="en-CA"/>
        </w:rPr>
      </w:pPr>
      <w:r w:rsidRPr="003D18A0">
        <w:rPr>
          <w:b/>
          <w:bCs/>
          <w:sz w:val="24"/>
          <w:szCs w:val="24"/>
          <w:lang w:val="en-CA" w:eastAsia="zh-CN"/>
        </w:rPr>
        <w:t>南非</w:t>
      </w:r>
    </w:p>
    <w:p w14:paraId="3C01F526" w14:textId="77777777" w:rsidR="003D18A0" w:rsidRPr="003D18A0" w:rsidRDefault="003D18A0" w:rsidP="003D18A0">
      <w:pPr>
        <w:numPr>
          <w:ilvl w:val="0"/>
          <w:numId w:val="197"/>
        </w:numPr>
        <w:tabs>
          <w:tab w:val="clear" w:pos="567"/>
          <w:tab w:val="clear" w:pos="1134"/>
          <w:tab w:val="clear" w:pos="1701"/>
          <w:tab w:val="clear" w:pos="2268"/>
        </w:tabs>
        <w:snapToGrid w:val="0"/>
        <w:spacing w:before="120" w:after="120" w:line="240" w:lineRule="atLeast"/>
        <w:ind w:left="490" w:firstLine="490"/>
        <w:jc w:val="left"/>
        <w:rPr>
          <w:bCs/>
          <w:sz w:val="24"/>
          <w:lang w:val="en-CA" w:eastAsia="zh-CN"/>
        </w:rPr>
      </w:pPr>
      <w:r w:rsidRPr="003D18A0">
        <w:rPr>
          <w:bCs/>
          <w:sz w:val="24"/>
          <w:lang w:val="en-CA" w:eastAsia="zh-CN"/>
        </w:rPr>
        <w:t>《南非宪法》规定，人人有权享有对其健康或福祉无害的环境，从而为考虑社会经济因素提供了基础。</w:t>
      </w:r>
      <w:r w:rsidRPr="003D18A0">
        <w:rPr>
          <w:bCs/>
          <w:sz w:val="24"/>
          <w:lang w:val="en-CA" w:eastAsia="zh-CN"/>
        </w:rPr>
        <w:t>2004</w:t>
      </w:r>
      <w:r w:rsidRPr="003D18A0">
        <w:rPr>
          <w:bCs/>
          <w:sz w:val="24"/>
          <w:lang w:val="en-CA" w:eastAsia="zh-CN"/>
        </w:rPr>
        <w:t>年《国家环境管理：生物多样性法》和《外来物种和入侵物种条例》规定，风险评估应包括关键的经济、社会和生态因素（没有明确的模式），以指导签发外来物种进口许可证的决定。一些研究表明，环境与社会经济影响显著相关，如水葫芦案例所示。</w:t>
      </w:r>
    </w:p>
    <w:p w14:paraId="32268873" w14:textId="77777777" w:rsidR="003D18A0" w:rsidRPr="003D18A0" w:rsidRDefault="003D18A0" w:rsidP="003D18A0">
      <w:pPr>
        <w:keepNext/>
        <w:tabs>
          <w:tab w:val="clear" w:pos="567"/>
          <w:tab w:val="clear" w:pos="1134"/>
          <w:tab w:val="clear" w:pos="1701"/>
          <w:tab w:val="clear" w:pos="2268"/>
        </w:tabs>
        <w:spacing w:before="120" w:after="120" w:line="240" w:lineRule="atLeast"/>
        <w:ind w:firstLine="490"/>
        <w:jc w:val="left"/>
        <w:outlineLvl w:val="1"/>
        <w:rPr>
          <w:b/>
          <w:bCs/>
          <w:sz w:val="24"/>
          <w:szCs w:val="24"/>
          <w:lang w:val="en-CA"/>
        </w:rPr>
      </w:pPr>
      <w:r w:rsidRPr="003D18A0">
        <w:rPr>
          <w:b/>
          <w:bCs/>
          <w:sz w:val="24"/>
          <w:szCs w:val="24"/>
          <w:lang w:val="en-CA" w:eastAsia="zh-CN"/>
        </w:rPr>
        <w:t>瑞典</w:t>
      </w:r>
    </w:p>
    <w:p w14:paraId="0B4D6EDC" w14:textId="77777777" w:rsidR="003D18A0" w:rsidRPr="003D18A0" w:rsidRDefault="003D18A0" w:rsidP="003D18A0">
      <w:pPr>
        <w:numPr>
          <w:ilvl w:val="0"/>
          <w:numId w:val="197"/>
        </w:numPr>
        <w:tabs>
          <w:tab w:val="clear" w:pos="567"/>
          <w:tab w:val="clear" w:pos="1134"/>
          <w:tab w:val="clear" w:pos="1701"/>
          <w:tab w:val="clear" w:pos="2268"/>
        </w:tabs>
        <w:snapToGrid w:val="0"/>
        <w:spacing w:before="120" w:after="120" w:line="240" w:lineRule="atLeast"/>
        <w:ind w:left="490" w:firstLine="490"/>
        <w:jc w:val="left"/>
        <w:rPr>
          <w:bCs/>
          <w:sz w:val="24"/>
          <w:lang w:val="en-CA" w:eastAsia="zh-CN"/>
        </w:rPr>
      </w:pPr>
      <w:r w:rsidRPr="003D18A0">
        <w:rPr>
          <w:bCs/>
          <w:sz w:val="24"/>
          <w:lang w:val="en-CA" w:eastAsia="zh-CN"/>
        </w:rPr>
        <w:t>羽扇豆、玫瑰、巨型猪草和凤仙花等某些外来入侵物种对具有重要生物和文化意义的草地和牧场产生影响，而人们正在加快放弃导致产生了这些草地和牧场特有的动植物群的传统农业做法。这样的草地和牧场构成了传统的瑞典乡村景色，既朴实无华又风景如画。人们已经认识到生物多样性丧失产生的一些社会经济影响，包括产自改良牧场的蜂蜜的质量和价值受到损失。入侵植物物种可以形成单一</w:t>
      </w:r>
      <w:r w:rsidRPr="003D18A0">
        <w:rPr>
          <w:bCs/>
          <w:sz w:val="24"/>
          <w:lang w:val="en-CA" w:eastAsia="zh-CN"/>
        </w:rPr>
        <w:lastRenderedPageBreak/>
        <w:t>种植，取代本地植物的多样性，并彻底改变景观。一个不断变化的景观对普通民众的文化冲击是难以衡量的。</w:t>
      </w:r>
    </w:p>
    <w:p w14:paraId="34A2A18C" w14:textId="77777777" w:rsidR="003D18A0" w:rsidRPr="003D18A0" w:rsidRDefault="003D18A0" w:rsidP="003D18A0">
      <w:pPr>
        <w:tabs>
          <w:tab w:val="clear" w:pos="567"/>
          <w:tab w:val="clear" w:pos="1134"/>
          <w:tab w:val="clear" w:pos="1701"/>
          <w:tab w:val="clear" w:pos="2268"/>
        </w:tabs>
        <w:ind w:firstLine="490"/>
        <w:jc w:val="left"/>
        <w:rPr>
          <w:sz w:val="24"/>
          <w:szCs w:val="24"/>
          <w:lang w:val="en-CA" w:eastAsia="zh-CN"/>
        </w:rPr>
      </w:pPr>
    </w:p>
    <w:p w14:paraId="5E1C5777" w14:textId="77777777" w:rsidR="003D18A0" w:rsidRPr="003D18A0" w:rsidRDefault="003D18A0" w:rsidP="003D18A0">
      <w:pPr>
        <w:tabs>
          <w:tab w:val="clear" w:pos="567"/>
          <w:tab w:val="clear" w:pos="1134"/>
          <w:tab w:val="clear" w:pos="1701"/>
          <w:tab w:val="clear" w:pos="2268"/>
          <w:tab w:val="left" w:pos="2486"/>
        </w:tabs>
        <w:ind w:firstLine="490"/>
        <w:jc w:val="left"/>
        <w:rPr>
          <w:b/>
          <w:bCs/>
          <w:sz w:val="24"/>
          <w:szCs w:val="24"/>
          <w:lang w:val="en-GB" w:eastAsia="zh-CN"/>
        </w:rPr>
      </w:pPr>
      <w:r w:rsidRPr="003D18A0">
        <w:rPr>
          <w:b/>
          <w:bCs/>
          <w:sz w:val="24"/>
          <w:szCs w:val="24"/>
          <w:lang w:val="en-CA" w:eastAsia="zh-CN"/>
        </w:rPr>
        <w:t>附件五</w:t>
      </w:r>
    </w:p>
    <w:p w14:paraId="005467BF" w14:textId="77777777" w:rsidR="003D18A0" w:rsidRPr="003D18A0" w:rsidRDefault="003D18A0" w:rsidP="003D18A0">
      <w:pPr>
        <w:tabs>
          <w:tab w:val="clear" w:pos="567"/>
          <w:tab w:val="clear" w:pos="1134"/>
          <w:tab w:val="clear" w:pos="1701"/>
          <w:tab w:val="clear" w:pos="2268"/>
        </w:tabs>
        <w:ind w:left="490"/>
        <w:jc w:val="left"/>
        <w:rPr>
          <w:b/>
          <w:bCs/>
          <w:sz w:val="24"/>
          <w:szCs w:val="24"/>
          <w:lang w:val="en-CA" w:eastAsia="zh-CN"/>
        </w:rPr>
      </w:pPr>
      <w:r w:rsidRPr="003D18A0">
        <w:rPr>
          <w:b/>
          <w:bCs/>
          <w:sz w:val="24"/>
          <w:szCs w:val="24"/>
          <w:lang w:val="en-CA" w:eastAsia="zh-CN"/>
        </w:rPr>
        <w:t>数据库与支持外来入侵物种管理的相关性</w:t>
      </w:r>
    </w:p>
    <w:p w14:paraId="411CB300" w14:textId="77777777" w:rsidR="003D18A0" w:rsidRPr="00E06312" w:rsidRDefault="003D18A0" w:rsidP="00E06312">
      <w:pPr>
        <w:pStyle w:val="Para1"/>
        <w:keepNext/>
        <w:numPr>
          <w:ilvl w:val="0"/>
          <w:numId w:val="236"/>
        </w:numPr>
        <w:tabs>
          <w:tab w:val="clear" w:pos="567"/>
          <w:tab w:val="clear" w:pos="1134"/>
          <w:tab w:val="clear" w:pos="1701"/>
          <w:tab w:val="clear" w:pos="2268"/>
        </w:tabs>
        <w:spacing w:line="240" w:lineRule="atLeast"/>
        <w:ind w:left="490" w:firstLine="0"/>
        <w:jc w:val="left"/>
        <w:rPr>
          <w:bCs/>
          <w:sz w:val="24"/>
          <w:lang w:eastAsia="zh-CN"/>
        </w:rPr>
      </w:pPr>
      <w:r w:rsidRPr="00E06312">
        <w:rPr>
          <w:bCs/>
          <w:sz w:val="24"/>
          <w:lang w:eastAsia="zh-CN"/>
        </w:rPr>
        <w:t>本附件载有对缔约方和利益攸关方的建议和自愿指南，以支持执行《昆明</w:t>
      </w:r>
      <w:r w:rsidRPr="00E06312">
        <w:rPr>
          <w:bCs/>
          <w:sz w:val="24"/>
          <w:lang w:eastAsia="zh-CN"/>
        </w:rPr>
        <w:t>-</w:t>
      </w:r>
      <w:r w:rsidRPr="00E06312">
        <w:rPr>
          <w:bCs/>
          <w:sz w:val="24"/>
          <w:lang w:eastAsia="zh-CN"/>
        </w:rPr>
        <w:t>蒙特利尔全球生物多样性框架》，特别是关于外来入侵物种的行动目标</w:t>
      </w:r>
      <w:r w:rsidRPr="00E06312">
        <w:rPr>
          <w:bCs/>
          <w:sz w:val="24"/>
          <w:lang w:eastAsia="zh-CN"/>
        </w:rPr>
        <w:t>6</w:t>
      </w:r>
      <w:r w:rsidRPr="00E06312">
        <w:rPr>
          <w:bCs/>
          <w:sz w:val="24"/>
          <w:lang w:eastAsia="zh-CN"/>
        </w:rPr>
        <w:t>，以及其他相关的行动目标。</w:t>
      </w:r>
    </w:p>
    <w:p w14:paraId="050BCBB7" w14:textId="77777777" w:rsidR="003D18A0" w:rsidRPr="003D18A0" w:rsidRDefault="003D18A0" w:rsidP="003D18A0">
      <w:pPr>
        <w:keepNext/>
        <w:tabs>
          <w:tab w:val="clear" w:pos="567"/>
          <w:tab w:val="clear" w:pos="1134"/>
          <w:tab w:val="clear" w:pos="1701"/>
          <w:tab w:val="clear" w:pos="2268"/>
          <w:tab w:val="num" w:pos="360"/>
          <w:tab w:val="left" w:pos="720"/>
        </w:tabs>
        <w:spacing w:before="120" w:after="120" w:line="240" w:lineRule="atLeast"/>
        <w:jc w:val="left"/>
        <w:outlineLvl w:val="0"/>
        <w:rPr>
          <w:b/>
          <w:caps/>
          <w:sz w:val="24"/>
          <w:szCs w:val="24"/>
          <w:lang w:val="en-CA"/>
        </w:rPr>
      </w:pPr>
      <w:r w:rsidRPr="003D18A0">
        <w:rPr>
          <w:b/>
          <w:caps/>
          <w:sz w:val="24"/>
          <w:szCs w:val="24"/>
          <w:lang w:val="en-CA" w:eastAsia="zh-CN"/>
        </w:rPr>
        <w:t>一</w:t>
      </w:r>
      <w:r w:rsidRPr="003D18A0">
        <w:rPr>
          <w:b/>
          <w:caps/>
          <w:sz w:val="24"/>
          <w:szCs w:val="24"/>
          <w:lang w:val="en-CA" w:eastAsia="zh-CN"/>
        </w:rPr>
        <w:t xml:space="preserve">.  </w:t>
      </w:r>
      <w:r w:rsidRPr="003D18A0">
        <w:rPr>
          <w:b/>
          <w:caps/>
          <w:sz w:val="24"/>
          <w:szCs w:val="24"/>
          <w:lang w:val="en-CA" w:eastAsia="zh-CN"/>
        </w:rPr>
        <w:t>数据库的重要性</w:t>
      </w:r>
    </w:p>
    <w:p w14:paraId="3092DCA2"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关于物种分布、特征和影响等问题的信息对于应用分析工具（如风险分析、成本收益和成本效益分析，以及种群建立、传播和种群建模）和设计有效行动以最大限度地减少外来入侵物种的影响是至关重要的。</w:t>
      </w:r>
      <w:r w:rsidRPr="003D18A0">
        <w:rPr>
          <w:bCs/>
          <w:sz w:val="24"/>
          <w:lang w:val="en-CA" w:eastAsia="zh-CN"/>
        </w:rPr>
        <w:t xml:space="preserve"> </w:t>
      </w:r>
    </w:p>
    <w:p w14:paraId="0D2712B0"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目前有几个数据库</w:t>
      </w:r>
      <w:r w:rsidRPr="003D18A0">
        <w:rPr>
          <w:bCs/>
          <w:sz w:val="24"/>
          <w:szCs w:val="24"/>
          <w:vertAlign w:val="superscript"/>
          <w:lang w:val="en-GB"/>
        </w:rPr>
        <w:footnoteReference w:id="56"/>
      </w:r>
      <w:r w:rsidRPr="003D18A0">
        <w:rPr>
          <w:bCs/>
          <w:sz w:val="24"/>
          <w:lang w:val="en-CA" w:eastAsia="zh-CN"/>
        </w:rPr>
        <w:t>提供关于预防、控制或根除外来入侵物种的有用信息。系统反应灵敏且得到良好维护的数据库可以为决策提供信息，并支持在实现行动目标</w:t>
      </w:r>
      <w:r w:rsidRPr="003D18A0">
        <w:rPr>
          <w:bCs/>
          <w:sz w:val="24"/>
          <w:lang w:val="en-CA" w:eastAsia="zh-CN"/>
        </w:rPr>
        <w:t>6</w:t>
      </w:r>
      <w:r w:rsidRPr="003D18A0">
        <w:rPr>
          <w:bCs/>
          <w:sz w:val="24"/>
          <w:lang w:val="en-CA" w:eastAsia="zh-CN"/>
        </w:rPr>
        <w:t>方面取得进展和监测进展情况，因为这样的数据库减少了在实地发现外来物种与在线提供信息之间的时间差。</w:t>
      </w:r>
    </w:p>
    <w:p w14:paraId="2F04A9A1"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使用共同的、定义明确和公认的术语对于更有效地利用数据库中的信息十分重要，包括确保数据更好的流动、不同平台之间更好的协调。</w:t>
      </w:r>
    </w:p>
    <w:p w14:paraId="60EC4819"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由于数据库是确定有关外来入侵物种行动的优先次序和行动管理的关键，因此需要长期供资来支持其适当运作和维护，以确保不断为支持决策提供数据。此外，需要进行能力建设、改进科技合作和技术转让，才能利用关于外来入侵物种及其管理的数据库。同样，国际社会也需要做出长期努力，维护和更新现有的数据系统。</w:t>
      </w:r>
    </w:p>
    <w:p w14:paraId="6396D347" w14:textId="77777777" w:rsidR="003D18A0" w:rsidRPr="003D18A0" w:rsidRDefault="003D18A0" w:rsidP="003D18A0">
      <w:pPr>
        <w:keepNext/>
        <w:tabs>
          <w:tab w:val="clear" w:pos="567"/>
          <w:tab w:val="clear" w:pos="1134"/>
          <w:tab w:val="clear" w:pos="1701"/>
          <w:tab w:val="clear" w:pos="2268"/>
          <w:tab w:val="num" w:pos="360"/>
          <w:tab w:val="left" w:pos="720"/>
        </w:tabs>
        <w:spacing w:before="120" w:after="120" w:line="240" w:lineRule="atLeast"/>
        <w:jc w:val="left"/>
        <w:outlineLvl w:val="0"/>
        <w:rPr>
          <w:b/>
          <w:caps/>
          <w:sz w:val="24"/>
          <w:szCs w:val="24"/>
          <w:lang w:val="en-CA" w:eastAsia="zh-CN"/>
        </w:rPr>
      </w:pPr>
      <w:r w:rsidRPr="003D18A0">
        <w:rPr>
          <w:b/>
          <w:caps/>
          <w:sz w:val="24"/>
          <w:szCs w:val="24"/>
          <w:lang w:val="en-CA" w:eastAsia="zh-CN"/>
        </w:rPr>
        <w:t>二</w:t>
      </w:r>
      <w:r w:rsidRPr="003D18A0">
        <w:rPr>
          <w:b/>
          <w:caps/>
          <w:sz w:val="24"/>
          <w:szCs w:val="24"/>
          <w:lang w:val="en-CA" w:eastAsia="zh-CN"/>
        </w:rPr>
        <w:t xml:space="preserve">.   </w:t>
      </w:r>
      <w:r w:rsidRPr="003D18A0">
        <w:rPr>
          <w:b/>
          <w:caps/>
          <w:sz w:val="24"/>
          <w:szCs w:val="24"/>
          <w:lang w:val="en-CA" w:eastAsia="zh-CN"/>
        </w:rPr>
        <w:t>维持有效、及时和高质量的最新标准化数据和信息，以管理外来入侵物种</w:t>
      </w:r>
      <w:r w:rsidRPr="003D18A0">
        <w:rPr>
          <w:b/>
          <w:caps/>
          <w:sz w:val="24"/>
          <w:szCs w:val="24"/>
          <w:lang w:val="en-CA" w:eastAsia="zh-CN"/>
        </w:rPr>
        <w:t xml:space="preserve">        </w:t>
      </w:r>
    </w:p>
    <w:p w14:paraId="2C342FB9"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建议各缔约方、组织、利益攸关方和数据库管理人员酌情采取以下行动</w:t>
      </w:r>
      <w:r w:rsidRPr="003D18A0">
        <w:rPr>
          <w:bCs/>
          <w:sz w:val="24"/>
          <w:lang w:val="en-CA" w:eastAsia="zh-CN"/>
        </w:rPr>
        <w:t>:</w:t>
      </w:r>
    </w:p>
    <w:p w14:paraId="69179962"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对目前可用的所有国际平台的重点和内容进行分析，以评估是否有足够的信息和能力来跟踪实现行动目标</w:t>
      </w:r>
      <w:r w:rsidRPr="003D18A0">
        <w:rPr>
          <w:sz w:val="24"/>
          <w:szCs w:val="24"/>
          <w:lang w:val="en-CA" w:eastAsia="zh-CN"/>
        </w:rPr>
        <w:t>6</w:t>
      </w:r>
      <w:r w:rsidRPr="003D18A0">
        <w:rPr>
          <w:sz w:val="24"/>
          <w:szCs w:val="24"/>
          <w:lang w:val="en-CA" w:eastAsia="zh-CN"/>
        </w:rPr>
        <w:t>的进展情况，并查明和弥补任何差距；</w:t>
      </w:r>
    </w:p>
    <w:p w14:paraId="496421E3"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加强数据提供方之间的合作，以</w:t>
      </w:r>
      <w:r w:rsidRPr="003D18A0">
        <w:rPr>
          <w:sz w:val="24"/>
          <w:szCs w:val="24"/>
          <w:lang w:eastAsia="zh-CN"/>
        </w:rPr>
        <w:t>弥补</w:t>
      </w:r>
      <w:r w:rsidRPr="003D18A0">
        <w:rPr>
          <w:sz w:val="24"/>
          <w:szCs w:val="24"/>
          <w:lang w:val="en-CA" w:eastAsia="zh-CN"/>
        </w:rPr>
        <w:t>数据缺口，特别</w:t>
      </w:r>
      <w:r w:rsidRPr="003D18A0">
        <w:rPr>
          <w:sz w:val="24"/>
          <w:szCs w:val="24"/>
          <w:lang w:eastAsia="zh-CN"/>
        </w:rPr>
        <w:t>是针对了解</w:t>
      </w:r>
      <w:r w:rsidRPr="003D18A0">
        <w:rPr>
          <w:sz w:val="24"/>
          <w:szCs w:val="24"/>
          <w:lang w:val="en-CA" w:eastAsia="zh-CN"/>
        </w:rPr>
        <w:t>甚少的区域、生态系统和生物群（例如外来海洋物种、无脊椎动物、微生物和真菌），并不断更新数据库中的信息；</w:t>
      </w:r>
    </w:p>
    <w:p w14:paraId="2174E0C7"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维护从各种广泛来源记录的外来入侵物种事件的动态数据流，既包括由全球生物多样性信息机制</w:t>
      </w:r>
      <w:r w:rsidRPr="003D18A0">
        <w:rPr>
          <w:sz w:val="24"/>
          <w:szCs w:val="24"/>
          <w:vertAlign w:val="superscript"/>
          <w:lang w:val="en-CA"/>
        </w:rPr>
        <w:footnoteReference w:id="57"/>
      </w:r>
      <w:r w:rsidRPr="003D18A0">
        <w:rPr>
          <w:sz w:val="24"/>
          <w:szCs w:val="24"/>
          <w:lang w:val="en-CA" w:eastAsia="zh-CN"/>
        </w:rPr>
        <w:t>汇集的实地监测、公民科学和标本采集，也包括在《全球引进和入侵物种登记册》</w:t>
      </w:r>
      <w:r w:rsidRPr="003D18A0">
        <w:rPr>
          <w:sz w:val="24"/>
          <w:szCs w:val="24"/>
          <w:vertAlign w:val="superscript"/>
          <w:lang w:val="en-CA"/>
        </w:rPr>
        <w:footnoteReference w:id="58"/>
      </w:r>
      <w:r w:rsidRPr="003D18A0">
        <w:rPr>
          <w:sz w:val="24"/>
          <w:szCs w:val="24"/>
          <w:lang w:val="en-CA" w:eastAsia="zh-CN"/>
        </w:rPr>
        <w:t>中汇编的专家编制清单，包括最新文献综述；</w:t>
      </w:r>
    </w:p>
    <w:p w14:paraId="1BDFE792"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lastRenderedPageBreak/>
        <w:t>确保数据提供方（如国家主管部门和研究人员）与汇集者（如全球生物多样性信息机制、《全球引进和入侵物种登记册》、《</w:t>
      </w:r>
      <w:r w:rsidRPr="003D18A0">
        <w:rPr>
          <w:sz w:val="24"/>
          <w:szCs w:val="24"/>
          <w:lang w:eastAsia="zh-CN"/>
        </w:rPr>
        <w:t>国际农业生物科学中心</w:t>
      </w:r>
      <w:r w:rsidRPr="003D18A0">
        <w:rPr>
          <w:sz w:val="24"/>
          <w:szCs w:val="24"/>
          <w:lang w:val="en-CA" w:eastAsia="zh-CN"/>
        </w:rPr>
        <w:t>简编》</w:t>
      </w:r>
      <w:r w:rsidRPr="003D18A0">
        <w:rPr>
          <w:sz w:val="24"/>
          <w:szCs w:val="24"/>
          <w:vertAlign w:val="superscript"/>
          <w:lang w:val="en-CA"/>
        </w:rPr>
        <w:footnoteReference w:id="59"/>
      </w:r>
      <w:r w:rsidRPr="003D18A0">
        <w:rPr>
          <w:sz w:val="24"/>
          <w:szCs w:val="24"/>
          <w:lang w:val="en-CA" w:eastAsia="zh-CN"/>
        </w:rPr>
        <w:t>和欧洲外来物种信息网）</w:t>
      </w:r>
      <w:r w:rsidRPr="003D18A0">
        <w:rPr>
          <w:sz w:val="24"/>
          <w:szCs w:val="24"/>
          <w:vertAlign w:val="superscript"/>
          <w:lang w:val="en-CA" w:eastAsia="zh-CN"/>
        </w:rPr>
        <w:t xml:space="preserve"> </w:t>
      </w:r>
      <w:r w:rsidRPr="003D18A0">
        <w:rPr>
          <w:sz w:val="24"/>
          <w:szCs w:val="24"/>
          <w:vertAlign w:val="superscript"/>
          <w:lang w:val="en-CA"/>
        </w:rPr>
        <w:footnoteReference w:id="60"/>
      </w:r>
      <w:r w:rsidRPr="003D18A0">
        <w:rPr>
          <w:sz w:val="24"/>
          <w:szCs w:val="24"/>
          <w:lang w:val="en-CA" w:eastAsia="zh-CN"/>
        </w:rPr>
        <w:t xml:space="preserve"> </w:t>
      </w:r>
      <w:r w:rsidRPr="003D18A0">
        <w:rPr>
          <w:sz w:val="24"/>
          <w:szCs w:val="24"/>
          <w:lang w:val="en-CA" w:eastAsia="zh-CN"/>
        </w:rPr>
        <w:t>之间数据流的互操作性，以加强全球和区域分析和决策所需的数据流动，并为国家能力建设和融资创造机会</w:t>
      </w:r>
      <w:r w:rsidRPr="003D18A0">
        <w:rPr>
          <w:sz w:val="24"/>
          <w:szCs w:val="24"/>
          <w:lang w:val="en-CA" w:eastAsia="zh-CN"/>
        </w:rPr>
        <w:t>;</w:t>
      </w:r>
    </w:p>
    <w:p w14:paraId="77C38522"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考虑到支持开发一个国际数据库或储存库的潜在益处，包括加强现有数据库或储存库，避免重复工作，使执行行动目标</w:t>
      </w:r>
      <w:r w:rsidRPr="003D18A0">
        <w:rPr>
          <w:sz w:val="24"/>
          <w:szCs w:val="24"/>
          <w:lang w:val="en-CA" w:eastAsia="zh-CN"/>
        </w:rPr>
        <w:t>6</w:t>
      </w:r>
      <w:r w:rsidRPr="003D18A0">
        <w:rPr>
          <w:sz w:val="24"/>
          <w:szCs w:val="24"/>
          <w:lang w:val="en-CA" w:eastAsia="zh-CN"/>
        </w:rPr>
        <w:t>所需的所有信息都能以多种语言获取，并遵循一种便于提交和翻译的标准化格式。可以将此国际数据库作为关于外来入侵物种和潜在外来入侵外来物种信息的一站式服务平台；</w:t>
      </w:r>
    </w:p>
    <w:p w14:paraId="22D752ED"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制定维护数据库和信息系统的长期供资和支助战略，包括支持维护和不断发展侧重于整理和监管新的和现有数据的《全球引进和入侵物种登记册》、全球入侵物种数据库</w:t>
      </w:r>
      <w:r w:rsidRPr="003D18A0">
        <w:rPr>
          <w:sz w:val="24"/>
          <w:szCs w:val="24"/>
          <w:vertAlign w:val="superscript"/>
          <w:lang w:val="en-CA"/>
        </w:rPr>
        <w:footnoteReference w:id="61"/>
      </w:r>
      <w:r w:rsidRPr="003D18A0">
        <w:rPr>
          <w:sz w:val="24"/>
          <w:szCs w:val="24"/>
          <w:lang w:val="en-CA" w:eastAsia="zh-CN"/>
        </w:rPr>
        <w:t>和其他专家网络，以支持实现行动目标</w:t>
      </w:r>
      <w:r w:rsidRPr="003D18A0">
        <w:rPr>
          <w:sz w:val="24"/>
          <w:szCs w:val="24"/>
          <w:lang w:val="en-CA" w:eastAsia="zh-CN"/>
        </w:rPr>
        <w:t xml:space="preserve">6; </w:t>
      </w:r>
    </w:p>
    <w:p w14:paraId="39952564"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考虑到知识和数据共享需要做到免费和开源，克服语言和文化障碍，同时也要兼顾处于资金、技术和人力资源不足困境中的发展中缔约方的具体需求。未来可以建立分享案例研究和最佳做法的门户网站（例如全球外来入侵物种信息伙伴关系</w:t>
      </w:r>
      <w:r w:rsidRPr="003D18A0">
        <w:rPr>
          <w:sz w:val="24"/>
          <w:szCs w:val="24"/>
          <w:vertAlign w:val="superscript"/>
          <w:lang w:val="en-CA"/>
        </w:rPr>
        <w:footnoteReference w:id="62"/>
      </w:r>
      <w:r w:rsidRPr="003D18A0">
        <w:rPr>
          <w:sz w:val="24"/>
          <w:szCs w:val="24"/>
          <w:lang w:val="en-CA" w:eastAsia="zh-CN"/>
        </w:rPr>
        <w:t>等外来入侵物种信息交换所）来促进这一进程</w:t>
      </w:r>
      <w:r w:rsidRPr="003D18A0">
        <w:rPr>
          <w:sz w:val="24"/>
          <w:szCs w:val="24"/>
          <w:lang w:val="en-CA" w:eastAsia="zh-CN"/>
        </w:rPr>
        <w:t>;</w:t>
      </w:r>
    </w:p>
    <w:p w14:paraId="29C83842"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包括培训可以加强控制和防止外来入侵物种的部门人员（例如海关人员、边境和港口警察以及沿海运输管理人员）；</w:t>
      </w:r>
    </w:p>
    <w:p w14:paraId="01230808"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在使用土著人民和地方社区的传统知识</w:t>
      </w:r>
      <w:r w:rsidRPr="003D18A0">
        <w:rPr>
          <w:sz w:val="24"/>
          <w:szCs w:val="24"/>
          <w:vertAlign w:val="superscript"/>
          <w:lang w:val="en-GB"/>
        </w:rPr>
        <w:footnoteReference w:id="63"/>
      </w:r>
      <w:r w:rsidRPr="003D18A0">
        <w:rPr>
          <w:sz w:val="24"/>
          <w:szCs w:val="24"/>
          <w:lang w:val="en-CA" w:eastAsia="zh-CN"/>
        </w:rPr>
        <w:t>时，需获得他们自由、事先和知情同意</w:t>
      </w:r>
      <w:r w:rsidRPr="003D18A0">
        <w:rPr>
          <w:sz w:val="24"/>
          <w:szCs w:val="24"/>
          <w:vertAlign w:val="superscript"/>
          <w:lang w:val="en-CA"/>
        </w:rPr>
        <w:footnoteReference w:id="64"/>
      </w:r>
      <w:r w:rsidRPr="003D18A0">
        <w:rPr>
          <w:sz w:val="24"/>
          <w:szCs w:val="24"/>
          <w:lang w:val="en-CA" w:eastAsia="zh-CN"/>
        </w:rPr>
        <w:t>；</w:t>
      </w:r>
    </w:p>
    <w:p w14:paraId="37F7DC65"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利用作为外来入侵物种百科全书式科学信息资源的《</w:t>
      </w:r>
      <w:r w:rsidRPr="003D18A0">
        <w:rPr>
          <w:sz w:val="24"/>
          <w:szCs w:val="24"/>
          <w:lang w:eastAsia="zh-CN"/>
        </w:rPr>
        <w:t>国际农业生物科学中心</w:t>
      </w:r>
      <w:r w:rsidRPr="003D18A0">
        <w:rPr>
          <w:sz w:val="24"/>
          <w:szCs w:val="24"/>
          <w:lang w:val="en-CA" w:eastAsia="zh-CN"/>
        </w:rPr>
        <w:t>简编》和全球入侵物种数据库，为决策提供信息；</w:t>
      </w:r>
    </w:p>
    <w:p w14:paraId="3ACEDF17"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酌情利用和制定风险和影响评估框架（如《外来物种环境影响分类》</w:t>
      </w:r>
      <w:r w:rsidRPr="003D18A0">
        <w:rPr>
          <w:sz w:val="24"/>
          <w:szCs w:val="24"/>
          <w:vertAlign w:val="superscript"/>
          <w:lang w:val="en-CA"/>
        </w:rPr>
        <w:footnoteReference w:id="65"/>
      </w:r>
      <w:r w:rsidRPr="003D18A0">
        <w:rPr>
          <w:sz w:val="24"/>
          <w:szCs w:val="24"/>
          <w:lang w:val="en-CA" w:eastAsia="zh-CN"/>
        </w:rPr>
        <w:t>和《外来物种经济社会影响分类》）</w:t>
      </w:r>
      <w:r w:rsidRPr="003D18A0">
        <w:rPr>
          <w:sz w:val="24"/>
          <w:szCs w:val="24"/>
          <w:vertAlign w:val="superscript"/>
          <w:lang w:val="en-CA"/>
        </w:rPr>
        <w:footnoteReference w:id="66"/>
      </w:r>
      <w:r w:rsidRPr="003D18A0">
        <w:rPr>
          <w:sz w:val="24"/>
          <w:szCs w:val="24"/>
          <w:lang w:val="en-CA" w:eastAsia="zh-CN"/>
        </w:rPr>
        <w:t>，制定基于科学的政策和确定外来入侵物种管理行动的优先次序</w:t>
      </w:r>
      <w:r w:rsidRPr="003D18A0">
        <w:rPr>
          <w:sz w:val="24"/>
          <w:szCs w:val="24"/>
          <w:vertAlign w:val="superscript"/>
          <w:lang w:val="en-CA"/>
        </w:rPr>
        <w:footnoteReference w:id="67"/>
      </w:r>
      <w:r w:rsidRPr="003D18A0">
        <w:rPr>
          <w:sz w:val="24"/>
          <w:szCs w:val="24"/>
          <w:lang w:val="en-CA" w:eastAsia="zh-CN"/>
        </w:rPr>
        <w:t>。</w:t>
      </w:r>
    </w:p>
    <w:p w14:paraId="2D5156D7" w14:textId="77777777" w:rsidR="003D18A0" w:rsidRPr="003D18A0" w:rsidRDefault="003D18A0" w:rsidP="003D18A0">
      <w:pPr>
        <w:tabs>
          <w:tab w:val="clear" w:pos="567"/>
          <w:tab w:val="clear" w:pos="1134"/>
          <w:tab w:val="clear" w:pos="1701"/>
          <w:tab w:val="clear" w:pos="2268"/>
        </w:tabs>
        <w:ind w:firstLine="490"/>
        <w:jc w:val="left"/>
        <w:rPr>
          <w:b/>
          <w:bCs/>
          <w:sz w:val="24"/>
          <w:szCs w:val="24"/>
          <w:lang w:val="en-GB" w:eastAsia="zh-CN"/>
        </w:rPr>
      </w:pPr>
      <w:r w:rsidRPr="003D18A0">
        <w:rPr>
          <w:sz w:val="24"/>
          <w:szCs w:val="24"/>
          <w:lang w:val="en-CA" w:eastAsia="zh-CN"/>
        </w:rPr>
        <w:br w:type="page"/>
      </w:r>
      <w:r w:rsidRPr="003D18A0">
        <w:rPr>
          <w:b/>
          <w:bCs/>
          <w:sz w:val="24"/>
          <w:szCs w:val="24"/>
          <w:lang w:val="en-CA" w:eastAsia="zh-CN"/>
        </w:rPr>
        <w:lastRenderedPageBreak/>
        <w:t>附件六</w:t>
      </w:r>
    </w:p>
    <w:p w14:paraId="247D35A6" w14:textId="77777777" w:rsidR="003D18A0" w:rsidRPr="003D18A0" w:rsidRDefault="003D18A0" w:rsidP="003D18A0">
      <w:pPr>
        <w:tabs>
          <w:tab w:val="clear" w:pos="567"/>
          <w:tab w:val="clear" w:pos="1134"/>
          <w:tab w:val="clear" w:pos="1701"/>
          <w:tab w:val="clear" w:pos="2268"/>
        </w:tabs>
        <w:ind w:left="490"/>
        <w:jc w:val="left"/>
        <w:rPr>
          <w:b/>
          <w:bCs/>
          <w:kern w:val="22"/>
          <w:sz w:val="24"/>
          <w:szCs w:val="24"/>
          <w:lang w:val="en-CA" w:eastAsia="zh-CN"/>
        </w:rPr>
      </w:pPr>
      <w:r w:rsidRPr="003D18A0">
        <w:rPr>
          <w:b/>
          <w:bCs/>
          <w:sz w:val="24"/>
          <w:szCs w:val="24"/>
          <w:lang w:val="en-CA" w:eastAsia="zh-CN"/>
        </w:rPr>
        <w:t>关于外来入侵物种管理的更多建议和技术指导</w:t>
      </w:r>
    </w:p>
    <w:p w14:paraId="727FD5FA" w14:textId="77777777" w:rsidR="003D18A0" w:rsidRPr="00447FFC" w:rsidRDefault="003D18A0" w:rsidP="00447FFC">
      <w:pPr>
        <w:pStyle w:val="Para1"/>
        <w:keepNext/>
        <w:numPr>
          <w:ilvl w:val="0"/>
          <w:numId w:val="226"/>
        </w:numPr>
        <w:tabs>
          <w:tab w:val="clear" w:pos="567"/>
          <w:tab w:val="clear" w:pos="1134"/>
          <w:tab w:val="clear" w:pos="1701"/>
          <w:tab w:val="clear" w:pos="2268"/>
        </w:tabs>
        <w:spacing w:line="240" w:lineRule="atLeast"/>
        <w:ind w:left="490" w:firstLine="0"/>
        <w:jc w:val="left"/>
        <w:rPr>
          <w:bCs/>
          <w:sz w:val="24"/>
          <w:lang w:eastAsia="zh-CN"/>
        </w:rPr>
      </w:pPr>
      <w:r w:rsidRPr="00447FFC">
        <w:rPr>
          <w:bCs/>
          <w:sz w:val="24"/>
          <w:lang w:eastAsia="zh-CN"/>
        </w:rPr>
        <w:t>本附件载有对缔约方和利益攸关方的建议和自愿指南，以支持执行《昆明</w:t>
      </w:r>
      <w:r w:rsidRPr="00447FFC">
        <w:rPr>
          <w:bCs/>
          <w:sz w:val="24"/>
          <w:lang w:eastAsia="zh-CN"/>
        </w:rPr>
        <w:t>-</w:t>
      </w:r>
      <w:r w:rsidRPr="00447FFC">
        <w:rPr>
          <w:bCs/>
          <w:sz w:val="24"/>
          <w:lang w:eastAsia="zh-CN"/>
        </w:rPr>
        <w:t>蒙特利尔全球生物多样性框架》，特别是其中关于外来入侵物种的行动目标</w:t>
      </w:r>
      <w:r w:rsidRPr="00447FFC">
        <w:rPr>
          <w:bCs/>
          <w:sz w:val="24"/>
          <w:lang w:eastAsia="zh-CN"/>
        </w:rPr>
        <w:t>6</w:t>
      </w:r>
      <w:r w:rsidRPr="00447FFC">
        <w:rPr>
          <w:bCs/>
          <w:sz w:val="24"/>
          <w:lang w:eastAsia="zh-CN"/>
        </w:rPr>
        <w:t>以及其他相关的行动目标。</w:t>
      </w:r>
    </w:p>
    <w:p w14:paraId="2D40CC43" w14:textId="77777777" w:rsidR="003D18A0" w:rsidRPr="003D18A0" w:rsidRDefault="003D18A0" w:rsidP="00447FFC">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本建议并不试图修改《公约》或任何其他国际协定为缔约方规定的现有权利和义务。</w:t>
      </w:r>
    </w:p>
    <w:p w14:paraId="29E8E44F"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0"/>
        <w:rPr>
          <w:b/>
          <w:caps/>
          <w:sz w:val="24"/>
          <w:szCs w:val="24"/>
          <w:lang w:val="en-CA" w:eastAsia="zh-CN"/>
        </w:rPr>
      </w:pPr>
      <w:r w:rsidRPr="003D18A0">
        <w:rPr>
          <w:b/>
          <w:caps/>
          <w:sz w:val="24"/>
          <w:szCs w:val="24"/>
          <w:lang w:val="en-CA" w:eastAsia="zh-CN"/>
        </w:rPr>
        <w:t>一</w:t>
      </w:r>
      <w:r w:rsidRPr="003D18A0">
        <w:rPr>
          <w:b/>
          <w:caps/>
          <w:sz w:val="24"/>
          <w:szCs w:val="24"/>
          <w:lang w:val="en-CA" w:eastAsia="zh-CN"/>
        </w:rPr>
        <w:t xml:space="preserve">.  </w:t>
      </w:r>
      <w:r w:rsidRPr="003D18A0">
        <w:rPr>
          <w:b/>
          <w:caps/>
          <w:sz w:val="24"/>
          <w:szCs w:val="24"/>
          <w:lang w:val="en-CA" w:eastAsia="zh-CN"/>
        </w:rPr>
        <w:t>利用卫生和植物检疫措施</w:t>
      </w:r>
    </w:p>
    <w:p w14:paraId="668B667D"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r w:rsidRPr="003D18A0">
        <w:rPr>
          <w:bCs/>
          <w:sz w:val="24"/>
          <w:lang w:val="en-CA" w:eastAsia="zh-CN"/>
        </w:rPr>
        <w:t>:</w:t>
      </w:r>
    </w:p>
    <w:p w14:paraId="0CE7C7AB"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加强相关部委和部门（例如环境卫生、植物检疫和人类健康主管部门）之间的合作，以实施有助于防止外来入侵物种和潜在外来入侵物种的引进和传播以及疾病蔓延的卫生和植物检疫措施。例如，合作可以包括确定国家和区域优先事项、完成风险评估、开展监测活动、制定应对计划、共享信息和交流专门知识</w:t>
      </w:r>
      <w:r w:rsidRPr="003D18A0">
        <w:rPr>
          <w:sz w:val="24"/>
          <w:szCs w:val="24"/>
          <w:lang w:val="en-CA" w:eastAsia="zh-CN"/>
        </w:rPr>
        <w:t>;</w:t>
      </w:r>
    </w:p>
    <w:p w14:paraId="32E3A112"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扩大应用卫生和植物检疫措施不只是适用于农业方面，也为了保护自然环境、生物多样性和人类健康，并根据相关公约的授权，考虑跨部门合作和技术转让的必要性；</w:t>
      </w:r>
      <w:r w:rsidRPr="003D18A0">
        <w:rPr>
          <w:sz w:val="24"/>
          <w:szCs w:val="24"/>
          <w:lang w:val="en-CA" w:eastAsia="zh-CN"/>
        </w:rPr>
        <w:t xml:space="preserve"> </w:t>
      </w:r>
    </w:p>
    <w:p w14:paraId="61A700FC"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在适当情况下利用在《国际植物保护公约》和世界动物卫生组织之下编制的材料，加强能力并制定国家监管框架和国家生物安全战略，以应对与外来入侵物种和潜在外来入侵物种相关的风险；</w:t>
      </w:r>
    </w:p>
    <w:p w14:paraId="5EDDAE65"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通过定期协调和沟通、确定共同优先事项和协调努力，改善区域合作，支持实现行动目标</w:t>
      </w:r>
      <w:r w:rsidRPr="003D18A0">
        <w:rPr>
          <w:sz w:val="24"/>
          <w:szCs w:val="24"/>
          <w:lang w:val="en-CA" w:eastAsia="zh-CN"/>
        </w:rPr>
        <w:t>6</w:t>
      </w:r>
      <w:r w:rsidRPr="003D18A0">
        <w:rPr>
          <w:sz w:val="24"/>
          <w:szCs w:val="24"/>
          <w:lang w:val="en-CA" w:eastAsia="zh-CN"/>
        </w:rPr>
        <w:t>。这可以通过《国际植物保护公约》提供支持，利用区域植物保护组织的模式，促进在外来入侵物种方面的合作</w:t>
      </w:r>
      <w:r w:rsidRPr="003D18A0">
        <w:rPr>
          <w:sz w:val="24"/>
          <w:szCs w:val="24"/>
          <w:lang w:val="en-CA" w:eastAsia="zh-CN"/>
        </w:rPr>
        <w:t>;</w:t>
      </w:r>
    </w:p>
    <w:p w14:paraId="79783347"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弥补现有的重大差距，如需要对影响野生物的病原体和外来入侵物种问题给予更多关注和指导，外来入侵物种可能是病原体或寄生虫的</w:t>
      </w:r>
      <w:r w:rsidRPr="003D18A0">
        <w:rPr>
          <w:sz w:val="24"/>
          <w:szCs w:val="24"/>
          <w:lang w:eastAsia="zh-CN"/>
        </w:rPr>
        <w:t>载体</w:t>
      </w:r>
      <w:r w:rsidRPr="003D18A0">
        <w:rPr>
          <w:sz w:val="24"/>
          <w:szCs w:val="24"/>
          <w:lang w:val="en-CA" w:eastAsia="zh-CN"/>
        </w:rPr>
        <w:t>或宿主，也可能是不符合《国际植物保护公约》对检疫性有害生物定义或未列入致病病原体清单或世界动物卫生组织清单的其他生物的载体或宿主（如入侵蚂蚁）；</w:t>
      </w:r>
    </w:p>
    <w:p w14:paraId="13541BCA"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审议如何按照世界贸易组织《关于适用卫生和植物检疫措施的协定》实施各种监管外来入侵物种的方法</w:t>
      </w:r>
      <w:r w:rsidRPr="003D18A0">
        <w:rPr>
          <w:sz w:val="24"/>
          <w:szCs w:val="24"/>
          <w:vertAlign w:val="superscript"/>
          <w:lang w:val="en-CA"/>
        </w:rPr>
        <w:footnoteReference w:id="68"/>
      </w:r>
      <w:r w:rsidRPr="003D18A0">
        <w:rPr>
          <w:sz w:val="24"/>
          <w:szCs w:val="24"/>
          <w:lang w:val="en-CA" w:eastAsia="zh-CN"/>
        </w:rPr>
        <w:t xml:space="preserve"> </w:t>
      </w:r>
      <w:r w:rsidRPr="003D18A0">
        <w:rPr>
          <w:sz w:val="24"/>
          <w:szCs w:val="24"/>
          <w:lang w:val="en-CA" w:eastAsia="zh-CN"/>
        </w:rPr>
        <w:t>（例如限制、禁止或允许的物种或杂交物种清单），以促进制定更好的监管措施</w:t>
      </w:r>
      <w:r w:rsidRPr="003D18A0">
        <w:rPr>
          <w:sz w:val="24"/>
          <w:szCs w:val="24"/>
          <w:lang w:eastAsia="zh-CN"/>
        </w:rPr>
        <w:t>和</w:t>
      </w:r>
      <w:r w:rsidRPr="003D18A0">
        <w:rPr>
          <w:sz w:val="24"/>
          <w:szCs w:val="24"/>
          <w:lang w:val="en-CA" w:eastAsia="zh-CN"/>
        </w:rPr>
        <w:t>确保透明度</w:t>
      </w:r>
      <w:r w:rsidRPr="003D18A0">
        <w:rPr>
          <w:sz w:val="24"/>
          <w:szCs w:val="24"/>
          <w:lang w:val="en-CA" w:eastAsia="zh-CN"/>
        </w:rPr>
        <w:t>;</w:t>
      </w:r>
    </w:p>
    <w:p w14:paraId="1CBAC490"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制定关于国际协定范围之外的外来入侵物种或潜在外来入侵物种</w:t>
      </w:r>
      <w:r w:rsidRPr="003D18A0">
        <w:rPr>
          <w:sz w:val="24"/>
          <w:szCs w:val="24"/>
          <w:lang w:val="en-CA" w:eastAsia="zh-CN"/>
        </w:rPr>
        <w:t xml:space="preserve"> </w:t>
      </w:r>
      <w:r w:rsidRPr="003D18A0">
        <w:rPr>
          <w:sz w:val="24"/>
          <w:szCs w:val="24"/>
          <w:lang w:val="en-CA" w:eastAsia="zh-CN"/>
        </w:rPr>
        <w:t>（例如不受卫生和植物检疫措施管制的物种）</w:t>
      </w:r>
      <w:r w:rsidRPr="003D18A0">
        <w:rPr>
          <w:sz w:val="24"/>
          <w:szCs w:val="24"/>
          <w:lang w:val="en-CA" w:eastAsia="zh-CN"/>
        </w:rPr>
        <w:t xml:space="preserve"> </w:t>
      </w:r>
      <w:r w:rsidRPr="003D18A0">
        <w:rPr>
          <w:sz w:val="24"/>
          <w:szCs w:val="24"/>
          <w:lang w:val="en-CA" w:eastAsia="zh-CN"/>
        </w:rPr>
        <w:t>指南。</w:t>
      </w:r>
    </w:p>
    <w:p w14:paraId="44139A49"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0"/>
        <w:rPr>
          <w:b/>
          <w:caps/>
          <w:sz w:val="24"/>
          <w:szCs w:val="24"/>
          <w:lang w:val="en-CA" w:eastAsia="zh-CN"/>
        </w:rPr>
      </w:pPr>
      <w:r w:rsidRPr="003D18A0">
        <w:rPr>
          <w:b/>
          <w:caps/>
          <w:sz w:val="24"/>
          <w:szCs w:val="24"/>
          <w:lang w:val="en-CA" w:eastAsia="zh-CN"/>
        </w:rPr>
        <w:lastRenderedPageBreak/>
        <w:t>二</w:t>
      </w:r>
      <w:r w:rsidRPr="003D18A0">
        <w:rPr>
          <w:b/>
          <w:caps/>
          <w:sz w:val="24"/>
          <w:szCs w:val="24"/>
          <w:lang w:val="en-CA" w:eastAsia="zh-CN"/>
        </w:rPr>
        <w:t xml:space="preserve">.   </w:t>
      </w:r>
      <w:r w:rsidRPr="003D18A0">
        <w:rPr>
          <w:b/>
          <w:caps/>
          <w:sz w:val="24"/>
          <w:szCs w:val="24"/>
          <w:lang w:val="en-CA" w:eastAsia="zh-CN"/>
        </w:rPr>
        <w:t>特定途径的管理措施</w:t>
      </w:r>
    </w:p>
    <w:p w14:paraId="3F12B16B"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以下建议涉及的途径</w:t>
      </w:r>
      <w:r w:rsidRPr="003D18A0">
        <w:rPr>
          <w:bCs/>
          <w:sz w:val="24"/>
          <w:vertAlign w:val="superscript"/>
          <w:lang w:val="en-CA"/>
        </w:rPr>
        <w:footnoteReference w:id="69"/>
      </w:r>
      <w:r w:rsidRPr="003D18A0">
        <w:rPr>
          <w:bCs/>
          <w:sz w:val="24"/>
          <w:lang w:val="en-CA" w:eastAsia="zh-CN"/>
        </w:rPr>
        <w:t>存在需要解决的具体差距和不一致之处（根据</w:t>
      </w:r>
      <w:r w:rsidRPr="003D18A0">
        <w:rPr>
          <w:bCs/>
          <w:sz w:val="24"/>
          <w:lang w:val="en-CA" w:eastAsia="zh-CN"/>
        </w:rPr>
        <w:t>2006</w:t>
      </w:r>
      <w:r w:rsidRPr="003D18A0">
        <w:rPr>
          <w:bCs/>
          <w:sz w:val="24"/>
          <w:lang w:val="en-CA" w:eastAsia="zh-CN"/>
        </w:rPr>
        <w:t>年</w:t>
      </w:r>
      <w:r w:rsidRPr="003D18A0">
        <w:rPr>
          <w:bCs/>
          <w:sz w:val="24"/>
          <w:lang w:val="en-CA" w:eastAsia="zh-CN"/>
        </w:rPr>
        <w:t>3</w:t>
      </w:r>
      <w:r w:rsidRPr="003D18A0">
        <w:rPr>
          <w:bCs/>
          <w:sz w:val="24"/>
          <w:lang w:val="en-CA" w:eastAsia="zh-CN"/>
        </w:rPr>
        <w:t>月</w:t>
      </w:r>
      <w:r w:rsidRPr="003D18A0">
        <w:rPr>
          <w:bCs/>
          <w:sz w:val="24"/>
          <w:lang w:val="en-CA" w:eastAsia="zh-CN"/>
        </w:rPr>
        <w:t>31</w:t>
      </w:r>
      <w:r w:rsidRPr="003D18A0">
        <w:rPr>
          <w:bCs/>
          <w:sz w:val="24"/>
          <w:lang w:val="en-CA" w:eastAsia="zh-CN"/>
        </w:rPr>
        <w:t>日生物多样性公约缔约方大会第</w:t>
      </w:r>
      <w:r w:rsidRPr="003D18A0">
        <w:fldChar w:fldCharType="begin"/>
      </w:r>
      <w:r w:rsidRPr="003D18A0">
        <w:rPr>
          <w:lang w:eastAsia="zh-CN"/>
        </w:rPr>
        <w:instrText>HYPERLINK "https://www.cbd.int/doc/decisions/cop-08/full/cop-08-dec-zh.pdf"</w:instrText>
      </w:r>
      <w:r w:rsidRPr="003D18A0">
        <w:fldChar w:fldCharType="separate"/>
      </w:r>
      <w:r w:rsidRPr="003D18A0">
        <w:rPr>
          <w:bCs/>
          <w:color w:val="0000FF"/>
          <w:sz w:val="24"/>
          <w:u w:val="single"/>
          <w:lang w:val="en-GB" w:eastAsia="zh-CN"/>
        </w:rPr>
        <w:t>VIII/27</w:t>
      </w:r>
      <w:r w:rsidRPr="003D18A0">
        <w:rPr>
          <w:bCs/>
          <w:color w:val="0000FF"/>
          <w:sz w:val="24"/>
          <w:u w:val="single"/>
          <w:lang w:val="en-GB" w:eastAsia="zh-CN"/>
        </w:rPr>
        <w:fldChar w:fldCharType="end"/>
      </w:r>
      <w:r w:rsidRPr="003D18A0">
        <w:rPr>
          <w:bCs/>
          <w:sz w:val="24"/>
          <w:lang w:val="en-CA" w:eastAsia="zh-CN"/>
        </w:rPr>
        <w:t>号决定，第</w:t>
      </w:r>
      <w:r w:rsidRPr="003D18A0">
        <w:rPr>
          <w:bCs/>
          <w:sz w:val="24"/>
          <w:lang w:val="en-CA" w:eastAsia="zh-CN"/>
        </w:rPr>
        <w:t>16</w:t>
      </w:r>
      <w:r w:rsidRPr="003D18A0">
        <w:rPr>
          <w:bCs/>
          <w:sz w:val="24"/>
          <w:lang w:val="en-CA" w:eastAsia="zh-CN"/>
        </w:rPr>
        <w:t>、</w:t>
      </w:r>
      <w:r w:rsidRPr="003D18A0">
        <w:rPr>
          <w:bCs/>
          <w:sz w:val="24"/>
          <w:lang w:val="en-CA" w:eastAsia="zh-CN"/>
        </w:rPr>
        <w:t>29-37</w:t>
      </w:r>
      <w:r w:rsidRPr="003D18A0">
        <w:rPr>
          <w:bCs/>
          <w:sz w:val="24"/>
          <w:lang w:val="en-CA" w:eastAsia="zh-CN"/>
        </w:rPr>
        <w:t>、</w:t>
      </w:r>
      <w:r w:rsidRPr="003D18A0">
        <w:rPr>
          <w:bCs/>
          <w:sz w:val="24"/>
          <w:lang w:val="en-CA" w:eastAsia="zh-CN"/>
        </w:rPr>
        <w:t>40-44</w:t>
      </w:r>
      <w:r w:rsidRPr="003D18A0">
        <w:rPr>
          <w:bCs/>
          <w:sz w:val="24"/>
          <w:lang w:val="en-CA" w:eastAsia="zh-CN"/>
        </w:rPr>
        <w:t>、</w:t>
      </w:r>
      <w:r w:rsidRPr="003D18A0">
        <w:rPr>
          <w:bCs/>
          <w:sz w:val="24"/>
          <w:lang w:val="en-CA" w:eastAsia="zh-CN"/>
        </w:rPr>
        <w:t>49-51</w:t>
      </w:r>
      <w:r w:rsidRPr="003D18A0">
        <w:rPr>
          <w:bCs/>
          <w:sz w:val="24"/>
          <w:lang w:val="en-CA" w:eastAsia="zh-CN"/>
        </w:rPr>
        <w:t>、</w:t>
      </w:r>
      <w:r w:rsidRPr="003D18A0">
        <w:rPr>
          <w:bCs/>
          <w:sz w:val="24"/>
          <w:lang w:val="en-CA" w:eastAsia="zh-CN"/>
        </w:rPr>
        <w:t>58</w:t>
      </w:r>
      <w:r w:rsidRPr="003D18A0">
        <w:rPr>
          <w:bCs/>
          <w:sz w:val="24"/>
          <w:lang w:val="en-CA" w:eastAsia="zh-CN"/>
        </w:rPr>
        <w:t>和</w:t>
      </w:r>
      <w:r w:rsidRPr="003D18A0">
        <w:rPr>
          <w:bCs/>
          <w:sz w:val="24"/>
          <w:lang w:val="en-CA" w:eastAsia="zh-CN"/>
        </w:rPr>
        <w:t>59</w:t>
      </w:r>
      <w:r w:rsidRPr="003D18A0">
        <w:rPr>
          <w:bCs/>
          <w:sz w:val="24"/>
          <w:lang w:val="en-CA" w:eastAsia="zh-CN"/>
        </w:rPr>
        <w:t>段）。</w:t>
      </w:r>
    </w:p>
    <w:p w14:paraId="4B2D39FA"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1"/>
        <w:rPr>
          <w:b/>
          <w:bCs/>
          <w:sz w:val="24"/>
          <w:szCs w:val="24"/>
          <w:lang w:val="en-CA"/>
        </w:rPr>
      </w:pPr>
      <w:r w:rsidRPr="003D18A0">
        <w:rPr>
          <w:b/>
          <w:bCs/>
          <w:sz w:val="24"/>
          <w:szCs w:val="24"/>
          <w:lang w:val="en-CA"/>
        </w:rPr>
        <w:t>A.</w:t>
      </w:r>
      <w:r w:rsidRPr="003D18A0">
        <w:rPr>
          <w:b/>
          <w:bCs/>
          <w:sz w:val="24"/>
          <w:szCs w:val="24"/>
          <w:lang w:val="en-CA"/>
        </w:rPr>
        <w:tab/>
      </w:r>
      <w:proofErr w:type="spellStart"/>
      <w:r w:rsidRPr="003D18A0">
        <w:rPr>
          <w:b/>
          <w:bCs/>
          <w:sz w:val="24"/>
          <w:szCs w:val="24"/>
          <w:lang w:val="en-CA"/>
        </w:rPr>
        <w:t>跨流域调水和航道</w:t>
      </w:r>
      <w:proofErr w:type="spellEnd"/>
    </w:p>
    <w:p w14:paraId="2115F913"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p>
    <w:p w14:paraId="63010BCB" w14:textId="77777777" w:rsidR="003D18A0" w:rsidRPr="003D18A0" w:rsidRDefault="003D18A0" w:rsidP="00E06312">
      <w:pPr>
        <w:numPr>
          <w:ilvl w:val="0"/>
          <w:numId w:val="22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支持批准和执行适用于所有海上交通的相关国际海事协定和准则（例如《控制和管理船舶压载水和沉积物国际公约》</w:t>
      </w:r>
      <w:r w:rsidRPr="003D18A0">
        <w:rPr>
          <w:sz w:val="24"/>
          <w:szCs w:val="24"/>
          <w:vertAlign w:val="superscript"/>
          <w:lang w:val="en-CA"/>
        </w:rPr>
        <w:footnoteReference w:id="70"/>
      </w:r>
      <w:r w:rsidRPr="003D18A0">
        <w:rPr>
          <w:sz w:val="24"/>
          <w:szCs w:val="24"/>
          <w:lang w:val="en-CA" w:eastAsia="zh-CN"/>
        </w:rPr>
        <w:t>和《控制和管理船舶生物污损以尽量减少水生入侵物种转移的准则》</w:t>
      </w:r>
      <w:r w:rsidRPr="003D18A0">
        <w:rPr>
          <w:sz w:val="24"/>
          <w:szCs w:val="24"/>
          <w:vertAlign w:val="superscript"/>
          <w:lang w:val="en-CA"/>
        </w:rPr>
        <w:footnoteReference w:id="71"/>
      </w:r>
      <w:r w:rsidRPr="003D18A0">
        <w:rPr>
          <w:sz w:val="24"/>
          <w:szCs w:val="24"/>
          <w:lang w:val="en-CA" w:eastAsia="zh-CN"/>
        </w:rPr>
        <w:t>），以最大限度地减少外来入侵物种和潜在外来入侵物种通过</w:t>
      </w:r>
      <w:r w:rsidRPr="003D18A0">
        <w:rPr>
          <w:sz w:val="24"/>
          <w:szCs w:val="24"/>
          <w:lang w:eastAsia="zh-CN"/>
        </w:rPr>
        <w:t>航运路线</w:t>
      </w:r>
      <w:r w:rsidRPr="003D18A0">
        <w:rPr>
          <w:sz w:val="24"/>
          <w:szCs w:val="24"/>
          <w:lang w:val="en-CA" w:eastAsia="zh-CN"/>
        </w:rPr>
        <w:t>的传播；</w:t>
      </w:r>
    </w:p>
    <w:p w14:paraId="3A2E45EF" w14:textId="77777777" w:rsidR="003D18A0" w:rsidRPr="003D18A0" w:rsidRDefault="003D18A0" w:rsidP="00E06312">
      <w:pPr>
        <w:numPr>
          <w:ilvl w:val="0"/>
          <w:numId w:val="22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加强区域合作，对与跨流域水道具体相关的外来入侵物种和潜在外来入侵物种进行规划、监测和数据交流，以便建立预警和快速反应系统，研究和采用方法，以减少通过这些渠道发生的新的入侵</w:t>
      </w:r>
      <w:r w:rsidRPr="003D18A0">
        <w:rPr>
          <w:sz w:val="24"/>
          <w:szCs w:val="24"/>
          <w:vertAlign w:val="superscript"/>
          <w:lang w:val="en-CA"/>
        </w:rPr>
        <w:footnoteReference w:id="72"/>
      </w:r>
      <w:r w:rsidRPr="003D18A0">
        <w:rPr>
          <w:sz w:val="24"/>
          <w:szCs w:val="24"/>
          <w:lang w:val="en-CA" w:eastAsia="zh-CN"/>
        </w:rPr>
        <w:t>；</w:t>
      </w:r>
    </w:p>
    <w:p w14:paraId="1C3DBDD7" w14:textId="77777777" w:rsidR="003D18A0" w:rsidRPr="003D18A0" w:rsidRDefault="003D18A0" w:rsidP="00E06312">
      <w:pPr>
        <w:numPr>
          <w:ilvl w:val="0"/>
          <w:numId w:val="22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与相关利益攸关方协商，包括在获得其自由、事先和知情同意</w:t>
      </w:r>
      <w:r w:rsidRPr="003D18A0">
        <w:rPr>
          <w:sz w:val="24"/>
          <w:szCs w:val="24"/>
          <w:vertAlign w:val="superscript"/>
          <w:lang w:val="en-GB" w:eastAsia="zh-CN"/>
        </w:rPr>
        <w:footnoteReference w:id="73"/>
      </w:r>
      <w:r w:rsidRPr="003D18A0">
        <w:rPr>
          <w:sz w:val="24"/>
          <w:szCs w:val="24"/>
          <w:lang w:val="en-CA" w:eastAsia="zh-CN"/>
        </w:rPr>
        <w:t>后与土著人民和地方社区以及依赖水道的其他群体（如船民和游艇使用者）协商，在内陆水道和沿海基础设施的规划、开发和管理程序中促进采取措施，防止外来入侵物种的引入、立足和传播。此类措施可包括培训港口国当局和相关利益攸关方进行控制和检查</w:t>
      </w:r>
      <w:r w:rsidRPr="003D18A0">
        <w:rPr>
          <w:sz w:val="24"/>
          <w:szCs w:val="24"/>
          <w:lang w:val="en-CA" w:eastAsia="zh-CN"/>
        </w:rPr>
        <w:t>;</w:t>
      </w:r>
    </w:p>
    <w:p w14:paraId="07A896AF" w14:textId="77777777" w:rsidR="003D18A0" w:rsidRPr="003D18A0" w:rsidRDefault="003D18A0" w:rsidP="00E06312">
      <w:pPr>
        <w:numPr>
          <w:ilvl w:val="0"/>
          <w:numId w:val="22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要求进行影响评估，确保在调水方案和运河项目中考虑到外来入侵物种和潜在外来入侵物种的因素，并为制定防止或尽量减少这些物种通过运河和管道引入或传播的方法和机制提供技术咨询</w:t>
      </w:r>
      <w:r w:rsidRPr="003D18A0">
        <w:rPr>
          <w:sz w:val="24"/>
          <w:szCs w:val="24"/>
          <w:vertAlign w:val="superscript"/>
          <w:lang w:val="en-CA"/>
        </w:rPr>
        <w:footnoteReference w:id="74"/>
      </w:r>
      <w:r w:rsidRPr="003D18A0">
        <w:rPr>
          <w:sz w:val="24"/>
          <w:szCs w:val="24"/>
          <w:lang w:val="en-CA" w:eastAsia="zh-CN"/>
        </w:rPr>
        <w:t>。</w:t>
      </w:r>
    </w:p>
    <w:p w14:paraId="69A9662D"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1"/>
        <w:rPr>
          <w:b/>
          <w:bCs/>
          <w:sz w:val="24"/>
          <w:szCs w:val="24"/>
          <w:lang w:val="en-CA"/>
        </w:rPr>
      </w:pPr>
      <w:r w:rsidRPr="003D18A0">
        <w:rPr>
          <w:b/>
          <w:bCs/>
          <w:sz w:val="24"/>
          <w:szCs w:val="24"/>
          <w:lang w:val="en-CA"/>
        </w:rPr>
        <w:t>B.</w:t>
      </w:r>
      <w:r w:rsidRPr="003D18A0">
        <w:rPr>
          <w:b/>
          <w:bCs/>
          <w:sz w:val="24"/>
          <w:szCs w:val="24"/>
          <w:lang w:val="en-CA"/>
        </w:rPr>
        <w:tab/>
      </w:r>
      <w:r w:rsidRPr="003D18A0">
        <w:rPr>
          <w:b/>
          <w:bCs/>
          <w:sz w:val="24"/>
          <w:szCs w:val="24"/>
          <w:lang w:val="en-CA" w:eastAsia="zh-CN"/>
        </w:rPr>
        <w:t>海运集装箱和货物</w:t>
      </w:r>
    </w:p>
    <w:p w14:paraId="22C1CBCE"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p>
    <w:p w14:paraId="7FB4502F" w14:textId="77777777" w:rsidR="003D18A0" w:rsidRPr="003D18A0" w:rsidRDefault="003D18A0" w:rsidP="00E06312">
      <w:pPr>
        <w:numPr>
          <w:ilvl w:val="0"/>
          <w:numId w:val="229"/>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提高对海运集装箱问题及其在运输外来物种或外来入侵物种方面的作用的认识，无论这些集装箱装载哪类货物；</w:t>
      </w:r>
    </w:p>
    <w:p w14:paraId="43751DAD" w14:textId="77777777" w:rsidR="003D18A0" w:rsidRPr="003D18A0" w:rsidRDefault="003D18A0" w:rsidP="00E06312">
      <w:pPr>
        <w:numPr>
          <w:ilvl w:val="0"/>
          <w:numId w:val="229"/>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进一步加强包括《国际植物保护公约》、世界动物卫生组织、国际海事组织和世界海关组织在内的相关组织、企业部门和相关利益攸关方之间的合作，酌情制定统一的业务标准和指导方针，以应对通过海运集装箱形成的现有和潜在的生物</w:t>
      </w:r>
      <w:r w:rsidRPr="003D18A0">
        <w:rPr>
          <w:sz w:val="24"/>
          <w:szCs w:val="24"/>
          <w:lang w:val="en-CA" w:eastAsia="zh-CN"/>
        </w:rPr>
        <w:lastRenderedPageBreak/>
        <w:t>入侵途径（污染物、偷渡者或搭便车者），同时考虑到装货前对海运集装箱的适当处理</w:t>
      </w:r>
      <w:r w:rsidRPr="003D18A0">
        <w:rPr>
          <w:sz w:val="24"/>
          <w:szCs w:val="24"/>
          <w:vertAlign w:val="superscript"/>
          <w:lang w:val="en-CA"/>
        </w:rPr>
        <w:footnoteReference w:id="75"/>
      </w:r>
      <w:r w:rsidRPr="003D18A0">
        <w:rPr>
          <w:sz w:val="24"/>
          <w:szCs w:val="24"/>
          <w:lang w:val="en-CA" w:eastAsia="zh-CN"/>
        </w:rPr>
        <w:t>；</w:t>
      </w:r>
    </w:p>
    <w:p w14:paraId="7F004066" w14:textId="77777777" w:rsidR="003D18A0" w:rsidRPr="003D18A0" w:rsidRDefault="003D18A0" w:rsidP="00E06312">
      <w:pPr>
        <w:numPr>
          <w:ilvl w:val="0"/>
          <w:numId w:val="229"/>
        </w:numPr>
        <w:tabs>
          <w:tab w:val="clear" w:pos="567"/>
          <w:tab w:val="clear" w:pos="1134"/>
          <w:tab w:val="clear" w:pos="1701"/>
          <w:tab w:val="clear" w:pos="2268"/>
        </w:tabs>
        <w:adjustRightInd w:val="0"/>
        <w:snapToGrid w:val="0"/>
        <w:spacing w:before="120" w:after="120" w:line="240" w:lineRule="atLeast"/>
        <w:ind w:left="490" w:firstLine="490"/>
        <w:jc w:val="left"/>
        <w:rPr>
          <w:b/>
          <w:bCs/>
          <w:sz w:val="24"/>
          <w:szCs w:val="24"/>
          <w:lang w:val="en-CA" w:eastAsia="zh-CN"/>
        </w:rPr>
      </w:pPr>
      <w:r w:rsidRPr="003D18A0">
        <w:rPr>
          <w:sz w:val="24"/>
          <w:szCs w:val="24"/>
          <w:lang w:val="en-CA" w:eastAsia="zh-CN"/>
        </w:rPr>
        <w:t>避免经由海运集装箱引入和传播外来入侵物种和潜在外来入侵物种（根据第</w:t>
      </w:r>
      <w:r w:rsidRPr="003D18A0">
        <w:fldChar w:fldCharType="begin"/>
      </w:r>
      <w:r w:rsidRPr="003D18A0">
        <w:rPr>
          <w:lang w:eastAsia="zh-CN"/>
        </w:rPr>
        <w:instrText>HYPERLINK "https://www.cbd.int/doc/decisions/cop-13/cop-13-dec-13-zh.pdf"</w:instrText>
      </w:r>
      <w:r w:rsidRPr="003D18A0">
        <w:fldChar w:fldCharType="separate"/>
      </w:r>
      <w:r w:rsidRPr="003D18A0">
        <w:rPr>
          <w:color w:val="0000FF"/>
          <w:kern w:val="22"/>
          <w:sz w:val="24"/>
          <w:szCs w:val="24"/>
          <w:u w:val="single"/>
          <w:lang w:val="en-GB" w:eastAsia="zh-CN"/>
        </w:rPr>
        <w:t>XIII/13</w:t>
      </w:r>
      <w:r w:rsidRPr="003D18A0">
        <w:rPr>
          <w:color w:val="0000FF"/>
          <w:kern w:val="22"/>
          <w:sz w:val="24"/>
          <w:szCs w:val="24"/>
          <w:u w:val="single"/>
          <w:lang w:val="en-GB" w:eastAsia="zh-CN"/>
        </w:rPr>
        <w:fldChar w:fldCharType="end"/>
      </w:r>
      <w:r w:rsidRPr="003D18A0">
        <w:rPr>
          <w:sz w:val="24"/>
          <w:szCs w:val="24"/>
          <w:lang w:val="en-CA" w:eastAsia="zh-CN"/>
        </w:rPr>
        <w:t>号决定，第</w:t>
      </w:r>
      <w:r w:rsidRPr="003D18A0">
        <w:rPr>
          <w:sz w:val="24"/>
          <w:szCs w:val="24"/>
          <w:lang w:val="en-CA" w:eastAsia="zh-CN"/>
        </w:rPr>
        <w:t>11</w:t>
      </w:r>
      <w:r w:rsidRPr="003D18A0">
        <w:rPr>
          <w:sz w:val="24"/>
          <w:szCs w:val="24"/>
          <w:lang w:val="en-CA" w:eastAsia="zh-CN"/>
        </w:rPr>
        <w:t>段，第</w:t>
      </w:r>
      <w:r w:rsidRPr="003D18A0">
        <w:fldChar w:fldCharType="begin"/>
      </w:r>
      <w:r w:rsidRPr="003D18A0">
        <w:rPr>
          <w:lang w:eastAsia="zh-CN"/>
        </w:rPr>
        <w:instrText>HYPERLINK "https://www.cbd.int/doc/decisions/cop-14/cop-14-dec-11-zh.pdf"</w:instrText>
      </w:r>
      <w:r w:rsidRPr="003D18A0">
        <w:fldChar w:fldCharType="separate"/>
      </w:r>
      <w:r w:rsidRPr="003D18A0">
        <w:rPr>
          <w:color w:val="0000FF"/>
          <w:kern w:val="22"/>
          <w:sz w:val="24"/>
          <w:szCs w:val="24"/>
          <w:u w:val="single"/>
          <w:lang w:val="en-GB" w:eastAsia="zh-CN"/>
        </w:rPr>
        <w:t>14/11</w:t>
      </w:r>
      <w:r w:rsidRPr="003D18A0">
        <w:rPr>
          <w:color w:val="0000FF"/>
          <w:kern w:val="22"/>
          <w:sz w:val="24"/>
          <w:szCs w:val="24"/>
          <w:u w:val="single"/>
          <w:lang w:val="en-GB" w:eastAsia="zh-CN"/>
        </w:rPr>
        <w:fldChar w:fldCharType="end"/>
      </w:r>
      <w:r w:rsidRPr="003D18A0">
        <w:rPr>
          <w:sz w:val="24"/>
          <w:szCs w:val="24"/>
          <w:lang w:val="en-CA" w:eastAsia="zh-CN"/>
        </w:rPr>
        <w:t>号决定，附件一，第</w:t>
      </w:r>
      <w:r w:rsidRPr="003D18A0">
        <w:rPr>
          <w:sz w:val="24"/>
          <w:szCs w:val="24"/>
          <w:lang w:val="en-CA" w:eastAsia="zh-CN"/>
        </w:rPr>
        <w:t>10</w:t>
      </w:r>
      <w:r w:rsidRPr="003D18A0">
        <w:rPr>
          <w:sz w:val="24"/>
          <w:szCs w:val="24"/>
          <w:lang w:val="en-CA" w:eastAsia="zh-CN"/>
        </w:rPr>
        <w:t>和第</w:t>
      </w:r>
      <w:r w:rsidRPr="003D18A0">
        <w:rPr>
          <w:sz w:val="24"/>
          <w:szCs w:val="24"/>
          <w:lang w:val="en-CA" w:eastAsia="zh-CN"/>
        </w:rPr>
        <w:t>34–36</w:t>
      </w:r>
      <w:r w:rsidRPr="003D18A0">
        <w:rPr>
          <w:sz w:val="24"/>
          <w:szCs w:val="24"/>
          <w:lang w:val="en-CA" w:eastAsia="zh-CN"/>
        </w:rPr>
        <w:t>段和其他相关国际指南）</w:t>
      </w:r>
      <w:r w:rsidRPr="003D18A0">
        <w:rPr>
          <w:sz w:val="24"/>
          <w:szCs w:val="24"/>
          <w:vertAlign w:val="superscript"/>
          <w:lang w:val="en-CA" w:eastAsia="zh-CN"/>
        </w:rPr>
        <w:t xml:space="preserve"> </w:t>
      </w:r>
      <w:r w:rsidRPr="003D18A0">
        <w:rPr>
          <w:sz w:val="24"/>
          <w:szCs w:val="24"/>
          <w:vertAlign w:val="superscript"/>
          <w:lang w:val="en-CA"/>
        </w:rPr>
        <w:footnoteReference w:id="76"/>
      </w:r>
      <w:r w:rsidRPr="003D18A0">
        <w:rPr>
          <w:sz w:val="24"/>
          <w:szCs w:val="24"/>
          <w:lang w:val="en-CA" w:eastAsia="zh-CN"/>
        </w:rPr>
        <w:t>，并确保海运集装箱供应链中的贸易伙伴在承担其保管责任时履行尽职义务，在将集装箱移交给供应链中下一个责任方之前，核实集装箱没有可见的害虫污染。</w:t>
      </w:r>
    </w:p>
    <w:p w14:paraId="47B37EFE"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kern w:val="22"/>
          <w:sz w:val="24"/>
          <w:szCs w:val="24"/>
          <w:lang w:val="en-CA"/>
        </w:rPr>
      </w:pPr>
      <w:r w:rsidRPr="003D18A0">
        <w:rPr>
          <w:b/>
          <w:bCs/>
          <w:sz w:val="24"/>
          <w:szCs w:val="24"/>
          <w:lang w:val="en-CA"/>
        </w:rPr>
        <w:t>C.</w:t>
      </w:r>
      <w:r w:rsidRPr="003D18A0">
        <w:rPr>
          <w:b/>
          <w:bCs/>
          <w:sz w:val="24"/>
          <w:szCs w:val="24"/>
          <w:lang w:val="en-CA"/>
        </w:rPr>
        <w:tab/>
      </w:r>
      <w:proofErr w:type="spellStart"/>
      <w:r w:rsidRPr="003D18A0">
        <w:rPr>
          <w:b/>
          <w:bCs/>
          <w:sz w:val="24"/>
          <w:szCs w:val="24"/>
          <w:lang w:val="en-CA"/>
        </w:rPr>
        <w:t>海洋生物污损</w:t>
      </w:r>
      <w:proofErr w:type="spellEnd"/>
    </w:p>
    <w:p w14:paraId="4C1BAC84"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ja-JP"/>
        </w:rPr>
      </w:pPr>
      <w:r w:rsidRPr="003D18A0">
        <w:rPr>
          <w:bCs/>
          <w:sz w:val="24"/>
          <w:lang w:val="en-CA" w:eastAsia="zh-CN"/>
        </w:rPr>
        <w:t>建议各缔约方、组织和利益攸关方酌情采取以下行动</w:t>
      </w:r>
      <w:r w:rsidRPr="003D18A0">
        <w:rPr>
          <w:bCs/>
          <w:sz w:val="24"/>
          <w:lang w:val="en-CA" w:eastAsia="zh-CN"/>
        </w:rPr>
        <w:t>:</w:t>
      </w:r>
    </w:p>
    <w:p w14:paraId="5CB6206A" w14:textId="77777777" w:rsidR="003D18A0" w:rsidRPr="003D18A0" w:rsidRDefault="003D18A0" w:rsidP="00E06312">
      <w:pPr>
        <w:numPr>
          <w:ilvl w:val="0"/>
          <w:numId w:val="23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制定和推广新法规，以防止和解决海上风力发电场、石油平台、港口和海岸防护设施等海洋基础设施的生物污染问题；</w:t>
      </w:r>
    </w:p>
    <w:p w14:paraId="520661E4" w14:textId="77777777" w:rsidR="003D18A0" w:rsidRPr="003D18A0" w:rsidRDefault="003D18A0" w:rsidP="00E06312">
      <w:pPr>
        <w:numPr>
          <w:ilvl w:val="0"/>
          <w:numId w:val="23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就防止外来入侵物种的引入和传播向航运和船舶利益攸关方提供信息和培训（例如，提高对出版物《游艇生物污损管理》中所载建议的认识）</w:t>
      </w:r>
      <w:r w:rsidRPr="003D18A0">
        <w:rPr>
          <w:sz w:val="24"/>
          <w:szCs w:val="24"/>
          <w:vertAlign w:val="superscript"/>
          <w:lang w:val="en-CA"/>
        </w:rPr>
        <w:footnoteReference w:id="77"/>
      </w:r>
      <w:r w:rsidRPr="003D18A0">
        <w:rPr>
          <w:sz w:val="24"/>
          <w:szCs w:val="24"/>
          <w:lang w:val="en-CA" w:eastAsia="zh-CN"/>
        </w:rPr>
        <w:t>；</w:t>
      </w:r>
    </w:p>
    <w:p w14:paraId="59E64A6F" w14:textId="77777777" w:rsidR="003D18A0" w:rsidRPr="003D18A0" w:rsidRDefault="003D18A0" w:rsidP="00E06312">
      <w:pPr>
        <w:numPr>
          <w:ilvl w:val="0"/>
          <w:numId w:val="23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ja-JP"/>
        </w:rPr>
      </w:pPr>
      <w:r w:rsidRPr="003D18A0">
        <w:rPr>
          <w:sz w:val="24"/>
          <w:szCs w:val="24"/>
          <w:lang w:val="en-CA" w:eastAsia="zh-CN"/>
        </w:rPr>
        <w:t>制定缓解措施和方案，防止引入或传播水生外来入侵物种和潜在外来入侵物种。这些措施尤其重要，因为这类物种一旦立足，几乎不可能根除。</w:t>
      </w:r>
    </w:p>
    <w:p w14:paraId="72C25FA9"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rPr>
      </w:pPr>
      <w:r w:rsidRPr="003D18A0">
        <w:rPr>
          <w:b/>
          <w:bCs/>
          <w:sz w:val="24"/>
          <w:szCs w:val="24"/>
          <w:lang w:val="en-CA"/>
        </w:rPr>
        <w:t>D</w:t>
      </w:r>
      <w:r w:rsidRPr="003D18A0">
        <w:rPr>
          <w:b/>
          <w:bCs/>
          <w:i/>
          <w:iCs/>
          <w:sz w:val="24"/>
          <w:szCs w:val="24"/>
          <w:lang w:val="en-CA"/>
        </w:rPr>
        <w:t>.</w:t>
      </w:r>
      <w:r w:rsidRPr="003D18A0">
        <w:rPr>
          <w:b/>
          <w:bCs/>
          <w:i/>
          <w:iCs/>
          <w:sz w:val="24"/>
          <w:szCs w:val="24"/>
          <w:lang w:val="en-CA"/>
        </w:rPr>
        <w:tab/>
      </w:r>
      <w:proofErr w:type="spellStart"/>
      <w:r w:rsidRPr="003D18A0">
        <w:rPr>
          <w:b/>
          <w:bCs/>
          <w:sz w:val="24"/>
          <w:szCs w:val="24"/>
          <w:lang w:val="en-CA"/>
        </w:rPr>
        <w:t>国际发展援助</w:t>
      </w:r>
      <w:proofErr w:type="spellEnd"/>
    </w:p>
    <w:p w14:paraId="25DCC058"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p>
    <w:p w14:paraId="20CBC3D1" w14:textId="77777777" w:rsidR="003D18A0" w:rsidRPr="003D18A0" w:rsidRDefault="003D18A0" w:rsidP="00E06312">
      <w:pPr>
        <w:numPr>
          <w:ilvl w:val="0"/>
          <w:numId w:val="231"/>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t>与国际援助方案合作，支持发展中国家进行能力建设、资源调动和信息共享，以评估和管理引入外来入侵物种的风险。发达国家可以在促进这一进程中发挥关键作用；</w:t>
      </w:r>
    </w:p>
    <w:p w14:paraId="4423E638" w14:textId="77777777" w:rsidR="003D18A0" w:rsidRPr="003D18A0" w:rsidRDefault="003D18A0" w:rsidP="00E06312">
      <w:pPr>
        <w:numPr>
          <w:ilvl w:val="0"/>
          <w:numId w:val="231"/>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t>帮助确保援助机构在其倡议、项目、方案和协议中考虑到程序或行为守则，以最大限度地减少或避免引入和传播外来入侵物种和潜在外来入侵物种。</w:t>
      </w:r>
    </w:p>
    <w:p w14:paraId="3043BC26"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eastAsia="zh-CN"/>
        </w:rPr>
      </w:pPr>
      <w:r w:rsidRPr="003D18A0">
        <w:rPr>
          <w:b/>
          <w:bCs/>
          <w:sz w:val="24"/>
          <w:szCs w:val="24"/>
          <w:lang w:val="en-CA" w:eastAsia="zh-CN"/>
        </w:rPr>
        <w:t>E.</w:t>
      </w:r>
      <w:r w:rsidRPr="003D18A0">
        <w:rPr>
          <w:b/>
          <w:bCs/>
          <w:sz w:val="24"/>
          <w:szCs w:val="24"/>
          <w:lang w:val="en-CA" w:eastAsia="zh-CN"/>
        </w:rPr>
        <w:tab/>
      </w:r>
      <w:r w:rsidRPr="003D18A0">
        <w:rPr>
          <w:b/>
          <w:bCs/>
          <w:sz w:val="24"/>
          <w:szCs w:val="24"/>
          <w:lang w:val="en-CA" w:eastAsia="zh-CN"/>
        </w:rPr>
        <w:t>紧急救济、援助和反应</w:t>
      </w:r>
    </w:p>
    <w:p w14:paraId="3195D46C"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p>
    <w:p w14:paraId="5C030C2C" w14:textId="77777777" w:rsidR="003D18A0" w:rsidRPr="003D18A0" w:rsidRDefault="003D18A0" w:rsidP="00447FFC">
      <w:pPr>
        <w:numPr>
          <w:ilvl w:val="0"/>
          <w:numId w:val="224"/>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记录受援国各大部门外来入侵物种的案例；</w:t>
      </w:r>
    </w:p>
    <w:p w14:paraId="7BF6E51F" w14:textId="77777777" w:rsidR="003D18A0" w:rsidRPr="003D18A0" w:rsidRDefault="003D18A0" w:rsidP="00447FFC">
      <w:pPr>
        <w:numPr>
          <w:ilvl w:val="0"/>
          <w:numId w:val="224"/>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将引入和传播外来入侵物种和潜在外来入侵物种的风险纳入应急反应战略、协议和行为守则，并鼓励相关行为者遵循建议，以防止和最大限度减少此类物种引入和传播到新的地区（根据第</w:t>
      </w:r>
      <w:hyperlink r:id="rId14" w:history="1">
        <w:r w:rsidRPr="003D18A0">
          <w:rPr>
            <w:sz w:val="24"/>
            <w:szCs w:val="24"/>
            <w:lang w:val="en-CA" w:eastAsia="zh-CN"/>
          </w:rPr>
          <w:t>VIII/27</w:t>
        </w:r>
      </w:hyperlink>
      <w:r w:rsidRPr="003D18A0">
        <w:rPr>
          <w:sz w:val="24"/>
          <w:szCs w:val="24"/>
          <w:lang w:val="en-CA" w:eastAsia="zh-CN"/>
        </w:rPr>
        <w:t>号决定，第</w:t>
      </w:r>
      <w:r w:rsidRPr="003D18A0">
        <w:rPr>
          <w:sz w:val="24"/>
          <w:szCs w:val="24"/>
          <w:lang w:val="en-CA" w:eastAsia="zh-CN"/>
        </w:rPr>
        <w:t>42</w:t>
      </w:r>
      <w:r w:rsidRPr="003D18A0">
        <w:rPr>
          <w:sz w:val="24"/>
          <w:szCs w:val="24"/>
          <w:lang w:val="en-CA" w:eastAsia="zh-CN"/>
        </w:rPr>
        <w:t>段）。为了支持这些行动，可以将突发事件指挥系统等应急管理方法与针对外来入侵物种的快速反应措施联系起来；</w:t>
      </w:r>
      <w:r w:rsidRPr="003D18A0">
        <w:rPr>
          <w:sz w:val="24"/>
          <w:szCs w:val="24"/>
          <w:lang w:val="en-CA" w:eastAsia="zh-CN"/>
        </w:rPr>
        <w:t xml:space="preserve"> </w:t>
      </w:r>
    </w:p>
    <w:p w14:paraId="49C0E11B" w14:textId="77777777" w:rsidR="003D18A0" w:rsidRPr="003D18A0" w:rsidRDefault="003D18A0" w:rsidP="00447FFC">
      <w:pPr>
        <w:numPr>
          <w:ilvl w:val="0"/>
          <w:numId w:val="224"/>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lastRenderedPageBreak/>
        <w:t>厘清援助提供方和受援方的责任，避免通过援助物质运输和转移中的污染物引入任何外来入侵物种</w:t>
      </w:r>
      <w:r w:rsidRPr="003D18A0">
        <w:rPr>
          <w:sz w:val="24"/>
          <w:szCs w:val="24"/>
          <w:vertAlign w:val="superscript"/>
          <w:lang w:val="en-CA"/>
        </w:rPr>
        <w:footnoteReference w:id="78"/>
      </w:r>
      <w:r w:rsidRPr="003D18A0">
        <w:rPr>
          <w:sz w:val="24"/>
          <w:szCs w:val="24"/>
          <w:lang w:val="en-CA" w:eastAsia="zh-CN"/>
        </w:rPr>
        <w:t>。</w:t>
      </w:r>
      <w:r w:rsidRPr="003D18A0">
        <w:rPr>
          <w:sz w:val="24"/>
          <w:szCs w:val="24"/>
          <w:lang w:val="en-CA" w:eastAsia="zh-CN"/>
        </w:rPr>
        <w:t xml:space="preserve"> </w:t>
      </w:r>
    </w:p>
    <w:p w14:paraId="0788929E"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eastAsia="zh-CN"/>
        </w:rPr>
      </w:pPr>
      <w:r w:rsidRPr="003D18A0">
        <w:rPr>
          <w:b/>
          <w:bCs/>
          <w:sz w:val="24"/>
          <w:szCs w:val="24"/>
          <w:lang w:val="en-CA" w:eastAsia="zh-CN"/>
        </w:rPr>
        <w:t>F.</w:t>
      </w:r>
      <w:r w:rsidRPr="003D18A0">
        <w:rPr>
          <w:b/>
          <w:bCs/>
          <w:sz w:val="24"/>
          <w:szCs w:val="24"/>
          <w:lang w:val="en-CA" w:eastAsia="zh-CN"/>
        </w:rPr>
        <w:tab/>
      </w:r>
      <w:r w:rsidRPr="003D18A0">
        <w:rPr>
          <w:b/>
          <w:bCs/>
          <w:sz w:val="24"/>
          <w:szCs w:val="24"/>
          <w:lang w:val="en-CA" w:eastAsia="zh-CN"/>
        </w:rPr>
        <w:t>民用航空运输</w:t>
      </w:r>
    </w:p>
    <w:p w14:paraId="1D6D67A8" w14:textId="77777777" w:rsidR="003D18A0" w:rsidRPr="003D18A0" w:rsidRDefault="003D18A0" w:rsidP="003D18A0">
      <w:pPr>
        <w:keepNext/>
        <w:tabs>
          <w:tab w:val="clear" w:pos="567"/>
          <w:tab w:val="clear" w:pos="1134"/>
          <w:tab w:val="clear" w:pos="1701"/>
          <w:tab w:val="clear" w:pos="2268"/>
        </w:tabs>
        <w:spacing w:before="120" w:after="120" w:line="240" w:lineRule="atLeast"/>
        <w:ind w:left="490"/>
        <w:jc w:val="left"/>
        <w:rPr>
          <w:bCs/>
          <w:sz w:val="24"/>
          <w:lang w:val="en-CA" w:eastAsia="zh-CN"/>
        </w:rPr>
      </w:pPr>
      <w:r w:rsidRPr="003D18A0">
        <w:rPr>
          <w:bCs/>
          <w:sz w:val="24"/>
          <w:lang w:val="en-CA" w:eastAsia="zh-CN"/>
        </w:rPr>
        <w:t>10.</w:t>
      </w:r>
      <w:r w:rsidRPr="003D18A0">
        <w:rPr>
          <w:bCs/>
          <w:sz w:val="24"/>
          <w:lang w:val="en-CA" w:eastAsia="zh-CN"/>
        </w:rPr>
        <w:tab/>
      </w:r>
      <w:r w:rsidRPr="003D18A0">
        <w:rPr>
          <w:bCs/>
          <w:sz w:val="24"/>
          <w:lang w:val="en-CA" w:eastAsia="zh-CN"/>
        </w:rPr>
        <w:t>建议各缔约方、组织和利益攸关方酌情采取以下行动：</w:t>
      </w:r>
    </w:p>
    <w:p w14:paraId="092E4A9D" w14:textId="77777777" w:rsidR="003D18A0" w:rsidRPr="003D18A0" w:rsidRDefault="003D18A0" w:rsidP="00E06312">
      <w:pPr>
        <w:numPr>
          <w:ilvl w:val="0"/>
          <w:numId w:val="24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让各级相关部门参与制定标准，防止搭便车或偷渡物种通过空运抵达</w:t>
      </w:r>
      <w:r w:rsidRPr="003D18A0">
        <w:rPr>
          <w:sz w:val="24"/>
          <w:szCs w:val="24"/>
          <w:vertAlign w:val="superscript"/>
          <w:lang w:val="en-CA"/>
        </w:rPr>
        <w:footnoteReference w:id="79"/>
      </w:r>
      <w:r w:rsidRPr="003D18A0">
        <w:rPr>
          <w:sz w:val="24"/>
          <w:szCs w:val="24"/>
          <w:lang w:val="en-CA" w:eastAsia="zh-CN"/>
        </w:rPr>
        <w:t>；</w:t>
      </w:r>
    </w:p>
    <w:p w14:paraId="4FF10D73" w14:textId="77777777" w:rsidR="003D18A0" w:rsidRPr="003D18A0" w:rsidRDefault="003D18A0" w:rsidP="00E06312">
      <w:pPr>
        <w:numPr>
          <w:ilvl w:val="0"/>
          <w:numId w:val="240"/>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t>加强包括《国际植物保护公约》、世界动物卫生组织、国际民用航空组织（民航组织）、世界海关组织和国际航空运输协会在内的相关组织之间的合作，以根据国际民航组织大会第</w:t>
      </w:r>
      <w:r w:rsidRPr="003D18A0">
        <w:rPr>
          <w:sz w:val="24"/>
          <w:szCs w:val="24"/>
          <w:lang w:val="en-CA" w:eastAsia="zh-CN"/>
        </w:rPr>
        <w:t>A36-21</w:t>
      </w:r>
      <w:r w:rsidRPr="003D18A0">
        <w:rPr>
          <w:sz w:val="24"/>
          <w:szCs w:val="24"/>
          <w:lang w:val="en-CA" w:eastAsia="zh-CN"/>
        </w:rPr>
        <w:t>号决议制定统一的航空货运业务标准。</w:t>
      </w:r>
    </w:p>
    <w:p w14:paraId="6D9DD941"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eastAsia="zh-CN"/>
        </w:rPr>
      </w:pPr>
      <w:r w:rsidRPr="003D18A0">
        <w:rPr>
          <w:b/>
          <w:bCs/>
          <w:sz w:val="24"/>
          <w:szCs w:val="24"/>
          <w:lang w:val="en-CA" w:eastAsia="zh-CN"/>
        </w:rPr>
        <w:t>G.</w:t>
      </w:r>
      <w:r w:rsidRPr="003D18A0">
        <w:rPr>
          <w:b/>
          <w:bCs/>
          <w:sz w:val="24"/>
          <w:szCs w:val="24"/>
          <w:lang w:val="en-CA" w:eastAsia="zh-CN"/>
        </w:rPr>
        <w:tab/>
      </w:r>
      <w:r w:rsidRPr="003D18A0">
        <w:rPr>
          <w:b/>
          <w:bCs/>
          <w:sz w:val="24"/>
          <w:szCs w:val="24"/>
          <w:lang w:val="en-CA" w:eastAsia="zh-CN"/>
        </w:rPr>
        <w:t>旅游业</w:t>
      </w:r>
    </w:p>
    <w:p w14:paraId="5BA482B4" w14:textId="77777777" w:rsidR="003D18A0" w:rsidRPr="003D18A0" w:rsidRDefault="003D18A0" w:rsidP="003D18A0">
      <w:pPr>
        <w:keepNext/>
        <w:tabs>
          <w:tab w:val="clear" w:pos="567"/>
          <w:tab w:val="clear" w:pos="1134"/>
          <w:tab w:val="clear" w:pos="1701"/>
          <w:tab w:val="clear" w:pos="2268"/>
        </w:tabs>
        <w:spacing w:before="120" w:after="120" w:line="240" w:lineRule="atLeast"/>
        <w:ind w:left="490"/>
        <w:jc w:val="left"/>
        <w:rPr>
          <w:bCs/>
          <w:sz w:val="24"/>
          <w:lang w:val="en-CA" w:eastAsia="zh-CN"/>
        </w:rPr>
      </w:pPr>
      <w:r w:rsidRPr="003D18A0">
        <w:rPr>
          <w:bCs/>
          <w:sz w:val="24"/>
          <w:lang w:val="en-CA" w:eastAsia="zh-CN"/>
        </w:rPr>
        <w:t>11.</w:t>
      </w:r>
      <w:r w:rsidRPr="003D18A0">
        <w:rPr>
          <w:bCs/>
          <w:sz w:val="24"/>
          <w:lang w:val="en-CA" w:eastAsia="zh-CN"/>
        </w:rPr>
        <w:tab/>
      </w:r>
      <w:r w:rsidRPr="003D18A0">
        <w:rPr>
          <w:bCs/>
          <w:sz w:val="24"/>
          <w:lang w:val="en-CA" w:eastAsia="zh-CN"/>
        </w:rPr>
        <w:t>建议各缔约方、组织和利益攸关方酌情采取以下行动：</w:t>
      </w:r>
    </w:p>
    <w:p w14:paraId="51372967" w14:textId="77777777" w:rsidR="003D18A0" w:rsidRPr="003D18A0" w:rsidRDefault="003D18A0" w:rsidP="00E06312">
      <w:pPr>
        <w:numPr>
          <w:ilvl w:val="0"/>
          <w:numId w:val="232"/>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避免通过运输活生物体引入和传播外来入侵物种（根据第</w:t>
      </w:r>
      <w:r w:rsidRPr="003D18A0">
        <w:rPr>
          <w:sz w:val="24"/>
          <w:szCs w:val="24"/>
          <w:lang w:val="en-CA" w:eastAsia="zh-CN"/>
        </w:rPr>
        <w:t>XII/16</w:t>
      </w:r>
      <w:r w:rsidRPr="003D18A0">
        <w:rPr>
          <w:sz w:val="24"/>
          <w:szCs w:val="24"/>
          <w:lang w:val="en-CA" w:eastAsia="zh-CN"/>
        </w:rPr>
        <w:t>号决定附件第</w:t>
      </w:r>
      <w:r w:rsidRPr="003D18A0">
        <w:rPr>
          <w:sz w:val="24"/>
          <w:szCs w:val="24"/>
          <w:lang w:val="en-CA" w:eastAsia="zh-CN"/>
        </w:rPr>
        <w:t>9</w:t>
      </w:r>
      <w:r w:rsidRPr="003D18A0">
        <w:rPr>
          <w:sz w:val="24"/>
          <w:szCs w:val="24"/>
          <w:lang w:val="en-CA" w:eastAsia="zh-CN"/>
        </w:rPr>
        <w:t>段和第</w:t>
      </w:r>
      <w:r w:rsidRPr="003D18A0">
        <w:rPr>
          <w:sz w:val="24"/>
          <w:szCs w:val="24"/>
          <w:lang w:val="en-CA" w:eastAsia="zh-CN"/>
        </w:rPr>
        <w:t>14/11</w:t>
      </w:r>
      <w:r w:rsidRPr="003D18A0">
        <w:rPr>
          <w:sz w:val="24"/>
          <w:szCs w:val="24"/>
          <w:lang w:val="en-CA" w:eastAsia="zh-CN"/>
        </w:rPr>
        <w:t>号决定第</w:t>
      </w:r>
      <w:r w:rsidRPr="003D18A0">
        <w:rPr>
          <w:sz w:val="24"/>
          <w:szCs w:val="24"/>
          <w:lang w:val="en-CA" w:eastAsia="zh-CN"/>
        </w:rPr>
        <w:t xml:space="preserve">11 </w:t>
      </w:r>
      <w:r w:rsidRPr="003D18A0">
        <w:rPr>
          <w:sz w:val="24"/>
          <w:szCs w:val="24"/>
          <w:lang w:val="en-CA" w:eastAsia="zh-CN"/>
        </w:rPr>
        <w:t>（</w:t>
      </w:r>
      <w:r w:rsidRPr="003D18A0">
        <w:rPr>
          <w:sz w:val="24"/>
          <w:szCs w:val="24"/>
          <w:lang w:val="en-CA" w:eastAsia="zh-CN"/>
        </w:rPr>
        <w:t>c</w:t>
      </w:r>
      <w:r w:rsidRPr="003D18A0">
        <w:rPr>
          <w:sz w:val="24"/>
          <w:szCs w:val="24"/>
          <w:lang w:val="en-CA" w:eastAsia="zh-CN"/>
        </w:rPr>
        <w:t>）段中的指导意见）；</w:t>
      </w:r>
    </w:p>
    <w:p w14:paraId="4C3C317A" w14:textId="77777777" w:rsidR="003D18A0" w:rsidRPr="003D18A0" w:rsidRDefault="003D18A0" w:rsidP="00E06312">
      <w:pPr>
        <w:numPr>
          <w:ilvl w:val="0"/>
          <w:numId w:val="232"/>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t>与各级政府的旅行、旅游经营者和旅游协会合作，制定：（一）宣传方案和准则</w:t>
      </w:r>
      <w:r w:rsidRPr="003D18A0">
        <w:rPr>
          <w:sz w:val="24"/>
          <w:szCs w:val="24"/>
          <w:vertAlign w:val="superscript"/>
          <w:lang w:val="en-CA"/>
        </w:rPr>
        <w:footnoteReference w:id="80"/>
      </w:r>
      <w:r w:rsidRPr="003D18A0">
        <w:rPr>
          <w:sz w:val="24"/>
          <w:szCs w:val="24"/>
          <w:lang w:val="en-CA" w:eastAsia="zh-CN"/>
        </w:rPr>
        <w:t>，将外来入侵物种构成的风险告知游客、旅游机构、土著人民和地方社区、决策者、保护区管理者和海关当局等方面；（二）将这些风险降至最低点的战略</w:t>
      </w:r>
      <w:r w:rsidRPr="003D18A0">
        <w:rPr>
          <w:sz w:val="24"/>
          <w:szCs w:val="24"/>
          <w:vertAlign w:val="superscript"/>
          <w:lang w:val="en-CA"/>
        </w:rPr>
        <w:footnoteReference w:id="81"/>
      </w:r>
      <w:r w:rsidRPr="003D18A0">
        <w:rPr>
          <w:sz w:val="24"/>
          <w:szCs w:val="24"/>
          <w:lang w:val="en-CA" w:eastAsia="zh-CN"/>
        </w:rPr>
        <w:t>，特别是在岛屿生态系统等重点地带。</w:t>
      </w:r>
    </w:p>
    <w:p w14:paraId="3C430617"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0"/>
        <w:rPr>
          <w:b/>
          <w:caps/>
          <w:sz w:val="24"/>
          <w:szCs w:val="24"/>
          <w:lang w:val="en-CA" w:eastAsia="zh-CN"/>
        </w:rPr>
      </w:pPr>
      <w:r w:rsidRPr="003D18A0">
        <w:rPr>
          <w:b/>
          <w:caps/>
          <w:sz w:val="24"/>
          <w:szCs w:val="24"/>
          <w:lang w:val="en-CA" w:eastAsia="zh-CN"/>
        </w:rPr>
        <w:t>三</w:t>
      </w:r>
      <w:r w:rsidRPr="003D18A0">
        <w:rPr>
          <w:b/>
          <w:caps/>
          <w:sz w:val="24"/>
          <w:szCs w:val="24"/>
          <w:lang w:val="en-CA" w:eastAsia="zh-CN"/>
        </w:rPr>
        <w:t xml:space="preserve">.   </w:t>
      </w:r>
      <w:r w:rsidRPr="003D18A0">
        <w:rPr>
          <w:b/>
          <w:caps/>
          <w:sz w:val="24"/>
          <w:szCs w:val="24"/>
          <w:lang w:val="en-CA" w:eastAsia="zh-CN"/>
        </w:rPr>
        <w:t>能力建设活动</w:t>
      </w:r>
    </w:p>
    <w:p w14:paraId="724D61FD" w14:textId="77777777" w:rsidR="003D18A0" w:rsidRPr="003D18A0" w:rsidRDefault="003D18A0" w:rsidP="003D18A0">
      <w:pPr>
        <w:keepNext/>
        <w:tabs>
          <w:tab w:val="clear" w:pos="567"/>
          <w:tab w:val="clear" w:pos="1134"/>
          <w:tab w:val="clear" w:pos="1701"/>
          <w:tab w:val="clear" w:pos="2268"/>
        </w:tabs>
        <w:spacing w:before="120" w:after="120" w:line="240" w:lineRule="atLeast"/>
        <w:ind w:left="490"/>
        <w:jc w:val="left"/>
        <w:rPr>
          <w:bCs/>
          <w:sz w:val="24"/>
          <w:lang w:val="en-CA" w:eastAsia="zh-CN"/>
        </w:rPr>
      </w:pPr>
      <w:r w:rsidRPr="003D18A0">
        <w:rPr>
          <w:bCs/>
          <w:sz w:val="24"/>
          <w:lang w:val="en-CA" w:eastAsia="zh-CN"/>
        </w:rPr>
        <w:t>12.</w:t>
      </w:r>
      <w:r w:rsidRPr="003D18A0">
        <w:rPr>
          <w:bCs/>
          <w:sz w:val="24"/>
          <w:lang w:val="en-CA" w:eastAsia="zh-CN"/>
        </w:rPr>
        <w:tab/>
      </w:r>
      <w:r w:rsidRPr="003D18A0">
        <w:rPr>
          <w:bCs/>
          <w:sz w:val="24"/>
          <w:lang w:val="en-CA" w:eastAsia="zh-CN"/>
        </w:rPr>
        <w:t>建议各缔约方、组织和利益攸关方酌情采取以下行动：</w:t>
      </w:r>
    </w:p>
    <w:p w14:paraId="1DB52B9C" w14:textId="77777777" w:rsidR="003D18A0" w:rsidRPr="003D18A0" w:rsidRDefault="003D18A0" w:rsidP="00E06312">
      <w:pPr>
        <w:numPr>
          <w:ilvl w:val="0"/>
          <w:numId w:val="23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根据行动目标</w:t>
      </w:r>
      <w:r w:rsidRPr="003D18A0">
        <w:rPr>
          <w:sz w:val="24"/>
          <w:szCs w:val="24"/>
          <w:lang w:val="en-CA" w:eastAsia="zh-CN"/>
        </w:rPr>
        <w:t>6</w:t>
      </w:r>
      <w:r w:rsidRPr="003D18A0">
        <w:rPr>
          <w:sz w:val="24"/>
          <w:szCs w:val="24"/>
          <w:lang w:val="en-CA" w:eastAsia="zh-CN"/>
        </w:rPr>
        <w:t>，将防止和管理外来入侵物种纳入生物多样性公约秘书处的能力建设方案；</w:t>
      </w:r>
    </w:p>
    <w:p w14:paraId="4A56CD86" w14:textId="77777777" w:rsidR="003D18A0" w:rsidRPr="003D18A0" w:rsidRDefault="003D18A0" w:rsidP="00E06312">
      <w:pPr>
        <w:numPr>
          <w:ilvl w:val="0"/>
          <w:numId w:val="23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在</w:t>
      </w:r>
      <w:r w:rsidRPr="003D18A0">
        <w:rPr>
          <w:sz w:val="24"/>
          <w:szCs w:val="24"/>
          <w:lang w:eastAsia="zh-CN"/>
        </w:rPr>
        <w:t>各方</w:t>
      </w:r>
      <w:r w:rsidRPr="003D18A0">
        <w:rPr>
          <w:sz w:val="24"/>
          <w:szCs w:val="24"/>
          <w:lang w:val="en-CA" w:eastAsia="zh-CN"/>
        </w:rPr>
        <w:t>行为者，特别是学术界、科学专家、土著人民和地方社区（须在获得其自由、事先和知情同意后）的支持下，在全球、区域、国家或国家以下各级建立定期培训方案，促进及时实现行动目标</w:t>
      </w:r>
      <w:r w:rsidRPr="003D18A0">
        <w:rPr>
          <w:sz w:val="24"/>
          <w:szCs w:val="24"/>
          <w:lang w:val="en-CA" w:eastAsia="zh-CN"/>
        </w:rPr>
        <w:t>6;</w:t>
      </w:r>
    </w:p>
    <w:p w14:paraId="7F175CF3" w14:textId="77777777" w:rsidR="003D18A0" w:rsidRPr="003D18A0" w:rsidRDefault="003D18A0" w:rsidP="00E06312">
      <w:pPr>
        <w:numPr>
          <w:ilvl w:val="0"/>
          <w:numId w:val="23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考虑利用现有资源，酌情编写关于以下主题的技术手册和培训教材：</w:t>
      </w:r>
    </w:p>
    <w:p w14:paraId="3E55DD39"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生物体分类识别，包括基于形态学的识别键、与图像数据库、</w:t>
      </w:r>
      <w:r w:rsidRPr="003D18A0">
        <w:rPr>
          <w:sz w:val="24"/>
          <w:szCs w:val="24"/>
          <w:lang w:val="en-GB" w:eastAsia="zh-CN"/>
        </w:rPr>
        <w:t>DNA</w:t>
      </w:r>
      <w:r w:rsidRPr="003D18A0">
        <w:rPr>
          <w:sz w:val="24"/>
          <w:szCs w:val="24"/>
          <w:lang w:val="en-GB" w:eastAsia="zh-CN"/>
        </w:rPr>
        <w:t>条形码，人工智能辅助识别和公民科学的连接</w:t>
      </w:r>
      <w:r w:rsidRPr="003D18A0">
        <w:rPr>
          <w:sz w:val="24"/>
          <w:szCs w:val="24"/>
          <w:lang w:val="en-GB" w:eastAsia="zh-CN"/>
        </w:rPr>
        <w:t>;</w:t>
      </w:r>
    </w:p>
    <w:p w14:paraId="7F14B2CA"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根据国际数据标准公布和使用关于外来入侵物种的数据，以实现国家以下各级、国家、区域及全球专题数据库的交叉连接</w:t>
      </w:r>
      <w:r w:rsidRPr="003D18A0">
        <w:rPr>
          <w:sz w:val="24"/>
          <w:szCs w:val="24"/>
          <w:lang w:val="en-GB" w:eastAsia="zh-CN"/>
        </w:rPr>
        <w:t>;</w:t>
      </w:r>
    </w:p>
    <w:p w14:paraId="581BDC7A"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lastRenderedPageBreak/>
        <w:t>利用监测数据预测外来入侵物种和潜在外来入侵物种的传播趋势；</w:t>
      </w:r>
    </w:p>
    <w:p w14:paraId="3FE62024"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成功根除的最佳做法和其他有用的技术咨询信息资源</w:t>
      </w:r>
      <w:r w:rsidRPr="003D18A0">
        <w:rPr>
          <w:kern w:val="22"/>
          <w:sz w:val="24"/>
          <w:szCs w:val="24"/>
          <w:vertAlign w:val="superscript"/>
          <w:lang w:val="en-GB"/>
        </w:rPr>
        <w:footnoteReference w:id="82"/>
      </w:r>
      <w:r w:rsidRPr="003D18A0">
        <w:rPr>
          <w:sz w:val="24"/>
          <w:szCs w:val="24"/>
          <w:lang w:val="en-GB" w:eastAsia="zh-CN"/>
        </w:rPr>
        <w:t>；</w:t>
      </w:r>
    </w:p>
    <w:p w14:paraId="7A6BED86"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利用有关外来入侵物种的共享信息，制定和执行国家以下各级和国家政策</w:t>
      </w:r>
      <w:r w:rsidRPr="003D18A0">
        <w:rPr>
          <w:sz w:val="24"/>
          <w:szCs w:val="24"/>
          <w:lang w:val="en-GB" w:eastAsia="zh-CN"/>
        </w:rPr>
        <w:t>;</w:t>
      </w:r>
    </w:p>
    <w:p w14:paraId="198435D4"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使用经典生物防控剂</w:t>
      </w:r>
      <w:r w:rsidRPr="003D18A0">
        <w:rPr>
          <w:kern w:val="22"/>
          <w:sz w:val="24"/>
          <w:szCs w:val="24"/>
          <w:vertAlign w:val="superscript"/>
          <w:lang w:val="en-GB"/>
        </w:rPr>
        <w:footnoteReference w:id="83"/>
      </w:r>
      <w:r w:rsidRPr="003D18A0">
        <w:rPr>
          <w:sz w:val="24"/>
          <w:szCs w:val="24"/>
          <w:lang w:val="en-GB" w:eastAsia="zh-CN"/>
        </w:rPr>
        <w:t>对付外来入侵物种</w:t>
      </w:r>
      <w:r w:rsidRPr="003D18A0">
        <w:rPr>
          <w:kern w:val="22"/>
          <w:sz w:val="24"/>
          <w:szCs w:val="24"/>
          <w:vertAlign w:val="superscript"/>
          <w:lang w:val="en-GB"/>
        </w:rPr>
        <w:footnoteReference w:id="84"/>
      </w:r>
      <w:r w:rsidRPr="003D18A0">
        <w:rPr>
          <w:color w:val="000000" w:themeColor="text1"/>
          <w:sz w:val="24"/>
          <w:szCs w:val="24"/>
          <w:lang w:val="en-GB" w:eastAsia="zh-CN"/>
        </w:rPr>
        <w:t>；</w:t>
      </w:r>
    </w:p>
    <w:p w14:paraId="0011BB25"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color w:val="000000" w:themeColor="text1"/>
          <w:sz w:val="24"/>
          <w:szCs w:val="24"/>
          <w:lang w:val="en-GB" w:eastAsia="zh-CN"/>
        </w:rPr>
        <w:t>应用基于生态系统的办法控制外来入侵物种</w:t>
      </w:r>
      <w:r w:rsidRPr="003D18A0">
        <w:rPr>
          <w:kern w:val="22"/>
          <w:sz w:val="24"/>
          <w:szCs w:val="24"/>
          <w:vertAlign w:val="superscript"/>
          <w:lang w:val="en-GB"/>
        </w:rPr>
        <w:footnoteReference w:id="85"/>
      </w:r>
      <w:r w:rsidRPr="003D18A0">
        <w:rPr>
          <w:color w:val="000000" w:themeColor="text1"/>
          <w:sz w:val="24"/>
          <w:szCs w:val="24"/>
          <w:lang w:val="en-GB" w:eastAsia="zh-CN"/>
        </w:rPr>
        <w:t>；</w:t>
      </w:r>
    </w:p>
    <w:p w14:paraId="4345259A"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为决策者编写的支持多准则决定手册；</w:t>
      </w:r>
    </w:p>
    <w:p w14:paraId="4EC05066"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kern w:val="22"/>
          <w:sz w:val="24"/>
          <w:szCs w:val="24"/>
          <w:lang w:val="en-GB" w:eastAsia="zh-CN"/>
        </w:rPr>
      </w:pPr>
      <w:r w:rsidRPr="003D18A0">
        <w:rPr>
          <w:sz w:val="24"/>
          <w:szCs w:val="24"/>
          <w:lang w:val="en-GB" w:eastAsia="zh-CN"/>
        </w:rPr>
        <w:t>由各部门之间分担责任的外来入侵物种监管示范法</w:t>
      </w:r>
      <w:r w:rsidRPr="003D18A0">
        <w:rPr>
          <w:sz w:val="24"/>
          <w:szCs w:val="24"/>
          <w:lang w:val="en-GB" w:eastAsia="zh-CN"/>
        </w:rPr>
        <w:t>;</w:t>
      </w:r>
    </w:p>
    <w:p w14:paraId="42D93D29"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color w:val="000000" w:themeColor="text1"/>
          <w:kern w:val="22"/>
          <w:sz w:val="24"/>
          <w:szCs w:val="24"/>
          <w:lang w:val="en-GB" w:eastAsia="zh-CN"/>
        </w:rPr>
        <w:t>以成本效益方式包装现场收集的生物样本，确保在偏远和限制进入的地点进行早期检测</w:t>
      </w:r>
      <w:r w:rsidRPr="003D18A0">
        <w:rPr>
          <w:sz w:val="24"/>
          <w:szCs w:val="24"/>
          <w:lang w:val="en-GB" w:eastAsia="zh-CN"/>
        </w:rPr>
        <w:t>;</w:t>
      </w:r>
    </w:p>
    <w:p w14:paraId="230C1B26"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落实行动目标</w:t>
      </w:r>
      <w:r w:rsidRPr="003D18A0">
        <w:rPr>
          <w:sz w:val="24"/>
          <w:szCs w:val="24"/>
          <w:lang w:val="en-GB" w:eastAsia="zh-CN"/>
        </w:rPr>
        <w:t>6</w:t>
      </w:r>
      <w:r w:rsidRPr="003D18A0">
        <w:rPr>
          <w:sz w:val="24"/>
          <w:szCs w:val="24"/>
          <w:lang w:val="en-GB" w:eastAsia="zh-CN"/>
        </w:rPr>
        <w:t>的方法和途径</w:t>
      </w:r>
      <w:r w:rsidRPr="003D18A0">
        <w:rPr>
          <w:snapToGrid w:val="0"/>
          <w:sz w:val="24"/>
          <w:szCs w:val="24"/>
          <w:lang w:val="en-GB" w:eastAsia="zh-CN"/>
        </w:rPr>
        <w:t>。</w:t>
      </w:r>
    </w:p>
    <w:p w14:paraId="6EFF72E6" w14:textId="77777777" w:rsidR="00DB5FB9" w:rsidRPr="003D18A0" w:rsidRDefault="00DB5FB9" w:rsidP="0015304D">
      <w:pPr>
        <w:pStyle w:val="CBDNormalNoNumber"/>
        <w:rPr>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9D828B" w14:textId="77777777" w:rsidR="003226B3" w:rsidRDefault="003226B3" w:rsidP="00A96B21">
      <w:r>
        <w:separator/>
      </w:r>
    </w:p>
  </w:endnote>
  <w:endnote w:type="continuationSeparator" w:id="0">
    <w:p w14:paraId="09470985" w14:textId="77777777" w:rsidR="003226B3" w:rsidRDefault="003226B3" w:rsidP="00A96B21">
      <w:r>
        <w:continuationSeparator/>
      </w:r>
    </w:p>
  </w:endnote>
  <w:endnote w:type="continuationNotice" w:id="1">
    <w:p w14:paraId="41BDEFBE" w14:textId="77777777" w:rsidR="003226B3" w:rsidRDefault="003226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微软雅黑"/>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D3319" w14:textId="77777777" w:rsidR="003226B3" w:rsidRDefault="003226B3" w:rsidP="00A96B21">
      <w:r>
        <w:separator/>
      </w:r>
    </w:p>
  </w:footnote>
  <w:footnote w:type="continuationSeparator" w:id="0">
    <w:p w14:paraId="4F998B4B" w14:textId="77777777" w:rsidR="003226B3" w:rsidRDefault="003226B3" w:rsidP="00A96B21">
      <w:r>
        <w:continuationSeparator/>
      </w:r>
    </w:p>
  </w:footnote>
  <w:footnote w:type="continuationNotice" w:id="1">
    <w:p w14:paraId="16E0563C" w14:textId="77777777" w:rsidR="003226B3" w:rsidRDefault="003226B3"/>
  </w:footnote>
  <w:footnote w:id="2">
    <w:p w14:paraId="227A3EB3" w14:textId="77777777" w:rsidR="003D18A0" w:rsidRPr="004019B6" w:rsidRDefault="003D18A0" w:rsidP="003D18A0">
      <w:pPr>
        <w:pStyle w:val="FootnoteText"/>
        <w:spacing w:after="40" w:line="240" w:lineRule="atLeast"/>
        <w:rPr>
          <w:sz w:val="20"/>
        </w:rPr>
      </w:pPr>
      <w:r w:rsidRPr="004019B6">
        <w:rPr>
          <w:rStyle w:val="FootnoteReference"/>
          <w:sz w:val="20"/>
        </w:rPr>
        <w:footnoteRef/>
      </w:r>
      <w:r w:rsidRPr="004019B6">
        <w:rPr>
          <w:sz w:val="20"/>
        </w:rPr>
        <w:t xml:space="preserve">  </w:t>
      </w:r>
      <w:r w:rsidRPr="004019B6">
        <w:rPr>
          <w:sz w:val="20"/>
          <w:lang w:eastAsia="zh-CN"/>
        </w:rPr>
        <w:t>第</w:t>
      </w:r>
      <w:r w:rsidRPr="004019B6">
        <w:rPr>
          <w:sz w:val="20"/>
        </w:rPr>
        <w:t xml:space="preserve"> 15/4</w:t>
      </w:r>
      <w:r w:rsidRPr="004019B6">
        <w:rPr>
          <w:sz w:val="20"/>
          <w:lang w:eastAsia="zh-CN"/>
        </w:rPr>
        <w:t>号决定，附件。</w:t>
      </w:r>
    </w:p>
  </w:footnote>
  <w:footnote w:id="3">
    <w:p w14:paraId="64D4E2E0" w14:textId="77777777" w:rsidR="003D18A0" w:rsidRPr="004019B6" w:rsidRDefault="003D18A0" w:rsidP="003D18A0">
      <w:pPr>
        <w:pStyle w:val="FootnoteText"/>
        <w:spacing w:after="40" w:line="240" w:lineRule="atLeast"/>
        <w:rPr>
          <w:sz w:val="20"/>
          <w:lang w:val="x-none"/>
        </w:rPr>
      </w:pPr>
      <w:r w:rsidRPr="004019B6">
        <w:rPr>
          <w:rStyle w:val="FootnoteReference"/>
          <w:sz w:val="20"/>
        </w:rPr>
        <w:footnoteRef/>
      </w:r>
      <w:r w:rsidRPr="004019B6">
        <w:rPr>
          <w:sz w:val="20"/>
        </w:rPr>
        <w:t xml:space="preserve">  </w:t>
      </w:r>
      <w:r w:rsidRPr="004019B6">
        <w:rPr>
          <w:sz w:val="20"/>
          <w:lang w:val="en-GB"/>
        </w:rPr>
        <w:t>Helen E. Roy</w:t>
      </w:r>
      <w:r w:rsidRPr="004019B6">
        <w:rPr>
          <w:sz w:val="20"/>
          <w:lang w:val="en-GB"/>
        </w:rPr>
        <w:t>等</w:t>
      </w:r>
      <w:r w:rsidRPr="004019B6">
        <w:rPr>
          <w:sz w:val="20"/>
          <w:lang w:val="en-GB"/>
        </w:rPr>
        <w:t xml:space="preserve">, </w:t>
      </w:r>
      <w:r w:rsidRPr="004019B6">
        <w:rPr>
          <w:sz w:val="20"/>
          <w:lang w:val="en-GB"/>
        </w:rPr>
        <w:t>《</w:t>
      </w:r>
      <w:proofErr w:type="spellStart"/>
      <w:r w:rsidRPr="004019B6">
        <w:rPr>
          <w:sz w:val="20"/>
          <w:lang w:val="en-GB"/>
        </w:rPr>
        <w:t>外来入侵物种及其控制专题评估报告</w:t>
      </w:r>
      <w:proofErr w:type="spellEnd"/>
      <w:r w:rsidRPr="004019B6">
        <w:rPr>
          <w:sz w:val="20"/>
          <w:lang w:val="en-GB"/>
        </w:rPr>
        <w:t>》</w:t>
      </w:r>
      <w:r w:rsidRPr="004019B6">
        <w:rPr>
          <w:sz w:val="20"/>
          <w:lang w:val="en-GB"/>
        </w:rPr>
        <w:t xml:space="preserve"> (Bonn, Germany, </w:t>
      </w:r>
      <w:r w:rsidRPr="004019B6">
        <w:rPr>
          <w:iCs/>
          <w:sz w:val="20"/>
          <w:lang w:val="en-GB"/>
        </w:rPr>
        <w:t xml:space="preserve">Intergovernmental Science-Policy Platform on Biodiversity and Ecosystem Services Secretariat, </w:t>
      </w:r>
      <w:proofErr w:type="gramStart"/>
      <w:r w:rsidRPr="004019B6">
        <w:rPr>
          <w:iCs/>
          <w:sz w:val="20"/>
          <w:lang w:val="en-GB"/>
        </w:rPr>
        <w:t>2023)</w:t>
      </w:r>
      <w:r w:rsidRPr="004019B6">
        <w:rPr>
          <w:sz w:val="20"/>
        </w:rPr>
        <w:t>。</w:t>
      </w:r>
      <w:proofErr w:type="gramEnd"/>
    </w:p>
  </w:footnote>
  <w:footnote w:id="4">
    <w:p w14:paraId="4327E6BC" w14:textId="7BAF6796" w:rsidR="00447FFC" w:rsidRPr="004019B6" w:rsidRDefault="00447FFC">
      <w:pPr>
        <w:pStyle w:val="FootnoteText"/>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联合国，《条约汇编》，第</w:t>
      </w:r>
      <w:r w:rsidRPr="004019B6">
        <w:rPr>
          <w:sz w:val="20"/>
          <w:lang w:eastAsia="zh-CN"/>
        </w:rPr>
        <w:t>1760</w:t>
      </w:r>
      <w:r w:rsidRPr="004019B6">
        <w:rPr>
          <w:sz w:val="20"/>
          <w:lang w:eastAsia="zh-CN"/>
        </w:rPr>
        <w:t>卷，第</w:t>
      </w:r>
      <w:r w:rsidRPr="004019B6">
        <w:rPr>
          <w:sz w:val="20"/>
          <w:lang w:eastAsia="zh-CN"/>
        </w:rPr>
        <w:t>30619</w:t>
      </w:r>
      <w:r w:rsidRPr="004019B6">
        <w:rPr>
          <w:sz w:val="20"/>
          <w:lang w:eastAsia="zh-CN"/>
        </w:rPr>
        <w:t>号。</w:t>
      </w:r>
    </w:p>
  </w:footnote>
  <w:footnote w:id="5">
    <w:p w14:paraId="3D300D31"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外来入侵物种指一个物种，其引进或扩散对生物多样性构成威胁。生物多样性公约缔约方大会第</w:t>
      </w:r>
      <w:r w:rsidRPr="004019B6">
        <w:rPr>
          <w:sz w:val="20"/>
        </w:rPr>
        <w:fldChar w:fldCharType="begin"/>
      </w:r>
      <w:r w:rsidRPr="004019B6">
        <w:rPr>
          <w:sz w:val="20"/>
          <w:lang w:eastAsia="zh-CN"/>
        </w:rPr>
        <w:instrText>HYPERLINK "https://www.cbd.int/doc/decisions/cop-06/full/cop-06-dec-zh.pdf"</w:instrText>
      </w:r>
      <w:r w:rsidRPr="004019B6">
        <w:rPr>
          <w:sz w:val="20"/>
        </w:rPr>
      </w:r>
      <w:r w:rsidRPr="004019B6">
        <w:rPr>
          <w:sz w:val="20"/>
        </w:rPr>
        <w:fldChar w:fldCharType="separate"/>
      </w:r>
      <w:r w:rsidRPr="004019B6">
        <w:rPr>
          <w:rStyle w:val="Hyperlink"/>
          <w:sz w:val="20"/>
          <w:lang w:eastAsia="zh-CN"/>
        </w:rPr>
        <w:t>VI/23</w:t>
      </w:r>
      <w:r w:rsidRPr="004019B6">
        <w:rPr>
          <w:rStyle w:val="Hyperlink"/>
          <w:sz w:val="20"/>
          <w:lang w:eastAsia="zh-CN"/>
        </w:rPr>
        <w:fldChar w:fldCharType="end"/>
      </w:r>
      <w:r w:rsidRPr="004019B6">
        <w:rPr>
          <w:sz w:val="20"/>
          <w:lang w:eastAsia="zh-CN"/>
        </w:rPr>
        <w:t>号决定确定</w:t>
      </w:r>
      <w:proofErr w:type="gramStart"/>
      <w:r w:rsidRPr="004019B6">
        <w:rPr>
          <w:sz w:val="20"/>
          <w:lang w:eastAsia="zh-CN"/>
        </w:rPr>
        <w:t>，</w:t>
      </w:r>
      <w:r w:rsidRPr="004019B6">
        <w:rPr>
          <w:sz w:val="20"/>
          <w:lang w:eastAsia="zh-CN"/>
        </w:rPr>
        <w:t>“</w:t>
      </w:r>
      <w:proofErr w:type="gramEnd"/>
      <w:r w:rsidRPr="004019B6">
        <w:rPr>
          <w:sz w:val="20"/>
          <w:lang w:eastAsia="zh-CN"/>
        </w:rPr>
        <w:t>invasive alien species”</w:t>
      </w:r>
      <w:r w:rsidRPr="004019B6">
        <w:rPr>
          <w:sz w:val="20"/>
          <w:lang w:eastAsia="zh-CN"/>
        </w:rPr>
        <w:t>和</w:t>
      </w:r>
      <w:r w:rsidRPr="004019B6">
        <w:rPr>
          <w:sz w:val="20"/>
          <w:lang w:eastAsia="zh-CN"/>
        </w:rPr>
        <w:t>“alien invasive species”</w:t>
      </w:r>
      <w:r w:rsidRPr="004019B6">
        <w:rPr>
          <w:sz w:val="20"/>
          <w:lang w:eastAsia="zh-CN"/>
        </w:rPr>
        <w:t>具有同样含义。</w:t>
      </w:r>
    </w:p>
  </w:footnote>
  <w:footnote w:id="6">
    <w:p w14:paraId="7776E5C4"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被确定为对环境和生物多样性构成最大风险的途径，或最有可能防止此类风险的途径（参见</w:t>
      </w:r>
      <w:r w:rsidRPr="004019B6">
        <w:rPr>
          <w:sz w:val="20"/>
          <w:lang w:val="en-GB" w:eastAsia="zh-CN"/>
        </w:rPr>
        <w:t xml:space="preserve">Melodie A. Mc </w:t>
      </w:r>
      <w:proofErr w:type="spellStart"/>
      <w:r w:rsidRPr="004019B6">
        <w:rPr>
          <w:sz w:val="20"/>
          <w:lang w:val="en-GB" w:eastAsia="zh-CN"/>
        </w:rPr>
        <w:t>Geoch</w:t>
      </w:r>
      <w:proofErr w:type="spellEnd"/>
      <w:r w:rsidRPr="004019B6">
        <w:rPr>
          <w:sz w:val="20"/>
          <w:lang w:val="en-GB" w:eastAsia="zh-CN"/>
        </w:rPr>
        <w:t xml:space="preserve"> and others, “Prioritizing species, pathways, and sites to achieve conservation targets for biological invasion”, </w:t>
      </w:r>
      <w:proofErr w:type="spellStart"/>
      <w:r w:rsidRPr="004019B6">
        <w:rPr>
          <w:i/>
          <w:iCs/>
          <w:sz w:val="20"/>
          <w:lang w:val="en-GB" w:eastAsia="zh-CN"/>
        </w:rPr>
        <w:t>Biol</w:t>
      </w:r>
      <w:proofErr w:type="spellEnd"/>
      <w:r w:rsidRPr="004019B6">
        <w:rPr>
          <w:i/>
          <w:iCs/>
          <w:sz w:val="20"/>
          <w:lang w:val="en-GB" w:eastAsia="zh-CN"/>
        </w:rPr>
        <w:t xml:space="preserve"> Invasions</w:t>
      </w:r>
      <w:r w:rsidRPr="004019B6">
        <w:rPr>
          <w:sz w:val="20"/>
          <w:lang w:val="en-GB" w:eastAsia="zh-CN"/>
        </w:rPr>
        <w:t xml:space="preserve">, vol. 18, pp. 299–314 (November </w:t>
      </w:r>
      <w:proofErr w:type="gramStart"/>
      <w:r w:rsidRPr="004019B6">
        <w:rPr>
          <w:sz w:val="20"/>
          <w:lang w:val="en-GB" w:eastAsia="zh-CN"/>
        </w:rPr>
        <w:t>2015)</w:t>
      </w:r>
      <w:r w:rsidRPr="004019B6">
        <w:rPr>
          <w:sz w:val="20"/>
          <w:lang w:eastAsia="zh-CN"/>
        </w:rPr>
        <w:t>）</w:t>
      </w:r>
      <w:proofErr w:type="gramEnd"/>
      <w:r w:rsidRPr="004019B6">
        <w:rPr>
          <w:sz w:val="20"/>
          <w:lang w:eastAsia="zh-CN"/>
        </w:rPr>
        <w:t>。</w:t>
      </w:r>
    </w:p>
  </w:footnote>
  <w:footnote w:id="7">
    <w:p w14:paraId="27598FA8"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见</w:t>
      </w:r>
      <w:hyperlink r:id="rId1" w:history="1">
        <w:r w:rsidRPr="004019B6">
          <w:rPr>
            <w:rStyle w:val="Hyperlink"/>
            <w:sz w:val="20"/>
            <w:lang w:eastAsia="zh-CN"/>
          </w:rPr>
          <w:t>CBD/IAS/AHTEG/2019/1/INF/1</w:t>
        </w:r>
      </w:hyperlink>
      <w:r w:rsidRPr="004019B6">
        <w:rPr>
          <w:sz w:val="20"/>
          <w:lang w:eastAsia="zh-CN"/>
        </w:rPr>
        <w:t xml:space="preserve">, </w:t>
      </w:r>
      <w:r w:rsidRPr="004019B6">
        <w:rPr>
          <w:sz w:val="20"/>
          <w:lang w:eastAsia="zh-CN"/>
        </w:rPr>
        <w:t>第</w:t>
      </w:r>
      <w:r w:rsidRPr="004019B6">
        <w:rPr>
          <w:sz w:val="20"/>
          <w:lang w:eastAsia="zh-CN"/>
        </w:rPr>
        <w:t>10</w:t>
      </w:r>
      <w:r w:rsidRPr="004019B6">
        <w:rPr>
          <w:sz w:val="20"/>
          <w:lang w:eastAsia="zh-CN"/>
        </w:rPr>
        <w:t>段。</w:t>
      </w:r>
    </w:p>
  </w:footnote>
  <w:footnote w:id="8">
    <w:p w14:paraId="31E8F8D3"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根据第</w:t>
      </w:r>
      <w:r w:rsidRPr="004019B6">
        <w:rPr>
          <w:sz w:val="20"/>
        </w:rPr>
        <w:fldChar w:fldCharType="begin"/>
      </w:r>
      <w:r w:rsidRPr="004019B6">
        <w:rPr>
          <w:sz w:val="20"/>
          <w:lang w:eastAsia="zh-CN"/>
        </w:rPr>
        <w:instrText>HYPERLINK "https://www.cbd.int/doc/decisions/cop-06/full/cop-06-dec-zh.pdf"</w:instrText>
      </w:r>
      <w:r w:rsidRPr="004019B6">
        <w:rPr>
          <w:sz w:val="20"/>
        </w:rPr>
      </w:r>
      <w:r w:rsidRPr="004019B6">
        <w:rPr>
          <w:sz w:val="20"/>
        </w:rPr>
        <w:fldChar w:fldCharType="separate"/>
      </w:r>
      <w:r w:rsidRPr="004019B6">
        <w:rPr>
          <w:rStyle w:val="Hyperlink"/>
          <w:sz w:val="20"/>
          <w:lang w:eastAsia="zh-CN"/>
        </w:rPr>
        <w:t>VI/23</w:t>
      </w:r>
      <w:r w:rsidRPr="004019B6">
        <w:rPr>
          <w:rStyle w:val="Hyperlink"/>
          <w:sz w:val="20"/>
          <w:lang w:eastAsia="zh-CN"/>
        </w:rPr>
        <w:fldChar w:fldCharType="end"/>
      </w:r>
      <w:r w:rsidRPr="004019B6">
        <w:rPr>
          <w:sz w:val="20"/>
          <w:lang w:eastAsia="zh-CN"/>
        </w:rPr>
        <w:t>号决定附件，</w:t>
      </w:r>
      <w:r w:rsidRPr="004019B6">
        <w:rPr>
          <w:sz w:val="20"/>
          <w:lang w:eastAsia="zh-CN"/>
        </w:rPr>
        <w:t>“</w:t>
      </w:r>
      <w:r w:rsidRPr="004019B6">
        <w:rPr>
          <w:sz w:val="20"/>
          <w:lang w:eastAsia="zh-CN"/>
        </w:rPr>
        <w:t>风险分析</w:t>
      </w:r>
      <w:r w:rsidRPr="004019B6">
        <w:rPr>
          <w:sz w:val="20"/>
          <w:lang w:eastAsia="zh-CN"/>
        </w:rPr>
        <w:t>”</w:t>
      </w:r>
      <w:r w:rsidRPr="004019B6">
        <w:rPr>
          <w:sz w:val="20"/>
          <w:lang w:eastAsia="zh-CN"/>
        </w:rPr>
        <w:t>指</w:t>
      </w:r>
      <w:r w:rsidRPr="004019B6">
        <w:rPr>
          <w:sz w:val="20"/>
          <w:lang w:val="x-none" w:eastAsia="zh-CN"/>
        </w:rPr>
        <w:t>：</w:t>
      </w:r>
      <w:r w:rsidRPr="004019B6">
        <w:rPr>
          <w:sz w:val="20"/>
          <w:lang w:eastAsia="zh-CN"/>
        </w:rPr>
        <w:t>（一）使用科学知识评估引进一个外来物种的后果及其本地化的可能性（即风险评估）；（二）确定可予实施、用以减少或管理这些风险的措施（即风险管理），其中考虑到社会经济和文化因素。例如，更多信息见</w:t>
      </w:r>
      <w:r w:rsidRPr="004019B6">
        <w:rPr>
          <w:sz w:val="20"/>
          <w:lang w:val="en-GB" w:eastAsia="zh-CN"/>
        </w:rPr>
        <w:t xml:space="preserve">Sabrina </w:t>
      </w:r>
      <w:proofErr w:type="spellStart"/>
      <w:r w:rsidRPr="004019B6">
        <w:rPr>
          <w:sz w:val="20"/>
          <w:lang w:val="en-GB" w:eastAsia="zh-CN"/>
        </w:rPr>
        <w:t>Kumschick</w:t>
      </w:r>
      <w:proofErr w:type="spellEnd"/>
      <w:r w:rsidRPr="004019B6">
        <w:rPr>
          <w:sz w:val="20"/>
          <w:lang w:val="en-GB" w:eastAsia="zh-CN"/>
        </w:rPr>
        <w:t xml:space="preserve">, John R. U. Wilson and Llewellyn C. Foxcroft, “A framework to support alien species regulation: the Risk Analysis for Alien Taxa (RAAT)”, </w:t>
      </w:r>
      <w:proofErr w:type="spellStart"/>
      <w:r w:rsidRPr="004019B6">
        <w:rPr>
          <w:i/>
          <w:iCs/>
          <w:sz w:val="20"/>
          <w:lang w:val="en-GB" w:eastAsia="zh-CN"/>
        </w:rPr>
        <w:t>NeoBiota</w:t>
      </w:r>
      <w:proofErr w:type="spellEnd"/>
      <w:r w:rsidRPr="004019B6">
        <w:rPr>
          <w:sz w:val="20"/>
          <w:lang w:val="en-GB" w:eastAsia="zh-CN"/>
        </w:rPr>
        <w:t xml:space="preserve">, vol. 62 (October </w:t>
      </w:r>
      <w:proofErr w:type="gramStart"/>
      <w:r w:rsidRPr="004019B6">
        <w:rPr>
          <w:sz w:val="20"/>
          <w:lang w:val="en-GB" w:eastAsia="zh-CN"/>
        </w:rPr>
        <w:t>2020)</w:t>
      </w:r>
      <w:r w:rsidRPr="004019B6">
        <w:rPr>
          <w:sz w:val="20"/>
          <w:lang w:eastAsia="zh-CN"/>
        </w:rPr>
        <w:t>。</w:t>
      </w:r>
      <w:proofErr w:type="gramEnd"/>
    </w:p>
  </w:footnote>
  <w:footnote w:id="9">
    <w:p w14:paraId="519E737E"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rPr>
        <w:t xml:space="preserve">  </w:t>
      </w:r>
      <w:r w:rsidRPr="004019B6">
        <w:rPr>
          <w:sz w:val="20"/>
          <w:lang w:eastAsia="zh-CN"/>
        </w:rPr>
        <w:t>见</w:t>
      </w:r>
      <w:r w:rsidRPr="004019B6">
        <w:rPr>
          <w:sz w:val="20"/>
          <w:lang w:val="en-GB"/>
        </w:rPr>
        <w:t xml:space="preserve">Helen E. Roy and others, “Developing a framework of minimum standards for the risk assessment of alien species”, </w:t>
      </w:r>
      <w:r w:rsidRPr="004019B6">
        <w:rPr>
          <w:i/>
          <w:iCs/>
          <w:sz w:val="20"/>
          <w:lang w:val="en-GB"/>
        </w:rPr>
        <w:t>Journal of Applied Ecology</w:t>
      </w:r>
      <w:r w:rsidRPr="004019B6">
        <w:rPr>
          <w:sz w:val="20"/>
          <w:lang w:val="en-GB"/>
        </w:rPr>
        <w:t xml:space="preserve">, vol. 55, No. 2 (October </w:t>
      </w:r>
      <w:proofErr w:type="gramStart"/>
      <w:r w:rsidRPr="004019B6">
        <w:rPr>
          <w:sz w:val="20"/>
          <w:lang w:val="en-GB"/>
        </w:rPr>
        <w:t>2017)</w:t>
      </w:r>
      <w:r w:rsidRPr="004019B6">
        <w:rPr>
          <w:sz w:val="20"/>
        </w:rPr>
        <w:t>。</w:t>
      </w:r>
      <w:proofErr w:type="gramEnd"/>
    </w:p>
  </w:footnote>
  <w:footnote w:id="10">
    <w:p w14:paraId="46C1957F"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rPr>
        <w:t xml:space="preserve">  </w:t>
      </w:r>
      <w:hyperlink r:id="rId2" w:history="1">
        <w:r w:rsidRPr="004019B6">
          <w:rPr>
            <w:rStyle w:val="Hyperlink"/>
            <w:kern w:val="22"/>
            <w:sz w:val="20"/>
          </w:rPr>
          <w:t>www.iucn.org/resources/conservation-tool/environmental-impact-classification-alien-taxa</w:t>
        </w:r>
      </w:hyperlink>
      <w:r w:rsidRPr="004019B6">
        <w:rPr>
          <w:sz w:val="20"/>
          <w:lang w:eastAsia="zh-CN"/>
        </w:rPr>
        <w:t>。</w:t>
      </w:r>
    </w:p>
  </w:footnote>
  <w:footnote w:id="11">
    <w:p w14:paraId="0B90F21F"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rPr>
        <w:t xml:space="preserve">  </w:t>
      </w:r>
      <w:r w:rsidRPr="004019B6">
        <w:rPr>
          <w:sz w:val="20"/>
          <w:lang w:val="en-GB"/>
        </w:rPr>
        <w:t xml:space="preserve">Sven Bacher and others, “Socioeconomic impact classification of alien taxa (SEICAT)”, </w:t>
      </w:r>
      <w:r w:rsidRPr="004019B6">
        <w:rPr>
          <w:i/>
          <w:iCs/>
          <w:sz w:val="20"/>
          <w:lang w:val="en-GB"/>
        </w:rPr>
        <w:t>Methods in Ecology and Evolution</w:t>
      </w:r>
      <w:r w:rsidRPr="004019B6">
        <w:rPr>
          <w:sz w:val="20"/>
          <w:lang w:val="en-GB"/>
        </w:rPr>
        <w:t xml:space="preserve">, vol. 9, No. 1 (April </w:t>
      </w:r>
      <w:proofErr w:type="gramStart"/>
      <w:r w:rsidRPr="004019B6">
        <w:rPr>
          <w:sz w:val="20"/>
          <w:lang w:val="en-GB"/>
        </w:rPr>
        <w:t>2017)</w:t>
      </w:r>
      <w:r w:rsidRPr="004019B6">
        <w:rPr>
          <w:sz w:val="20"/>
        </w:rPr>
        <w:t>。</w:t>
      </w:r>
      <w:proofErr w:type="gramEnd"/>
    </w:p>
  </w:footnote>
  <w:footnote w:id="12">
    <w:p w14:paraId="52A53F97"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rPr>
        <w:t xml:space="preserve"> </w:t>
      </w:r>
      <w:r w:rsidRPr="004019B6">
        <w:rPr>
          <w:sz w:val="20"/>
        </w:rPr>
        <w:t xml:space="preserve"> </w:t>
      </w:r>
      <w:r w:rsidRPr="004019B6">
        <w:rPr>
          <w:sz w:val="20"/>
        </w:rPr>
        <w:t>见</w:t>
      </w:r>
      <w:r w:rsidRPr="004019B6">
        <w:rPr>
          <w:sz w:val="20"/>
          <w:lang w:eastAsia="zh-CN"/>
        </w:rPr>
        <w:t>环境、渔业和水产养殖学中心</w:t>
      </w:r>
      <w:r w:rsidRPr="004019B6">
        <w:rPr>
          <w:sz w:val="20"/>
        </w:rPr>
        <w:t>，</w:t>
      </w:r>
      <w:r w:rsidRPr="004019B6">
        <w:rPr>
          <w:sz w:val="20"/>
        </w:rPr>
        <w:t>“</w:t>
      </w:r>
      <w:proofErr w:type="spellStart"/>
      <w:r w:rsidRPr="004019B6">
        <w:rPr>
          <w:sz w:val="20"/>
        </w:rPr>
        <w:t>用于识别和管理入侵性非本地水生物种的决策支持工具</w:t>
      </w:r>
      <w:proofErr w:type="spellEnd"/>
      <w:r w:rsidRPr="004019B6">
        <w:rPr>
          <w:sz w:val="20"/>
        </w:rPr>
        <w:t>”</w:t>
      </w:r>
      <w:r w:rsidRPr="004019B6">
        <w:rPr>
          <w:sz w:val="20"/>
        </w:rPr>
        <w:t>，</w:t>
      </w:r>
      <w:r w:rsidRPr="004019B6">
        <w:rPr>
          <w:sz w:val="20"/>
          <w:lang w:eastAsia="zh-CN"/>
        </w:rPr>
        <w:t>载于</w:t>
      </w:r>
      <w:r w:rsidRPr="004019B6">
        <w:rPr>
          <w:sz w:val="20"/>
        </w:rPr>
        <w:fldChar w:fldCharType="begin"/>
      </w:r>
      <w:r w:rsidRPr="004019B6">
        <w:rPr>
          <w:sz w:val="20"/>
        </w:rPr>
        <w:instrText>HYPERLINK "https://www.cefas.co.uk/expertise/research-advice-and-consultancy/non-native-species/decision-support-tools-for-the-identification-and-management-of-invasive-non-native-aquatic-species/"</w:instrText>
      </w:r>
      <w:r w:rsidRPr="004019B6">
        <w:rPr>
          <w:sz w:val="20"/>
        </w:rPr>
      </w:r>
      <w:r w:rsidRPr="004019B6">
        <w:rPr>
          <w:sz w:val="20"/>
        </w:rPr>
        <w:fldChar w:fldCharType="separate"/>
      </w:r>
      <w:r w:rsidRPr="004019B6">
        <w:rPr>
          <w:rStyle w:val="Hyperlink"/>
          <w:color w:val="000000" w:themeColor="text1"/>
          <w:sz w:val="20"/>
        </w:rPr>
        <w:t>www.cefas.co.uk/expertise/research-advice-and-consultancy/non-native-species/decision-support-tools-for-the-identification-and-management-of-invasive-non-native-aquatic-species/</w:t>
      </w:r>
      <w:r w:rsidRPr="004019B6">
        <w:rPr>
          <w:rStyle w:val="Hyperlink"/>
          <w:color w:val="000000" w:themeColor="text1"/>
          <w:sz w:val="20"/>
        </w:rPr>
        <w:fldChar w:fldCharType="end"/>
      </w:r>
      <w:r w:rsidRPr="004019B6">
        <w:rPr>
          <w:sz w:val="20"/>
        </w:rPr>
        <w:t>。</w:t>
      </w:r>
    </w:p>
  </w:footnote>
  <w:footnote w:id="13">
    <w:p w14:paraId="288563C4"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rPr>
        <w:t xml:space="preserve"> </w:t>
      </w:r>
      <w:r w:rsidRPr="004019B6">
        <w:rPr>
          <w:sz w:val="20"/>
        </w:rPr>
        <w:t xml:space="preserve"> </w:t>
      </w:r>
      <w:proofErr w:type="spellStart"/>
      <w:r w:rsidRPr="004019B6">
        <w:rPr>
          <w:sz w:val="20"/>
        </w:rPr>
        <w:t>例如</w:t>
      </w:r>
      <w:proofErr w:type="spellEnd"/>
      <w:r w:rsidRPr="004019B6">
        <w:rPr>
          <w:sz w:val="20"/>
          <w:lang w:eastAsia="zh-CN"/>
        </w:rPr>
        <w:t>，</w:t>
      </w:r>
      <w:proofErr w:type="spellStart"/>
      <w:r w:rsidRPr="004019B6">
        <w:rPr>
          <w:sz w:val="20"/>
        </w:rPr>
        <w:t>国际植物保护公约植物检疫措施委员会通过</w:t>
      </w:r>
      <w:proofErr w:type="spellEnd"/>
      <w:r w:rsidRPr="004019B6">
        <w:rPr>
          <w:sz w:val="20"/>
          <w:lang w:eastAsia="zh-CN"/>
        </w:rPr>
        <w:t>的若干</w:t>
      </w:r>
      <w:r w:rsidRPr="004019B6">
        <w:rPr>
          <w:sz w:val="20"/>
        </w:rPr>
        <w:t>基于科学的虫害风险分析国际标准（见</w:t>
      </w:r>
      <w:hyperlink r:id="rId3" w:history="1">
        <w:r w:rsidRPr="004019B6">
          <w:rPr>
            <w:rStyle w:val="Hyperlink"/>
            <w:sz w:val="20"/>
          </w:rPr>
          <w:t>www.ippc.int/en/core-activities/standards-setting/ispms/</w:t>
        </w:r>
      </w:hyperlink>
      <w:r w:rsidRPr="004019B6">
        <w:rPr>
          <w:sz w:val="20"/>
        </w:rPr>
        <w:t>）。</w:t>
      </w:r>
    </w:p>
  </w:footnote>
  <w:footnote w:id="14">
    <w:p w14:paraId="20511CDD"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自由、</w:t>
      </w:r>
      <w:proofErr w:type="gramStart"/>
      <w:r w:rsidRPr="004019B6">
        <w:rPr>
          <w:sz w:val="20"/>
          <w:lang w:eastAsia="zh-CN"/>
        </w:rPr>
        <w:t>事先和知情同意</w:t>
      </w:r>
      <w:r w:rsidRPr="004019B6">
        <w:rPr>
          <w:sz w:val="20"/>
          <w:lang w:eastAsia="zh-CN"/>
        </w:rPr>
        <w:t>”</w:t>
      </w:r>
      <w:r w:rsidRPr="004019B6">
        <w:rPr>
          <w:sz w:val="20"/>
          <w:lang w:eastAsia="zh-CN"/>
        </w:rPr>
        <w:t>指三种表述</w:t>
      </w:r>
      <w:proofErr w:type="gramEnd"/>
      <w:r w:rsidRPr="004019B6">
        <w:rPr>
          <w:sz w:val="20"/>
          <w:lang w:eastAsia="zh-CN"/>
        </w:rPr>
        <w:t>，即</w:t>
      </w:r>
      <w:r w:rsidRPr="004019B6">
        <w:rPr>
          <w:sz w:val="20"/>
          <w:lang w:eastAsia="zh-CN"/>
        </w:rPr>
        <w:t xml:space="preserve"> “</w:t>
      </w:r>
      <w:r w:rsidRPr="004019B6">
        <w:rPr>
          <w:sz w:val="20"/>
          <w:lang w:eastAsia="zh-CN"/>
        </w:rPr>
        <w:t>事先和知情同意</w:t>
      </w:r>
      <w:r w:rsidRPr="004019B6">
        <w:rPr>
          <w:sz w:val="20"/>
          <w:lang w:eastAsia="zh-CN"/>
        </w:rPr>
        <w:t xml:space="preserve">” </w:t>
      </w:r>
      <w:r w:rsidRPr="004019B6">
        <w:rPr>
          <w:sz w:val="20"/>
          <w:lang w:eastAsia="zh-CN"/>
        </w:rPr>
        <w:t>、</w:t>
      </w:r>
      <w:r w:rsidRPr="004019B6">
        <w:rPr>
          <w:sz w:val="20"/>
          <w:lang w:eastAsia="zh-CN"/>
        </w:rPr>
        <w:t xml:space="preserve"> “</w:t>
      </w:r>
      <w:r w:rsidRPr="004019B6">
        <w:rPr>
          <w:sz w:val="20"/>
          <w:lang w:eastAsia="zh-CN"/>
        </w:rPr>
        <w:t>自由、事先和知情同意</w:t>
      </w:r>
      <w:r w:rsidRPr="004019B6">
        <w:rPr>
          <w:sz w:val="20"/>
          <w:lang w:eastAsia="zh-CN"/>
        </w:rPr>
        <w:t xml:space="preserve">” </w:t>
      </w:r>
      <w:r w:rsidRPr="004019B6">
        <w:rPr>
          <w:sz w:val="20"/>
          <w:lang w:eastAsia="zh-CN"/>
        </w:rPr>
        <w:t>、</w:t>
      </w:r>
      <w:r w:rsidRPr="004019B6">
        <w:rPr>
          <w:sz w:val="20"/>
          <w:lang w:eastAsia="zh-CN"/>
        </w:rPr>
        <w:t xml:space="preserve"> “</w:t>
      </w:r>
      <w:r w:rsidRPr="004019B6">
        <w:rPr>
          <w:sz w:val="20"/>
          <w:lang w:eastAsia="zh-CN"/>
        </w:rPr>
        <w:t>批准和参与</w:t>
      </w:r>
      <w:r w:rsidRPr="004019B6">
        <w:rPr>
          <w:sz w:val="20"/>
          <w:lang w:eastAsia="zh-CN"/>
        </w:rPr>
        <w:t>”</w:t>
      </w:r>
      <w:r w:rsidRPr="004019B6">
        <w:rPr>
          <w:sz w:val="20"/>
          <w:lang w:eastAsia="zh-CN"/>
        </w:rPr>
        <w:t>（第</w:t>
      </w:r>
      <w:r w:rsidRPr="004019B6">
        <w:rPr>
          <w:sz w:val="20"/>
        </w:rPr>
        <w:fldChar w:fldCharType="begin"/>
      </w:r>
      <w:r w:rsidRPr="004019B6">
        <w:rPr>
          <w:sz w:val="20"/>
          <w:lang w:eastAsia="zh-CN"/>
        </w:rPr>
        <w:instrText>HYPERLINK "https://www.cbd.int/doc/decisions/cop-15/cop-15-dec-04-zh.pdf"</w:instrText>
      </w:r>
      <w:r w:rsidRPr="004019B6">
        <w:rPr>
          <w:sz w:val="20"/>
        </w:rPr>
      </w:r>
      <w:r w:rsidRPr="004019B6">
        <w:rPr>
          <w:sz w:val="20"/>
        </w:rPr>
        <w:fldChar w:fldCharType="separate"/>
      </w:r>
      <w:r w:rsidRPr="004019B6">
        <w:rPr>
          <w:rStyle w:val="Hyperlink"/>
          <w:sz w:val="20"/>
          <w:lang w:eastAsia="zh-CN"/>
        </w:rPr>
        <w:t>15/4</w:t>
      </w:r>
      <w:r w:rsidRPr="004019B6">
        <w:rPr>
          <w:rStyle w:val="Hyperlink"/>
          <w:sz w:val="20"/>
          <w:lang w:eastAsia="zh-CN"/>
        </w:rPr>
        <w:fldChar w:fldCharType="end"/>
      </w:r>
      <w:r w:rsidRPr="004019B6">
        <w:rPr>
          <w:sz w:val="20"/>
          <w:lang w:eastAsia="zh-CN"/>
        </w:rPr>
        <w:t>号决定附件）。</w:t>
      </w:r>
    </w:p>
  </w:footnote>
  <w:footnote w:id="15">
    <w:p w14:paraId="62CD08C6"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见第</w:t>
      </w:r>
      <w:r w:rsidRPr="004019B6">
        <w:rPr>
          <w:sz w:val="20"/>
        </w:rPr>
        <w:fldChar w:fldCharType="begin"/>
      </w:r>
      <w:r w:rsidRPr="004019B6">
        <w:rPr>
          <w:sz w:val="20"/>
          <w:lang w:eastAsia="zh-CN"/>
        </w:rPr>
        <w:instrText>HYPERLINK "https://www.cbd.int/doc/decisions/cop-15/cop-15-dec-27-zh.pdf"</w:instrText>
      </w:r>
      <w:r w:rsidRPr="004019B6">
        <w:rPr>
          <w:sz w:val="20"/>
        </w:rPr>
      </w:r>
      <w:r w:rsidRPr="004019B6">
        <w:rPr>
          <w:sz w:val="20"/>
        </w:rPr>
        <w:fldChar w:fldCharType="separate"/>
      </w:r>
      <w:r w:rsidRPr="004019B6">
        <w:rPr>
          <w:rStyle w:val="Hyperlink"/>
          <w:sz w:val="20"/>
          <w:lang w:eastAsia="zh-CN"/>
        </w:rPr>
        <w:t>15/27</w:t>
      </w:r>
      <w:r w:rsidRPr="004019B6">
        <w:rPr>
          <w:rStyle w:val="Hyperlink"/>
          <w:sz w:val="20"/>
          <w:lang w:eastAsia="zh-CN"/>
        </w:rPr>
        <w:fldChar w:fldCharType="end"/>
      </w:r>
      <w:r w:rsidRPr="004019B6">
        <w:rPr>
          <w:sz w:val="20"/>
          <w:lang w:eastAsia="zh-CN"/>
        </w:rPr>
        <w:t>号决定第</w:t>
      </w:r>
      <w:r w:rsidRPr="004019B6">
        <w:rPr>
          <w:sz w:val="20"/>
          <w:lang w:eastAsia="zh-CN"/>
        </w:rPr>
        <w:t>5</w:t>
      </w:r>
      <w:r w:rsidRPr="004019B6">
        <w:rPr>
          <w:sz w:val="20"/>
          <w:lang w:eastAsia="zh-CN"/>
        </w:rPr>
        <w:t>段，其中缔约方大会鼓励各缔约方促进数据分享。</w:t>
      </w:r>
    </w:p>
  </w:footnote>
  <w:footnote w:id="16">
    <w:p w14:paraId="6ED68080"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指采取措施预防引进、控制或消除外来入侵物种（</w:t>
      </w:r>
      <w:r w:rsidRPr="004019B6">
        <w:rPr>
          <w:sz w:val="20"/>
        </w:rPr>
        <w:fldChar w:fldCharType="begin"/>
      </w:r>
      <w:r w:rsidRPr="004019B6">
        <w:rPr>
          <w:sz w:val="20"/>
          <w:lang w:eastAsia="zh-CN"/>
        </w:rPr>
        <w:instrText>HYPERLINK "https://www.cbd.int/doc/c/f82f/90c8/4e82b4a23db2edfc632d56c5/ias-ahteg-2019-01-02-en.pdf"</w:instrText>
      </w:r>
      <w:r w:rsidRPr="004019B6">
        <w:rPr>
          <w:sz w:val="20"/>
        </w:rPr>
      </w:r>
      <w:r w:rsidRPr="004019B6">
        <w:rPr>
          <w:sz w:val="20"/>
        </w:rPr>
        <w:fldChar w:fldCharType="separate"/>
      </w:r>
      <w:r w:rsidRPr="004019B6">
        <w:rPr>
          <w:rStyle w:val="Hyperlink"/>
          <w:sz w:val="20"/>
          <w:lang w:eastAsia="zh-CN"/>
        </w:rPr>
        <w:t>CBD/IAS/AHTEG/2019/1/2</w:t>
      </w:r>
      <w:r w:rsidRPr="004019B6">
        <w:rPr>
          <w:rStyle w:val="Hyperlink"/>
          <w:sz w:val="20"/>
          <w:lang w:eastAsia="zh-CN"/>
        </w:rPr>
        <w:fldChar w:fldCharType="end"/>
      </w:r>
      <w:r w:rsidRPr="004019B6">
        <w:rPr>
          <w:sz w:val="20"/>
          <w:lang w:eastAsia="zh-CN"/>
        </w:rPr>
        <w:t>，第</w:t>
      </w:r>
      <w:r w:rsidRPr="004019B6">
        <w:rPr>
          <w:sz w:val="20"/>
          <w:lang w:eastAsia="zh-CN"/>
        </w:rPr>
        <w:t>13(e)</w:t>
      </w:r>
      <w:r w:rsidRPr="004019B6">
        <w:rPr>
          <w:sz w:val="20"/>
          <w:lang w:eastAsia="zh-CN"/>
        </w:rPr>
        <w:t>段）。</w:t>
      </w:r>
    </w:p>
  </w:footnote>
  <w:footnote w:id="17">
    <w:p w14:paraId="360C8FE8"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例如，见</w:t>
      </w:r>
      <w:r w:rsidRPr="004019B6">
        <w:rPr>
          <w:sz w:val="20"/>
          <w:lang w:eastAsia="zh-CN"/>
        </w:rPr>
        <w:t>2016</w:t>
      </w:r>
      <w:r w:rsidRPr="004019B6">
        <w:rPr>
          <w:sz w:val="20"/>
          <w:lang w:eastAsia="zh-CN"/>
        </w:rPr>
        <w:t>年</w:t>
      </w:r>
      <w:r w:rsidRPr="004019B6">
        <w:rPr>
          <w:sz w:val="20"/>
          <w:lang w:eastAsia="zh-CN"/>
        </w:rPr>
        <w:t>10</w:t>
      </w:r>
      <w:r w:rsidRPr="004019B6">
        <w:rPr>
          <w:sz w:val="20"/>
          <w:lang w:eastAsia="zh-CN"/>
        </w:rPr>
        <w:t>月</w:t>
      </w:r>
      <w:r w:rsidRPr="004019B6">
        <w:rPr>
          <w:sz w:val="20"/>
          <w:lang w:eastAsia="zh-CN"/>
        </w:rPr>
        <w:t>26</w:t>
      </w:r>
      <w:r w:rsidRPr="004019B6">
        <w:rPr>
          <w:sz w:val="20"/>
          <w:lang w:eastAsia="zh-CN"/>
        </w:rPr>
        <w:t>日欧洲理事会议会关于植物害虫预防措施的</w:t>
      </w:r>
      <w:r w:rsidRPr="004019B6">
        <w:rPr>
          <w:sz w:val="20"/>
          <w:lang w:eastAsia="zh-CN"/>
        </w:rPr>
        <w:t xml:space="preserve"> </w:t>
      </w:r>
      <w:r w:rsidRPr="004019B6">
        <w:rPr>
          <w:sz w:val="20"/>
          <w:lang w:eastAsia="zh-CN"/>
        </w:rPr>
        <w:t>（</w:t>
      </w:r>
      <w:r w:rsidRPr="004019B6">
        <w:rPr>
          <w:sz w:val="20"/>
          <w:lang w:eastAsia="zh-CN"/>
        </w:rPr>
        <w:t>EU</w:t>
      </w:r>
      <w:r w:rsidRPr="004019B6">
        <w:rPr>
          <w:sz w:val="20"/>
          <w:lang w:eastAsia="zh-CN"/>
        </w:rPr>
        <w:t>）</w:t>
      </w:r>
      <w:r w:rsidRPr="004019B6">
        <w:rPr>
          <w:sz w:val="20"/>
          <w:lang w:eastAsia="zh-CN"/>
        </w:rPr>
        <w:t xml:space="preserve"> </w:t>
      </w:r>
      <w:r w:rsidRPr="004019B6">
        <w:rPr>
          <w:sz w:val="20"/>
          <w:lang w:eastAsia="zh-CN"/>
        </w:rPr>
        <w:t>第</w:t>
      </w:r>
      <w:r w:rsidRPr="004019B6">
        <w:rPr>
          <w:sz w:val="20"/>
          <w:lang w:eastAsia="zh-CN"/>
        </w:rPr>
        <w:t>2016/2031</w:t>
      </w:r>
      <w:r w:rsidRPr="004019B6">
        <w:rPr>
          <w:sz w:val="20"/>
          <w:lang w:eastAsia="zh-CN"/>
        </w:rPr>
        <w:t>号条例。</w:t>
      </w:r>
    </w:p>
  </w:footnote>
  <w:footnote w:id="18">
    <w:p w14:paraId="1AF99638"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这种清单可能是针对某具体地区或物种的。</w:t>
      </w:r>
    </w:p>
  </w:footnote>
  <w:footnote w:id="19">
    <w:p w14:paraId="74049B23"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例如欧洲外来物种信息网。</w:t>
      </w:r>
    </w:p>
  </w:footnote>
  <w:footnote w:id="20">
    <w:p w14:paraId="6FC081C7"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见第</w:t>
      </w:r>
      <w:r w:rsidRPr="004019B6">
        <w:rPr>
          <w:sz w:val="20"/>
        </w:rPr>
        <w:fldChar w:fldCharType="begin"/>
      </w:r>
      <w:r w:rsidRPr="004019B6">
        <w:rPr>
          <w:sz w:val="20"/>
          <w:lang w:eastAsia="zh-CN"/>
        </w:rPr>
        <w:instrText>HYPERLINK "https://www.cbd.int/doc/decisions/cop-12/cop-12-dec-17-zh.pdf"</w:instrText>
      </w:r>
      <w:r w:rsidRPr="004019B6">
        <w:rPr>
          <w:sz w:val="20"/>
        </w:rPr>
      </w:r>
      <w:r w:rsidRPr="004019B6">
        <w:rPr>
          <w:sz w:val="20"/>
        </w:rPr>
        <w:fldChar w:fldCharType="separate"/>
      </w:r>
      <w:r w:rsidRPr="004019B6">
        <w:rPr>
          <w:rStyle w:val="Hyperlink"/>
          <w:sz w:val="20"/>
          <w:lang w:eastAsia="zh-CN"/>
        </w:rPr>
        <w:t>XII/17</w:t>
      </w:r>
      <w:r w:rsidRPr="004019B6">
        <w:rPr>
          <w:rStyle w:val="Hyperlink"/>
          <w:sz w:val="20"/>
          <w:lang w:eastAsia="zh-CN"/>
        </w:rPr>
        <w:fldChar w:fldCharType="end"/>
      </w:r>
      <w:r w:rsidRPr="004019B6">
        <w:rPr>
          <w:sz w:val="20"/>
          <w:lang w:eastAsia="zh-CN"/>
        </w:rPr>
        <w:t>号决定</w:t>
      </w:r>
      <w:r w:rsidRPr="004019B6">
        <w:rPr>
          <w:sz w:val="20"/>
          <w:lang w:eastAsia="zh-CN"/>
        </w:rPr>
        <w:t>9(d)</w:t>
      </w:r>
      <w:r w:rsidRPr="004019B6">
        <w:rPr>
          <w:sz w:val="20"/>
          <w:lang w:eastAsia="zh-CN"/>
        </w:rPr>
        <w:t>段。</w:t>
      </w:r>
      <w:r w:rsidRPr="004019B6">
        <w:rPr>
          <w:sz w:val="20"/>
          <w:lang w:eastAsia="zh-CN"/>
        </w:rPr>
        <w:t xml:space="preserve"> </w:t>
      </w:r>
    </w:p>
  </w:footnote>
  <w:footnote w:id="21">
    <w:p w14:paraId="473F9712"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例如，见养护欧洲野生生物和自然生境公约</w:t>
      </w:r>
      <w:r w:rsidRPr="004019B6">
        <w:rPr>
          <w:sz w:val="20"/>
          <w:lang w:eastAsia="zh-CN"/>
        </w:rPr>
        <w:t>T-PVS/Inf(2021)39</w:t>
      </w:r>
      <w:r w:rsidRPr="004019B6">
        <w:rPr>
          <w:sz w:val="20"/>
          <w:lang w:eastAsia="zh-CN"/>
        </w:rPr>
        <w:t>号文件。</w:t>
      </w:r>
    </w:p>
  </w:footnote>
  <w:footnote w:id="22">
    <w:p w14:paraId="6D93570B"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例如，见</w:t>
      </w:r>
      <w:r w:rsidRPr="004019B6">
        <w:rPr>
          <w:sz w:val="20"/>
          <w:lang w:eastAsia="zh-CN"/>
        </w:rPr>
        <w:t>2016</w:t>
      </w:r>
      <w:r w:rsidRPr="004019B6">
        <w:rPr>
          <w:sz w:val="20"/>
          <w:lang w:eastAsia="zh-CN"/>
        </w:rPr>
        <w:t>年</w:t>
      </w:r>
      <w:r w:rsidRPr="004019B6">
        <w:rPr>
          <w:sz w:val="20"/>
          <w:lang w:eastAsia="zh-CN"/>
        </w:rPr>
        <w:t>10</w:t>
      </w:r>
      <w:r w:rsidRPr="004019B6">
        <w:rPr>
          <w:sz w:val="20"/>
          <w:lang w:eastAsia="zh-CN"/>
        </w:rPr>
        <w:t>月</w:t>
      </w:r>
      <w:r w:rsidRPr="004019B6">
        <w:rPr>
          <w:sz w:val="20"/>
          <w:lang w:eastAsia="zh-CN"/>
        </w:rPr>
        <w:t>26</w:t>
      </w:r>
      <w:r w:rsidRPr="004019B6">
        <w:rPr>
          <w:sz w:val="20"/>
          <w:lang w:eastAsia="zh-CN"/>
        </w:rPr>
        <w:t>日欧洲理事会议会关于植物害虫预防措施的</w:t>
      </w:r>
      <w:r w:rsidRPr="004019B6">
        <w:rPr>
          <w:sz w:val="20"/>
          <w:lang w:eastAsia="zh-CN"/>
        </w:rPr>
        <w:t xml:space="preserve"> </w:t>
      </w:r>
      <w:r w:rsidRPr="004019B6">
        <w:rPr>
          <w:sz w:val="20"/>
          <w:lang w:eastAsia="zh-CN"/>
        </w:rPr>
        <w:t>（</w:t>
      </w:r>
      <w:r w:rsidRPr="004019B6">
        <w:rPr>
          <w:sz w:val="20"/>
          <w:lang w:eastAsia="zh-CN"/>
        </w:rPr>
        <w:t>EU</w:t>
      </w:r>
      <w:r w:rsidRPr="004019B6">
        <w:rPr>
          <w:sz w:val="20"/>
          <w:lang w:eastAsia="zh-CN"/>
        </w:rPr>
        <w:t>）</w:t>
      </w:r>
      <w:r w:rsidRPr="004019B6">
        <w:rPr>
          <w:sz w:val="20"/>
          <w:lang w:eastAsia="zh-CN"/>
        </w:rPr>
        <w:t xml:space="preserve"> </w:t>
      </w:r>
      <w:r w:rsidRPr="004019B6">
        <w:rPr>
          <w:sz w:val="20"/>
          <w:lang w:eastAsia="zh-CN"/>
        </w:rPr>
        <w:t>第</w:t>
      </w:r>
      <w:r w:rsidRPr="004019B6">
        <w:rPr>
          <w:sz w:val="20"/>
          <w:lang w:eastAsia="zh-CN"/>
        </w:rPr>
        <w:t xml:space="preserve"> 2016/2031</w:t>
      </w:r>
      <w:r w:rsidRPr="004019B6">
        <w:rPr>
          <w:sz w:val="20"/>
          <w:lang w:eastAsia="zh-CN"/>
        </w:rPr>
        <w:t>号条例。</w:t>
      </w:r>
    </w:p>
  </w:footnote>
  <w:footnote w:id="23">
    <w:p w14:paraId="487F221A"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野生生物被定义为野生动物和野生植物。</w:t>
      </w:r>
    </w:p>
  </w:footnote>
  <w:footnote w:id="24">
    <w:p w14:paraId="504C28DE" w14:textId="77777777" w:rsidR="003D18A0" w:rsidRPr="004019B6" w:rsidRDefault="003D18A0" w:rsidP="003D18A0">
      <w:pPr>
        <w:pStyle w:val="FootnoteText"/>
        <w:spacing w:after="40" w:line="240" w:lineRule="atLeast"/>
        <w:rPr>
          <w:sz w:val="20"/>
          <w:lang w:eastAsia="zh-CN"/>
        </w:rPr>
      </w:pPr>
      <w:r w:rsidRPr="004019B6">
        <w:rPr>
          <w:rStyle w:val="FootnoteReference"/>
          <w:sz w:val="20"/>
        </w:rPr>
        <w:footnoteRef/>
      </w:r>
      <w:r w:rsidRPr="004019B6">
        <w:rPr>
          <w:sz w:val="20"/>
          <w:vertAlign w:val="superscript"/>
        </w:rPr>
        <w:t xml:space="preserve"> </w:t>
      </w:r>
      <w:r w:rsidRPr="004019B6">
        <w:rPr>
          <w:sz w:val="20"/>
        </w:rPr>
        <w:t xml:space="preserve"> </w:t>
      </w:r>
      <w:r w:rsidRPr="004019B6">
        <w:rPr>
          <w:sz w:val="20"/>
          <w:lang w:eastAsia="zh-CN"/>
        </w:rPr>
        <w:t>见</w:t>
      </w:r>
      <w:r w:rsidRPr="004019B6">
        <w:rPr>
          <w:sz w:val="20"/>
        </w:rPr>
        <w:fldChar w:fldCharType="begin"/>
      </w:r>
      <w:r w:rsidRPr="004019B6">
        <w:rPr>
          <w:sz w:val="20"/>
        </w:rPr>
        <w:instrText>HYPERLINK "http://www.griis.org/"</w:instrText>
      </w:r>
      <w:r w:rsidRPr="004019B6">
        <w:rPr>
          <w:sz w:val="20"/>
        </w:rPr>
      </w:r>
      <w:r w:rsidRPr="004019B6">
        <w:rPr>
          <w:sz w:val="20"/>
        </w:rPr>
        <w:fldChar w:fldCharType="separate"/>
      </w:r>
      <w:r w:rsidRPr="004019B6">
        <w:rPr>
          <w:rStyle w:val="Hyperlink"/>
          <w:sz w:val="20"/>
        </w:rPr>
        <w:t>www.griis.org</w:t>
      </w:r>
      <w:r w:rsidRPr="004019B6">
        <w:rPr>
          <w:rStyle w:val="Hyperlink"/>
          <w:sz w:val="20"/>
        </w:rPr>
        <w:fldChar w:fldCharType="end"/>
      </w:r>
      <w:r w:rsidRPr="004019B6">
        <w:rPr>
          <w:sz w:val="20"/>
          <w:lang w:eastAsia="zh-CN"/>
        </w:rPr>
        <w:t>。</w:t>
      </w:r>
    </w:p>
  </w:footnote>
  <w:footnote w:id="25">
    <w:p w14:paraId="14C8BC4B" w14:textId="77777777" w:rsidR="003D18A0" w:rsidRPr="004019B6" w:rsidRDefault="003D18A0" w:rsidP="003D18A0">
      <w:pPr>
        <w:pStyle w:val="FootnoteText"/>
        <w:spacing w:after="40" w:line="240" w:lineRule="atLeast"/>
        <w:rPr>
          <w:sz w:val="20"/>
          <w:lang w:eastAsia="zh-CN"/>
        </w:rPr>
      </w:pPr>
      <w:r w:rsidRPr="004019B6">
        <w:rPr>
          <w:rStyle w:val="FootnoteReference"/>
          <w:sz w:val="20"/>
        </w:rPr>
        <w:footnoteRef/>
      </w:r>
      <w:r w:rsidRPr="004019B6">
        <w:rPr>
          <w:sz w:val="20"/>
        </w:rPr>
        <w:t xml:space="preserve">  </w:t>
      </w:r>
      <w:r w:rsidRPr="004019B6">
        <w:rPr>
          <w:sz w:val="20"/>
          <w:lang w:eastAsia="zh-CN"/>
        </w:rPr>
        <w:t>见</w:t>
      </w:r>
      <w:hyperlink r:id="rId4" w:history="1">
        <w:r w:rsidRPr="004019B6">
          <w:rPr>
            <w:rStyle w:val="Hyperlink"/>
            <w:sz w:val="20"/>
          </w:rPr>
          <w:t>www.wto.org/english/tratop_e/serv_e/gatsintr_e.htm</w:t>
        </w:r>
      </w:hyperlink>
      <w:r w:rsidRPr="004019B6">
        <w:rPr>
          <w:caps/>
          <w:kern w:val="22"/>
          <w:sz w:val="20"/>
          <w:lang w:val="en-GB" w:eastAsia="zh-CN"/>
        </w:rPr>
        <w:t>。</w:t>
      </w:r>
    </w:p>
  </w:footnote>
  <w:footnote w:id="26">
    <w:p w14:paraId="73EC5572"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rPr>
        <w:t xml:space="preserve">  </w:t>
      </w:r>
      <w:r w:rsidRPr="004019B6">
        <w:rPr>
          <w:sz w:val="20"/>
          <w:lang w:eastAsia="zh-CN"/>
        </w:rPr>
        <w:t>见</w:t>
      </w:r>
      <w:hyperlink r:id="rId5" w:history="1">
        <w:r w:rsidRPr="004019B6">
          <w:rPr>
            <w:rStyle w:val="Hyperlink"/>
            <w:sz w:val="20"/>
          </w:rPr>
          <w:t>www.wcoomd.org/~/media/wco/public/global/pdf/topics/facilitation/activities-and-programmes/tf-negociations/wco-docs/info-sheets-on-tf-measures/single-window-concept.pdf</w:t>
        </w:r>
      </w:hyperlink>
      <w:r w:rsidRPr="004019B6">
        <w:rPr>
          <w:caps/>
          <w:kern w:val="22"/>
          <w:sz w:val="20"/>
          <w:lang w:val="en-GB" w:eastAsia="zh-CN"/>
        </w:rPr>
        <w:t>。</w:t>
      </w:r>
    </w:p>
  </w:footnote>
  <w:footnote w:id="27">
    <w:p w14:paraId="4C96EC33"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rPr>
        <w:t xml:space="preserve">  </w:t>
      </w:r>
      <w:r w:rsidRPr="004019B6">
        <w:rPr>
          <w:sz w:val="20"/>
          <w:lang w:eastAsia="zh-CN"/>
        </w:rPr>
        <w:t>见</w:t>
      </w:r>
      <w:hyperlink r:id="rId6" w:history="1">
        <w:r w:rsidRPr="004019B6">
          <w:rPr>
            <w:rStyle w:val="Hyperlink"/>
            <w:sz w:val="20"/>
          </w:rPr>
          <w:t>https://easin.jrc.ec.europa.eu/easin</w:t>
        </w:r>
      </w:hyperlink>
      <w:r w:rsidRPr="004019B6">
        <w:rPr>
          <w:sz w:val="20"/>
          <w:lang w:eastAsia="zh-CN"/>
        </w:rPr>
        <w:t>。</w:t>
      </w:r>
    </w:p>
  </w:footnote>
  <w:footnote w:id="28">
    <w:p w14:paraId="54F04F0C"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自由、</w:t>
      </w:r>
      <w:proofErr w:type="gramStart"/>
      <w:r w:rsidRPr="004019B6">
        <w:rPr>
          <w:sz w:val="20"/>
          <w:lang w:eastAsia="zh-CN"/>
        </w:rPr>
        <w:t>事先和知情同意</w:t>
      </w:r>
      <w:r w:rsidRPr="004019B6">
        <w:rPr>
          <w:sz w:val="20"/>
          <w:lang w:eastAsia="zh-CN"/>
        </w:rPr>
        <w:t>”</w:t>
      </w:r>
      <w:r w:rsidRPr="004019B6">
        <w:rPr>
          <w:sz w:val="20"/>
          <w:lang w:eastAsia="zh-CN"/>
        </w:rPr>
        <w:t>指三种表述</w:t>
      </w:r>
      <w:proofErr w:type="gramEnd"/>
      <w:r w:rsidRPr="004019B6">
        <w:rPr>
          <w:sz w:val="20"/>
          <w:lang w:eastAsia="zh-CN"/>
        </w:rPr>
        <w:t>，即</w:t>
      </w:r>
      <w:r w:rsidRPr="004019B6">
        <w:rPr>
          <w:sz w:val="20"/>
          <w:lang w:eastAsia="zh-CN"/>
        </w:rPr>
        <w:t xml:space="preserve"> “</w:t>
      </w:r>
      <w:r w:rsidRPr="004019B6">
        <w:rPr>
          <w:sz w:val="20"/>
          <w:lang w:eastAsia="zh-CN"/>
        </w:rPr>
        <w:t>事先和知情同意</w:t>
      </w:r>
      <w:r w:rsidRPr="004019B6">
        <w:rPr>
          <w:sz w:val="20"/>
          <w:lang w:eastAsia="zh-CN"/>
        </w:rPr>
        <w:t xml:space="preserve">” </w:t>
      </w:r>
      <w:r w:rsidRPr="004019B6">
        <w:rPr>
          <w:sz w:val="20"/>
          <w:lang w:eastAsia="zh-CN"/>
        </w:rPr>
        <w:t>、</w:t>
      </w:r>
      <w:r w:rsidRPr="004019B6">
        <w:rPr>
          <w:sz w:val="20"/>
          <w:lang w:eastAsia="zh-CN"/>
        </w:rPr>
        <w:t xml:space="preserve"> “</w:t>
      </w:r>
      <w:r w:rsidRPr="004019B6">
        <w:rPr>
          <w:sz w:val="20"/>
          <w:lang w:eastAsia="zh-CN"/>
        </w:rPr>
        <w:t>自由、事先和知情同意</w:t>
      </w:r>
      <w:r w:rsidRPr="004019B6">
        <w:rPr>
          <w:sz w:val="20"/>
          <w:lang w:eastAsia="zh-CN"/>
        </w:rPr>
        <w:t xml:space="preserve">” </w:t>
      </w:r>
      <w:r w:rsidRPr="004019B6">
        <w:rPr>
          <w:sz w:val="20"/>
          <w:lang w:eastAsia="zh-CN"/>
        </w:rPr>
        <w:t>、</w:t>
      </w:r>
      <w:r w:rsidRPr="004019B6">
        <w:rPr>
          <w:sz w:val="20"/>
          <w:lang w:eastAsia="zh-CN"/>
        </w:rPr>
        <w:t xml:space="preserve"> “</w:t>
      </w:r>
      <w:r w:rsidRPr="004019B6">
        <w:rPr>
          <w:sz w:val="20"/>
          <w:lang w:eastAsia="zh-CN"/>
        </w:rPr>
        <w:t>批准和参与</w:t>
      </w:r>
      <w:r w:rsidRPr="004019B6">
        <w:rPr>
          <w:sz w:val="20"/>
          <w:lang w:eastAsia="zh-CN"/>
        </w:rPr>
        <w:t>”</w:t>
      </w:r>
      <w:r w:rsidRPr="004019B6">
        <w:rPr>
          <w:sz w:val="20"/>
          <w:lang w:eastAsia="zh-CN"/>
        </w:rPr>
        <w:t>（见第</w:t>
      </w:r>
      <w:r w:rsidRPr="004019B6">
        <w:rPr>
          <w:sz w:val="20"/>
        </w:rPr>
        <w:fldChar w:fldCharType="begin"/>
      </w:r>
      <w:r w:rsidRPr="004019B6">
        <w:rPr>
          <w:sz w:val="20"/>
          <w:lang w:eastAsia="zh-CN"/>
        </w:rPr>
        <w:instrText>HYPERLINK "https://www.cbd.int/doc/decisions/cop-15/cop-15-dec-04-zh.pdf"</w:instrText>
      </w:r>
      <w:r w:rsidRPr="004019B6">
        <w:rPr>
          <w:sz w:val="20"/>
        </w:rPr>
      </w:r>
      <w:r w:rsidRPr="004019B6">
        <w:rPr>
          <w:sz w:val="20"/>
        </w:rPr>
        <w:fldChar w:fldCharType="separate"/>
      </w:r>
      <w:r w:rsidRPr="004019B6">
        <w:rPr>
          <w:rStyle w:val="Hyperlink"/>
          <w:sz w:val="20"/>
          <w:lang w:eastAsia="zh-CN"/>
        </w:rPr>
        <w:t>15/4</w:t>
      </w:r>
      <w:r w:rsidRPr="004019B6">
        <w:rPr>
          <w:rStyle w:val="Hyperlink"/>
          <w:sz w:val="20"/>
          <w:lang w:eastAsia="zh-CN"/>
        </w:rPr>
        <w:fldChar w:fldCharType="end"/>
      </w:r>
      <w:r w:rsidRPr="004019B6">
        <w:rPr>
          <w:sz w:val="20"/>
          <w:lang w:eastAsia="zh-CN"/>
        </w:rPr>
        <w:t>号决定附件）。</w:t>
      </w:r>
    </w:p>
  </w:footnote>
  <w:footnote w:id="29">
    <w:p w14:paraId="22155621"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《国际植物保护公约》的《</w:t>
      </w:r>
      <w:r w:rsidRPr="004019B6">
        <w:rPr>
          <w:sz w:val="20"/>
          <w:lang w:eastAsia="zh-CN"/>
        </w:rPr>
        <w:t>2020–2030</w:t>
      </w:r>
      <w:r w:rsidRPr="004019B6">
        <w:rPr>
          <w:sz w:val="20"/>
          <w:lang w:eastAsia="zh-CN"/>
        </w:rPr>
        <w:t>年战略框架》将电子商务以及邮政和快递路径的管理确定为八个发展议程项目之一（见《国际植物保护公约》，植物、植物产品和其他受管制物品</w:t>
      </w:r>
      <w:r w:rsidRPr="004019B6">
        <w:rPr>
          <w:sz w:val="20"/>
          <w:lang w:eastAsia="zh-CN"/>
        </w:rPr>
        <w:t>IPPC</w:t>
      </w:r>
      <w:r w:rsidRPr="004019B6">
        <w:rPr>
          <w:sz w:val="20"/>
          <w:lang w:eastAsia="zh-CN"/>
        </w:rPr>
        <w:t>电子商务指导意见大纲（</w:t>
      </w:r>
      <w:r w:rsidRPr="004019B6">
        <w:rPr>
          <w:sz w:val="20"/>
          <w:lang w:eastAsia="zh-CN"/>
        </w:rPr>
        <w:t>2017-039</w:t>
      </w:r>
      <w:r w:rsidRPr="004019B6">
        <w:rPr>
          <w:sz w:val="20"/>
          <w:lang w:eastAsia="zh-CN"/>
        </w:rPr>
        <w:t>））。</w:t>
      </w:r>
    </w:p>
  </w:footnote>
  <w:footnote w:id="30">
    <w:p w14:paraId="2795F081"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世界海关组织《安全标准框架》提供了这一框架。</w:t>
      </w:r>
    </w:p>
  </w:footnote>
  <w:footnote w:id="31">
    <w:p w14:paraId="3E384766"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rPr>
        <w:t xml:space="preserve">  </w:t>
      </w:r>
      <w:r w:rsidRPr="004019B6">
        <w:rPr>
          <w:kern w:val="18"/>
          <w:sz w:val="20"/>
        </w:rPr>
        <w:t>见</w:t>
      </w:r>
      <w:r w:rsidRPr="004019B6">
        <w:rPr>
          <w:kern w:val="18"/>
          <w:sz w:val="20"/>
          <w:lang w:eastAsia="zh-CN"/>
        </w:rPr>
        <w:t>世界海关组织《特许</w:t>
      </w:r>
      <w:proofErr w:type="spellStart"/>
      <w:r w:rsidRPr="004019B6">
        <w:rPr>
          <w:kern w:val="18"/>
          <w:sz w:val="20"/>
        </w:rPr>
        <w:t>经营者方案简编</w:t>
      </w:r>
      <w:proofErr w:type="spellEnd"/>
      <w:r w:rsidRPr="004019B6">
        <w:rPr>
          <w:kern w:val="18"/>
          <w:sz w:val="20"/>
          <w:lang w:eastAsia="zh-CN"/>
        </w:rPr>
        <w:t>》，载于</w:t>
      </w:r>
      <w:r w:rsidRPr="004019B6">
        <w:rPr>
          <w:sz w:val="20"/>
        </w:rPr>
        <w:fldChar w:fldCharType="begin"/>
      </w:r>
      <w:r w:rsidRPr="004019B6">
        <w:rPr>
          <w:sz w:val="20"/>
        </w:rPr>
        <w:instrText>HYPERLINK "http://www.wcoomd.org/-/media/wco/public/global/pdf/topics/facilitation/instruments-and-tools/tools/safe-package/aeo-compendium.pdf?db=web"</w:instrText>
      </w:r>
      <w:r w:rsidRPr="004019B6">
        <w:rPr>
          <w:sz w:val="20"/>
        </w:rPr>
      </w:r>
      <w:r w:rsidRPr="004019B6">
        <w:rPr>
          <w:sz w:val="20"/>
        </w:rPr>
        <w:fldChar w:fldCharType="separate"/>
      </w:r>
      <w:r w:rsidRPr="004019B6">
        <w:rPr>
          <w:rStyle w:val="Hyperlink"/>
          <w:kern w:val="18"/>
          <w:sz w:val="20"/>
        </w:rPr>
        <w:t>www.wcoomd.org/-/media/wco/public/global/pdf/topics/facilitation/instruments-and-tools/tools/safe-package/aeo-compendium.pdf?db=web</w:t>
      </w:r>
      <w:r w:rsidRPr="004019B6">
        <w:rPr>
          <w:rStyle w:val="Hyperlink"/>
          <w:kern w:val="18"/>
          <w:sz w:val="20"/>
        </w:rPr>
        <w:fldChar w:fldCharType="end"/>
      </w:r>
      <w:r w:rsidRPr="004019B6">
        <w:rPr>
          <w:kern w:val="18"/>
          <w:sz w:val="20"/>
          <w:lang w:eastAsia="zh-CN"/>
        </w:rPr>
        <w:t>。</w:t>
      </w:r>
    </w:p>
  </w:footnote>
  <w:footnote w:id="32">
    <w:p w14:paraId="1017F949"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见国际植物保护公约</w:t>
      </w:r>
      <w:proofErr w:type="spellStart"/>
      <w:r w:rsidRPr="004019B6">
        <w:rPr>
          <w:sz w:val="20"/>
          <w:lang w:eastAsia="zh-CN"/>
        </w:rPr>
        <w:t>EPhyto</w:t>
      </w:r>
      <w:proofErr w:type="spellEnd"/>
      <w:r w:rsidRPr="004019B6">
        <w:rPr>
          <w:sz w:val="20"/>
          <w:lang w:eastAsia="zh-CN"/>
        </w:rPr>
        <w:t>解决方案。载于</w:t>
      </w:r>
      <w:r w:rsidRPr="004019B6">
        <w:rPr>
          <w:sz w:val="20"/>
        </w:rPr>
        <w:fldChar w:fldCharType="begin"/>
      </w:r>
      <w:r w:rsidRPr="004019B6">
        <w:rPr>
          <w:sz w:val="20"/>
          <w:lang w:eastAsia="zh-CN"/>
        </w:rPr>
        <w:instrText>HYPERLINK "http://www.ippc.int/en/ephyto/"</w:instrText>
      </w:r>
      <w:r w:rsidRPr="004019B6">
        <w:rPr>
          <w:sz w:val="20"/>
        </w:rPr>
      </w:r>
      <w:r w:rsidRPr="004019B6">
        <w:rPr>
          <w:sz w:val="20"/>
        </w:rPr>
        <w:fldChar w:fldCharType="separate"/>
      </w:r>
      <w:r w:rsidRPr="004019B6">
        <w:rPr>
          <w:rStyle w:val="Hyperlink"/>
          <w:sz w:val="20"/>
          <w:lang w:eastAsia="zh-CN"/>
        </w:rPr>
        <w:t>www.ippc.int/en/ephyto/</w:t>
      </w:r>
      <w:r w:rsidRPr="004019B6">
        <w:rPr>
          <w:rStyle w:val="Hyperlink"/>
          <w:sz w:val="20"/>
          <w:lang w:eastAsia="zh-CN"/>
        </w:rPr>
        <w:fldChar w:fldCharType="end"/>
      </w:r>
      <w:r w:rsidRPr="004019B6">
        <w:rPr>
          <w:kern w:val="18"/>
          <w:sz w:val="20"/>
          <w:lang w:eastAsia="zh-CN"/>
        </w:rPr>
        <w:t>。</w:t>
      </w:r>
    </w:p>
  </w:footnote>
  <w:footnote w:id="33">
    <w:p w14:paraId="02C32836"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包括水生物种，因为许多规定都集中在陆地害虫和疾病上。</w:t>
      </w:r>
    </w:p>
  </w:footnote>
  <w:footnote w:id="34">
    <w:p w14:paraId="13EA460F"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rPr>
        <w:t xml:space="preserve"> </w:t>
      </w:r>
      <w:r w:rsidRPr="004019B6">
        <w:rPr>
          <w:sz w:val="20"/>
        </w:rPr>
        <w:t xml:space="preserve"> </w:t>
      </w:r>
      <w:r w:rsidRPr="004019B6">
        <w:rPr>
          <w:sz w:val="20"/>
          <w:lang w:eastAsia="zh-CN"/>
        </w:rPr>
        <w:t>见</w:t>
      </w:r>
      <w:r w:rsidRPr="004019B6">
        <w:rPr>
          <w:sz w:val="20"/>
        </w:rPr>
        <w:fldChar w:fldCharType="begin"/>
      </w:r>
      <w:r w:rsidRPr="004019B6">
        <w:rPr>
          <w:sz w:val="20"/>
        </w:rPr>
        <w:instrText>HYPERLINK "http://www.iucn.org/resources/conservation-tool/environmental-impact-classification-alien-taxa"</w:instrText>
      </w:r>
      <w:r w:rsidRPr="004019B6">
        <w:rPr>
          <w:sz w:val="20"/>
        </w:rPr>
      </w:r>
      <w:r w:rsidRPr="004019B6">
        <w:rPr>
          <w:sz w:val="20"/>
        </w:rPr>
        <w:fldChar w:fldCharType="separate"/>
      </w:r>
      <w:r w:rsidRPr="004019B6">
        <w:rPr>
          <w:rStyle w:val="Hyperlink"/>
          <w:kern w:val="22"/>
          <w:sz w:val="20"/>
        </w:rPr>
        <w:t>www.iucn.org/resources/conservation-tool/environmental-impact-classification-alien-taxa</w:t>
      </w:r>
      <w:r w:rsidRPr="004019B6">
        <w:rPr>
          <w:rStyle w:val="Hyperlink"/>
          <w:kern w:val="22"/>
          <w:sz w:val="20"/>
        </w:rPr>
        <w:fldChar w:fldCharType="end"/>
      </w:r>
      <w:r w:rsidRPr="004019B6">
        <w:rPr>
          <w:sz w:val="20"/>
        </w:rPr>
        <w:t>。</w:t>
      </w:r>
    </w:p>
  </w:footnote>
  <w:footnote w:id="35">
    <w:p w14:paraId="1D8E67E6" w14:textId="77777777" w:rsidR="003D18A0" w:rsidRPr="004019B6" w:rsidRDefault="003D18A0" w:rsidP="003D18A0">
      <w:pPr>
        <w:pStyle w:val="FootnoteText"/>
        <w:spacing w:after="60"/>
        <w:rPr>
          <w:sz w:val="20"/>
        </w:rPr>
      </w:pPr>
      <w:r w:rsidRPr="004019B6">
        <w:rPr>
          <w:rStyle w:val="FootnoteReference"/>
          <w:sz w:val="20"/>
        </w:rPr>
        <w:footnoteRef/>
      </w:r>
      <w:r w:rsidRPr="004019B6">
        <w:rPr>
          <w:sz w:val="20"/>
          <w:vertAlign w:val="superscript"/>
        </w:rPr>
        <w:t xml:space="preserve">    </w:t>
      </w:r>
      <w:hyperlink r:id="rId7" w:history="1">
        <w:r w:rsidRPr="004019B6">
          <w:rPr>
            <w:rStyle w:val="Hyperlink"/>
            <w:kern w:val="22"/>
            <w:sz w:val="20"/>
          </w:rPr>
          <w:t>CBD/IAS/AHTEG/IAS/2019/1/2</w:t>
        </w:r>
      </w:hyperlink>
      <w:r w:rsidRPr="004019B6">
        <w:rPr>
          <w:rStyle w:val="Hyperlink"/>
          <w:kern w:val="22"/>
          <w:sz w:val="20"/>
          <w:lang w:eastAsia="zh-CN"/>
        </w:rPr>
        <w:t>。</w:t>
      </w:r>
    </w:p>
  </w:footnote>
  <w:footnote w:id="36">
    <w:p w14:paraId="7B34A0BE" w14:textId="77777777" w:rsidR="003D18A0" w:rsidRPr="004019B6" w:rsidRDefault="003D18A0" w:rsidP="003D18A0">
      <w:pPr>
        <w:pStyle w:val="FootnoteText"/>
        <w:spacing w:after="60"/>
        <w:rPr>
          <w:sz w:val="20"/>
        </w:rPr>
      </w:pPr>
      <w:r w:rsidRPr="004019B6">
        <w:rPr>
          <w:rStyle w:val="FootnoteReference"/>
          <w:sz w:val="20"/>
        </w:rPr>
        <w:footnoteRef/>
      </w:r>
      <w:r w:rsidRPr="004019B6">
        <w:rPr>
          <w:sz w:val="20"/>
          <w:vertAlign w:val="superscript"/>
        </w:rPr>
        <w:t xml:space="preserve">  </w:t>
      </w:r>
      <w:r w:rsidRPr="004019B6">
        <w:rPr>
          <w:sz w:val="20"/>
          <w:lang w:eastAsia="zh-CN"/>
        </w:rPr>
        <w:t>见</w:t>
      </w:r>
      <w:r w:rsidRPr="004019B6">
        <w:rPr>
          <w:sz w:val="20"/>
        </w:rPr>
        <w:t>Helen E. Roy</w:t>
      </w:r>
      <w:r w:rsidRPr="004019B6">
        <w:rPr>
          <w:sz w:val="20"/>
          <w:lang w:eastAsia="zh-CN"/>
        </w:rPr>
        <w:t>等</w:t>
      </w:r>
      <w:r w:rsidRPr="004019B6">
        <w:rPr>
          <w:sz w:val="20"/>
        </w:rPr>
        <w:t xml:space="preserve">, </w:t>
      </w:r>
      <w:r w:rsidRPr="004019B6">
        <w:rPr>
          <w:sz w:val="20"/>
          <w:lang w:eastAsia="zh-CN"/>
        </w:rPr>
        <w:t>《</w:t>
      </w:r>
      <w:proofErr w:type="spellStart"/>
      <w:r w:rsidRPr="004019B6">
        <w:rPr>
          <w:sz w:val="20"/>
        </w:rPr>
        <w:t>外来入侵物种及其控制专题评估报告</w:t>
      </w:r>
      <w:proofErr w:type="spellEnd"/>
      <w:r w:rsidRPr="004019B6">
        <w:rPr>
          <w:sz w:val="20"/>
          <w:lang w:eastAsia="zh-CN"/>
        </w:rPr>
        <w:t>：</w:t>
      </w:r>
      <w:proofErr w:type="spellStart"/>
      <w:r w:rsidRPr="004019B6">
        <w:rPr>
          <w:sz w:val="20"/>
        </w:rPr>
        <w:t>决策者摘要</w:t>
      </w:r>
      <w:proofErr w:type="spellEnd"/>
      <w:r w:rsidRPr="004019B6">
        <w:rPr>
          <w:sz w:val="20"/>
          <w:lang w:eastAsia="zh-CN"/>
        </w:rPr>
        <w:t>》</w:t>
      </w:r>
      <w:r w:rsidRPr="004019B6">
        <w:rPr>
          <w:i/>
          <w:iCs/>
          <w:sz w:val="20"/>
        </w:rPr>
        <w:t xml:space="preserve"> </w:t>
      </w:r>
      <w:r w:rsidRPr="004019B6">
        <w:rPr>
          <w:sz w:val="20"/>
        </w:rPr>
        <w:t xml:space="preserve">(Bonn, Germany, Intergovernmental Science-Policy Platform on Biodiversity and Ecosystem Services Secretariat, </w:t>
      </w:r>
      <w:proofErr w:type="gramStart"/>
      <w:r w:rsidRPr="004019B6">
        <w:rPr>
          <w:sz w:val="20"/>
        </w:rPr>
        <w:t>2023)</w:t>
      </w:r>
      <w:r w:rsidRPr="004019B6">
        <w:rPr>
          <w:sz w:val="20"/>
          <w:lang w:eastAsia="zh-CN"/>
        </w:rPr>
        <w:t>。</w:t>
      </w:r>
      <w:proofErr w:type="gramEnd"/>
      <w:r w:rsidRPr="004019B6">
        <w:rPr>
          <w:sz w:val="20"/>
        </w:rPr>
        <w:t xml:space="preserve"> </w:t>
      </w:r>
    </w:p>
  </w:footnote>
  <w:footnote w:id="37">
    <w:p w14:paraId="2D079016" w14:textId="77777777" w:rsidR="003D18A0" w:rsidRPr="004019B6" w:rsidRDefault="003D18A0" w:rsidP="003D18A0">
      <w:pPr>
        <w:pStyle w:val="FootnoteText"/>
        <w:suppressLineNumbers/>
        <w:suppressAutoHyphens/>
        <w:spacing w:after="60"/>
        <w:rPr>
          <w:kern w:val="18"/>
          <w:sz w:val="20"/>
          <w:lang w:eastAsia="zh-CN"/>
        </w:rPr>
      </w:pPr>
      <w:r w:rsidRPr="004019B6">
        <w:rPr>
          <w:rStyle w:val="FootnoteReference"/>
          <w:kern w:val="18"/>
          <w:sz w:val="20"/>
        </w:rPr>
        <w:footnoteRef/>
      </w:r>
      <w:r w:rsidRPr="004019B6">
        <w:rPr>
          <w:kern w:val="18"/>
          <w:sz w:val="20"/>
          <w:vertAlign w:val="superscript"/>
          <w:lang w:eastAsia="zh-CN"/>
        </w:rPr>
        <w:t xml:space="preserve"> </w:t>
      </w:r>
      <w:r w:rsidRPr="004019B6">
        <w:rPr>
          <w:kern w:val="18"/>
          <w:sz w:val="20"/>
          <w:lang w:eastAsia="zh-CN"/>
        </w:rPr>
        <w:t xml:space="preserve"> </w:t>
      </w:r>
      <w:r w:rsidRPr="004019B6">
        <w:rPr>
          <w:kern w:val="18"/>
          <w:sz w:val="20"/>
          <w:lang w:eastAsia="zh-CN"/>
        </w:rPr>
        <w:t>见</w:t>
      </w:r>
      <w:r w:rsidRPr="004019B6">
        <w:rPr>
          <w:sz w:val="20"/>
        </w:rPr>
        <w:fldChar w:fldCharType="begin"/>
      </w:r>
      <w:r w:rsidRPr="004019B6">
        <w:rPr>
          <w:sz w:val="20"/>
          <w:lang w:eastAsia="zh-CN"/>
        </w:rPr>
        <w:instrText>HYPERLINK "https://www.cbd.int/doc/c/8762/bb5b/050f2c6e5031b9914618f366/ias-ahteg-2019-01-03-en.pdf"</w:instrText>
      </w:r>
      <w:r w:rsidRPr="004019B6">
        <w:rPr>
          <w:sz w:val="20"/>
        </w:rPr>
      </w:r>
      <w:r w:rsidRPr="004019B6">
        <w:rPr>
          <w:sz w:val="20"/>
        </w:rPr>
        <w:fldChar w:fldCharType="separate"/>
      </w:r>
      <w:r w:rsidRPr="004019B6">
        <w:rPr>
          <w:rStyle w:val="Hyperlink"/>
          <w:kern w:val="18"/>
          <w:sz w:val="20"/>
          <w:lang w:eastAsia="zh-CN"/>
        </w:rPr>
        <w:t>CBD/IAS/AHTEG/2019/1/3</w:t>
      </w:r>
      <w:r w:rsidRPr="004019B6">
        <w:rPr>
          <w:rStyle w:val="Hyperlink"/>
          <w:kern w:val="18"/>
          <w:sz w:val="20"/>
          <w:lang w:eastAsia="zh-CN"/>
        </w:rPr>
        <w:fldChar w:fldCharType="end"/>
      </w:r>
      <w:r w:rsidRPr="004019B6">
        <w:rPr>
          <w:kern w:val="18"/>
          <w:sz w:val="20"/>
          <w:lang w:eastAsia="zh-CN"/>
        </w:rPr>
        <w:t>。</w:t>
      </w:r>
    </w:p>
  </w:footnote>
  <w:footnote w:id="38">
    <w:p w14:paraId="162F6799"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见</w:t>
      </w:r>
      <w:r w:rsidRPr="004019B6">
        <w:rPr>
          <w:rStyle w:val="ng-binding"/>
          <w:sz w:val="20"/>
          <w:lang w:eastAsia="zh-CN"/>
        </w:rPr>
        <w:t>养护欧洲野生生物和自然生境公约常设委员会</w:t>
      </w:r>
      <w:r w:rsidRPr="004019B6">
        <w:rPr>
          <w:rStyle w:val="Hyperlink"/>
          <w:color w:val="000000" w:themeColor="text1"/>
          <w:sz w:val="20"/>
          <w:lang w:eastAsia="zh-CN"/>
        </w:rPr>
        <w:t>T- PVS/Inf (2008) 5 rev</w:t>
      </w:r>
      <w:r w:rsidRPr="004019B6">
        <w:rPr>
          <w:rStyle w:val="Hyperlink"/>
          <w:color w:val="000000" w:themeColor="text1"/>
          <w:sz w:val="20"/>
          <w:lang w:eastAsia="zh-CN"/>
        </w:rPr>
        <w:t>号文件。</w:t>
      </w:r>
    </w:p>
  </w:footnote>
  <w:footnote w:id="39">
    <w:p w14:paraId="33A616A0"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在适用情况下，实施管理措施时应考虑人道措施和准则。见</w:t>
      </w:r>
      <w:r w:rsidRPr="004019B6">
        <w:rPr>
          <w:sz w:val="20"/>
          <w:lang w:val="en-GB" w:eastAsia="zh-CN"/>
        </w:rPr>
        <w:t xml:space="preserve">Kevin Smith and others, </w:t>
      </w:r>
      <w:r w:rsidRPr="004019B6">
        <w:rPr>
          <w:i/>
          <w:iCs/>
          <w:sz w:val="20"/>
          <w:lang w:val="en-GB" w:eastAsia="zh-CN"/>
        </w:rPr>
        <w:t>A Manual for the Management of Vertebrate Invasive Alien Species of Union Concern, Incorporating Animal Welfare</w:t>
      </w:r>
      <w:r w:rsidRPr="004019B6">
        <w:rPr>
          <w:sz w:val="20"/>
          <w:lang w:val="en-GB" w:eastAsia="zh-CN"/>
        </w:rPr>
        <w:t xml:space="preserve">, 1st ed. (European Union, </w:t>
      </w:r>
      <w:proofErr w:type="gramStart"/>
      <w:r w:rsidRPr="004019B6">
        <w:rPr>
          <w:sz w:val="20"/>
          <w:lang w:val="en-GB" w:eastAsia="zh-CN"/>
        </w:rPr>
        <w:t>2022)</w:t>
      </w:r>
      <w:r w:rsidRPr="004019B6">
        <w:rPr>
          <w:sz w:val="20"/>
          <w:lang w:eastAsia="zh-CN"/>
        </w:rPr>
        <w:t>。</w:t>
      </w:r>
      <w:proofErr w:type="gramEnd"/>
    </w:p>
  </w:footnote>
  <w:footnote w:id="40">
    <w:p w14:paraId="05BEBAE4"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自由、</w:t>
      </w:r>
      <w:proofErr w:type="gramStart"/>
      <w:r w:rsidRPr="004019B6">
        <w:rPr>
          <w:sz w:val="20"/>
          <w:lang w:eastAsia="zh-CN"/>
        </w:rPr>
        <w:t>事先和知情同意</w:t>
      </w:r>
      <w:r w:rsidRPr="004019B6">
        <w:rPr>
          <w:sz w:val="20"/>
          <w:lang w:eastAsia="zh-CN"/>
        </w:rPr>
        <w:t>”</w:t>
      </w:r>
      <w:r w:rsidRPr="004019B6">
        <w:rPr>
          <w:sz w:val="20"/>
          <w:lang w:eastAsia="zh-CN"/>
        </w:rPr>
        <w:t>指三种表述</w:t>
      </w:r>
      <w:proofErr w:type="gramEnd"/>
      <w:r w:rsidRPr="004019B6">
        <w:rPr>
          <w:sz w:val="20"/>
          <w:lang w:eastAsia="zh-CN"/>
        </w:rPr>
        <w:t>，即</w:t>
      </w:r>
      <w:r w:rsidRPr="004019B6">
        <w:rPr>
          <w:sz w:val="20"/>
          <w:lang w:eastAsia="zh-CN"/>
        </w:rPr>
        <w:t>“</w:t>
      </w:r>
      <w:r w:rsidRPr="004019B6">
        <w:rPr>
          <w:sz w:val="20"/>
          <w:lang w:eastAsia="zh-CN"/>
        </w:rPr>
        <w:t>事先和知情同意</w:t>
      </w:r>
      <w:r w:rsidRPr="004019B6">
        <w:rPr>
          <w:sz w:val="20"/>
          <w:lang w:eastAsia="zh-CN"/>
        </w:rPr>
        <w:t>”</w:t>
      </w:r>
      <w:r w:rsidRPr="004019B6">
        <w:rPr>
          <w:sz w:val="20"/>
          <w:lang w:eastAsia="zh-CN"/>
        </w:rPr>
        <w:t>、</w:t>
      </w:r>
      <w:r w:rsidRPr="004019B6">
        <w:rPr>
          <w:sz w:val="20"/>
          <w:lang w:eastAsia="zh-CN"/>
        </w:rPr>
        <w:t>“</w:t>
      </w:r>
      <w:r w:rsidRPr="004019B6">
        <w:rPr>
          <w:sz w:val="20"/>
          <w:lang w:eastAsia="zh-CN"/>
        </w:rPr>
        <w:t>自由、事先和知情同意</w:t>
      </w:r>
      <w:r w:rsidRPr="004019B6">
        <w:rPr>
          <w:sz w:val="20"/>
          <w:lang w:eastAsia="zh-CN"/>
        </w:rPr>
        <w:t>”</w:t>
      </w:r>
      <w:r w:rsidRPr="004019B6">
        <w:rPr>
          <w:sz w:val="20"/>
          <w:lang w:eastAsia="zh-CN"/>
        </w:rPr>
        <w:t>及</w:t>
      </w:r>
      <w:r w:rsidRPr="004019B6">
        <w:rPr>
          <w:sz w:val="20"/>
          <w:lang w:eastAsia="zh-CN"/>
        </w:rPr>
        <w:t>“</w:t>
      </w:r>
      <w:r w:rsidRPr="004019B6">
        <w:rPr>
          <w:sz w:val="20"/>
          <w:lang w:eastAsia="zh-CN"/>
        </w:rPr>
        <w:t>批准和参与</w:t>
      </w:r>
      <w:r w:rsidRPr="004019B6">
        <w:rPr>
          <w:sz w:val="20"/>
          <w:lang w:eastAsia="zh-CN"/>
        </w:rPr>
        <w:t xml:space="preserve">” </w:t>
      </w:r>
      <w:r w:rsidRPr="004019B6">
        <w:rPr>
          <w:sz w:val="20"/>
          <w:lang w:eastAsia="zh-CN"/>
        </w:rPr>
        <w:t>（见第</w:t>
      </w:r>
      <w:r w:rsidRPr="004019B6">
        <w:rPr>
          <w:sz w:val="20"/>
        </w:rPr>
        <w:fldChar w:fldCharType="begin"/>
      </w:r>
      <w:r w:rsidRPr="004019B6">
        <w:rPr>
          <w:sz w:val="20"/>
          <w:lang w:eastAsia="zh-CN"/>
        </w:rPr>
        <w:instrText>HYPERLINK "https://www.cbd.int/doc/decisions/cop-15/cop-15-dec-04-zh.pdf"</w:instrText>
      </w:r>
      <w:r w:rsidRPr="004019B6">
        <w:rPr>
          <w:sz w:val="20"/>
        </w:rPr>
      </w:r>
      <w:r w:rsidRPr="004019B6">
        <w:rPr>
          <w:sz w:val="20"/>
        </w:rPr>
        <w:fldChar w:fldCharType="separate"/>
      </w:r>
      <w:r w:rsidRPr="004019B6">
        <w:rPr>
          <w:rStyle w:val="Hyperlink"/>
          <w:sz w:val="20"/>
          <w:lang w:eastAsia="zh-CN"/>
        </w:rPr>
        <w:t>15/4</w:t>
      </w:r>
      <w:r w:rsidRPr="004019B6">
        <w:rPr>
          <w:rStyle w:val="Hyperlink"/>
          <w:sz w:val="20"/>
          <w:lang w:eastAsia="zh-CN"/>
        </w:rPr>
        <w:fldChar w:fldCharType="end"/>
      </w:r>
      <w:r w:rsidRPr="004019B6">
        <w:rPr>
          <w:color w:val="000000" w:themeColor="text1"/>
          <w:sz w:val="20"/>
          <w:lang w:eastAsia="zh-CN"/>
        </w:rPr>
        <w:t>号决定，附件）。</w:t>
      </w:r>
    </w:p>
  </w:footnote>
  <w:footnote w:id="41">
    <w:p w14:paraId="01146A3D" w14:textId="77777777" w:rsidR="003D18A0" w:rsidRPr="004019B6" w:rsidDel="007E42FC" w:rsidRDefault="003D18A0" w:rsidP="003D18A0">
      <w:pPr>
        <w:pStyle w:val="FootnoteText"/>
        <w:suppressLineNumbers/>
        <w:suppressAutoHyphens/>
        <w:spacing w:after="60"/>
        <w:rPr>
          <w:kern w:val="18"/>
          <w:sz w:val="20"/>
          <w:lang w:eastAsia="zh-CN"/>
        </w:rPr>
      </w:pPr>
      <w:r w:rsidRPr="004019B6" w:rsidDel="007E42FC">
        <w:rPr>
          <w:rStyle w:val="FootnoteReference"/>
          <w:kern w:val="18"/>
          <w:sz w:val="20"/>
        </w:rPr>
        <w:footnoteRef/>
      </w:r>
      <w:r w:rsidRPr="004019B6">
        <w:rPr>
          <w:kern w:val="18"/>
          <w:sz w:val="20"/>
          <w:lang w:eastAsia="zh-CN"/>
        </w:rPr>
        <w:t xml:space="preserve">  </w:t>
      </w:r>
      <w:r w:rsidRPr="004019B6">
        <w:rPr>
          <w:sz w:val="20"/>
          <w:lang w:eastAsia="zh-CN"/>
        </w:rPr>
        <w:t>传统知识的定义是土著人民和地方社区体现传统生活方式而与生物多样性的保护和持续利用相关的知识、创新和实践（</w:t>
      </w:r>
      <w:r w:rsidRPr="004019B6">
        <w:rPr>
          <w:sz w:val="20"/>
          <w:lang w:eastAsia="zh-CN"/>
        </w:rPr>
        <w:t>第</w:t>
      </w:r>
      <w:r w:rsidRPr="004019B6">
        <w:rPr>
          <w:sz w:val="20"/>
        </w:rPr>
        <w:fldChar w:fldCharType="begin"/>
      </w:r>
      <w:r w:rsidRPr="004019B6">
        <w:rPr>
          <w:sz w:val="20"/>
          <w:lang w:eastAsia="zh-CN"/>
        </w:rPr>
        <w:instrText>HYPERLINK "https://www.cbd.int/doc/decisions/cop-14/cop-14-dec-13-zh.pdf"</w:instrText>
      </w:r>
      <w:r w:rsidRPr="004019B6">
        <w:rPr>
          <w:sz w:val="20"/>
        </w:rPr>
      </w:r>
      <w:r w:rsidRPr="004019B6">
        <w:rPr>
          <w:sz w:val="20"/>
        </w:rPr>
        <w:fldChar w:fldCharType="separate"/>
      </w:r>
      <w:r w:rsidRPr="004019B6">
        <w:rPr>
          <w:rStyle w:val="Hyperlink"/>
          <w:sz w:val="20"/>
          <w:lang w:eastAsia="zh-CN"/>
        </w:rPr>
        <w:t>14/13</w:t>
      </w:r>
      <w:r w:rsidRPr="004019B6">
        <w:rPr>
          <w:rStyle w:val="Hyperlink"/>
          <w:sz w:val="20"/>
          <w:lang w:eastAsia="zh-CN"/>
        </w:rPr>
        <w:fldChar w:fldCharType="end"/>
      </w:r>
      <w:r w:rsidRPr="004019B6">
        <w:rPr>
          <w:sz w:val="20"/>
          <w:lang w:eastAsia="zh-CN"/>
        </w:rPr>
        <w:t>号决定）</w:t>
      </w:r>
      <w:r w:rsidRPr="004019B6">
        <w:rPr>
          <w:kern w:val="22"/>
          <w:sz w:val="20"/>
          <w:lang w:eastAsia="zh-CN"/>
        </w:rPr>
        <w:t>。</w:t>
      </w:r>
      <w:r w:rsidRPr="004019B6">
        <w:rPr>
          <w:sz w:val="20"/>
          <w:lang w:eastAsia="zh-CN"/>
        </w:rPr>
        <w:t xml:space="preserve"> </w:t>
      </w:r>
    </w:p>
  </w:footnote>
  <w:footnote w:id="42">
    <w:p w14:paraId="073C5C7D" w14:textId="77777777" w:rsidR="003D18A0" w:rsidRPr="004019B6" w:rsidDel="007E42FC" w:rsidRDefault="003D18A0" w:rsidP="003D18A0">
      <w:pPr>
        <w:pStyle w:val="FootnoteText"/>
        <w:suppressLineNumbers/>
        <w:suppressAutoHyphens/>
        <w:spacing w:after="60"/>
        <w:rPr>
          <w:kern w:val="18"/>
          <w:sz w:val="20"/>
          <w:lang w:eastAsia="zh-CN"/>
        </w:rPr>
      </w:pPr>
      <w:r w:rsidRPr="004019B6" w:rsidDel="007E42FC">
        <w:rPr>
          <w:rStyle w:val="FootnoteReference"/>
          <w:kern w:val="18"/>
          <w:sz w:val="20"/>
        </w:rPr>
        <w:footnoteRef/>
      </w:r>
      <w:r w:rsidRPr="004019B6">
        <w:rPr>
          <w:kern w:val="18"/>
          <w:sz w:val="20"/>
          <w:lang w:eastAsia="zh-CN"/>
        </w:rPr>
        <w:t xml:space="preserve">  </w:t>
      </w:r>
      <w:r w:rsidRPr="004019B6">
        <w:rPr>
          <w:kern w:val="18"/>
          <w:sz w:val="20"/>
          <w:lang w:eastAsia="zh-CN"/>
        </w:rPr>
        <w:t>见</w:t>
      </w:r>
      <w:r w:rsidRPr="004019B6">
        <w:rPr>
          <w:sz w:val="20"/>
        </w:rPr>
        <w:fldChar w:fldCharType="begin"/>
      </w:r>
      <w:r w:rsidRPr="004019B6">
        <w:rPr>
          <w:sz w:val="20"/>
        </w:rPr>
        <w:instrText>HYPERLINK "http://www.iucngisd.org/gisd/"</w:instrText>
      </w:r>
      <w:r w:rsidRPr="004019B6">
        <w:rPr>
          <w:sz w:val="20"/>
        </w:rPr>
      </w:r>
      <w:r w:rsidRPr="004019B6">
        <w:rPr>
          <w:sz w:val="20"/>
        </w:rPr>
        <w:fldChar w:fldCharType="separate"/>
      </w:r>
      <w:r w:rsidRPr="004019B6">
        <w:rPr>
          <w:rStyle w:val="Hyperlink"/>
          <w:kern w:val="22"/>
          <w:sz w:val="20"/>
          <w:lang w:eastAsia="zh-CN"/>
        </w:rPr>
        <w:t>www.iucngisd.org/gisd/</w:t>
      </w:r>
      <w:r w:rsidRPr="004019B6">
        <w:rPr>
          <w:rStyle w:val="Hyperlink"/>
          <w:kern w:val="22"/>
          <w:sz w:val="20"/>
          <w:lang w:eastAsia="zh-CN"/>
        </w:rPr>
        <w:fldChar w:fldCharType="end"/>
      </w:r>
      <w:r w:rsidRPr="004019B6">
        <w:rPr>
          <w:kern w:val="22"/>
          <w:sz w:val="20"/>
          <w:lang w:eastAsia="zh-CN"/>
        </w:rPr>
        <w:t>。</w:t>
      </w:r>
    </w:p>
  </w:footnote>
  <w:footnote w:id="43">
    <w:p w14:paraId="31B4CEFA"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例如，可利用《外来生物分类群环境影响分类》考察物种在不同气候带的影响，这也许有助于预测物种在气候可能变得相似的地区在未来产生的影响。</w:t>
      </w:r>
    </w:p>
  </w:footnote>
  <w:footnote w:id="44">
    <w:p w14:paraId="00750835"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见</w:t>
      </w:r>
      <w:r w:rsidRPr="004019B6">
        <w:rPr>
          <w:sz w:val="20"/>
          <w:lang w:eastAsia="zh-CN"/>
        </w:rPr>
        <w:t xml:space="preserve"> </w:t>
      </w:r>
      <w:hyperlink r:id="rId8" w:history="1">
        <w:r w:rsidRPr="004019B6">
          <w:rPr>
            <w:rStyle w:val="Hyperlink"/>
            <w:kern w:val="22"/>
            <w:sz w:val="20"/>
            <w:lang w:eastAsia="zh-CN"/>
          </w:rPr>
          <w:t>UNEP/CBD/SBSTTA/18/9/Add.1</w:t>
        </w:r>
      </w:hyperlink>
      <w:r w:rsidRPr="004019B6">
        <w:rPr>
          <w:rStyle w:val="CommentReference"/>
          <w:sz w:val="20"/>
          <w:szCs w:val="20"/>
          <w:lang w:eastAsia="zh-CN"/>
        </w:rPr>
        <w:t>。</w:t>
      </w:r>
    </w:p>
  </w:footnote>
  <w:footnote w:id="45">
    <w:p w14:paraId="24C877A4"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color w:val="000000"/>
          <w:sz w:val="20"/>
          <w:lang w:eastAsia="zh-CN"/>
        </w:rPr>
        <w:t xml:space="preserve"> </w:t>
      </w:r>
      <w:r w:rsidRPr="004019B6">
        <w:rPr>
          <w:color w:val="000000"/>
          <w:sz w:val="20"/>
          <w:lang w:eastAsia="zh-CN"/>
        </w:rPr>
        <w:t>联合国，《条约汇编》，第</w:t>
      </w:r>
      <w:r w:rsidRPr="004019B6">
        <w:rPr>
          <w:color w:val="000000"/>
          <w:sz w:val="20"/>
          <w:lang w:eastAsia="zh-CN"/>
        </w:rPr>
        <w:t>1771</w:t>
      </w:r>
      <w:r w:rsidRPr="004019B6">
        <w:rPr>
          <w:color w:val="000000"/>
          <w:sz w:val="20"/>
          <w:lang w:eastAsia="zh-CN"/>
        </w:rPr>
        <w:t>卷，第</w:t>
      </w:r>
      <w:r w:rsidRPr="004019B6">
        <w:rPr>
          <w:color w:val="000000"/>
          <w:sz w:val="20"/>
          <w:lang w:eastAsia="zh-CN"/>
        </w:rPr>
        <w:t>30822</w:t>
      </w:r>
      <w:r w:rsidRPr="004019B6">
        <w:rPr>
          <w:color w:val="000000"/>
          <w:sz w:val="20"/>
          <w:lang w:eastAsia="zh-CN"/>
        </w:rPr>
        <w:t>号。</w:t>
      </w:r>
    </w:p>
  </w:footnote>
  <w:footnote w:id="46">
    <w:p w14:paraId="39A28803"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kern w:val="14"/>
          <w:sz w:val="20"/>
          <w:lang w:eastAsia="zh-CN"/>
        </w:rPr>
        <w:t>联合国，《条约汇编》，第</w:t>
      </w:r>
      <w:r w:rsidRPr="004019B6">
        <w:rPr>
          <w:kern w:val="14"/>
          <w:sz w:val="20"/>
          <w:lang w:eastAsia="zh-CN"/>
        </w:rPr>
        <w:t>1651</w:t>
      </w:r>
      <w:r w:rsidRPr="004019B6">
        <w:rPr>
          <w:color w:val="000000"/>
          <w:sz w:val="20"/>
          <w:lang w:eastAsia="zh-CN"/>
        </w:rPr>
        <w:t>卷</w:t>
      </w:r>
      <w:r w:rsidRPr="004019B6">
        <w:rPr>
          <w:kern w:val="14"/>
          <w:sz w:val="20"/>
          <w:lang w:eastAsia="zh-CN"/>
        </w:rPr>
        <w:t>，</w:t>
      </w:r>
      <w:r w:rsidRPr="004019B6">
        <w:rPr>
          <w:kern w:val="14"/>
          <w:sz w:val="20"/>
          <w:lang w:eastAsia="zh-CN"/>
        </w:rPr>
        <w:t xml:space="preserve"> </w:t>
      </w:r>
      <w:r w:rsidRPr="004019B6">
        <w:rPr>
          <w:kern w:val="14"/>
          <w:sz w:val="20"/>
          <w:lang w:eastAsia="zh-CN"/>
        </w:rPr>
        <w:t>第</w:t>
      </w:r>
      <w:r w:rsidRPr="004019B6">
        <w:rPr>
          <w:kern w:val="14"/>
          <w:sz w:val="20"/>
          <w:lang w:eastAsia="zh-CN"/>
        </w:rPr>
        <w:t>28395</w:t>
      </w:r>
      <w:r w:rsidRPr="004019B6">
        <w:rPr>
          <w:kern w:val="14"/>
          <w:sz w:val="20"/>
          <w:lang w:eastAsia="zh-CN"/>
        </w:rPr>
        <w:t>号。</w:t>
      </w:r>
    </w:p>
  </w:footnote>
  <w:footnote w:id="47">
    <w:p w14:paraId="2B48B5FB"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color w:val="000000"/>
          <w:sz w:val="20"/>
          <w:lang w:eastAsia="zh-CN"/>
        </w:rPr>
        <w:t>联合国，《条约汇编》，第</w:t>
      </w:r>
      <w:r w:rsidRPr="004019B6">
        <w:rPr>
          <w:color w:val="000000"/>
          <w:sz w:val="20"/>
          <w:lang w:eastAsia="zh-CN"/>
        </w:rPr>
        <w:t>2400</w:t>
      </w:r>
      <w:r w:rsidRPr="004019B6">
        <w:rPr>
          <w:color w:val="000000"/>
          <w:sz w:val="20"/>
          <w:lang w:eastAsia="zh-CN"/>
        </w:rPr>
        <w:t>卷，第</w:t>
      </w:r>
      <w:r w:rsidRPr="004019B6">
        <w:rPr>
          <w:color w:val="000000"/>
          <w:sz w:val="20"/>
          <w:lang w:eastAsia="zh-CN"/>
        </w:rPr>
        <w:t>43345</w:t>
      </w:r>
      <w:r w:rsidRPr="004019B6">
        <w:rPr>
          <w:color w:val="000000"/>
          <w:sz w:val="20"/>
          <w:lang w:eastAsia="zh-CN"/>
        </w:rPr>
        <w:t>号。</w:t>
      </w:r>
    </w:p>
  </w:footnote>
  <w:footnote w:id="48">
    <w:p w14:paraId="1F7A1E53"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kern w:val="14"/>
          <w:sz w:val="20"/>
          <w:lang w:eastAsia="zh-CN"/>
        </w:rPr>
        <w:t xml:space="preserve"> </w:t>
      </w:r>
      <w:r w:rsidRPr="004019B6">
        <w:rPr>
          <w:kern w:val="14"/>
          <w:sz w:val="20"/>
          <w:lang w:eastAsia="zh-CN"/>
        </w:rPr>
        <w:t>联合国，《条约汇编》，第</w:t>
      </w:r>
      <w:r w:rsidRPr="004019B6">
        <w:rPr>
          <w:kern w:val="14"/>
          <w:sz w:val="20"/>
          <w:lang w:eastAsia="zh-CN"/>
        </w:rPr>
        <w:t>993</w:t>
      </w:r>
      <w:r w:rsidRPr="004019B6">
        <w:rPr>
          <w:color w:val="000000"/>
          <w:sz w:val="20"/>
          <w:lang w:eastAsia="zh-CN"/>
        </w:rPr>
        <w:t>卷</w:t>
      </w:r>
      <w:r w:rsidRPr="004019B6">
        <w:rPr>
          <w:kern w:val="14"/>
          <w:sz w:val="20"/>
          <w:lang w:eastAsia="zh-CN"/>
        </w:rPr>
        <w:t>，第</w:t>
      </w:r>
      <w:r w:rsidRPr="004019B6">
        <w:rPr>
          <w:kern w:val="14"/>
          <w:sz w:val="20"/>
          <w:lang w:eastAsia="zh-CN"/>
        </w:rPr>
        <w:t>14537</w:t>
      </w:r>
      <w:r w:rsidRPr="004019B6">
        <w:rPr>
          <w:kern w:val="14"/>
          <w:sz w:val="20"/>
          <w:lang w:eastAsia="zh-CN"/>
        </w:rPr>
        <w:t>号。</w:t>
      </w:r>
    </w:p>
  </w:footnote>
  <w:footnote w:id="49">
    <w:p w14:paraId="2AEA1C36"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color w:val="000000"/>
          <w:sz w:val="20"/>
          <w:lang w:eastAsia="zh-CN"/>
        </w:rPr>
        <w:t>联合国，《条约汇编》，第</w:t>
      </w:r>
      <w:r w:rsidRPr="004019B6">
        <w:rPr>
          <w:color w:val="000000"/>
          <w:sz w:val="20"/>
          <w:lang w:eastAsia="zh-CN"/>
        </w:rPr>
        <w:t>1954</w:t>
      </w:r>
      <w:r w:rsidRPr="004019B6">
        <w:rPr>
          <w:color w:val="000000"/>
          <w:sz w:val="20"/>
          <w:lang w:eastAsia="zh-CN"/>
        </w:rPr>
        <w:t>卷，</w:t>
      </w:r>
      <w:r w:rsidRPr="004019B6">
        <w:rPr>
          <w:color w:val="000000"/>
          <w:sz w:val="20"/>
          <w:lang w:eastAsia="zh-CN"/>
        </w:rPr>
        <w:t xml:space="preserve"> </w:t>
      </w:r>
      <w:r w:rsidRPr="004019B6">
        <w:rPr>
          <w:color w:val="000000"/>
          <w:sz w:val="20"/>
          <w:lang w:eastAsia="zh-CN"/>
        </w:rPr>
        <w:t>第</w:t>
      </w:r>
      <w:r w:rsidRPr="004019B6">
        <w:rPr>
          <w:color w:val="000000"/>
          <w:sz w:val="20"/>
          <w:lang w:eastAsia="zh-CN"/>
        </w:rPr>
        <w:t>33480</w:t>
      </w:r>
      <w:r w:rsidRPr="004019B6">
        <w:rPr>
          <w:color w:val="000000"/>
          <w:sz w:val="20"/>
          <w:lang w:eastAsia="zh-CN"/>
        </w:rPr>
        <w:t>号。</w:t>
      </w:r>
    </w:p>
  </w:footnote>
  <w:footnote w:id="50">
    <w:p w14:paraId="72491716" w14:textId="77777777" w:rsidR="003D18A0" w:rsidRPr="004019B6" w:rsidRDefault="003D18A0" w:rsidP="003D18A0">
      <w:pPr>
        <w:pStyle w:val="FootnoteText"/>
        <w:spacing w:after="40" w:line="240" w:lineRule="atLeast"/>
        <w:rPr>
          <w:sz w:val="20"/>
        </w:rPr>
      </w:pPr>
      <w:r w:rsidRPr="004019B6">
        <w:rPr>
          <w:sz w:val="20"/>
          <w:vertAlign w:val="superscript"/>
        </w:rPr>
        <w:footnoteRef/>
      </w:r>
      <w:r w:rsidRPr="004019B6">
        <w:rPr>
          <w:sz w:val="20"/>
        </w:rPr>
        <w:t xml:space="preserve">  </w:t>
      </w:r>
      <w:proofErr w:type="spellStart"/>
      <w:r w:rsidRPr="004019B6">
        <w:rPr>
          <w:sz w:val="20"/>
        </w:rPr>
        <w:t>社会影响评估包括</w:t>
      </w:r>
      <w:proofErr w:type="spellEnd"/>
      <w:r w:rsidRPr="004019B6">
        <w:rPr>
          <w:sz w:val="20"/>
          <w:lang w:eastAsia="zh-CN"/>
        </w:rPr>
        <w:t>对</w:t>
      </w:r>
      <w:proofErr w:type="spellStart"/>
      <w:r w:rsidRPr="004019B6">
        <w:rPr>
          <w:sz w:val="20"/>
        </w:rPr>
        <w:t>计划干预</w:t>
      </w:r>
      <w:proofErr w:type="spellEnd"/>
      <w:r w:rsidRPr="004019B6">
        <w:rPr>
          <w:sz w:val="20"/>
          <w:lang w:eastAsia="zh-CN"/>
        </w:rPr>
        <w:t>中产生的</w:t>
      </w:r>
      <w:proofErr w:type="spellStart"/>
      <w:r w:rsidRPr="004019B6">
        <w:rPr>
          <w:sz w:val="20"/>
        </w:rPr>
        <w:t>预期和非预期的积极和消极社会后果</w:t>
      </w:r>
      <w:proofErr w:type="spellEnd"/>
      <w:r w:rsidRPr="004019B6">
        <w:rPr>
          <w:sz w:val="20"/>
          <w:lang w:eastAsia="zh-CN"/>
        </w:rPr>
        <w:t>进行</w:t>
      </w:r>
      <w:proofErr w:type="spellStart"/>
      <w:r w:rsidRPr="004019B6">
        <w:rPr>
          <w:sz w:val="20"/>
        </w:rPr>
        <w:t>分析、监测和管理的过程（</w:t>
      </w:r>
      <w:r w:rsidRPr="004019B6">
        <w:rPr>
          <w:sz w:val="20"/>
        </w:rPr>
        <w:t>Frank</w:t>
      </w:r>
      <w:proofErr w:type="spellEnd"/>
      <w:r w:rsidRPr="004019B6">
        <w:rPr>
          <w:sz w:val="20"/>
        </w:rPr>
        <w:t xml:space="preserve"> </w:t>
      </w:r>
      <w:proofErr w:type="spellStart"/>
      <w:r w:rsidRPr="004019B6">
        <w:rPr>
          <w:sz w:val="20"/>
        </w:rPr>
        <w:t>Vanclay</w:t>
      </w:r>
      <w:proofErr w:type="spellEnd"/>
      <w:r w:rsidRPr="004019B6">
        <w:rPr>
          <w:sz w:val="20"/>
        </w:rPr>
        <w:t xml:space="preserve">, “International principles for social impact assessment”, </w:t>
      </w:r>
      <w:r w:rsidRPr="004019B6">
        <w:rPr>
          <w:i/>
          <w:iCs/>
          <w:sz w:val="20"/>
        </w:rPr>
        <w:t>Impact Assessment and Project Appraisal</w:t>
      </w:r>
      <w:r w:rsidRPr="004019B6">
        <w:rPr>
          <w:sz w:val="20"/>
        </w:rPr>
        <w:t xml:space="preserve">, vol. 21, No. 1 </w:t>
      </w:r>
      <w:r w:rsidRPr="004019B6">
        <w:rPr>
          <w:sz w:val="20"/>
        </w:rPr>
        <w:t>（</w:t>
      </w:r>
      <w:r w:rsidRPr="004019B6">
        <w:rPr>
          <w:sz w:val="20"/>
        </w:rPr>
        <w:t>2003</w:t>
      </w:r>
      <w:r w:rsidRPr="004019B6">
        <w:rPr>
          <w:sz w:val="20"/>
          <w:lang w:eastAsia="zh-CN"/>
        </w:rPr>
        <w:t>年</w:t>
      </w:r>
      <w:r w:rsidRPr="004019B6">
        <w:rPr>
          <w:sz w:val="20"/>
          <w:lang w:eastAsia="zh-CN"/>
        </w:rPr>
        <w:t>3</w:t>
      </w:r>
      <w:r w:rsidRPr="004019B6">
        <w:rPr>
          <w:sz w:val="20"/>
          <w:lang w:eastAsia="zh-CN"/>
        </w:rPr>
        <w:t>月</w:t>
      </w:r>
      <w:r w:rsidRPr="004019B6">
        <w:rPr>
          <w:sz w:val="20"/>
        </w:rPr>
        <w:t>）</w:t>
      </w:r>
      <w:r w:rsidRPr="004019B6">
        <w:rPr>
          <w:sz w:val="20"/>
          <w:lang w:eastAsia="zh-CN"/>
        </w:rPr>
        <w:t>。</w:t>
      </w:r>
    </w:p>
  </w:footnote>
  <w:footnote w:id="51">
    <w:p w14:paraId="79078E2A" w14:textId="77777777" w:rsidR="003D18A0" w:rsidRPr="004019B6" w:rsidDel="007E42FC" w:rsidRDefault="003D18A0" w:rsidP="003D18A0">
      <w:pPr>
        <w:pStyle w:val="FootnoteText"/>
        <w:suppressLineNumbers/>
        <w:suppressAutoHyphens/>
        <w:spacing w:after="40" w:line="240" w:lineRule="atLeast"/>
        <w:rPr>
          <w:kern w:val="18"/>
          <w:sz w:val="20"/>
          <w:lang w:eastAsia="zh-CN"/>
        </w:rPr>
      </w:pPr>
      <w:r w:rsidRPr="004019B6" w:rsidDel="007E42FC">
        <w:rPr>
          <w:rStyle w:val="FootnoteReference"/>
          <w:kern w:val="18"/>
          <w:sz w:val="20"/>
        </w:rPr>
        <w:footnoteRef/>
      </w:r>
      <w:r w:rsidRPr="004019B6">
        <w:rPr>
          <w:kern w:val="18"/>
          <w:sz w:val="20"/>
          <w:lang w:eastAsia="zh-CN"/>
        </w:rPr>
        <w:t xml:space="preserve">  </w:t>
      </w:r>
      <w:r w:rsidRPr="004019B6">
        <w:rPr>
          <w:kern w:val="22"/>
          <w:sz w:val="20"/>
          <w:lang w:eastAsia="zh-CN"/>
        </w:rPr>
        <w:t>关于</w:t>
      </w:r>
      <w:r w:rsidRPr="004019B6">
        <w:rPr>
          <w:sz w:val="20"/>
          <w:lang w:eastAsia="zh-CN"/>
        </w:rPr>
        <w:t>传统知识的定义是土著人民和地方社区体现传统生活方式而与生物多样性的保护和持续利用相关的知识、创新和实践</w:t>
      </w:r>
      <w:r w:rsidRPr="004019B6">
        <w:rPr>
          <w:kern w:val="22"/>
          <w:sz w:val="20"/>
          <w:lang w:eastAsia="zh-CN"/>
        </w:rPr>
        <w:t>。</w:t>
      </w:r>
      <w:r w:rsidRPr="004019B6">
        <w:rPr>
          <w:sz w:val="20"/>
          <w:lang w:eastAsia="zh-CN"/>
        </w:rPr>
        <w:t xml:space="preserve"> </w:t>
      </w:r>
    </w:p>
  </w:footnote>
  <w:footnote w:id="52">
    <w:p w14:paraId="31E5E61B" w14:textId="77777777" w:rsidR="003D18A0" w:rsidRPr="004019B6" w:rsidRDefault="003D18A0" w:rsidP="003D18A0">
      <w:pPr>
        <w:pStyle w:val="FootnoteText"/>
        <w:spacing w:after="40" w:line="240" w:lineRule="atLeast"/>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自由、</w:t>
      </w:r>
      <w:proofErr w:type="gramStart"/>
      <w:r w:rsidRPr="004019B6">
        <w:rPr>
          <w:sz w:val="20"/>
          <w:lang w:eastAsia="zh-CN"/>
        </w:rPr>
        <w:t>事先和知情同意</w:t>
      </w:r>
      <w:r w:rsidRPr="004019B6">
        <w:rPr>
          <w:sz w:val="20"/>
          <w:lang w:eastAsia="zh-CN"/>
        </w:rPr>
        <w:t>”</w:t>
      </w:r>
      <w:r w:rsidRPr="004019B6">
        <w:rPr>
          <w:sz w:val="20"/>
          <w:lang w:eastAsia="zh-CN"/>
        </w:rPr>
        <w:t>指三种表述</w:t>
      </w:r>
      <w:proofErr w:type="gramEnd"/>
      <w:r w:rsidRPr="004019B6">
        <w:rPr>
          <w:sz w:val="20"/>
          <w:lang w:eastAsia="zh-CN"/>
        </w:rPr>
        <w:t>，即</w:t>
      </w:r>
      <w:r w:rsidRPr="004019B6">
        <w:rPr>
          <w:sz w:val="20"/>
          <w:lang w:eastAsia="zh-CN"/>
        </w:rPr>
        <w:t>“</w:t>
      </w:r>
      <w:r w:rsidRPr="004019B6">
        <w:rPr>
          <w:sz w:val="20"/>
          <w:lang w:eastAsia="zh-CN"/>
        </w:rPr>
        <w:t>事先和知情同意</w:t>
      </w:r>
      <w:r w:rsidRPr="004019B6">
        <w:rPr>
          <w:sz w:val="20"/>
          <w:lang w:eastAsia="zh-CN"/>
        </w:rPr>
        <w:t>”</w:t>
      </w:r>
      <w:r w:rsidRPr="004019B6">
        <w:rPr>
          <w:sz w:val="20"/>
          <w:lang w:eastAsia="zh-CN"/>
        </w:rPr>
        <w:t>、</w:t>
      </w:r>
      <w:r w:rsidRPr="004019B6">
        <w:rPr>
          <w:sz w:val="20"/>
          <w:lang w:eastAsia="zh-CN"/>
        </w:rPr>
        <w:t>“</w:t>
      </w:r>
      <w:r w:rsidRPr="004019B6">
        <w:rPr>
          <w:sz w:val="20"/>
          <w:lang w:eastAsia="zh-CN"/>
        </w:rPr>
        <w:t>自由、事先和知情同意</w:t>
      </w:r>
      <w:r w:rsidRPr="004019B6">
        <w:rPr>
          <w:sz w:val="20"/>
          <w:lang w:eastAsia="zh-CN"/>
        </w:rPr>
        <w:t>”</w:t>
      </w:r>
      <w:r w:rsidRPr="004019B6">
        <w:rPr>
          <w:sz w:val="20"/>
          <w:lang w:eastAsia="zh-CN"/>
        </w:rPr>
        <w:t>及</w:t>
      </w:r>
      <w:r w:rsidRPr="004019B6">
        <w:rPr>
          <w:sz w:val="20"/>
          <w:lang w:eastAsia="zh-CN"/>
        </w:rPr>
        <w:t>“</w:t>
      </w:r>
      <w:r w:rsidRPr="004019B6">
        <w:rPr>
          <w:sz w:val="20"/>
          <w:lang w:eastAsia="zh-CN"/>
        </w:rPr>
        <w:t>批准和参与</w:t>
      </w:r>
      <w:r w:rsidRPr="004019B6">
        <w:rPr>
          <w:sz w:val="20"/>
          <w:lang w:eastAsia="zh-CN"/>
        </w:rPr>
        <w:t xml:space="preserve">” </w:t>
      </w:r>
      <w:r w:rsidRPr="004019B6">
        <w:rPr>
          <w:sz w:val="20"/>
          <w:lang w:eastAsia="zh-CN"/>
        </w:rPr>
        <w:t>（见第</w:t>
      </w:r>
      <w:r w:rsidRPr="004019B6">
        <w:rPr>
          <w:sz w:val="20"/>
        </w:rPr>
        <w:fldChar w:fldCharType="begin"/>
      </w:r>
      <w:r w:rsidRPr="004019B6">
        <w:rPr>
          <w:sz w:val="20"/>
          <w:lang w:eastAsia="zh-CN"/>
        </w:rPr>
        <w:instrText>HYPERLINK "https://www.cbd.int/doc/decisions/cop-15/cop-15-dec-04-zh.pdf"</w:instrText>
      </w:r>
      <w:r w:rsidRPr="004019B6">
        <w:rPr>
          <w:sz w:val="20"/>
        </w:rPr>
      </w:r>
      <w:r w:rsidRPr="004019B6">
        <w:rPr>
          <w:sz w:val="20"/>
        </w:rPr>
        <w:fldChar w:fldCharType="separate"/>
      </w:r>
      <w:r w:rsidRPr="004019B6">
        <w:rPr>
          <w:rStyle w:val="Hyperlink"/>
          <w:sz w:val="20"/>
          <w:lang w:eastAsia="zh-CN"/>
        </w:rPr>
        <w:t>15/4</w:t>
      </w:r>
      <w:r w:rsidRPr="004019B6">
        <w:rPr>
          <w:rStyle w:val="Hyperlink"/>
          <w:sz w:val="20"/>
          <w:lang w:eastAsia="zh-CN"/>
        </w:rPr>
        <w:fldChar w:fldCharType="end"/>
      </w:r>
      <w:r w:rsidRPr="004019B6">
        <w:rPr>
          <w:rStyle w:val="Hyperlink"/>
          <w:color w:val="000000" w:themeColor="text1"/>
          <w:sz w:val="20"/>
          <w:u w:val="none"/>
          <w:lang w:eastAsia="zh-CN"/>
        </w:rPr>
        <w:t>号决定，附件）。</w:t>
      </w:r>
    </w:p>
  </w:footnote>
  <w:footnote w:id="53">
    <w:p w14:paraId="5BB97598" w14:textId="77777777" w:rsidR="003D18A0" w:rsidRPr="004019B6" w:rsidRDefault="003D18A0" w:rsidP="003D18A0">
      <w:pPr>
        <w:pStyle w:val="FootnoteText"/>
        <w:spacing w:after="40" w:line="240" w:lineRule="atLeast"/>
        <w:rPr>
          <w:sz w:val="20"/>
        </w:rPr>
      </w:pPr>
      <w:r w:rsidRPr="004019B6">
        <w:rPr>
          <w:sz w:val="20"/>
          <w:vertAlign w:val="superscript"/>
        </w:rPr>
        <w:footnoteRef/>
      </w:r>
      <w:r w:rsidRPr="004019B6">
        <w:rPr>
          <w:sz w:val="20"/>
        </w:rPr>
        <w:t xml:space="preserve">  </w:t>
      </w:r>
      <w:r w:rsidRPr="004019B6">
        <w:rPr>
          <w:sz w:val="20"/>
          <w:lang w:val="en-GB"/>
        </w:rPr>
        <w:t xml:space="preserve">Sven Bacher and others, “Socioeconomic impact classification of alien taxa (SEICAT)”, </w:t>
      </w:r>
      <w:r w:rsidRPr="004019B6">
        <w:rPr>
          <w:i/>
          <w:iCs/>
          <w:sz w:val="20"/>
          <w:lang w:val="en-GB"/>
        </w:rPr>
        <w:t>Methods in Ecology and Evolution</w:t>
      </w:r>
      <w:r w:rsidRPr="004019B6">
        <w:rPr>
          <w:sz w:val="20"/>
          <w:lang w:val="en-GB"/>
        </w:rPr>
        <w:t xml:space="preserve">, vol. 9, No. 1 (April </w:t>
      </w:r>
      <w:proofErr w:type="gramStart"/>
      <w:r w:rsidRPr="004019B6">
        <w:rPr>
          <w:sz w:val="20"/>
          <w:lang w:val="en-GB"/>
        </w:rPr>
        <w:t>2017)</w:t>
      </w:r>
      <w:r w:rsidRPr="004019B6">
        <w:rPr>
          <w:sz w:val="20"/>
          <w:lang w:eastAsia="zh-CN"/>
        </w:rPr>
        <w:t>。</w:t>
      </w:r>
      <w:proofErr w:type="gramEnd"/>
    </w:p>
  </w:footnote>
  <w:footnote w:id="54">
    <w:p w14:paraId="74E1359C"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外来入侵物种随着时间的推移已经成为一种重要资源时，根除这些物种有时会影响土著社区的利益。在选择与保护结果相符</w:t>
      </w:r>
      <w:proofErr w:type="gramStart"/>
      <w:r w:rsidRPr="004019B6">
        <w:rPr>
          <w:sz w:val="20"/>
          <w:lang w:eastAsia="zh-CN"/>
        </w:rPr>
        <w:t>]</w:t>
      </w:r>
      <w:r w:rsidRPr="004019B6">
        <w:rPr>
          <w:sz w:val="20"/>
          <w:lang w:eastAsia="zh-CN"/>
        </w:rPr>
        <w:t>的最佳管理方法时</w:t>
      </w:r>
      <w:proofErr w:type="gramEnd"/>
      <w:r w:rsidRPr="004019B6">
        <w:rPr>
          <w:sz w:val="20"/>
          <w:lang w:eastAsia="zh-CN"/>
        </w:rPr>
        <w:t>，应该考虑到上述因素。</w:t>
      </w:r>
    </w:p>
  </w:footnote>
  <w:footnote w:id="55">
    <w:p w14:paraId="7ED2A95D"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lang w:eastAsia="zh-CN"/>
        </w:rPr>
        <w:t xml:space="preserve">  </w:t>
      </w:r>
      <w:r w:rsidRPr="004019B6">
        <w:rPr>
          <w:sz w:val="20"/>
          <w:lang w:val="en-GB" w:eastAsia="zh-CN"/>
        </w:rPr>
        <w:t xml:space="preserve">Franck </w:t>
      </w:r>
      <w:proofErr w:type="spellStart"/>
      <w:r w:rsidRPr="004019B6">
        <w:rPr>
          <w:sz w:val="20"/>
          <w:lang w:val="en-GB" w:eastAsia="zh-CN"/>
        </w:rPr>
        <w:t>Vanclay</w:t>
      </w:r>
      <w:proofErr w:type="spellEnd"/>
      <w:r w:rsidRPr="004019B6">
        <w:rPr>
          <w:sz w:val="20"/>
          <w:lang w:val="en-GB" w:eastAsia="zh-CN"/>
        </w:rPr>
        <w:t>等</w:t>
      </w:r>
      <w:r w:rsidRPr="004019B6">
        <w:rPr>
          <w:sz w:val="20"/>
          <w:lang w:val="en-GB" w:eastAsia="zh-CN"/>
        </w:rPr>
        <w:t xml:space="preserve">, </w:t>
      </w:r>
      <w:r w:rsidRPr="004019B6">
        <w:rPr>
          <w:sz w:val="20"/>
          <w:lang w:val="en-GB" w:eastAsia="zh-CN"/>
        </w:rPr>
        <w:t>《社会影响评估：评估和管理项目社会影响的指南》</w:t>
      </w:r>
      <w:r w:rsidRPr="004019B6">
        <w:rPr>
          <w:sz w:val="20"/>
          <w:lang w:val="en-GB" w:eastAsia="zh-CN"/>
        </w:rPr>
        <w:t xml:space="preserve">, (International Association for Impact Assessment, </w:t>
      </w:r>
      <w:proofErr w:type="gramStart"/>
      <w:r w:rsidRPr="004019B6">
        <w:rPr>
          <w:sz w:val="20"/>
          <w:lang w:val="en-GB" w:eastAsia="zh-CN"/>
        </w:rPr>
        <w:t>2015)</w:t>
      </w:r>
      <w:r w:rsidRPr="004019B6">
        <w:rPr>
          <w:sz w:val="20"/>
          <w:lang w:eastAsia="zh-CN"/>
        </w:rPr>
        <w:t>。</w:t>
      </w:r>
      <w:proofErr w:type="gramEnd"/>
    </w:p>
  </w:footnote>
  <w:footnote w:id="56">
    <w:p w14:paraId="72B85330"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lang w:eastAsia="zh-CN"/>
        </w:rPr>
        <w:t xml:space="preserve">  </w:t>
      </w:r>
      <w:r w:rsidRPr="004019B6">
        <w:rPr>
          <w:sz w:val="20"/>
          <w:lang w:eastAsia="zh-CN"/>
        </w:rPr>
        <w:t>见《外来入侵物种及其控制专题评估报告：决策者摘要》附录</w:t>
      </w:r>
      <w:r w:rsidRPr="004019B6">
        <w:rPr>
          <w:sz w:val="20"/>
          <w:lang w:eastAsia="zh-CN"/>
        </w:rPr>
        <w:t>3</w:t>
      </w:r>
      <w:r w:rsidRPr="004019B6">
        <w:rPr>
          <w:sz w:val="20"/>
          <w:lang w:eastAsia="zh-CN"/>
        </w:rPr>
        <w:t>（见脚注</w:t>
      </w:r>
      <w:r w:rsidRPr="004019B6">
        <w:rPr>
          <w:sz w:val="20"/>
          <w:lang w:eastAsia="zh-CN"/>
        </w:rPr>
        <w:t>2</w:t>
      </w:r>
      <w:r w:rsidRPr="004019B6">
        <w:rPr>
          <w:sz w:val="20"/>
          <w:lang w:eastAsia="zh-CN"/>
        </w:rPr>
        <w:t>）。</w:t>
      </w:r>
    </w:p>
  </w:footnote>
  <w:footnote w:id="57">
    <w:p w14:paraId="245C42C3" w14:textId="77777777" w:rsidR="003D18A0" w:rsidRPr="004019B6" w:rsidRDefault="003D18A0" w:rsidP="003D18A0">
      <w:pPr>
        <w:pStyle w:val="FootnoteText"/>
        <w:spacing w:after="60"/>
        <w:rPr>
          <w:sz w:val="20"/>
        </w:rPr>
      </w:pPr>
      <w:r w:rsidRPr="004019B6">
        <w:rPr>
          <w:sz w:val="20"/>
          <w:vertAlign w:val="superscript"/>
        </w:rPr>
        <w:footnoteRef/>
      </w:r>
      <w:r w:rsidRPr="004019B6">
        <w:rPr>
          <w:sz w:val="20"/>
        </w:rPr>
        <w:t xml:space="preserve">  </w:t>
      </w:r>
      <w:r w:rsidRPr="004019B6">
        <w:rPr>
          <w:sz w:val="20"/>
          <w:lang w:eastAsia="zh-CN"/>
        </w:rPr>
        <w:t>见</w:t>
      </w:r>
      <w:hyperlink r:id="rId9" w:history="1">
        <w:r w:rsidRPr="004019B6">
          <w:rPr>
            <w:rStyle w:val="Hyperlink"/>
            <w:sz w:val="20"/>
          </w:rPr>
          <w:t>www.gbif.org/</w:t>
        </w:r>
      </w:hyperlink>
      <w:r w:rsidRPr="004019B6">
        <w:rPr>
          <w:sz w:val="20"/>
        </w:rPr>
        <w:t>。</w:t>
      </w:r>
    </w:p>
  </w:footnote>
  <w:footnote w:id="58">
    <w:p w14:paraId="027A0318" w14:textId="77777777" w:rsidR="003D18A0" w:rsidRPr="004019B6" w:rsidRDefault="003D18A0" w:rsidP="003D18A0">
      <w:pPr>
        <w:pStyle w:val="FootnoteText"/>
        <w:spacing w:after="60"/>
        <w:rPr>
          <w:sz w:val="20"/>
        </w:rPr>
      </w:pPr>
      <w:r w:rsidRPr="004019B6">
        <w:rPr>
          <w:sz w:val="20"/>
          <w:vertAlign w:val="superscript"/>
        </w:rPr>
        <w:footnoteRef/>
      </w:r>
      <w:r w:rsidRPr="004019B6">
        <w:rPr>
          <w:sz w:val="20"/>
        </w:rPr>
        <w:t xml:space="preserve">  </w:t>
      </w:r>
      <w:r w:rsidRPr="004019B6">
        <w:rPr>
          <w:sz w:val="20"/>
          <w:lang w:eastAsia="zh-CN"/>
        </w:rPr>
        <w:t>见</w:t>
      </w:r>
      <w:r w:rsidRPr="004019B6">
        <w:rPr>
          <w:sz w:val="20"/>
        </w:rPr>
        <w:fldChar w:fldCharType="begin"/>
      </w:r>
      <w:r w:rsidRPr="004019B6">
        <w:rPr>
          <w:sz w:val="20"/>
        </w:rPr>
        <w:instrText>HYPERLINK "https://griis.org/"</w:instrText>
      </w:r>
      <w:r w:rsidRPr="004019B6">
        <w:rPr>
          <w:sz w:val="20"/>
        </w:rPr>
      </w:r>
      <w:r w:rsidRPr="004019B6">
        <w:rPr>
          <w:sz w:val="20"/>
        </w:rPr>
        <w:fldChar w:fldCharType="separate"/>
      </w:r>
      <w:r w:rsidRPr="004019B6">
        <w:rPr>
          <w:rStyle w:val="Hyperlink"/>
          <w:sz w:val="20"/>
        </w:rPr>
        <w:t>https://griis.org/</w:t>
      </w:r>
      <w:r w:rsidRPr="004019B6">
        <w:rPr>
          <w:rStyle w:val="Hyperlink"/>
          <w:sz w:val="20"/>
        </w:rPr>
        <w:fldChar w:fldCharType="end"/>
      </w:r>
      <w:r w:rsidRPr="004019B6">
        <w:rPr>
          <w:sz w:val="20"/>
        </w:rPr>
        <w:t>。</w:t>
      </w:r>
    </w:p>
  </w:footnote>
  <w:footnote w:id="59">
    <w:p w14:paraId="1DD55170" w14:textId="77777777" w:rsidR="003D18A0" w:rsidRPr="004019B6" w:rsidRDefault="003D18A0" w:rsidP="003D18A0">
      <w:pPr>
        <w:pStyle w:val="FootnoteText"/>
        <w:spacing w:after="60"/>
        <w:rPr>
          <w:sz w:val="20"/>
        </w:rPr>
      </w:pPr>
      <w:r w:rsidRPr="004019B6">
        <w:rPr>
          <w:sz w:val="20"/>
          <w:vertAlign w:val="superscript"/>
        </w:rPr>
        <w:footnoteRef/>
      </w:r>
      <w:r w:rsidRPr="004019B6">
        <w:rPr>
          <w:sz w:val="20"/>
        </w:rPr>
        <w:t xml:space="preserve"> </w:t>
      </w:r>
      <w:r w:rsidRPr="004019B6">
        <w:rPr>
          <w:sz w:val="20"/>
          <w:lang w:eastAsia="zh-CN"/>
        </w:rPr>
        <w:t>见</w:t>
      </w:r>
      <w:r w:rsidRPr="004019B6">
        <w:rPr>
          <w:sz w:val="20"/>
        </w:rPr>
        <w:fldChar w:fldCharType="begin"/>
      </w:r>
      <w:r w:rsidRPr="004019B6">
        <w:rPr>
          <w:sz w:val="20"/>
        </w:rPr>
        <w:instrText>HYPERLINK "http://www.cabidigitallibrary.org/journal/cabicompendium"</w:instrText>
      </w:r>
      <w:r w:rsidRPr="004019B6">
        <w:rPr>
          <w:sz w:val="20"/>
        </w:rPr>
      </w:r>
      <w:r w:rsidRPr="004019B6">
        <w:rPr>
          <w:sz w:val="20"/>
        </w:rPr>
        <w:fldChar w:fldCharType="separate"/>
      </w:r>
      <w:r w:rsidRPr="004019B6">
        <w:rPr>
          <w:rStyle w:val="Hyperlink"/>
          <w:sz w:val="20"/>
        </w:rPr>
        <w:t>www.cabidigitallibrary.org/journal/cabicompendium</w:t>
      </w:r>
      <w:r w:rsidRPr="004019B6">
        <w:rPr>
          <w:rStyle w:val="Hyperlink"/>
          <w:sz w:val="20"/>
        </w:rPr>
        <w:fldChar w:fldCharType="end"/>
      </w:r>
      <w:r w:rsidRPr="004019B6">
        <w:rPr>
          <w:sz w:val="20"/>
        </w:rPr>
        <w:t>。</w:t>
      </w:r>
    </w:p>
  </w:footnote>
  <w:footnote w:id="60">
    <w:p w14:paraId="1BA2057E"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vertAlign w:val="superscript"/>
          <w:lang w:eastAsia="zh-CN"/>
        </w:rPr>
        <w:t xml:space="preserve"> </w:t>
      </w:r>
      <w:r w:rsidRPr="004019B6">
        <w:rPr>
          <w:sz w:val="20"/>
          <w:lang w:eastAsia="zh-CN"/>
        </w:rPr>
        <w:t>见</w:t>
      </w:r>
      <w:r w:rsidRPr="004019B6">
        <w:rPr>
          <w:sz w:val="20"/>
          <w:vertAlign w:val="superscript"/>
          <w:lang w:eastAsia="zh-CN"/>
        </w:rPr>
        <w:t xml:space="preserve"> </w:t>
      </w:r>
      <w:hyperlink r:id="rId10" w:history="1">
        <w:r w:rsidRPr="004019B6">
          <w:rPr>
            <w:rStyle w:val="Hyperlink"/>
            <w:sz w:val="20"/>
            <w:lang w:eastAsia="zh-CN"/>
          </w:rPr>
          <w:t>https://alien.jrc.ec.europa.eu/easin</w:t>
        </w:r>
      </w:hyperlink>
      <w:r w:rsidRPr="004019B6">
        <w:rPr>
          <w:sz w:val="20"/>
          <w:lang w:eastAsia="zh-CN"/>
        </w:rPr>
        <w:t>。</w:t>
      </w:r>
    </w:p>
  </w:footnote>
  <w:footnote w:id="61">
    <w:p w14:paraId="31B9680C" w14:textId="77777777" w:rsidR="003D18A0" w:rsidRPr="004019B6" w:rsidRDefault="003D18A0" w:rsidP="003D18A0">
      <w:pPr>
        <w:pStyle w:val="FootnoteText"/>
        <w:spacing w:after="60"/>
        <w:rPr>
          <w:sz w:val="20"/>
        </w:rPr>
      </w:pPr>
      <w:r w:rsidRPr="004019B6">
        <w:rPr>
          <w:rStyle w:val="FootnoteReference"/>
          <w:sz w:val="20"/>
        </w:rPr>
        <w:footnoteRef/>
      </w:r>
      <w:r w:rsidRPr="004019B6">
        <w:rPr>
          <w:sz w:val="20"/>
          <w:vertAlign w:val="superscript"/>
        </w:rPr>
        <w:t xml:space="preserve">  </w:t>
      </w:r>
      <w:r w:rsidRPr="004019B6">
        <w:rPr>
          <w:sz w:val="20"/>
          <w:lang w:eastAsia="zh-CN"/>
        </w:rPr>
        <w:t>见</w:t>
      </w:r>
      <w:hyperlink r:id="rId11" w:history="1">
        <w:r w:rsidRPr="004019B6">
          <w:rPr>
            <w:rStyle w:val="Hyperlink"/>
            <w:sz w:val="20"/>
          </w:rPr>
          <w:t>www.iucngisd.org/gisd/</w:t>
        </w:r>
      </w:hyperlink>
      <w:r w:rsidRPr="004019B6">
        <w:rPr>
          <w:sz w:val="20"/>
        </w:rPr>
        <w:t>。</w:t>
      </w:r>
    </w:p>
  </w:footnote>
  <w:footnote w:id="62">
    <w:p w14:paraId="30D973D2" w14:textId="77777777" w:rsidR="003D18A0" w:rsidRPr="004019B6" w:rsidRDefault="003D18A0" w:rsidP="003D18A0">
      <w:pPr>
        <w:pStyle w:val="Heading1"/>
        <w:numPr>
          <w:ilvl w:val="0"/>
          <w:numId w:val="0"/>
        </w:numPr>
        <w:tabs>
          <w:tab w:val="left" w:pos="90"/>
        </w:tabs>
        <w:spacing w:before="0" w:after="60"/>
        <w:ind w:left="567" w:hanging="567"/>
        <w:jc w:val="both"/>
        <w:rPr>
          <w:rFonts w:eastAsia="宋体" w:cs="Times New Roman"/>
          <w:b w:val="0"/>
          <w:bCs w:val="0"/>
          <w:sz w:val="20"/>
          <w:szCs w:val="20"/>
          <w:lang w:val="en-GB"/>
        </w:rPr>
      </w:pPr>
      <w:r w:rsidRPr="004019B6">
        <w:rPr>
          <w:rFonts w:eastAsia="宋体" w:cs="Times New Roman"/>
          <w:b w:val="0"/>
          <w:sz w:val="20"/>
          <w:szCs w:val="20"/>
          <w:vertAlign w:val="superscript"/>
          <w:lang w:val="en-GB"/>
        </w:rPr>
        <w:footnoteRef/>
      </w:r>
      <w:r w:rsidRPr="004019B6">
        <w:rPr>
          <w:rFonts w:eastAsia="宋体" w:cs="Times New Roman"/>
          <w:b w:val="0"/>
          <w:sz w:val="20"/>
          <w:szCs w:val="20"/>
          <w:lang w:val="en-GB"/>
        </w:rPr>
        <w:t xml:space="preserve">  </w:t>
      </w:r>
      <w:hyperlink r:id="rId12" w:history="1">
        <w:r w:rsidRPr="004019B6">
          <w:rPr>
            <w:rStyle w:val="Hyperlink"/>
            <w:rFonts w:eastAsia="宋体" w:cs="Times New Roman"/>
            <w:b w:val="0"/>
            <w:sz w:val="20"/>
            <w:szCs w:val="20"/>
            <w:lang w:val="en-GB"/>
          </w:rPr>
          <w:t>www.cbd.int/invasive/giasipartnership/</w:t>
        </w:r>
      </w:hyperlink>
      <w:r w:rsidRPr="004019B6">
        <w:rPr>
          <w:rStyle w:val="Hyperlink"/>
          <w:rFonts w:eastAsia="宋体" w:cs="Times New Roman"/>
          <w:b w:val="0"/>
          <w:sz w:val="20"/>
          <w:szCs w:val="20"/>
          <w:lang w:val="en-GB" w:eastAsia="zh-CN"/>
        </w:rPr>
        <w:t>。</w:t>
      </w:r>
    </w:p>
  </w:footnote>
  <w:footnote w:id="63">
    <w:p w14:paraId="213D0280"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传统知识被定义为</w:t>
      </w:r>
      <w:r w:rsidRPr="004019B6">
        <w:rPr>
          <w:kern w:val="22"/>
          <w:sz w:val="20"/>
          <w:lang w:val="zh-CN" w:eastAsia="zh-CN"/>
        </w:rPr>
        <w:t>土著人民和地方社区体现与保护和可持续利用生物多样性相关的传统生活方式的知识、创新和做法</w:t>
      </w:r>
      <w:r w:rsidRPr="004019B6">
        <w:rPr>
          <w:sz w:val="20"/>
          <w:lang w:eastAsia="zh-CN"/>
        </w:rPr>
        <w:t>(</w:t>
      </w:r>
      <w:r w:rsidRPr="004019B6">
        <w:rPr>
          <w:sz w:val="20"/>
          <w:lang w:eastAsia="zh-CN"/>
        </w:rPr>
        <w:t>第</w:t>
      </w:r>
      <w:r w:rsidRPr="004019B6">
        <w:rPr>
          <w:sz w:val="20"/>
        </w:rPr>
        <w:fldChar w:fldCharType="begin"/>
      </w:r>
      <w:r w:rsidRPr="004019B6">
        <w:rPr>
          <w:sz w:val="20"/>
          <w:lang w:eastAsia="zh-CN"/>
        </w:rPr>
        <w:instrText>HYPERLINK "https://www.cbd.int/decisions/cop/14/13%20zh."</w:instrText>
      </w:r>
      <w:r w:rsidRPr="004019B6">
        <w:rPr>
          <w:sz w:val="20"/>
        </w:rPr>
      </w:r>
      <w:r w:rsidRPr="004019B6">
        <w:rPr>
          <w:sz w:val="20"/>
        </w:rPr>
        <w:fldChar w:fldCharType="separate"/>
      </w:r>
      <w:r w:rsidRPr="004019B6">
        <w:rPr>
          <w:rStyle w:val="Hyperlink"/>
          <w:sz w:val="20"/>
          <w:lang w:eastAsia="zh-CN"/>
        </w:rPr>
        <w:t>14/13</w:t>
      </w:r>
      <w:r w:rsidRPr="004019B6">
        <w:rPr>
          <w:rStyle w:val="Hyperlink"/>
          <w:sz w:val="20"/>
          <w:lang w:eastAsia="zh-CN"/>
        </w:rPr>
        <w:fldChar w:fldCharType="end"/>
      </w:r>
      <w:r w:rsidRPr="004019B6">
        <w:rPr>
          <w:rStyle w:val="Hyperlink"/>
          <w:sz w:val="20"/>
          <w:lang w:eastAsia="zh-CN"/>
        </w:rPr>
        <w:t>号决定</w:t>
      </w:r>
      <w:r w:rsidRPr="004019B6">
        <w:rPr>
          <w:sz w:val="20"/>
          <w:lang w:eastAsia="zh-CN"/>
        </w:rPr>
        <w:t>)</w:t>
      </w:r>
      <w:r w:rsidRPr="004019B6">
        <w:rPr>
          <w:sz w:val="20"/>
          <w:lang w:eastAsia="zh-CN"/>
        </w:rPr>
        <w:t>。</w:t>
      </w:r>
    </w:p>
  </w:footnote>
  <w:footnote w:id="64">
    <w:p w14:paraId="3C95BFB8" w14:textId="77777777" w:rsidR="003D18A0" w:rsidRPr="004019B6" w:rsidRDefault="003D18A0" w:rsidP="003D18A0">
      <w:pPr>
        <w:pStyle w:val="FootnoteText"/>
        <w:spacing w:after="60"/>
        <w:rPr>
          <w:color w:val="000000" w:themeColor="text1"/>
          <w:kern w:val="22"/>
          <w:sz w:val="20"/>
          <w:lang w:eastAsia="zh-CN"/>
        </w:rPr>
      </w:pPr>
      <w:r w:rsidRPr="004019B6">
        <w:rPr>
          <w:sz w:val="20"/>
          <w:vertAlign w:val="superscript"/>
        </w:rPr>
        <w:footnoteRef/>
      </w:r>
      <w:r w:rsidRPr="004019B6">
        <w:rPr>
          <w:sz w:val="20"/>
          <w:vertAlign w:val="superscript"/>
          <w:lang w:eastAsia="zh-CN"/>
        </w:rPr>
        <w:t xml:space="preserve"> </w:t>
      </w:r>
      <w:r w:rsidRPr="004019B6">
        <w:rPr>
          <w:sz w:val="20"/>
          <w:lang w:eastAsia="zh-CN"/>
        </w:rPr>
        <w:t xml:space="preserve"> </w:t>
      </w:r>
      <w:r w:rsidRPr="004019B6">
        <w:rPr>
          <w:sz w:val="20"/>
          <w:lang w:eastAsia="zh-CN"/>
        </w:rPr>
        <w:t>应该认识到，</w:t>
      </w:r>
      <w:r w:rsidRPr="004019B6">
        <w:rPr>
          <w:rStyle w:val="FootnoteReference"/>
          <w:sz w:val="20"/>
          <w:vertAlign w:val="baseline"/>
          <w:lang w:eastAsia="zh-CN"/>
        </w:rPr>
        <w:t>土著人民的利益不仅限于使用传统知识</w:t>
      </w:r>
      <w:r w:rsidRPr="004019B6">
        <w:rPr>
          <w:sz w:val="20"/>
          <w:lang w:eastAsia="zh-CN"/>
        </w:rPr>
        <w:t>，还包括如何使用与具有文化意义的物种和地点有关的数据，以及如何和在哪里储存这些数据（例如土著数据主权的概念）。</w:t>
      </w:r>
      <w:r w:rsidRPr="004019B6">
        <w:rPr>
          <w:kern w:val="22"/>
          <w:sz w:val="20"/>
          <w:lang w:eastAsia="zh-CN"/>
        </w:rPr>
        <w:t xml:space="preserve"> “</w:t>
      </w:r>
      <w:r w:rsidRPr="004019B6">
        <w:rPr>
          <w:sz w:val="20"/>
          <w:lang w:eastAsia="zh-CN"/>
        </w:rPr>
        <w:t>自由、</w:t>
      </w:r>
      <w:proofErr w:type="gramStart"/>
      <w:r w:rsidRPr="004019B6">
        <w:rPr>
          <w:sz w:val="20"/>
          <w:lang w:eastAsia="zh-CN"/>
        </w:rPr>
        <w:t>事先和知情同意</w:t>
      </w:r>
      <w:r w:rsidRPr="004019B6">
        <w:rPr>
          <w:sz w:val="20"/>
          <w:lang w:eastAsia="zh-CN"/>
        </w:rPr>
        <w:t>”</w:t>
      </w:r>
      <w:r w:rsidRPr="004019B6">
        <w:rPr>
          <w:sz w:val="20"/>
          <w:lang w:eastAsia="zh-CN"/>
        </w:rPr>
        <w:t>指三种表述</w:t>
      </w:r>
      <w:proofErr w:type="gramEnd"/>
      <w:r w:rsidRPr="004019B6">
        <w:rPr>
          <w:sz w:val="20"/>
          <w:lang w:eastAsia="zh-CN"/>
        </w:rPr>
        <w:t>，即</w:t>
      </w:r>
      <w:r w:rsidRPr="004019B6">
        <w:rPr>
          <w:sz w:val="20"/>
          <w:lang w:eastAsia="zh-CN"/>
        </w:rPr>
        <w:t>“</w:t>
      </w:r>
      <w:r w:rsidRPr="004019B6">
        <w:rPr>
          <w:sz w:val="20"/>
          <w:lang w:eastAsia="zh-CN"/>
        </w:rPr>
        <w:t>事先和知情同意</w:t>
      </w:r>
      <w:r w:rsidRPr="004019B6">
        <w:rPr>
          <w:sz w:val="20"/>
          <w:lang w:eastAsia="zh-CN"/>
        </w:rPr>
        <w:t>”</w:t>
      </w:r>
      <w:r w:rsidRPr="004019B6">
        <w:rPr>
          <w:sz w:val="20"/>
          <w:lang w:eastAsia="zh-CN"/>
        </w:rPr>
        <w:t>、</w:t>
      </w:r>
      <w:r w:rsidRPr="004019B6">
        <w:rPr>
          <w:sz w:val="20"/>
          <w:lang w:eastAsia="zh-CN"/>
        </w:rPr>
        <w:t>“</w:t>
      </w:r>
      <w:r w:rsidRPr="004019B6">
        <w:rPr>
          <w:sz w:val="20"/>
          <w:lang w:eastAsia="zh-CN"/>
        </w:rPr>
        <w:t>自由、事先和知情同意</w:t>
      </w:r>
      <w:r w:rsidRPr="004019B6">
        <w:rPr>
          <w:sz w:val="20"/>
          <w:lang w:eastAsia="zh-CN"/>
        </w:rPr>
        <w:t>”</w:t>
      </w:r>
      <w:r w:rsidRPr="004019B6">
        <w:rPr>
          <w:sz w:val="20"/>
          <w:lang w:eastAsia="zh-CN"/>
        </w:rPr>
        <w:t>及</w:t>
      </w:r>
      <w:r w:rsidRPr="004019B6">
        <w:rPr>
          <w:sz w:val="20"/>
          <w:lang w:eastAsia="zh-CN"/>
        </w:rPr>
        <w:t>“</w:t>
      </w:r>
      <w:r w:rsidRPr="004019B6">
        <w:rPr>
          <w:sz w:val="20"/>
          <w:lang w:eastAsia="zh-CN"/>
        </w:rPr>
        <w:t>批准和参与</w:t>
      </w:r>
      <w:r w:rsidRPr="004019B6">
        <w:rPr>
          <w:sz w:val="20"/>
          <w:lang w:eastAsia="zh-CN"/>
        </w:rPr>
        <w:t xml:space="preserve">” </w:t>
      </w:r>
      <w:r w:rsidRPr="004019B6">
        <w:rPr>
          <w:sz w:val="20"/>
          <w:lang w:eastAsia="zh-CN"/>
        </w:rPr>
        <w:t>（见第</w:t>
      </w:r>
      <w:r w:rsidRPr="004019B6">
        <w:rPr>
          <w:sz w:val="20"/>
        </w:rPr>
        <w:fldChar w:fldCharType="begin"/>
      </w:r>
      <w:r w:rsidRPr="004019B6">
        <w:rPr>
          <w:sz w:val="20"/>
          <w:lang w:eastAsia="zh-CN"/>
        </w:rPr>
        <w:instrText>HYPERLINK "https://www.cbd.int/doc/decisions/cop-15/cop-15-dec-04-zh.pdf"</w:instrText>
      </w:r>
      <w:r w:rsidRPr="004019B6">
        <w:rPr>
          <w:sz w:val="20"/>
        </w:rPr>
      </w:r>
      <w:r w:rsidRPr="004019B6">
        <w:rPr>
          <w:sz w:val="20"/>
        </w:rPr>
        <w:fldChar w:fldCharType="separate"/>
      </w:r>
      <w:r w:rsidRPr="004019B6">
        <w:rPr>
          <w:rStyle w:val="Hyperlink"/>
          <w:sz w:val="20"/>
          <w:lang w:eastAsia="zh-CN"/>
        </w:rPr>
        <w:t>15/4</w:t>
      </w:r>
      <w:r w:rsidRPr="004019B6">
        <w:rPr>
          <w:rStyle w:val="Hyperlink"/>
          <w:sz w:val="20"/>
          <w:lang w:eastAsia="zh-CN"/>
        </w:rPr>
        <w:fldChar w:fldCharType="end"/>
      </w:r>
      <w:r w:rsidRPr="004019B6">
        <w:rPr>
          <w:rStyle w:val="Hyperlink"/>
          <w:color w:val="000000" w:themeColor="text1"/>
          <w:sz w:val="20"/>
          <w:lang w:eastAsia="zh-CN"/>
        </w:rPr>
        <w:t>号决定，附件）。</w:t>
      </w:r>
    </w:p>
  </w:footnote>
  <w:footnote w:id="65">
    <w:p w14:paraId="57E8B9CD" w14:textId="77777777" w:rsidR="003D18A0" w:rsidRPr="004019B6" w:rsidRDefault="003D18A0" w:rsidP="003D18A0">
      <w:pPr>
        <w:pStyle w:val="FootnoteText"/>
        <w:spacing w:after="60"/>
        <w:rPr>
          <w:sz w:val="20"/>
        </w:rPr>
      </w:pPr>
      <w:r w:rsidRPr="004019B6">
        <w:rPr>
          <w:sz w:val="20"/>
          <w:vertAlign w:val="superscript"/>
        </w:rPr>
        <w:footnoteRef/>
      </w:r>
      <w:r w:rsidRPr="004019B6">
        <w:rPr>
          <w:sz w:val="20"/>
        </w:rPr>
        <w:t xml:space="preserve">  </w:t>
      </w:r>
      <w:hyperlink r:id="rId13" w:history="1">
        <w:r w:rsidRPr="004019B6">
          <w:rPr>
            <w:rStyle w:val="Hyperlink"/>
            <w:kern w:val="22"/>
            <w:sz w:val="20"/>
          </w:rPr>
          <w:t>www.iucn.org/resources/conservation-tool/environmental-impact-classification-alien-taxa-eicat</w:t>
        </w:r>
      </w:hyperlink>
      <w:r w:rsidRPr="004019B6">
        <w:rPr>
          <w:rStyle w:val="Hyperlink"/>
          <w:kern w:val="22"/>
          <w:sz w:val="20"/>
        </w:rPr>
        <w:t>。</w:t>
      </w:r>
    </w:p>
  </w:footnote>
  <w:footnote w:id="66">
    <w:p w14:paraId="162CE403" w14:textId="77777777" w:rsidR="003D18A0" w:rsidRPr="004019B6" w:rsidRDefault="003D18A0" w:rsidP="003D18A0">
      <w:pPr>
        <w:pStyle w:val="FootnoteText"/>
        <w:spacing w:after="60"/>
        <w:rPr>
          <w:sz w:val="20"/>
        </w:rPr>
      </w:pPr>
      <w:r w:rsidRPr="004019B6">
        <w:rPr>
          <w:sz w:val="20"/>
          <w:vertAlign w:val="superscript"/>
        </w:rPr>
        <w:footnoteRef/>
      </w:r>
      <w:r w:rsidRPr="004019B6">
        <w:rPr>
          <w:sz w:val="20"/>
        </w:rPr>
        <w:t xml:space="preserve">  </w:t>
      </w:r>
      <w:r w:rsidRPr="004019B6">
        <w:rPr>
          <w:sz w:val="20"/>
          <w:lang w:eastAsia="zh-CN"/>
        </w:rPr>
        <w:t>见</w:t>
      </w:r>
      <w:r w:rsidRPr="004019B6">
        <w:rPr>
          <w:sz w:val="20"/>
          <w:lang w:val="en-GB"/>
        </w:rPr>
        <w:t>Sven Bacher</w:t>
      </w:r>
      <w:r w:rsidRPr="004019B6">
        <w:rPr>
          <w:sz w:val="20"/>
          <w:lang w:val="en-GB" w:eastAsia="zh-CN"/>
        </w:rPr>
        <w:t>等</w:t>
      </w:r>
      <w:r w:rsidRPr="004019B6">
        <w:rPr>
          <w:sz w:val="20"/>
          <w:lang w:val="en-GB"/>
        </w:rPr>
        <w:t xml:space="preserve">, </w:t>
      </w:r>
      <w:r w:rsidRPr="004019B6">
        <w:rPr>
          <w:sz w:val="20"/>
          <w:lang w:val="en-GB" w:eastAsia="zh-CN"/>
        </w:rPr>
        <w:t>“</w:t>
      </w:r>
      <w:proofErr w:type="spellStart"/>
      <w:r w:rsidRPr="004019B6">
        <w:rPr>
          <w:sz w:val="20"/>
          <w:lang w:val="en-GB"/>
        </w:rPr>
        <w:t>外来分类群的社会经济影响分类</w:t>
      </w:r>
      <w:proofErr w:type="spellEnd"/>
      <w:r w:rsidRPr="004019B6">
        <w:rPr>
          <w:sz w:val="20"/>
          <w:lang w:val="en-GB" w:eastAsia="zh-CN"/>
        </w:rPr>
        <w:t>”</w:t>
      </w:r>
      <w:r w:rsidRPr="004019B6">
        <w:rPr>
          <w:sz w:val="20"/>
          <w:lang w:val="en-GB"/>
        </w:rPr>
        <w:t xml:space="preserve">(SEICAT)”, </w:t>
      </w:r>
      <w:r w:rsidRPr="004019B6">
        <w:rPr>
          <w:i/>
          <w:iCs/>
          <w:sz w:val="20"/>
          <w:lang w:val="en-GB"/>
        </w:rPr>
        <w:t>Methods in Ecology and Evolution</w:t>
      </w:r>
      <w:r w:rsidRPr="004019B6">
        <w:rPr>
          <w:sz w:val="20"/>
          <w:lang w:val="en-GB"/>
        </w:rPr>
        <w:t xml:space="preserve">, vol. 9, No. 1 (April </w:t>
      </w:r>
      <w:proofErr w:type="gramStart"/>
      <w:r w:rsidRPr="004019B6">
        <w:rPr>
          <w:sz w:val="20"/>
          <w:lang w:val="en-GB"/>
        </w:rPr>
        <w:t>2017)</w:t>
      </w:r>
      <w:r w:rsidRPr="004019B6">
        <w:rPr>
          <w:sz w:val="20"/>
        </w:rPr>
        <w:t>。</w:t>
      </w:r>
      <w:proofErr w:type="gramEnd"/>
    </w:p>
  </w:footnote>
  <w:footnote w:id="67">
    <w:p w14:paraId="53340834" w14:textId="77777777" w:rsidR="003D18A0" w:rsidRPr="004019B6" w:rsidRDefault="003D18A0" w:rsidP="003D18A0">
      <w:pPr>
        <w:pStyle w:val="FootnoteText"/>
        <w:suppressLineNumbers/>
        <w:suppressAutoHyphens/>
        <w:spacing w:after="60"/>
        <w:rPr>
          <w:kern w:val="18"/>
          <w:sz w:val="20"/>
          <w:lang w:eastAsia="zh-CN"/>
        </w:rPr>
      </w:pPr>
      <w:r w:rsidRPr="004019B6">
        <w:rPr>
          <w:kern w:val="18"/>
          <w:sz w:val="20"/>
          <w:vertAlign w:val="superscript"/>
        </w:rPr>
        <w:footnoteRef/>
      </w:r>
      <w:r w:rsidRPr="004019B6">
        <w:rPr>
          <w:kern w:val="18"/>
          <w:sz w:val="20"/>
          <w:vertAlign w:val="superscript"/>
          <w:lang w:eastAsia="zh-CN"/>
        </w:rPr>
        <w:t xml:space="preserve">  </w:t>
      </w:r>
      <w:r w:rsidRPr="004019B6">
        <w:rPr>
          <w:kern w:val="18"/>
          <w:sz w:val="20"/>
          <w:lang w:eastAsia="zh-CN"/>
        </w:rPr>
        <w:t>关于如何使用《外来物种环境影响分类》标准及其应用的范例，见</w:t>
      </w:r>
      <w:r w:rsidRPr="004019B6">
        <w:rPr>
          <w:kern w:val="18"/>
          <w:sz w:val="20"/>
          <w:lang w:eastAsia="zh-CN"/>
        </w:rPr>
        <w:t xml:space="preserve"> </w:t>
      </w:r>
      <w:hyperlink r:id="rId14" w:history="1">
        <w:r w:rsidRPr="004019B6">
          <w:rPr>
            <w:rStyle w:val="Hyperlink"/>
            <w:kern w:val="18"/>
            <w:sz w:val="20"/>
            <w:lang w:eastAsia="zh-CN"/>
          </w:rPr>
          <w:t>CBD/AHTEG/IAS/2019/1/2</w:t>
        </w:r>
      </w:hyperlink>
      <w:r w:rsidRPr="004019B6">
        <w:rPr>
          <w:kern w:val="18"/>
          <w:sz w:val="20"/>
          <w:lang w:eastAsia="zh-CN"/>
        </w:rPr>
        <w:t xml:space="preserve">, </w:t>
      </w:r>
      <w:r w:rsidRPr="004019B6">
        <w:rPr>
          <w:kern w:val="18"/>
          <w:sz w:val="20"/>
          <w:lang w:eastAsia="zh-CN"/>
        </w:rPr>
        <w:t>附件五，第</w:t>
      </w:r>
      <w:r w:rsidRPr="004019B6">
        <w:rPr>
          <w:kern w:val="18"/>
          <w:sz w:val="20"/>
          <w:lang w:eastAsia="zh-CN"/>
        </w:rPr>
        <w:t>12-17</w:t>
      </w:r>
      <w:r w:rsidRPr="004019B6">
        <w:rPr>
          <w:kern w:val="18"/>
          <w:sz w:val="20"/>
          <w:lang w:eastAsia="zh-CN"/>
        </w:rPr>
        <w:t>段。</w:t>
      </w:r>
    </w:p>
  </w:footnote>
  <w:footnote w:id="68">
    <w:p w14:paraId="0E2B86D0" w14:textId="77777777" w:rsidR="003D18A0" w:rsidRPr="004019B6" w:rsidRDefault="003D18A0" w:rsidP="003D18A0">
      <w:pPr>
        <w:pStyle w:val="FootnoteText"/>
        <w:spacing w:after="40" w:line="240" w:lineRule="atLeast"/>
        <w:rPr>
          <w:sz w:val="20"/>
        </w:rPr>
      </w:pPr>
      <w:r w:rsidRPr="004019B6">
        <w:rPr>
          <w:sz w:val="20"/>
          <w:vertAlign w:val="superscript"/>
        </w:rPr>
        <w:footnoteRef/>
      </w:r>
      <w:r w:rsidRPr="004019B6">
        <w:rPr>
          <w:sz w:val="20"/>
        </w:rPr>
        <w:t xml:space="preserve">  </w:t>
      </w:r>
      <w:r w:rsidRPr="004019B6">
        <w:rPr>
          <w:sz w:val="20"/>
        </w:rPr>
        <w:t>例如欧洲疾病防控中心和欧洲食品安全局关于动物健康（见</w:t>
      </w:r>
      <w:hyperlink r:id="rId15" w:history="1">
        <w:r w:rsidRPr="004019B6">
          <w:rPr>
            <w:rStyle w:val="Hyperlink"/>
            <w:sz w:val="20"/>
          </w:rPr>
          <w:t>www.efsa.europa.eu/en/topics/topic/animal-health#efsas-role</w:t>
        </w:r>
      </w:hyperlink>
      <w:r w:rsidRPr="004019B6">
        <w:rPr>
          <w:sz w:val="20"/>
        </w:rPr>
        <w:t>）和外来入侵物种（见</w:t>
      </w:r>
      <w:hyperlink r:id="rId16" w:history="1">
        <w:r w:rsidRPr="004019B6">
          <w:rPr>
            <w:rStyle w:val="Hyperlink"/>
            <w:sz w:val="20"/>
          </w:rPr>
          <w:t>www.efsa.europa.eu/en/topics/topic/invasive-alien-species</w:t>
        </w:r>
      </w:hyperlink>
      <w:r w:rsidRPr="004019B6">
        <w:rPr>
          <w:sz w:val="20"/>
        </w:rPr>
        <w:t>）的区域监测和监管办法。</w:t>
      </w:r>
    </w:p>
  </w:footnote>
  <w:footnote w:id="69">
    <w:p w14:paraId="36DF9DD3"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lang w:eastAsia="zh-CN"/>
        </w:rPr>
        <w:t xml:space="preserve">  </w:t>
      </w:r>
      <w:r w:rsidRPr="004019B6">
        <w:rPr>
          <w:sz w:val="20"/>
          <w:lang w:eastAsia="zh-CN"/>
        </w:rPr>
        <w:t>见</w:t>
      </w:r>
      <w:r w:rsidRPr="004019B6">
        <w:rPr>
          <w:sz w:val="20"/>
        </w:rPr>
        <w:fldChar w:fldCharType="begin"/>
      </w:r>
      <w:r w:rsidRPr="004019B6">
        <w:rPr>
          <w:sz w:val="20"/>
          <w:lang w:eastAsia="zh-CN"/>
        </w:rPr>
        <w:instrText>HYPERLINK "https://www.cbd.int/doc/meetings/sbstta/sbstta-18/official/sbstta-18-09-add1-en.pdf"</w:instrText>
      </w:r>
      <w:r w:rsidRPr="004019B6">
        <w:rPr>
          <w:sz w:val="20"/>
        </w:rPr>
      </w:r>
      <w:r w:rsidRPr="004019B6">
        <w:rPr>
          <w:sz w:val="20"/>
        </w:rPr>
        <w:fldChar w:fldCharType="separate"/>
      </w:r>
      <w:r w:rsidRPr="004019B6">
        <w:rPr>
          <w:sz w:val="20"/>
          <w:lang w:eastAsia="zh-CN"/>
        </w:rPr>
        <w:t>UNEP/CBD/SBSTTA/18/9/Add.1</w:t>
      </w:r>
      <w:r w:rsidRPr="004019B6">
        <w:rPr>
          <w:sz w:val="20"/>
          <w:lang w:eastAsia="zh-CN"/>
        </w:rPr>
        <w:fldChar w:fldCharType="end"/>
      </w:r>
      <w:r w:rsidRPr="004019B6">
        <w:rPr>
          <w:sz w:val="20"/>
          <w:lang w:eastAsia="zh-CN"/>
        </w:rPr>
        <w:t>。</w:t>
      </w:r>
    </w:p>
  </w:footnote>
  <w:footnote w:id="70">
    <w:p w14:paraId="3BB66D56"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lang w:eastAsia="zh-CN"/>
        </w:rPr>
        <w:t xml:space="preserve">  </w:t>
      </w:r>
      <w:r w:rsidRPr="004019B6">
        <w:rPr>
          <w:sz w:val="20"/>
          <w:lang w:eastAsia="zh-CN"/>
        </w:rPr>
        <w:t>国际海事组织，</w:t>
      </w:r>
      <w:r w:rsidRPr="004019B6">
        <w:rPr>
          <w:sz w:val="20"/>
          <w:lang w:val="en-GB" w:eastAsia="zh-CN"/>
        </w:rPr>
        <w:t>BWM/CONF/36</w:t>
      </w:r>
      <w:r w:rsidRPr="004019B6">
        <w:rPr>
          <w:sz w:val="20"/>
          <w:lang w:val="en-GB" w:eastAsia="zh-CN"/>
        </w:rPr>
        <w:t>号文件，附件</w:t>
      </w:r>
      <w:r w:rsidRPr="004019B6">
        <w:rPr>
          <w:sz w:val="20"/>
          <w:lang w:eastAsia="zh-CN"/>
        </w:rPr>
        <w:t>。</w:t>
      </w:r>
      <w:r w:rsidRPr="004019B6">
        <w:rPr>
          <w:sz w:val="20"/>
          <w:lang w:eastAsia="zh-CN"/>
        </w:rPr>
        <w:t xml:space="preserve"> </w:t>
      </w:r>
    </w:p>
  </w:footnote>
  <w:footnote w:id="71">
    <w:p w14:paraId="608D533B"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lang w:eastAsia="zh-CN"/>
        </w:rPr>
        <w:t xml:space="preserve">  </w:t>
      </w:r>
      <w:r w:rsidRPr="004019B6">
        <w:rPr>
          <w:sz w:val="20"/>
          <w:lang w:eastAsia="zh-CN"/>
        </w:rPr>
        <w:t>国际海事组织海洋环境保护委员会第</w:t>
      </w:r>
      <w:r w:rsidRPr="004019B6">
        <w:rPr>
          <w:sz w:val="20"/>
          <w:lang w:eastAsia="zh-CN"/>
        </w:rPr>
        <w:t xml:space="preserve">MEPC.207(62) </w:t>
      </w:r>
      <w:r w:rsidRPr="004019B6">
        <w:rPr>
          <w:sz w:val="20"/>
          <w:lang w:eastAsia="zh-CN"/>
        </w:rPr>
        <w:t>号决议。</w:t>
      </w:r>
    </w:p>
  </w:footnote>
  <w:footnote w:id="72">
    <w:p w14:paraId="28BEFA38"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lang w:eastAsia="zh-CN"/>
        </w:rPr>
        <w:t xml:space="preserve">  </w:t>
      </w:r>
      <w:r w:rsidRPr="004019B6">
        <w:rPr>
          <w:sz w:val="20"/>
          <w:lang w:eastAsia="zh-CN"/>
        </w:rPr>
        <w:t>例如，见欧洲议会和欧洲理事会</w:t>
      </w:r>
      <w:r w:rsidRPr="004019B6">
        <w:rPr>
          <w:sz w:val="20"/>
          <w:lang w:eastAsia="zh-CN"/>
        </w:rPr>
        <w:t>2014</w:t>
      </w:r>
      <w:r w:rsidRPr="004019B6">
        <w:rPr>
          <w:sz w:val="20"/>
          <w:lang w:eastAsia="zh-CN"/>
        </w:rPr>
        <w:t>年</w:t>
      </w:r>
      <w:r w:rsidRPr="004019B6">
        <w:rPr>
          <w:sz w:val="20"/>
          <w:lang w:eastAsia="zh-CN"/>
        </w:rPr>
        <w:t>10</w:t>
      </w:r>
      <w:r w:rsidRPr="004019B6">
        <w:rPr>
          <w:sz w:val="20"/>
          <w:lang w:eastAsia="zh-CN"/>
        </w:rPr>
        <w:t>月</w:t>
      </w:r>
      <w:r w:rsidRPr="004019B6">
        <w:rPr>
          <w:sz w:val="20"/>
          <w:lang w:eastAsia="zh-CN"/>
        </w:rPr>
        <w:t>22</w:t>
      </w:r>
      <w:r w:rsidRPr="004019B6">
        <w:rPr>
          <w:sz w:val="20"/>
          <w:lang w:eastAsia="zh-CN"/>
        </w:rPr>
        <w:t>日关于预防和管理外来入侵物种的引入和传播的第</w:t>
      </w:r>
      <w:r w:rsidRPr="004019B6">
        <w:rPr>
          <w:sz w:val="20"/>
          <w:lang w:eastAsia="zh-CN"/>
        </w:rPr>
        <w:t>1143/2014</w:t>
      </w:r>
      <w:r w:rsidRPr="004019B6">
        <w:rPr>
          <w:sz w:val="20"/>
          <w:lang w:eastAsia="zh-CN"/>
        </w:rPr>
        <w:t>号条例（欧盟），第</w:t>
      </w:r>
      <w:r w:rsidRPr="004019B6">
        <w:rPr>
          <w:sz w:val="20"/>
          <w:lang w:eastAsia="zh-CN"/>
        </w:rPr>
        <w:t>22</w:t>
      </w:r>
      <w:r w:rsidRPr="004019B6">
        <w:rPr>
          <w:sz w:val="20"/>
          <w:lang w:eastAsia="zh-CN"/>
        </w:rPr>
        <w:t>条第</w:t>
      </w:r>
      <w:r w:rsidRPr="004019B6">
        <w:rPr>
          <w:sz w:val="20"/>
          <w:lang w:eastAsia="zh-CN"/>
        </w:rPr>
        <w:t>1 (d)</w:t>
      </w:r>
      <w:r w:rsidRPr="004019B6">
        <w:rPr>
          <w:sz w:val="20"/>
          <w:lang w:eastAsia="zh-CN"/>
        </w:rPr>
        <w:t>段，</w:t>
      </w:r>
      <w:r w:rsidRPr="004019B6">
        <w:rPr>
          <w:sz w:val="20"/>
          <w:lang w:eastAsia="zh-CN"/>
        </w:rPr>
        <w:t>2018</w:t>
      </w:r>
      <w:r w:rsidRPr="004019B6">
        <w:rPr>
          <w:sz w:val="20"/>
          <w:lang w:eastAsia="zh-CN"/>
        </w:rPr>
        <w:t>年</w:t>
      </w:r>
      <w:r w:rsidRPr="004019B6">
        <w:rPr>
          <w:sz w:val="20"/>
          <w:lang w:eastAsia="zh-CN"/>
        </w:rPr>
        <w:t>4</w:t>
      </w:r>
      <w:r w:rsidRPr="004019B6">
        <w:rPr>
          <w:sz w:val="20"/>
          <w:lang w:eastAsia="zh-CN"/>
        </w:rPr>
        <w:t>月</w:t>
      </w:r>
      <w:r w:rsidRPr="004019B6">
        <w:rPr>
          <w:sz w:val="20"/>
          <w:lang w:eastAsia="zh-CN"/>
        </w:rPr>
        <w:t>30</w:t>
      </w:r>
      <w:r w:rsidRPr="004019B6">
        <w:rPr>
          <w:sz w:val="20"/>
          <w:lang w:eastAsia="zh-CN"/>
        </w:rPr>
        <w:t>日欧盟委员会授权条例（</w:t>
      </w:r>
      <w:r w:rsidRPr="004019B6">
        <w:rPr>
          <w:sz w:val="20"/>
          <w:lang w:eastAsia="zh-CN"/>
        </w:rPr>
        <w:t>EU</w:t>
      </w:r>
      <w:r w:rsidRPr="004019B6">
        <w:rPr>
          <w:sz w:val="20"/>
          <w:lang w:eastAsia="zh-CN"/>
        </w:rPr>
        <w:t>）</w:t>
      </w:r>
      <w:r w:rsidRPr="004019B6">
        <w:rPr>
          <w:sz w:val="20"/>
          <w:lang w:eastAsia="zh-CN"/>
        </w:rPr>
        <w:t xml:space="preserve"> 2018/968</w:t>
      </w:r>
      <w:r w:rsidRPr="004019B6">
        <w:rPr>
          <w:sz w:val="20"/>
          <w:lang w:eastAsia="zh-CN"/>
        </w:rPr>
        <w:t>以及欧洲外来物种信息网络通知系统对此做了补充</w:t>
      </w:r>
      <w:r w:rsidRPr="004019B6">
        <w:rPr>
          <w:sz w:val="20"/>
          <w:lang w:eastAsia="zh-CN"/>
        </w:rPr>
        <w:t xml:space="preserve"> </w:t>
      </w:r>
      <w:r w:rsidRPr="004019B6">
        <w:rPr>
          <w:sz w:val="20"/>
          <w:lang w:eastAsia="zh-CN"/>
        </w:rPr>
        <w:t>（见</w:t>
      </w:r>
      <w:r w:rsidRPr="004019B6">
        <w:rPr>
          <w:sz w:val="20"/>
          <w:lang w:eastAsia="zh-CN"/>
        </w:rPr>
        <w:t xml:space="preserve"> </w:t>
      </w:r>
      <w:hyperlink r:id="rId17" w:history="1">
        <w:r w:rsidRPr="004019B6">
          <w:rPr>
            <w:rStyle w:val="Hyperlink"/>
            <w:sz w:val="20"/>
            <w:lang w:eastAsia="zh-CN"/>
          </w:rPr>
          <w:t>https://easin.jrc.ec.europa.eu/notsys</w:t>
        </w:r>
      </w:hyperlink>
      <w:r w:rsidRPr="004019B6">
        <w:rPr>
          <w:sz w:val="20"/>
          <w:lang w:eastAsia="zh-CN"/>
        </w:rPr>
        <w:t>）。</w:t>
      </w:r>
    </w:p>
  </w:footnote>
  <w:footnote w:id="73">
    <w:p w14:paraId="4191EC84" w14:textId="77777777" w:rsidR="003D18A0" w:rsidRPr="004019B6" w:rsidRDefault="003D18A0" w:rsidP="003D18A0">
      <w:pPr>
        <w:pStyle w:val="FootnoteText"/>
        <w:spacing w:after="60"/>
        <w:rPr>
          <w:sz w:val="20"/>
          <w:lang w:eastAsia="zh-CN"/>
        </w:rPr>
      </w:pPr>
      <w:r w:rsidRPr="004019B6">
        <w:rPr>
          <w:rStyle w:val="FootnoteReference"/>
          <w:sz w:val="20"/>
        </w:rPr>
        <w:footnoteRef/>
      </w:r>
      <w:r w:rsidRPr="004019B6">
        <w:rPr>
          <w:sz w:val="20"/>
          <w:vertAlign w:val="superscript"/>
          <w:lang w:eastAsia="zh-CN"/>
        </w:rPr>
        <w:t xml:space="preserve"> </w:t>
      </w:r>
      <w:r w:rsidRPr="004019B6">
        <w:rPr>
          <w:sz w:val="20"/>
          <w:lang w:eastAsia="zh-CN"/>
        </w:rPr>
        <w:t>“</w:t>
      </w:r>
      <w:r w:rsidRPr="004019B6">
        <w:rPr>
          <w:sz w:val="20"/>
          <w:lang w:eastAsia="zh-CN"/>
        </w:rPr>
        <w:t>自由、</w:t>
      </w:r>
      <w:proofErr w:type="gramStart"/>
      <w:r w:rsidRPr="004019B6">
        <w:rPr>
          <w:sz w:val="20"/>
          <w:lang w:eastAsia="zh-CN"/>
        </w:rPr>
        <w:t>事先和知情同意</w:t>
      </w:r>
      <w:r w:rsidRPr="004019B6">
        <w:rPr>
          <w:sz w:val="20"/>
          <w:lang w:eastAsia="zh-CN"/>
        </w:rPr>
        <w:t>”</w:t>
      </w:r>
      <w:r w:rsidRPr="004019B6">
        <w:rPr>
          <w:sz w:val="20"/>
          <w:lang w:eastAsia="zh-CN"/>
        </w:rPr>
        <w:t>指三种表述</w:t>
      </w:r>
      <w:proofErr w:type="gramEnd"/>
      <w:r w:rsidRPr="004019B6">
        <w:rPr>
          <w:sz w:val="20"/>
          <w:lang w:eastAsia="zh-CN"/>
        </w:rPr>
        <w:t>，即</w:t>
      </w:r>
      <w:r w:rsidRPr="004019B6">
        <w:rPr>
          <w:sz w:val="20"/>
          <w:lang w:eastAsia="zh-CN"/>
        </w:rPr>
        <w:t>“</w:t>
      </w:r>
      <w:r w:rsidRPr="004019B6">
        <w:rPr>
          <w:sz w:val="20"/>
          <w:lang w:eastAsia="zh-CN"/>
        </w:rPr>
        <w:t>事先和知情同意</w:t>
      </w:r>
      <w:r w:rsidRPr="004019B6">
        <w:rPr>
          <w:sz w:val="20"/>
          <w:lang w:eastAsia="zh-CN"/>
        </w:rPr>
        <w:t>”</w:t>
      </w:r>
      <w:r w:rsidRPr="004019B6">
        <w:rPr>
          <w:sz w:val="20"/>
          <w:lang w:eastAsia="zh-CN"/>
        </w:rPr>
        <w:t>、</w:t>
      </w:r>
      <w:r w:rsidRPr="004019B6">
        <w:rPr>
          <w:sz w:val="20"/>
          <w:lang w:eastAsia="zh-CN"/>
        </w:rPr>
        <w:t>“</w:t>
      </w:r>
      <w:r w:rsidRPr="004019B6">
        <w:rPr>
          <w:sz w:val="20"/>
          <w:lang w:eastAsia="zh-CN"/>
        </w:rPr>
        <w:t>自由、事先和知情同意</w:t>
      </w:r>
      <w:r w:rsidRPr="004019B6">
        <w:rPr>
          <w:sz w:val="20"/>
          <w:lang w:eastAsia="zh-CN"/>
        </w:rPr>
        <w:t>”</w:t>
      </w:r>
      <w:r w:rsidRPr="004019B6">
        <w:rPr>
          <w:sz w:val="20"/>
          <w:lang w:eastAsia="zh-CN"/>
        </w:rPr>
        <w:t>及</w:t>
      </w:r>
      <w:r w:rsidRPr="004019B6">
        <w:rPr>
          <w:sz w:val="20"/>
          <w:lang w:eastAsia="zh-CN"/>
        </w:rPr>
        <w:t>“</w:t>
      </w:r>
      <w:r w:rsidRPr="004019B6">
        <w:rPr>
          <w:sz w:val="20"/>
          <w:lang w:eastAsia="zh-CN"/>
        </w:rPr>
        <w:t>批准和参与</w:t>
      </w:r>
      <w:r w:rsidRPr="004019B6">
        <w:rPr>
          <w:sz w:val="20"/>
          <w:lang w:eastAsia="zh-CN"/>
        </w:rPr>
        <w:t xml:space="preserve">” </w:t>
      </w:r>
      <w:r w:rsidRPr="004019B6">
        <w:rPr>
          <w:sz w:val="20"/>
          <w:lang w:eastAsia="zh-CN"/>
        </w:rPr>
        <w:t>（见第</w:t>
      </w:r>
      <w:r w:rsidRPr="004019B6">
        <w:rPr>
          <w:sz w:val="20"/>
        </w:rPr>
        <w:fldChar w:fldCharType="begin"/>
      </w:r>
      <w:r w:rsidRPr="004019B6">
        <w:rPr>
          <w:sz w:val="20"/>
          <w:lang w:eastAsia="zh-CN"/>
        </w:rPr>
        <w:instrText>HYPERLINK "https://www.cbd.int/doc/decisions/cop-15/cop-15-dec-04-zh.pdf"</w:instrText>
      </w:r>
      <w:r w:rsidRPr="004019B6">
        <w:rPr>
          <w:sz w:val="20"/>
        </w:rPr>
      </w:r>
      <w:r w:rsidRPr="004019B6">
        <w:rPr>
          <w:sz w:val="20"/>
        </w:rPr>
        <w:fldChar w:fldCharType="separate"/>
      </w:r>
      <w:r w:rsidRPr="004019B6">
        <w:rPr>
          <w:rStyle w:val="Hyperlink"/>
          <w:sz w:val="20"/>
          <w:lang w:eastAsia="zh-CN"/>
        </w:rPr>
        <w:t>15/4</w:t>
      </w:r>
      <w:r w:rsidRPr="004019B6">
        <w:rPr>
          <w:rStyle w:val="Hyperlink"/>
          <w:sz w:val="20"/>
          <w:lang w:eastAsia="zh-CN"/>
        </w:rPr>
        <w:fldChar w:fldCharType="end"/>
      </w:r>
      <w:r w:rsidRPr="004019B6">
        <w:rPr>
          <w:sz w:val="20"/>
          <w:lang w:eastAsia="zh-CN"/>
        </w:rPr>
        <w:t>号决定，附件）。</w:t>
      </w:r>
    </w:p>
  </w:footnote>
  <w:footnote w:id="74">
    <w:p w14:paraId="162B6A4F" w14:textId="77777777" w:rsidR="003D18A0" w:rsidRPr="004019B6" w:rsidRDefault="003D18A0" w:rsidP="003D18A0">
      <w:pPr>
        <w:pStyle w:val="FootnoteText"/>
        <w:spacing w:after="60"/>
        <w:rPr>
          <w:color w:val="000000" w:themeColor="text1"/>
          <w:sz w:val="20"/>
          <w:lang w:eastAsia="zh-CN"/>
        </w:rPr>
      </w:pPr>
      <w:r w:rsidRPr="004019B6">
        <w:rPr>
          <w:sz w:val="20"/>
          <w:vertAlign w:val="superscript"/>
        </w:rPr>
        <w:footnoteRef/>
      </w:r>
      <w:r w:rsidRPr="004019B6">
        <w:rPr>
          <w:sz w:val="20"/>
          <w:lang w:eastAsia="zh-CN"/>
        </w:rPr>
        <w:t xml:space="preserve">  </w:t>
      </w:r>
      <w:r w:rsidRPr="004019B6">
        <w:rPr>
          <w:rStyle w:val="Hyperlink"/>
          <w:color w:val="000000" w:themeColor="text1"/>
          <w:sz w:val="20"/>
          <w:u w:val="none"/>
          <w:lang w:eastAsia="zh-CN"/>
        </w:rPr>
        <w:t>见第</w:t>
      </w:r>
      <w:r w:rsidRPr="004019B6">
        <w:rPr>
          <w:rStyle w:val="Hyperlink"/>
          <w:color w:val="000000" w:themeColor="text1"/>
          <w:sz w:val="20"/>
          <w:u w:val="none"/>
          <w:lang w:eastAsia="zh-CN"/>
        </w:rPr>
        <w:t xml:space="preserve"> </w:t>
      </w:r>
      <w:hyperlink r:id="rId18" w:history="1">
        <w:r w:rsidRPr="004019B6">
          <w:rPr>
            <w:rStyle w:val="Hyperlink"/>
            <w:sz w:val="20"/>
            <w:lang w:eastAsia="zh-CN"/>
          </w:rPr>
          <w:t>VII/4</w:t>
        </w:r>
      </w:hyperlink>
      <w:r w:rsidRPr="004019B6">
        <w:rPr>
          <w:rStyle w:val="Hyperlink"/>
          <w:color w:val="000000" w:themeColor="text1"/>
          <w:sz w:val="20"/>
          <w:u w:val="none"/>
          <w:lang w:eastAsia="zh-CN"/>
        </w:rPr>
        <w:t>号决定，附件。</w:t>
      </w:r>
    </w:p>
  </w:footnote>
  <w:footnote w:id="75">
    <w:p w14:paraId="1A9A10D3"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vertAlign w:val="superscript"/>
          <w:lang w:eastAsia="zh-CN"/>
        </w:rPr>
        <w:t xml:space="preserve">   </w:t>
      </w:r>
      <w:r w:rsidRPr="004019B6">
        <w:rPr>
          <w:sz w:val="20"/>
          <w:lang w:eastAsia="zh-CN"/>
        </w:rPr>
        <w:t>例如，见欧洲海事安全局提供的压载水取样最佳做法指南。</w:t>
      </w:r>
    </w:p>
  </w:footnote>
  <w:footnote w:id="76">
    <w:p w14:paraId="23842401" w14:textId="77777777" w:rsidR="003D18A0" w:rsidRPr="004019B6" w:rsidRDefault="003D18A0" w:rsidP="003D18A0">
      <w:pPr>
        <w:pStyle w:val="FootnoteText"/>
        <w:suppressLineNumbers/>
        <w:suppressAutoHyphens/>
        <w:spacing w:after="60"/>
        <w:rPr>
          <w:color w:val="000000" w:themeColor="text1"/>
          <w:kern w:val="18"/>
          <w:sz w:val="20"/>
        </w:rPr>
      </w:pPr>
      <w:r w:rsidRPr="004019B6">
        <w:rPr>
          <w:kern w:val="18"/>
          <w:sz w:val="20"/>
          <w:vertAlign w:val="superscript"/>
        </w:rPr>
        <w:footnoteRef/>
      </w:r>
      <w:r w:rsidRPr="004019B6">
        <w:rPr>
          <w:kern w:val="18"/>
          <w:sz w:val="20"/>
        </w:rPr>
        <w:t xml:space="preserve">  </w:t>
      </w:r>
      <w:proofErr w:type="spellStart"/>
      <w:r w:rsidRPr="004019B6">
        <w:rPr>
          <w:kern w:val="18"/>
          <w:sz w:val="20"/>
        </w:rPr>
        <w:t>例如，见</w:t>
      </w:r>
      <w:r w:rsidRPr="004019B6">
        <w:rPr>
          <w:sz w:val="20"/>
        </w:rPr>
        <w:t>国际植物保护公约</w:t>
      </w:r>
      <w:r w:rsidRPr="004019B6">
        <w:rPr>
          <w:kern w:val="18"/>
          <w:sz w:val="20"/>
        </w:rPr>
        <w:t>秘书处</w:t>
      </w:r>
      <w:proofErr w:type="spellEnd"/>
      <w:r w:rsidRPr="004019B6">
        <w:rPr>
          <w:kern w:val="18"/>
          <w:sz w:val="20"/>
        </w:rPr>
        <w:t>，</w:t>
      </w:r>
      <w:r w:rsidRPr="004019B6">
        <w:rPr>
          <w:i/>
          <w:iCs/>
          <w:kern w:val="18"/>
          <w:sz w:val="20"/>
          <w:lang w:val="en-GB"/>
        </w:rPr>
        <w:t>Sea Container Supply Chains and Cleanliness: an IPPC Best Practice Guide on Measures to Minimize Pest Contamination</w:t>
      </w:r>
      <w:r w:rsidRPr="004019B6">
        <w:rPr>
          <w:kern w:val="18"/>
          <w:sz w:val="20"/>
          <w:lang w:val="en-GB"/>
        </w:rPr>
        <w:t xml:space="preserve"> (Rome, </w:t>
      </w:r>
      <w:bookmarkStart w:id="8" w:name="Ac13"/>
      <w:r w:rsidRPr="004019B6">
        <w:rPr>
          <w:kern w:val="18"/>
          <w:sz w:val="20"/>
          <w:lang w:val="en-GB"/>
        </w:rPr>
        <w:t>Food and Agriculture Organization of the United Nations</w:t>
      </w:r>
      <w:bookmarkEnd w:id="8"/>
      <w:r w:rsidRPr="004019B6">
        <w:rPr>
          <w:kern w:val="18"/>
          <w:sz w:val="20"/>
          <w:lang w:val="en-GB"/>
        </w:rPr>
        <w:t xml:space="preserve">, </w:t>
      </w:r>
      <w:proofErr w:type="gramStart"/>
      <w:r w:rsidRPr="004019B6">
        <w:rPr>
          <w:kern w:val="18"/>
          <w:sz w:val="20"/>
          <w:lang w:val="en-GB"/>
        </w:rPr>
        <w:t>2020)</w:t>
      </w:r>
      <w:r w:rsidRPr="004019B6">
        <w:rPr>
          <w:kern w:val="18"/>
          <w:sz w:val="20"/>
        </w:rPr>
        <w:t>。</w:t>
      </w:r>
      <w:proofErr w:type="gramEnd"/>
    </w:p>
  </w:footnote>
  <w:footnote w:id="77">
    <w:p w14:paraId="1F65FA6E" w14:textId="77777777" w:rsidR="003D18A0" w:rsidRPr="004019B6" w:rsidRDefault="003D18A0" w:rsidP="003D18A0">
      <w:pPr>
        <w:pStyle w:val="FootnoteText"/>
        <w:spacing w:after="60"/>
        <w:rPr>
          <w:color w:val="000000" w:themeColor="text1"/>
          <w:sz w:val="20"/>
        </w:rPr>
      </w:pPr>
      <w:r w:rsidRPr="004019B6">
        <w:rPr>
          <w:sz w:val="20"/>
          <w:vertAlign w:val="superscript"/>
        </w:rPr>
        <w:footnoteRef/>
      </w:r>
      <w:r w:rsidRPr="004019B6">
        <w:rPr>
          <w:sz w:val="20"/>
        </w:rPr>
        <w:t xml:space="preserve">  </w:t>
      </w:r>
      <w:proofErr w:type="spellStart"/>
      <w:r w:rsidRPr="004019B6">
        <w:rPr>
          <w:sz w:val="20"/>
        </w:rPr>
        <w:t>见全球环境基金</w:t>
      </w:r>
      <w:r w:rsidRPr="004019B6">
        <w:rPr>
          <w:sz w:val="20"/>
        </w:rPr>
        <w:t>-</w:t>
      </w:r>
      <w:r w:rsidRPr="004019B6">
        <w:rPr>
          <w:sz w:val="20"/>
        </w:rPr>
        <w:t>联合国开发计划署</w:t>
      </w:r>
      <w:r w:rsidRPr="004019B6">
        <w:rPr>
          <w:sz w:val="20"/>
        </w:rPr>
        <w:t>-</w:t>
      </w:r>
      <w:r w:rsidRPr="004019B6">
        <w:rPr>
          <w:sz w:val="20"/>
        </w:rPr>
        <w:t>国际海事组织</w:t>
      </w:r>
      <w:proofErr w:type="spellEnd"/>
      <w:r w:rsidRPr="004019B6">
        <w:rPr>
          <w:sz w:val="20"/>
        </w:rPr>
        <w:t>，</w:t>
      </w:r>
      <w:r w:rsidRPr="004019B6">
        <w:rPr>
          <w:i/>
          <w:iCs/>
          <w:sz w:val="20"/>
          <w:lang w:val="en-GB"/>
        </w:rPr>
        <w:t>Biofouling Management for Recreational Boating: Recommendations to Prevent the Introduction and Spread of Invasive Aquatic Species</w:t>
      </w:r>
      <w:r w:rsidRPr="004019B6">
        <w:rPr>
          <w:sz w:val="20"/>
          <w:lang w:val="en-GB"/>
        </w:rPr>
        <w:t xml:space="preserve"> (London, </w:t>
      </w:r>
      <w:bookmarkStart w:id="9" w:name="Ac17"/>
      <w:r w:rsidRPr="004019B6">
        <w:rPr>
          <w:sz w:val="20"/>
          <w:lang w:val="en-GB"/>
        </w:rPr>
        <w:t>International Maritime Organization</w:t>
      </w:r>
      <w:bookmarkEnd w:id="9"/>
      <w:r w:rsidRPr="004019B6">
        <w:rPr>
          <w:sz w:val="20"/>
          <w:lang w:val="en-GB"/>
        </w:rPr>
        <w:t xml:space="preserve">, </w:t>
      </w:r>
      <w:proofErr w:type="gramStart"/>
      <w:r w:rsidRPr="004019B6">
        <w:rPr>
          <w:sz w:val="20"/>
          <w:lang w:val="en-GB"/>
        </w:rPr>
        <w:t>2022)</w:t>
      </w:r>
      <w:r w:rsidRPr="004019B6">
        <w:rPr>
          <w:sz w:val="20"/>
          <w:lang w:val="en-GB" w:eastAsia="zh-CN"/>
        </w:rPr>
        <w:t>。</w:t>
      </w:r>
      <w:proofErr w:type="gramEnd"/>
    </w:p>
  </w:footnote>
  <w:footnote w:id="78">
    <w:p w14:paraId="26450D0D" w14:textId="77777777" w:rsidR="003D18A0" w:rsidRPr="004019B6" w:rsidRDefault="003D18A0" w:rsidP="003D18A0">
      <w:pPr>
        <w:pStyle w:val="FootnoteText"/>
        <w:spacing w:after="60"/>
        <w:rPr>
          <w:color w:val="000000" w:themeColor="text1"/>
          <w:sz w:val="20"/>
        </w:rPr>
      </w:pPr>
      <w:r w:rsidRPr="004019B6">
        <w:rPr>
          <w:sz w:val="20"/>
          <w:vertAlign w:val="superscript"/>
        </w:rPr>
        <w:footnoteRef/>
      </w:r>
      <w:r w:rsidRPr="004019B6">
        <w:rPr>
          <w:sz w:val="20"/>
        </w:rPr>
        <w:t xml:space="preserve">  </w:t>
      </w:r>
      <w:proofErr w:type="spellStart"/>
      <w:r w:rsidRPr="004019B6">
        <w:rPr>
          <w:sz w:val="20"/>
        </w:rPr>
        <w:t>见《国际植物保护公约》秘书处</w:t>
      </w:r>
      <w:proofErr w:type="spellEnd"/>
      <w:r w:rsidRPr="004019B6">
        <w:rPr>
          <w:sz w:val="20"/>
        </w:rPr>
        <w:t>，</w:t>
      </w:r>
      <w:r w:rsidRPr="004019B6">
        <w:rPr>
          <w:i/>
          <w:iCs/>
          <w:sz w:val="20"/>
          <w:lang w:val="en-GB"/>
        </w:rPr>
        <w:t>Safe Provision of Food and Other Humanitarian Aid to Prevent the Introduction of Plant Pests During an Emergency Situation</w:t>
      </w:r>
      <w:r w:rsidRPr="004019B6">
        <w:rPr>
          <w:sz w:val="20"/>
          <w:lang w:val="en-GB"/>
        </w:rPr>
        <w:t xml:space="preserve"> (Rome, </w:t>
      </w:r>
      <w:bookmarkStart w:id="10" w:name="Ac14"/>
      <w:r w:rsidRPr="004019B6">
        <w:rPr>
          <w:sz w:val="20"/>
          <w:lang w:val="en-GB"/>
        </w:rPr>
        <w:t>Food and Agriculture Organization of the United Nations</w:t>
      </w:r>
      <w:bookmarkEnd w:id="10"/>
      <w:r w:rsidRPr="004019B6">
        <w:rPr>
          <w:sz w:val="20"/>
          <w:lang w:val="en-GB"/>
        </w:rPr>
        <w:t xml:space="preserve">, </w:t>
      </w:r>
      <w:proofErr w:type="gramStart"/>
      <w:r w:rsidRPr="004019B6">
        <w:rPr>
          <w:sz w:val="20"/>
          <w:lang w:val="en-GB"/>
        </w:rPr>
        <w:t>2021)</w:t>
      </w:r>
      <w:r w:rsidRPr="004019B6">
        <w:rPr>
          <w:sz w:val="20"/>
        </w:rPr>
        <w:t>。</w:t>
      </w:r>
      <w:proofErr w:type="gramEnd"/>
    </w:p>
  </w:footnote>
  <w:footnote w:id="79">
    <w:p w14:paraId="42128350"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lang w:eastAsia="zh-CN"/>
        </w:rPr>
        <w:t xml:space="preserve">  </w:t>
      </w:r>
      <w:r w:rsidRPr="004019B6">
        <w:rPr>
          <w:sz w:val="20"/>
          <w:lang w:eastAsia="zh-CN"/>
        </w:rPr>
        <w:t>例如，见国际航空运输协会环境委员会关于禁止乘客携带野生物和相关产品的指导意见</w:t>
      </w:r>
      <w:r w:rsidRPr="004019B6">
        <w:rPr>
          <w:rStyle w:val="Hyperlink"/>
          <w:color w:val="000000" w:themeColor="text1"/>
          <w:sz w:val="20"/>
          <w:u w:val="none"/>
          <w:lang w:eastAsia="zh-CN"/>
        </w:rPr>
        <w:t>（见</w:t>
      </w:r>
      <w:r w:rsidRPr="004019B6">
        <w:rPr>
          <w:rStyle w:val="Hyperlink"/>
          <w:color w:val="000000" w:themeColor="text1"/>
          <w:sz w:val="20"/>
          <w:lang w:eastAsia="zh-CN"/>
        </w:rPr>
        <w:t xml:space="preserve"> </w:t>
      </w:r>
      <w:hyperlink r:id="rId19" w:history="1">
        <w:r w:rsidRPr="004019B6">
          <w:rPr>
            <w:rStyle w:val="Hyperlink"/>
            <w:sz w:val="20"/>
            <w:lang w:eastAsia="zh-CN"/>
          </w:rPr>
          <w:t>www.iata.org/contentassets/adfc0ea8044648fcbff13d79dceff7ae/encom-pax-wildlife-guidance-final-2003-nov-2015.pdf</w:t>
        </w:r>
      </w:hyperlink>
      <w:r w:rsidRPr="004019B6">
        <w:rPr>
          <w:rStyle w:val="Hyperlink"/>
          <w:color w:val="000000" w:themeColor="text1"/>
          <w:sz w:val="20"/>
          <w:lang w:eastAsia="zh-CN"/>
        </w:rPr>
        <w:t>）</w:t>
      </w:r>
      <w:r w:rsidRPr="004019B6">
        <w:rPr>
          <w:rStyle w:val="Hyperlink"/>
          <w:color w:val="000000" w:themeColor="text1"/>
          <w:sz w:val="20"/>
          <w:u w:val="none"/>
          <w:lang w:eastAsia="zh-CN"/>
        </w:rPr>
        <w:t>。</w:t>
      </w:r>
    </w:p>
  </w:footnote>
  <w:footnote w:id="80">
    <w:p w14:paraId="5B447ADD" w14:textId="77777777" w:rsidR="003D18A0" w:rsidRPr="004019B6" w:rsidRDefault="003D18A0" w:rsidP="003D18A0">
      <w:pPr>
        <w:pStyle w:val="FootnoteText"/>
        <w:spacing w:after="60"/>
        <w:rPr>
          <w:color w:val="000000" w:themeColor="text1"/>
          <w:sz w:val="20"/>
          <w:lang w:eastAsia="zh-CN"/>
        </w:rPr>
      </w:pPr>
      <w:r w:rsidRPr="004019B6">
        <w:rPr>
          <w:sz w:val="20"/>
          <w:vertAlign w:val="superscript"/>
        </w:rPr>
        <w:footnoteRef/>
      </w:r>
      <w:r w:rsidRPr="004019B6">
        <w:rPr>
          <w:sz w:val="20"/>
          <w:lang w:eastAsia="zh-CN"/>
        </w:rPr>
        <w:t xml:space="preserve">  </w:t>
      </w:r>
      <w:r w:rsidRPr="004019B6">
        <w:rPr>
          <w:sz w:val="20"/>
          <w:lang w:eastAsia="zh-CN"/>
        </w:rPr>
        <w:t>例如，见保护欧洲野生生物和自然环境公约常设委员会</w:t>
      </w:r>
      <w:r w:rsidRPr="004019B6">
        <w:rPr>
          <w:sz w:val="20"/>
          <w:lang w:eastAsia="zh-CN"/>
        </w:rPr>
        <w:t>T-PVS/Inf (2017) 1</w:t>
      </w:r>
      <w:r w:rsidRPr="004019B6">
        <w:rPr>
          <w:sz w:val="20"/>
          <w:lang w:eastAsia="zh-CN"/>
        </w:rPr>
        <w:t>号文件。</w:t>
      </w:r>
    </w:p>
  </w:footnote>
  <w:footnote w:id="81">
    <w:p w14:paraId="6D2A5237"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lang w:eastAsia="zh-CN"/>
        </w:rPr>
        <w:t xml:space="preserve">  </w:t>
      </w:r>
      <w:r w:rsidRPr="004019B6">
        <w:rPr>
          <w:sz w:val="20"/>
          <w:lang w:eastAsia="zh-CN"/>
        </w:rPr>
        <w:t>见第</w:t>
      </w:r>
      <w:hyperlink r:id="rId20" w:history="1">
        <w:r w:rsidRPr="004019B6">
          <w:rPr>
            <w:rStyle w:val="Hyperlink"/>
            <w:sz w:val="20"/>
            <w:lang w:eastAsia="zh-CN"/>
          </w:rPr>
          <w:t>VII/14</w:t>
        </w:r>
      </w:hyperlink>
      <w:r w:rsidRPr="004019B6">
        <w:rPr>
          <w:sz w:val="20"/>
          <w:lang w:eastAsia="zh-CN"/>
        </w:rPr>
        <w:t>号决定。</w:t>
      </w:r>
    </w:p>
  </w:footnote>
  <w:footnote w:id="82">
    <w:p w14:paraId="0BA0F155" w14:textId="77777777" w:rsidR="003D18A0" w:rsidRPr="004019B6" w:rsidRDefault="003D18A0" w:rsidP="003D18A0">
      <w:pPr>
        <w:pStyle w:val="Default"/>
        <w:spacing w:after="60"/>
        <w:rPr>
          <w:rFonts w:ascii="Times New Roman" w:eastAsia="宋体" w:hAnsi="Times New Roman" w:cs="Times New Roman"/>
          <w:sz w:val="20"/>
          <w:szCs w:val="20"/>
          <w:lang w:val="en-GB" w:eastAsia="zh-CN"/>
        </w:rPr>
      </w:pPr>
      <w:r w:rsidRPr="004019B6">
        <w:rPr>
          <w:rFonts w:ascii="Times New Roman" w:eastAsia="宋体" w:hAnsi="Times New Roman" w:cs="Times New Roman"/>
          <w:sz w:val="20"/>
          <w:szCs w:val="20"/>
          <w:vertAlign w:val="superscript"/>
          <w:lang w:val="en-GB"/>
        </w:rPr>
        <w:footnoteRef/>
      </w:r>
      <w:r w:rsidRPr="004019B6">
        <w:rPr>
          <w:rFonts w:ascii="Times New Roman" w:eastAsia="宋体" w:hAnsi="Times New Roman" w:cs="Times New Roman"/>
          <w:sz w:val="20"/>
          <w:szCs w:val="20"/>
          <w:lang w:val="en-GB" w:eastAsia="zh-CN"/>
        </w:rPr>
        <w:t xml:space="preserve">  </w:t>
      </w:r>
      <w:r w:rsidRPr="004019B6">
        <w:rPr>
          <w:rFonts w:ascii="Times New Roman" w:eastAsia="宋体" w:hAnsi="Times New Roman" w:cs="Times New Roman"/>
          <w:sz w:val="20"/>
          <w:szCs w:val="20"/>
          <w:lang w:val="en-GB" w:eastAsia="zh-CN"/>
        </w:rPr>
        <w:t>见国际自然保护联盟的外来入侵物种指南</w:t>
      </w:r>
      <w:r w:rsidRPr="004019B6">
        <w:rPr>
          <w:rFonts w:ascii="Times New Roman" w:eastAsia="宋体" w:hAnsi="Times New Roman" w:cs="Times New Roman"/>
          <w:sz w:val="20"/>
          <w:szCs w:val="20"/>
          <w:lang w:val="en-GB" w:eastAsia="zh-CN"/>
        </w:rPr>
        <w:t xml:space="preserve"> </w:t>
      </w:r>
      <w:r w:rsidRPr="004019B6">
        <w:rPr>
          <w:rFonts w:ascii="Times New Roman" w:eastAsia="宋体" w:hAnsi="Times New Roman" w:cs="Times New Roman"/>
          <w:sz w:val="20"/>
          <w:szCs w:val="20"/>
          <w:lang w:val="en-GB" w:eastAsia="zh-CN"/>
        </w:rPr>
        <w:t>（</w:t>
      </w:r>
      <w:r w:rsidRPr="004019B6">
        <w:rPr>
          <w:rFonts w:ascii="Times New Roman" w:eastAsia="宋体" w:hAnsi="Times New Roman" w:cs="Times New Roman"/>
          <w:sz w:val="20"/>
          <w:szCs w:val="20"/>
          <w:lang w:val="en-GB" w:eastAsia="zh-CN"/>
        </w:rPr>
        <w:t>载于</w:t>
      </w:r>
      <w:r w:rsidRPr="004019B6">
        <w:rPr>
          <w:rFonts w:ascii="Times New Roman" w:hAnsi="Times New Roman" w:cs="Times New Roman"/>
          <w:sz w:val="20"/>
          <w:szCs w:val="20"/>
        </w:rPr>
        <w:fldChar w:fldCharType="begin"/>
      </w:r>
      <w:r w:rsidRPr="004019B6">
        <w:rPr>
          <w:rFonts w:ascii="Times New Roman" w:hAnsi="Times New Roman" w:cs="Times New Roman"/>
          <w:sz w:val="20"/>
          <w:szCs w:val="20"/>
          <w:lang w:eastAsia="zh-CN"/>
        </w:rPr>
        <w:instrText>HYPERLINK "http://www.iucn.org/search?key=invasive&amp;f%5B0%5D=topic%3A1174"</w:instrText>
      </w:r>
      <w:r w:rsidRPr="004019B6">
        <w:rPr>
          <w:rFonts w:ascii="Times New Roman" w:hAnsi="Times New Roman" w:cs="Times New Roman"/>
          <w:sz w:val="20"/>
          <w:szCs w:val="20"/>
        </w:rPr>
      </w:r>
      <w:r w:rsidRPr="004019B6">
        <w:rPr>
          <w:rFonts w:ascii="Times New Roman" w:hAnsi="Times New Roman" w:cs="Times New Roman"/>
          <w:sz w:val="20"/>
          <w:szCs w:val="20"/>
        </w:rPr>
        <w:fldChar w:fldCharType="separate"/>
      </w:r>
      <w:r w:rsidRPr="004019B6">
        <w:rPr>
          <w:rStyle w:val="Hyperlink"/>
          <w:rFonts w:eastAsia="宋体" w:cs="Times New Roman"/>
          <w:sz w:val="20"/>
          <w:szCs w:val="20"/>
          <w:lang w:val="en-GB" w:eastAsia="zh-CN"/>
        </w:rPr>
        <w:t>www.iucn.org/search?key=invasive&amp;f%5B0%5D=topic%3A1174</w:t>
      </w:r>
      <w:r w:rsidRPr="004019B6">
        <w:rPr>
          <w:rStyle w:val="Hyperlink"/>
          <w:rFonts w:eastAsia="宋体" w:cs="Times New Roman"/>
          <w:sz w:val="20"/>
          <w:szCs w:val="20"/>
          <w:lang w:val="en-GB" w:eastAsia="zh-CN"/>
        </w:rPr>
        <w:fldChar w:fldCharType="end"/>
      </w:r>
      <w:r w:rsidRPr="004019B6">
        <w:rPr>
          <w:rFonts w:ascii="Times New Roman" w:eastAsia="宋体" w:hAnsi="Times New Roman" w:cs="Times New Roman"/>
          <w:sz w:val="20"/>
          <w:szCs w:val="20"/>
          <w:lang w:val="en-GB" w:eastAsia="zh-CN"/>
        </w:rPr>
        <w:t>）</w:t>
      </w:r>
      <w:r w:rsidRPr="004019B6">
        <w:rPr>
          <w:rFonts w:ascii="Times New Roman" w:eastAsia="宋体" w:hAnsi="Times New Roman" w:cs="Times New Roman"/>
          <w:sz w:val="20"/>
          <w:szCs w:val="20"/>
          <w:lang w:val="en-GB" w:eastAsia="zh-CN"/>
        </w:rPr>
        <w:t xml:space="preserve">, </w:t>
      </w:r>
      <w:r w:rsidRPr="004019B6">
        <w:rPr>
          <w:rFonts w:ascii="Times New Roman" w:eastAsia="宋体" w:hAnsi="Times New Roman" w:cs="Times New Roman"/>
          <w:sz w:val="20"/>
          <w:szCs w:val="20"/>
          <w:lang w:val="en-GB" w:eastAsia="zh-CN"/>
        </w:rPr>
        <w:t>《生物多样性公约》工具包</w:t>
      </w:r>
      <w:r w:rsidRPr="004019B6">
        <w:rPr>
          <w:rStyle w:val="Hyperlink"/>
          <w:rFonts w:eastAsia="宋体" w:cs="Times New Roman"/>
          <w:color w:val="000000" w:themeColor="text1"/>
          <w:sz w:val="20"/>
          <w:szCs w:val="20"/>
          <w:u w:val="none"/>
          <w:lang w:val="en-GB" w:eastAsia="zh-CN"/>
        </w:rPr>
        <w:t>（见</w:t>
      </w:r>
      <w:r w:rsidRPr="004019B6">
        <w:rPr>
          <w:rStyle w:val="Hyperlink"/>
          <w:rFonts w:eastAsia="宋体" w:cs="Times New Roman"/>
          <w:color w:val="000000" w:themeColor="text1"/>
          <w:sz w:val="20"/>
          <w:szCs w:val="20"/>
          <w:lang w:val="en-GB" w:eastAsia="zh-CN"/>
        </w:rPr>
        <w:t xml:space="preserve"> </w:t>
      </w:r>
      <w:hyperlink r:id="rId21" w:history="1">
        <w:r w:rsidRPr="004019B6">
          <w:rPr>
            <w:rStyle w:val="Hyperlink"/>
            <w:rFonts w:eastAsia="宋体" w:cs="Times New Roman"/>
            <w:sz w:val="20"/>
            <w:szCs w:val="20"/>
            <w:lang w:val="en-GB" w:eastAsia="zh-CN"/>
          </w:rPr>
          <w:t>www.cbd.int/invasive/cbdtoolkit/</w:t>
        </w:r>
      </w:hyperlink>
      <w:r w:rsidRPr="004019B6">
        <w:rPr>
          <w:rStyle w:val="Hyperlink"/>
          <w:rFonts w:eastAsia="宋体" w:cs="Times New Roman"/>
          <w:sz w:val="20"/>
          <w:szCs w:val="20"/>
          <w:lang w:val="en-GB" w:eastAsia="zh-CN"/>
        </w:rPr>
        <w:t>）</w:t>
      </w:r>
      <w:r w:rsidRPr="004019B6">
        <w:rPr>
          <w:rFonts w:ascii="Times New Roman" w:eastAsia="宋体" w:hAnsi="Times New Roman" w:cs="Times New Roman"/>
          <w:sz w:val="20"/>
          <w:szCs w:val="20"/>
          <w:lang w:val="en-GB" w:eastAsia="zh-CN"/>
        </w:rPr>
        <w:t xml:space="preserve"> </w:t>
      </w:r>
      <w:r w:rsidRPr="004019B6">
        <w:rPr>
          <w:rFonts w:ascii="Times New Roman" w:eastAsia="宋体" w:hAnsi="Times New Roman" w:cs="Times New Roman"/>
          <w:sz w:val="20"/>
          <w:szCs w:val="20"/>
          <w:lang w:val="en-GB" w:eastAsia="zh-CN"/>
        </w:rPr>
        <w:t>和自然与森林研究所《起草外来入侵物种最佳管理实践指南》</w:t>
      </w:r>
      <w:r w:rsidRPr="004019B6">
        <w:rPr>
          <w:rStyle w:val="Hyperlink"/>
          <w:rFonts w:eastAsia="宋体" w:cs="Times New Roman"/>
          <w:color w:val="000000" w:themeColor="text1"/>
          <w:sz w:val="20"/>
          <w:szCs w:val="20"/>
          <w:u w:val="none"/>
          <w:lang w:val="en-GB" w:eastAsia="zh-CN"/>
        </w:rPr>
        <w:t>（见</w:t>
      </w:r>
      <w:r w:rsidRPr="004019B6">
        <w:rPr>
          <w:rStyle w:val="Hyperlink"/>
          <w:rFonts w:eastAsia="宋体" w:cs="Times New Roman"/>
          <w:color w:val="000000" w:themeColor="text1"/>
          <w:sz w:val="20"/>
          <w:szCs w:val="20"/>
          <w:lang w:val="en-GB" w:eastAsia="zh-CN"/>
        </w:rPr>
        <w:t xml:space="preserve"> </w:t>
      </w:r>
      <w:hyperlink r:id="rId22" w:history="1">
        <w:r w:rsidRPr="004019B6">
          <w:rPr>
            <w:rStyle w:val="Hyperlink"/>
            <w:rFonts w:eastAsia="宋体" w:cs="Times New Roman"/>
            <w:sz w:val="20"/>
            <w:szCs w:val="20"/>
            <w:lang w:val="en-GB" w:eastAsia="zh-CN"/>
          </w:rPr>
          <w:t>https://purews.inbo.be/ws/portalfiles/portal/14941741/Adriaens_etal_2018_Gu%20idanceBestPratices.pdf</w:t>
        </w:r>
      </w:hyperlink>
      <w:r w:rsidRPr="004019B6">
        <w:rPr>
          <w:rStyle w:val="Hyperlink"/>
          <w:rFonts w:eastAsia="宋体" w:cs="Times New Roman"/>
          <w:sz w:val="20"/>
          <w:szCs w:val="20"/>
          <w:lang w:val="en-GB" w:eastAsia="zh-CN"/>
        </w:rPr>
        <w:t>）</w:t>
      </w:r>
      <w:r w:rsidRPr="004019B6">
        <w:rPr>
          <w:rFonts w:ascii="Times New Roman" w:eastAsia="宋体" w:hAnsi="Times New Roman" w:cs="Times New Roman"/>
          <w:color w:val="auto"/>
          <w:sz w:val="20"/>
          <w:szCs w:val="20"/>
          <w:lang w:val="en-GB" w:eastAsia="zh-CN"/>
        </w:rPr>
        <w:t>。</w:t>
      </w:r>
    </w:p>
  </w:footnote>
  <w:footnote w:id="83">
    <w:p w14:paraId="38570C57"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lang w:eastAsia="zh-CN"/>
        </w:rPr>
        <w:t xml:space="preserve">  </w:t>
      </w:r>
      <w:r w:rsidRPr="004019B6">
        <w:rPr>
          <w:sz w:val="20"/>
          <w:lang w:eastAsia="zh-CN"/>
        </w:rPr>
        <w:t>《国际植物保护公约》将生物控制定义为利用活的天敌、拮抗剂或竞争对手以及其他自我复制的生物实体的害虫控制策略。第</w:t>
      </w:r>
      <w:r w:rsidRPr="004019B6">
        <w:rPr>
          <w:sz w:val="20"/>
          <w:lang w:eastAsia="zh-CN"/>
        </w:rPr>
        <w:t>91</w:t>
      </w:r>
      <w:r w:rsidRPr="004019B6">
        <w:rPr>
          <w:sz w:val="20"/>
          <w:lang w:eastAsia="zh-CN"/>
        </w:rPr>
        <w:t>期。</w:t>
      </w:r>
    </w:p>
  </w:footnote>
  <w:footnote w:id="84">
    <w:p w14:paraId="7E8143DD" w14:textId="77777777" w:rsidR="003D18A0" w:rsidRPr="004019B6" w:rsidRDefault="003D18A0" w:rsidP="003D18A0">
      <w:pPr>
        <w:pStyle w:val="FootnoteText"/>
        <w:spacing w:after="60"/>
        <w:rPr>
          <w:sz w:val="20"/>
          <w:lang w:eastAsia="zh-CN"/>
        </w:rPr>
      </w:pPr>
      <w:r w:rsidRPr="004019B6">
        <w:rPr>
          <w:sz w:val="20"/>
          <w:vertAlign w:val="superscript"/>
        </w:rPr>
        <w:footnoteRef/>
      </w:r>
      <w:r w:rsidRPr="004019B6">
        <w:rPr>
          <w:sz w:val="20"/>
          <w:lang w:eastAsia="zh-CN"/>
        </w:rPr>
        <w:t xml:space="preserve"> </w:t>
      </w:r>
      <w:r w:rsidRPr="004019B6">
        <w:rPr>
          <w:sz w:val="20"/>
          <w:lang w:eastAsia="zh-CN"/>
        </w:rPr>
        <w:t>见</w:t>
      </w:r>
      <w:r w:rsidRPr="004019B6">
        <w:rPr>
          <w:sz w:val="20"/>
        </w:rPr>
        <w:fldChar w:fldCharType="begin"/>
      </w:r>
      <w:r w:rsidRPr="004019B6">
        <w:rPr>
          <w:sz w:val="20"/>
          <w:lang w:eastAsia="zh-CN"/>
        </w:rPr>
        <w:instrText>HYPERLINK "https://www.cbd.int/doc/publications/cbd-ts-91-en.pdf"</w:instrText>
      </w:r>
      <w:r w:rsidRPr="004019B6">
        <w:rPr>
          <w:sz w:val="20"/>
        </w:rPr>
      </w:r>
      <w:r w:rsidRPr="004019B6">
        <w:rPr>
          <w:sz w:val="20"/>
        </w:rPr>
        <w:fldChar w:fldCharType="separate"/>
      </w:r>
      <w:r w:rsidRPr="004019B6">
        <w:rPr>
          <w:rStyle w:val="Hyperlink"/>
          <w:sz w:val="20"/>
          <w:lang w:eastAsia="zh-CN"/>
        </w:rPr>
        <w:t>《</w:t>
      </w:r>
      <w:r w:rsidRPr="004019B6">
        <w:rPr>
          <w:rStyle w:val="Hyperlink"/>
          <w:sz w:val="20"/>
          <w:lang w:eastAsia="zh-CN"/>
        </w:rPr>
        <w:t>CBD</w:t>
      </w:r>
      <w:r w:rsidRPr="004019B6">
        <w:rPr>
          <w:rStyle w:val="Hyperlink"/>
          <w:sz w:val="20"/>
          <w:lang w:eastAsia="zh-CN"/>
        </w:rPr>
        <w:t>技术丛刊》第</w:t>
      </w:r>
      <w:r w:rsidRPr="004019B6">
        <w:rPr>
          <w:rStyle w:val="Hyperlink"/>
          <w:sz w:val="20"/>
          <w:lang w:eastAsia="zh-CN"/>
        </w:rPr>
        <w:t>91</w:t>
      </w:r>
      <w:r w:rsidRPr="004019B6">
        <w:rPr>
          <w:rStyle w:val="Hyperlink"/>
          <w:sz w:val="20"/>
          <w:lang w:eastAsia="zh-CN"/>
        </w:rPr>
        <w:t>期</w:t>
      </w:r>
      <w:r w:rsidRPr="004019B6">
        <w:rPr>
          <w:rStyle w:val="Hyperlink"/>
          <w:sz w:val="20"/>
          <w:lang w:eastAsia="zh-CN"/>
        </w:rPr>
        <w:fldChar w:fldCharType="end"/>
      </w:r>
      <w:r w:rsidRPr="004019B6">
        <w:rPr>
          <w:sz w:val="20"/>
          <w:lang w:eastAsia="zh-CN"/>
        </w:rPr>
        <w:t>。</w:t>
      </w:r>
      <w:r w:rsidRPr="004019B6">
        <w:rPr>
          <w:rStyle w:val="Hyperlink"/>
          <w:sz w:val="20"/>
          <w:lang w:eastAsia="zh-CN"/>
        </w:rPr>
        <w:t xml:space="preserve">  </w:t>
      </w:r>
    </w:p>
  </w:footnote>
  <w:footnote w:id="85">
    <w:p w14:paraId="40156275" w14:textId="77777777" w:rsidR="003D18A0" w:rsidRPr="004019B6" w:rsidRDefault="003D18A0" w:rsidP="003D18A0">
      <w:pPr>
        <w:pStyle w:val="FootnoteText"/>
        <w:spacing w:after="60"/>
        <w:rPr>
          <w:rFonts w:ascii="宋体" w:hAnsi="宋体"/>
          <w:sz w:val="20"/>
        </w:rPr>
      </w:pPr>
      <w:r w:rsidRPr="004019B6">
        <w:rPr>
          <w:sz w:val="20"/>
          <w:vertAlign w:val="superscript"/>
        </w:rPr>
        <w:footnoteRef/>
      </w:r>
      <w:r w:rsidRPr="004019B6">
        <w:rPr>
          <w:sz w:val="20"/>
        </w:rPr>
        <w:t xml:space="preserve"> </w:t>
      </w:r>
      <w:proofErr w:type="spellStart"/>
      <w:proofErr w:type="gramStart"/>
      <w:r w:rsidRPr="004019B6">
        <w:rPr>
          <w:sz w:val="20"/>
        </w:rPr>
        <w:t>见</w:t>
      </w:r>
      <w:r w:rsidRPr="004019B6">
        <w:rPr>
          <w:color w:val="000000"/>
          <w:sz w:val="20"/>
        </w:rPr>
        <w:t>国际农业生物科学中心</w:t>
      </w:r>
      <w:proofErr w:type="spellEnd"/>
      <w:r w:rsidRPr="004019B6">
        <w:rPr>
          <w:color w:val="000000"/>
          <w:sz w:val="20"/>
          <w:lang w:eastAsia="zh-CN"/>
        </w:rPr>
        <w:t>的</w:t>
      </w:r>
      <w:r w:rsidRPr="004019B6">
        <w:rPr>
          <w:color w:val="000000"/>
          <w:sz w:val="20"/>
          <w:lang w:eastAsia="zh-CN"/>
        </w:rPr>
        <w:t>“</w:t>
      </w:r>
      <w:proofErr w:type="spellStart"/>
      <w:proofErr w:type="gramEnd"/>
      <w:r w:rsidRPr="004019B6">
        <w:rPr>
          <w:color w:val="000000"/>
          <w:sz w:val="20"/>
        </w:rPr>
        <w:t>入侵植物的生物控制</w:t>
      </w:r>
      <w:proofErr w:type="spellEnd"/>
      <w:r w:rsidRPr="004019B6">
        <w:rPr>
          <w:color w:val="000000"/>
          <w:sz w:val="20"/>
          <w:lang w:eastAsia="zh-CN"/>
        </w:rPr>
        <w:t>”</w:t>
      </w:r>
      <w:r w:rsidRPr="004019B6">
        <w:rPr>
          <w:color w:val="000000"/>
          <w:sz w:val="20"/>
          <w:lang w:eastAsia="zh-CN"/>
        </w:rPr>
        <w:t>网页</w:t>
      </w:r>
      <w:r w:rsidRPr="004019B6">
        <w:rPr>
          <w:rStyle w:val="Hyperlink"/>
          <w:color w:val="000000" w:themeColor="text1"/>
          <w:sz w:val="20"/>
          <w:lang w:eastAsia="zh-CN"/>
        </w:rPr>
        <w:t>：</w:t>
      </w:r>
      <w:hyperlink r:id="rId23" w:history="1">
        <w:r w:rsidRPr="004019B6">
          <w:rPr>
            <w:rStyle w:val="Hyperlink"/>
            <w:sz w:val="20"/>
          </w:rPr>
          <w:t>www.cabi.org/what-we-do/cabi-centres/biological-control-of-invasive-%20plants/</w:t>
        </w:r>
      </w:hyperlink>
      <w:r w:rsidRPr="004019B6">
        <w:rPr>
          <w:rStyle w:val="Hyperlink"/>
          <w:color w:val="auto"/>
          <w:sz w:val="20"/>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4B570D50" w14:textId="18DE5F19"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447FFC">
          <w:rPr>
            <w:szCs w:val="20"/>
            <w:lang w:val="en-CA"/>
          </w:rPr>
          <w:t>CBD/COP/16/</w:t>
        </w:r>
        <w:proofErr w:type="gramStart"/>
        <w:r w:rsidR="00581C26" w:rsidRPr="00447FFC">
          <w:rPr>
            <w:szCs w:val="20"/>
            <w:lang w:val="en-CA"/>
          </w:rPr>
          <w:t>WG.II</w:t>
        </w:r>
        <w:proofErr w:type="gramEnd"/>
        <w:r w:rsidR="00581C26" w:rsidRPr="00447FFC">
          <w:rPr>
            <w:szCs w:val="20"/>
            <w:lang w:val="en-CA"/>
          </w:rPr>
          <w:t>/CRP.</w:t>
        </w:r>
        <w:r w:rsidR="00447FFC" w:rsidRPr="00447FFC">
          <w:rPr>
            <w:rFonts w:hint="eastAsia"/>
            <w:szCs w:val="20"/>
            <w:lang w:val="en-CA" w:eastAsia="zh-CN"/>
          </w:rPr>
          <w:t>3</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140C00FC" w:rsidR="00581C26" w:rsidRDefault="00581C26" w:rsidP="00581C26">
    <w:pPr>
      <w:pStyle w:val="Header"/>
      <w:jc w:val="right"/>
      <w:rPr>
        <w:lang w:eastAsia="zh-CN"/>
      </w:rPr>
    </w:pPr>
    <w:r w:rsidRPr="00581C26">
      <w:rPr>
        <w:lang w:val="en-CA"/>
      </w:rPr>
      <w:t>CBD/COP/16/</w:t>
    </w:r>
    <w:proofErr w:type="gramStart"/>
    <w:r w:rsidRPr="00581C26">
      <w:rPr>
        <w:lang w:val="en-CA"/>
      </w:rPr>
      <w:t>WG.II</w:t>
    </w:r>
    <w:proofErr w:type="gramEnd"/>
    <w:r w:rsidRPr="00581C26">
      <w:rPr>
        <w:lang w:val="en-CA"/>
      </w:rPr>
      <w:t>/CRP.</w:t>
    </w:r>
    <w:r w:rsidR="00447FFC">
      <w:rPr>
        <w:rFonts w:hint="eastAsia"/>
        <w:lang w:val="en-CA" w:eastAsia="zh-CN"/>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3/cop-13-dec-13-zh.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8/cop-08-dec-27-zh.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13" Type="http://schemas.openxmlformats.org/officeDocument/2006/relationships/hyperlink" Target="http://www.iucn.org/resources/conservation-tool/environmental-impact-classification-alien-taxa-eicat" TargetMode="External"/><Relationship Id="rId18" Type="http://schemas.openxmlformats.org/officeDocument/2006/relationships/hyperlink" Target="https://www.cbd.int/doc/decisions/cop-07/full/cop-07-dec-zh.pdf" TargetMode="External"/><Relationship Id="rId3" Type="http://schemas.openxmlformats.org/officeDocument/2006/relationships/hyperlink" Target="http://www.ippc.int/en/core-activities/standards-setting/ispms/" TargetMode="External"/><Relationship Id="rId21" Type="http://schemas.openxmlformats.org/officeDocument/2006/relationships/hyperlink" Target="https://www.cbd.int/invasive/cbdtoolkit/" TargetMode="External"/><Relationship Id="rId7"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12" Type="http://schemas.openxmlformats.org/officeDocument/2006/relationships/hyperlink" Target="http://www.cbd.int/invasive/giasipartnership/" TargetMode="External"/><Relationship Id="rId17" Type="http://schemas.openxmlformats.org/officeDocument/2006/relationships/hyperlink" Target="https://easin.jrc.ec.europa.eu/notsys" TargetMode="External"/><Relationship Id="rId2" Type="http://schemas.openxmlformats.org/officeDocument/2006/relationships/hyperlink" Target="http://www.iucn.org/resources/conservation-tool/environmental-impact-classification-alien-taxa" TargetMode="External"/><Relationship Id="rId16" Type="http://schemas.openxmlformats.org/officeDocument/2006/relationships/hyperlink" Target="https://www.efsa.europa.eu/en/topics/topic/invasive-alien-species" TargetMode="External"/><Relationship Id="rId20" Type="http://schemas.openxmlformats.org/officeDocument/2006/relationships/hyperlink" Target="https://www.cbd.int/doc/decisions/cop-07/full/cop-07-dec-zh.pdf" TargetMode="External"/><Relationship Id="rId1" Type="http://schemas.openxmlformats.org/officeDocument/2006/relationships/hyperlink" Target="https://www.cbd.int/doc/c/f82f/90c8/4e82b4a23db2edfc632d56c5/ias-ahteg-2019-01-02-en.pdf" TargetMode="External"/><Relationship Id="rId6" Type="http://schemas.openxmlformats.org/officeDocument/2006/relationships/hyperlink" Target="https://easin.jrc.ec.europa.eu/easin" TargetMode="External"/><Relationship Id="rId11" Type="http://schemas.openxmlformats.org/officeDocument/2006/relationships/hyperlink" Target="http://www.iucngisd.org/gisd/" TargetMode="External"/><Relationship Id="rId5" Type="http://schemas.openxmlformats.org/officeDocument/2006/relationships/hyperlink" Target="http://www.wcoomd.org/~/media/wco/public/global/pdf/topics/facilitation/activities-and-programmes/tf-negociations/wco-docs/info-sheets-on-tf-measures/single-window-concept.pdf" TargetMode="External"/><Relationship Id="rId15" Type="http://schemas.openxmlformats.org/officeDocument/2006/relationships/hyperlink" Target="https://www.efsa.europa.eu/en/topics/topic/animal-health%23efsas-role" TargetMode="External"/><Relationship Id="rId23" Type="http://schemas.openxmlformats.org/officeDocument/2006/relationships/hyperlink" Target="https://www.cabi.org/what-we-do/cabi-centres/biological-control-of-invasive-%20plants/" TargetMode="External"/><Relationship Id="rId10" Type="http://schemas.openxmlformats.org/officeDocument/2006/relationships/hyperlink" Target="https://alien.jrc.ec.europa.eu/easin" TargetMode="External"/><Relationship Id="rId19" Type="http://schemas.openxmlformats.org/officeDocument/2006/relationships/hyperlink" Target="https://www.iata.org/contentassets/adfc0ea8044648fcbff13d79dceff7ae/encom-pax-wildlife-guidance-final-2003-nov-2015.pdf" TargetMode="External"/><Relationship Id="rId4" Type="http://schemas.openxmlformats.org/officeDocument/2006/relationships/hyperlink" Target="http://www.wto.org/english/tratop_e/serv_e/gatsintr_e.htm" TargetMode="External"/><Relationship Id="rId9" Type="http://schemas.openxmlformats.org/officeDocument/2006/relationships/hyperlink" Target="http://www.gbif.org/" TargetMode="External"/><Relationship Id="rId14" Type="http://schemas.openxmlformats.org/officeDocument/2006/relationships/hyperlink" Target="https://www.cbd.int/doc/c/f82f/90c8/4e82b4a23db2edfc632d56c5/ias-ahteg-2019-01-02-en.pdf" TargetMode="External"/><Relationship Id="rId22" Type="http://schemas.openxmlformats.org/officeDocument/2006/relationships/hyperlink" Target="https://purews.inbo.be/ws/portalfiles/portal/14941741/Adriaens_etal_2018_Gu%20idanceBestPrati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sbstta-template.dotm</Template>
  <TotalTime>23</TotalTime>
  <Pages>24</Pages>
  <Words>3257</Words>
  <Characters>18571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21785</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CBD/COP/16/WG.II/CRP.3</dc:subject>
  <dc:creator>veronique.lefebvre</dc:creator>
  <cp:lastModifiedBy>Steve Pei</cp:lastModifiedBy>
  <cp:revision>4</cp:revision>
  <cp:lastPrinted>2024-09-19T20:17:00Z</cp:lastPrinted>
  <dcterms:created xsi:type="dcterms:W3CDTF">2024-10-23T00:13:00Z</dcterms:created>
  <dcterms:modified xsi:type="dcterms:W3CDTF">2024-10-23T00:48:00Z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