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BE11" w14:textId="30E632CF" w:rsidR="00ED2289" w:rsidRPr="003722AE" w:rsidRDefault="002519F0" w:rsidP="00ED2289">
      <w:pPr>
        <w:jc w:val="center"/>
        <w:rPr>
          <w:b/>
          <w:rFonts w:ascii="Times New Roman" w:hAnsi="Times New Roman"/>
        </w:rPr>
      </w:pPr>
      <w:r>
        <w:rPr>
          <w:b/>
          <w:rFonts w:ascii="Times New Roman" w:hAnsi="Times New Roman"/>
        </w:rPr>
        <w:t xml:space="preserve">Conferencia de las Naciones Unidas sobre Biodiversidad</w:t>
      </w:r>
    </w:p>
    <w:p w14:paraId="5AED44AD" w14:textId="7231A9A5" w:rsidR="00ED2289" w:rsidRPr="003722AE" w:rsidRDefault="00ED2289" w:rsidP="00ED2289">
      <w:pPr>
        <w:jc w:val="center"/>
        <w:rPr>
          <w:b/>
          <w:rFonts w:ascii="Times New Roman" w:hAnsi="Times New Roman"/>
        </w:rPr>
      </w:pPr>
      <w:r>
        <w:rPr>
          <w:b/>
          <w:rFonts w:ascii="Times New Roman" w:hAnsi="Times New Roman"/>
        </w:rPr>
        <w:t xml:space="preserve">Serie de sesiones de alto nivel</w:t>
      </w:r>
    </w:p>
    <w:p w14:paraId="5B708B05" w14:textId="764619D2" w:rsidR="00ED2289" w:rsidRPr="003722AE" w:rsidRDefault="00ED2289" w:rsidP="00ED2289">
      <w:pPr>
        <w:jc w:val="center"/>
        <w:rPr>
          <w:rFonts w:ascii="Times New Roman" w:hAnsi="Times New Roman"/>
        </w:rPr>
      </w:pPr>
      <w:r>
        <w:rPr>
          <w:b/>
          <w:rFonts w:ascii="Times New Roman" w:hAnsi="Times New Roman"/>
        </w:rPr>
        <w:t xml:space="preserve">“Invertir en la diversidad biológica para la gente y el planeta”</w:t>
      </w:r>
    </w:p>
    <w:p w14:paraId="0792276C" w14:textId="77777777" w:rsidR="00ED2289" w:rsidRPr="003722AE" w:rsidRDefault="00ED2289" w:rsidP="00ED2289">
      <w:pPr>
        <w:jc w:val="center"/>
        <w:rPr>
          <w:rFonts w:ascii="Times New Roman" w:hAnsi="Times New Roman"/>
        </w:rPr>
      </w:pPr>
      <w:r>
        <w:rPr>
          <w:rFonts w:ascii="Times New Roman" w:hAnsi="Times New Roman"/>
        </w:rPr>
        <w:t xml:space="preserve">Sharm el-Sheikh (Egipto), 14 y 15 de noviembre de 2018</w:t>
      </w:r>
    </w:p>
    <w:p w14:paraId="0CFEFD3B" w14:textId="77777777" w:rsidR="00375EDD" w:rsidRPr="003722AE" w:rsidRDefault="00375EDD" w:rsidP="00ED2289">
      <w:pPr>
        <w:spacing w:after="120"/>
        <w:jc w:val="both"/>
        <w:rPr>
          <w:rFonts w:ascii="Times New Roman" w:hAnsi="Times New Roman" w:cs="Times New Roman"/>
          <w:b/>
          <w:sz w:val="22"/>
          <w:szCs w:val="22"/>
          <w:lang w:val="en-GB"/>
        </w:rPr>
      </w:pPr>
    </w:p>
    <w:p w14:paraId="2D456D3E" w14:textId="7A59894B" w:rsidR="00ED2289" w:rsidRPr="003722AE" w:rsidRDefault="00375EDD" w:rsidP="003722AE">
      <w:pPr>
        <w:spacing w:after="120"/>
        <w:rPr>
          <w:b/>
          <w:sz w:val="22"/>
          <w:szCs w:val="22"/>
          <w:rFonts w:ascii="Times New Roman" w:hAnsi="Times New Roman" w:cs="Times New Roman"/>
        </w:rPr>
      </w:pPr>
      <w:r>
        <w:rPr>
          <w:b/>
          <w:sz w:val="22"/>
          <w:szCs w:val="22"/>
          <w:rFonts w:ascii="Times New Roman" w:hAnsi="Times New Roman"/>
        </w:rPr>
        <w:t xml:space="preserve">Integración de la biodiversidad en el sector de la infraestructura</w:t>
      </w:r>
    </w:p>
    <w:p w14:paraId="5B7CAED3" w14:textId="57F4F3C3" w:rsidR="00636C3A" w:rsidRPr="003722AE" w:rsidRDefault="00636C3A"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La infraestructura es fundamental para las sociedades humanas.</w:t>
      </w:r>
      <w:r>
        <w:rPr>
          <w:sz w:val="22"/>
          <w:szCs w:val="22"/>
          <w:rFonts w:ascii="Times New Roman" w:hAnsi="Times New Roman"/>
        </w:rPr>
        <w:t xml:space="preserve"> </w:t>
      </w:r>
      <w:r>
        <w:rPr>
          <w:sz w:val="22"/>
          <w:szCs w:val="22"/>
          <w:rFonts w:ascii="Times New Roman" w:hAnsi="Times New Roman"/>
        </w:rPr>
        <w:t xml:space="preserve">La infraestructura construida es esencial para el crecimiento económico y facilita todos los aspectos de la vida moderna.</w:t>
      </w:r>
      <w:r>
        <w:rPr>
          <w:sz w:val="22"/>
          <w:szCs w:val="22"/>
          <w:rFonts w:ascii="Times New Roman" w:hAnsi="Times New Roman"/>
        </w:rPr>
        <w:t xml:space="preserve"> </w:t>
      </w:r>
      <w:r>
        <w:rPr>
          <w:sz w:val="22"/>
          <w:szCs w:val="22"/>
          <w:rFonts w:ascii="Times New Roman" w:hAnsi="Times New Roman"/>
        </w:rPr>
        <w:t xml:space="preserve">Incluye la infraestructura de transporte que traslada personas y bienes a través del planeta, las telecomunicaciones, la infraestructura que suministra energía a los hogares y empresas, la infraestructura urbana, y las represas, plantas de tratamiento de aguas y aguas residuales y tuberías de agua que se utilizan para gestionar el suministro de agua para uso doméstico, industrial y agrícola.</w:t>
      </w:r>
    </w:p>
    <w:p w14:paraId="51253BDC" w14:textId="6B3860DF" w:rsidR="00D602B2" w:rsidRPr="003722AE" w:rsidRDefault="00711D3E"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Se prevé que el sector de la infraestructura experimentará un importante crecimiento en las próximas décadas debido al crecimiento demográfico, el desarrollo económico, el comercio y el aumento de la urbanización.</w:t>
      </w:r>
    </w:p>
    <w:p w14:paraId="3320C4DA" w14:textId="0B0AFED5" w:rsidR="00D602B2" w:rsidRPr="003722AE" w:rsidRDefault="00D602B2"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En 2014, el 54% de la población mundial residía en zonas urbanas.</w:t>
      </w:r>
      <w:r>
        <w:rPr>
          <w:sz w:val="22"/>
          <w:szCs w:val="22"/>
          <w:rFonts w:ascii="Times New Roman" w:hAnsi="Times New Roman"/>
        </w:rPr>
        <w:t xml:space="preserve"> </w:t>
      </w:r>
      <w:r>
        <w:rPr>
          <w:sz w:val="22"/>
          <w:szCs w:val="22"/>
          <w:rFonts w:ascii="Times New Roman" w:hAnsi="Times New Roman"/>
        </w:rPr>
        <w:t xml:space="preserve">Se prevé que esta cifra alcanzará un 66% de aquí a 2050.</w:t>
      </w:r>
      <w:r>
        <w:rPr>
          <w:sz w:val="22"/>
          <w:szCs w:val="22"/>
          <w:rFonts w:ascii="Times New Roman" w:hAnsi="Times New Roman"/>
        </w:rPr>
        <w:t xml:space="preserve"> </w:t>
      </w:r>
      <w:r>
        <w:rPr>
          <w:sz w:val="22"/>
          <w:szCs w:val="22"/>
          <w:rFonts w:ascii="Times New Roman" w:hAnsi="Times New Roman"/>
        </w:rPr>
        <w:t xml:space="preserve">Se estima que, como resultado de este crecimiento, hasta el 70% de las futuras inversiones en infraestructura se centrarán en lugares urbanos.</w:t>
      </w:r>
    </w:p>
    <w:p w14:paraId="594BC38C" w14:textId="2440D60E" w:rsidR="008A2722" w:rsidRPr="003722AE" w:rsidRDefault="00AF24CA"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También se producirá un aumento de la demanda y construcción de la infraestructura relacionada, así como un crecimiento en los sectores que dependen de la infraestructura.</w:t>
      </w:r>
      <w:r>
        <w:rPr>
          <w:sz w:val="22"/>
          <w:szCs w:val="22"/>
          <w:rFonts w:ascii="Times New Roman" w:hAnsi="Times New Roman"/>
        </w:rPr>
        <w:t xml:space="preserve"> </w:t>
      </w:r>
      <w:r>
        <w:rPr>
          <w:sz w:val="22"/>
          <w:szCs w:val="22"/>
          <w:rFonts w:ascii="Times New Roman" w:hAnsi="Times New Roman"/>
        </w:rPr>
        <w:t xml:space="preserve">Una de las proyecciones indica que, para el año 2050, se requerirán 25 millones de kilómetros de nuevas carreteras pavimentadas y 335.000 kilómetros de vías de ferrocarril.</w:t>
      </w:r>
      <w:r>
        <w:rPr>
          <w:sz w:val="22"/>
          <w:szCs w:val="22"/>
          <w:rFonts w:ascii="Times New Roman" w:hAnsi="Times New Roman"/>
        </w:rPr>
        <w:t xml:space="preserve"> </w:t>
      </w:r>
      <w:r>
        <w:rPr>
          <w:sz w:val="22"/>
          <w:szCs w:val="22"/>
          <w:rFonts w:ascii="Times New Roman" w:hAnsi="Times New Roman"/>
        </w:rPr>
        <w:t xml:space="preserve">También se proyecta que crecerá la demanda de redes de suministro eléctrico tanto “convencionales” como “inteligentes”.</w:t>
      </w:r>
    </w:p>
    <w:p w14:paraId="3AE9BC50" w14:textId="6660A47C" w:rsidR="00D602B2" w:rsidRPr="003722AE" w:rsidRDefault="008A2722"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El lugar y la forma en que se construya esta infraestructura tendrán grandes efectos en la biodiversidad.</w:t>
      </w:r>
    </w:p>
    <w:p w14:paraId="4A99A51B" w14:textId="24931B3D" w:rsidR="008A2722" w:rsidRPr="003722AE" w:rsidRDefault="00567F55"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Se prevé que los efectos de la infraestructura lineal en la fragmentación de los hábitats, el movimiento de las poblaciones y el flujo de genes serán importantes.</w:t>
      </w:r>
      <w:r>
        <w:rPr>
          <w:sz w:val="22"/>
          <w:szCs w:val="22"/>
          <w:rFonts w:ascii="Times New Roman" w:hAnsi="Times New Roman"/>
        </w:rPr>
        <w:t xml:space="preserve"> </w:t>
      </w:r>
      <w:r>
        <w:rPr>
          <w:sz w:val="22"/>
          <w:szCs w:val="22"/>
          <w:rFonts w:ascii="Times New Roman" w:hAnsi="Times New Roman"/>
        </w:rPr>
        <w:t xml:space="preserve">Al mismo tiempo, sigue siendo necesario mantener, actualizar o desmantelar la infraestructura existente.</w:t>
      </w:r>
    </w:p>
    <w:p w14:paraId="0D981D0B" w14:textId="02985E8B" w:rsidR="001C2268" w:rsidRPr="003722AE" w:rsidRDefault="001C2268"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Muchas ciudades en expansión están situadas cerca de puntos críticos de biodiversidad y otras zonas de gran valor para la conservación.</w:t>
      </w:r>
      <w:r>
        <w:rPr>
          <w:sz w:val="22"/>
          <w:szCs w:val="22"/>
          <w:rFonts w:ascii="Times New Roman" w:hAnsi="Times New Roman"/>
        </w:rPr>
        <w:t xml:space="preserve"> </w:t>
      </w:r>
      <w:r>
        <w:rPr>
          <w:sz w:val="22"/>
          <w:szCs w:val="22"/>
          <w:rFonts w:ascii="Times New Roman" w:hAnsi="Times New Roman"/>
        </w:rPr>
        <w:t xml:space="preserve">Actualmente, hay 422 ciudades con más de 300.000 habitantes en los puntos críticos para la conservación del mundo; de estas, se considera que 383 hacen frente a conflictos entre el crecimiento urbano y la biodiversidad.</w:t>
      </w:r>
      <w:r>
        <w:rPr>
          <w:sz w:val="22"/>
          <w:szCs w:val="22"/>
          <w:rFonts w:ascii="Times New Roman" w:hAnsi="Times New Roman"/>
        </w:rPr>
        <w:t xml:space="preserve"> </w:t>
      </w:r>
      <w:r>
        <w:rPr>
          <w:sz w:val="22"/>
          <w:szCs w:val="22"/>
          <w:rFonts w:ascii="Times New Roman" w:hAnsi="Times New Roman"/>
        </w:rPr>
        <w:t xml:space="preserve">Al mismo tiempo, las ciudades dependen de la biodiversidad y de ecosistemas saludables para obtener muchos servicios básicos de los ecosistemas, tales como suministro de agua dulce, mejora de la calidad del aire, regulación de la temperatura y generación de resiliencia ante el cambio climático y los desastres naturales.</w:t>
      </w:r>
      <w:r>
        <w:rPr>
          <w:sz w:val="22"/>
          <w:szCs w:val="22"/>
          <w:rFonts w:ascii="Times New Roman" w:hAnsi="Times New Roman"/>
        </w:rPr>
        <w:t xml:space="preserve"> </w:t>
      </w:r>
      <w:r>
        <w:rPr>
          <w:sz w:val="22"/>
          <w:szCs w:val="22"/>
          <w:rFonts w:ascii="Times New Roman" w:hAnsi="Times New Roman"/>
        </w:rPr>
        <w:t xml:space="preserve">La forma en que evolucionen las ciudades del futuro reviste suma importancia para la biodiversidad.</w:t>
      </w:r>
      <w:r>
        <w:rPr>
          <w:sz w:val="22"/>
          <w:szCs w:val="22"/>
          <w:rFonts w:ascii="Times New Roman" w:hAnsi="Times New Roman"/>
        </w:rPr>
        <w:t xml:space="preserve"> </w:t>
      </w:r>
      <w:r>
        <w:rPr>
          <w:sz w:val="22"/>
          <w:szCs w:val="22"/>
          <w:rFonts w:ascii="Times New Roman" w:hAnsi="Times New Roman"/>
        </w:rPr>
        <w:t xml:space="preserve">Si no se planifica y gestiona adecuadamente la expansión urbana proyectada, existe el riesgo de que se produzcan importantes efectos adversos en la biodiversidad.</w:t>
      </w:r>
    </w:p>
    <w:p w14:paraId="1F9EDC41" w14:textId="2EA2FFF8" w:rsidR="00B34F51" w:rsidRPr="003722AE" w:rsidRDefault="00B34F51"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Es importante señalar que la industria de la construcción es uno de los más grandes empleadores de todo el mundo.</w:t>
      </w:r>
      <w:r>
        <w:rPr>
          <w:sz w:val="22"/>
          <w:szCs w:val="22"/>
          <w:rFonts w:ascii="Times New Roman" w:hAnsi="Times New Roman"/>
        </w:rPr>
        <w:t xml:space="preserve"> </w:t>
      </w:r>
      <w:r>
        <w:rPr>
          <w:sz w:val="22"/>
          <w:szCs w:val="22"/>
          <w:rFonts w:ascii="Times New Roman" w:hAnsi="Times New Roman"/>
        </w:rPr>
        <w:t xml:space="preserve">La mayor parte del desarrollo de infraestructura se inicia, tradicionalmente, en el sector privado, pero una porción creciente de este es financiada por el sector privado o por medio de asociaciones entre los sectores público y privado.</w:t>
      </w:r>
    </w:p>
    <w:p w14:paraId="2C74785D" w14:textId="77777777" w:rsidR="00711D3E" w:rsidRPr="003722AE" w:rsidRDefault="00170A66" w:rsidP="003722AE">
      <w:pPr>
        <w:spacing w:after="120"/>
        <w:rPr>
          <w:b/>
          <w:sz w:val="22"/>
          <w:szCs w:val="22"/>
          <w:rFonts w:ascii="Times New Roman" w:hAnsi="Times New Roman" w:cs="Times New Roman"/>
        </w:rPr>
      </w:pPr>
      <w:r>
        <w:rPr>
          <w:b/>
          <w:sz w:val="22"/>
          <w:szCs w:val="22"/>
          <w:rFonts w:ascii="Times New Roman" w:hAnsi="Times New Roman"/>
        </w:rPr>
        <w:t xml:space="preserve">¿De qué manera se tiene en cuenta la biodiversidad en el desarrollo de infraestructura?</w:t>
      </w:r>
    </w:p>
    <w:p w14:paraId="0B3A5DF5" w14:textId="3A88C61B" w:rsidR="004873E7" w:rsidRPr="003722AE" w:rsidRDefault="00B34F51"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Los gobiernos de todos los niveles pueden usar un amplio abanico de instrumentos que ayudan a minimizar y mitigar los efectos negativos de todas las formas de desarrollo de infraestructura en la biodiversidad.</w:t>
      </w:r>
      <w:r>
        <w:rPr>
          <w:sz w:val="22"/>
          <w:szCs w:val="22"/>
          <w:rFonts w:ascii="Times New Roman" w:hAnsi="Times New Roman"/>
        </w:rPr>
        <w:t xml:space="preserve"> </w:t>
      </w:r>
      <w:r>
        <w:rPr>
          <w:sz w:val="22"/>
          <w:szCs w:val="22"/>
          <w:rFonts w:ascii="Times New Roman" w:hAnsi="Times New Roman"/>
        </w:rPr>
        <w:t xml:space="preserve">Entre los instrumentos más eficaces se encuentran aquellos que tienen una perspectiva de largo plazo orientada al futuro, como la planificación territorial, la planificación urbana, la evaluación ambiental estratégica, la planificación para la adaptación al cambio climático, la planificación sistemática de la conservación, etc. Al emplear estos instrumentos, resulta importante hacer partícipes a todos los sectores afectados, así como generar resultados que puedan ser comprendidos y apoyados por todos los sectores y que constituyan la base para las decisiones sobre inversiones en infraestructura durante varios decenios.</w:t>
      </w:r>
      <w:r>
        <w:rPr>
          <w:sz w:val="22"/>
          <w:szCs w:val="22"/>
          <w:rFonts w:ascii="Times New Roman" w:hAnsi="Times New Roman"/>
        </w:rPr>
        <w:t xml:space="preserve"> </w:t>
      </w:r>
      <w:r>
        <w:rPr>
          <w:sz w:val="22"/>
          <w:szCs w:val="22"/>
          <w:rFonts w:ascii="Times New Roman" w:hAnsi="Times New Roman"/>
        </w:rPr>
        <w:t xml:space="preserve">Esto puede aumentar la aceptación social, evitar conflictos costosos, minimizar la necesidad de realizar correcciones y facilitar la consideración y ponderación de las necesidades y prioridades de la biodiversidad.</w:t>
      </w:r>
    </w:p>
    <w:p w14:paraId="59332F22" w14:textId="6EAD02CD" w:rsidR="00B34F51" w:rsidRPr="003722AE" w:rsidRDefault="004873E7"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La planificación urbana puede ayudar a mantener o restablecer, aunque es más difícil, la conectividad y los corredores a través de ejes ecológicos, mantener los humedales y la calidad de los ríos y corrientes, minimizando al mismo tiempo los riesgos de inundaciones y sequías, y conservar las zonas de alto valor para la conservación.</w:t>
      </w:r>
      <w:r>
        <w:rPr>
          <w:sz w:val="22"/>
          <w:szCs w:val="22"/>
          <w:rFonts w:ascii="Times New Roman" w:hAnsi="Times New Roman"/>
        </w:rPr>
        <w:t xml:space="preserve"> </w:t>
      </w:r>
      <w:r>
        <w:rPr>
          <w:sz w:val="22"/>
          <w:szCs w:val="22"/>
          <w:rFonts w:ascii="Times New Roman" w:hAnsi="Times New Roman"/>
        </w:rPr>
        <w:t xml:space="preserve">También puede reducir el espacio requerido la infraestructura de transporte y los efectos que ocasiona.</w:t>
      </w:r>
    </w:p>
    <w:p w14:paraId="1BA40EDC" w14:textId="77777777" w:rsidR="007C1C1C" w:rsidRPr="003722AE" w:rsidRDefault="004873E7" w:rsidP="003722AE">
      <w:pPr>
        <w:spacing w:after="120"/>
        <w:ind w:firstLine="709"/>
        <w:jc w:val="both"/>
        <w:rPr>
          <w:sz w:val="22"/>
          <w:szCs w:val="22"/>
          <w:rFonts w:ascii="Times New Roman" w:hAnsi="Times New Roman" w:cs="Times New Roman"/>
        </w:rPr>
      </w:pPr>
      <w:r>
        <w:rPr>
          <w:sz w:val="22"/>
          <w:szCs w:val="22"/>
          <w:rFonts w:ascii="Times New Roman" w:hAnsi="Times New Roman"/>
        </w:rPr>
        <w:t xml:space="preserve">La planificación territorial más amplia puede ayudar a maximizar la viabilidad, cobertura y calidad de las áreas protegidas, proteger las cuencas hidrográficas, las cuencas fluviales y los ecosistemas costeros y otras áreas de alto valor para la conservación y maximizar los beneficios de estas medidas para los residentes locales y los turistas.</w:t>
      </w:r>
      <w:r>
        <w:rPr>
          <w:sz w:val="22"/>
          <w:szCs w:val="22"/>
          <w:rFonts w:ascii="Times New Roman" w:hAnsi="Times New Roman"/>
        </w:rPr>
        <w:t xml:space="preserve"> </w:t>
      </w:r>
      <w:r>
        <w:rPr>
          <w:sz w:val="22"/>
          <w:szCs w:val="22"/>
          <w:rFonts w:ascii="Times New Roman" w:hAnsi="Times New Roman"/>
        </w:rPr>
        <w:t xml:space="preserve">Puede ayudar a agrupar la infraestructura lineal en corredores principales, con lo que puede aumentar la eficacia en función del costo de las medidas para mejorar la conectividad (como puentes y túneles para las especies silvestres).</w:t>
      </w:r>
      <w:r>
        <w:rPr>
          <w:sz w:val="22"/>
          <w:szCs w:val="22"/>
          <w:rFonts w:ascii="Times New Roman" w:hAnsi="Times New Roman"/>
        </w:rPr>
        <w:t xml:space="preserve"> </w:t>
      </w:r>
      <w:r>
        <w:rPr>
          <w:sz w:val="22"/>
          <w:szCs w:val="22"/>
          <w:rFonts w:ascii="Times New Roman" w:hAnsi="Times New Roman"/>
        </w:rPr>
        <w:t xml:space="preserve">Lo que es aún más importante: puede evitar, reducir y canalizar la expansión urbana y la invasión de los paisajes, protegiendo de ese modo los hábitats, las poblaciones, la prestación de los servicios de los ecosistemas y el funcionamiento de los ecosistemas.</w:t>
      </w:r>
    </w:p>
    <w:p w14:paraId="7FDAC9C9" w14:textId="77777777" w:rsidR="00584320" w:rsidRPr="003722AE" w:rsidRDefault="00152986" w:rsidP="003722AE">
      <w:pPr>
        <w:pStyle w:val="CommentText"/>
        <w:spacing w:after="120"/>
        <w:ind w:firstLine="709"/>
        <w:rPr>
          <w:sz w:val="22"/>
          <w:szCs w:val="22"/>
          <w:rFonts w:eastAsiaTheme="minorHAnsi"/>
        </w:rPr>
      </w:pPr>
      <w:r>
        <w:rPr>
          <w:sz w:val="22"/>
          <w:szCs w:val="22"/>
        </w:rPr>
        <w:t xml:space="preserve">En el desarrollo de infraestructura, se consideran y se aplican cada vez más enfoques basados en los ecosistemas y soluciones basadas en la naturaleza.</w:t>
      </w:r>
      <w:r>
        <w:rPr>
          <w:sz w:val="22"/>
          <w:szCs w:val="22"/>
        </w:rPr>
        <w:t xml:space="preserve"> </w:t>
      </w:r>
      <w:r>
        <w:rPr>
          <w:sz w:val="22"/>
          <w:szCs w:val="22"/>
        </w:rPr>
        <w:t xml:space="preserve">Estos contribuyen a la protección del medio ambiente a la vez que proporcionan medios de vida e ingresos para aquellos que hacen frente a los riesgos de su degradación.</w:t>
      </w:r>
      <w:r>
        <w:rPr>
          <w:sz w:val="22"/>
          <w:szCs w:val="22"/>
        </w:rPr>
        <w:t xml:space="preserve"> </w:t>
      </w:r>
      <w:r>
        <w:rPr>
          <w:sz w:val="22"/>
          <w:szCs w:val="22"/>
        </w:rPr>
        <w:t xml:space="preserve">En algunos países, el uso de tecnologías apropiadas basadas en la mano de obra, con una combinación de equipos y enfoques basados en el uso intensivo de mano de obra, ha demostrado que se pueden construir activos de manera que las comunidades locales aumenten su potencial de ingresos, al tiempo que se usan materiales y tecnologías locales, con lo que se crean multiplicadores en la economía local.</w:t>
      </w:r>
      <w:r>
        <w:rPr>
          <w:sz w:val="22"/>
          <w:szCs w:val="22"/>
        </w:rPr>
        <w:t xml:space="preserve"> </w:t>
      </w:r>
      <w:r>
        <w:rPr>
          <w:sz w:val="22"/>
          <w:szCs w:val="22"/>
        </w:rPr>
        <w:t xml:space="preserve">La Organización Internacional del Trabajo confirma que las innovaciones basadas en los conocimientos tradicionales locales pueden aumentar la resiliencia y ofrecer oportunidades para crear empresas y cooperativas, generando al mismo tiempo empleos “verdes” decentes, que empoderan a las mujeres y los hombres indígenas.</w:t>
      </w:r>
    </w:p>
    <w:p w14:paraId="077C293F" w14:textId="56C946B6" w:rsidR="006E328D" w:rsidRPr="003722AE" w:rsidRDefault="001D4758" w:rsidP="003722AE">
      <w:pPr>
        <w:pStyle w:val="CommentText"/>
        <w:spacing w:after="120"/>
        <w:jc w:val="left"/>
        <w:rPr>
          <w:b/>
          <w:sz w:val="22"/>
          <w:szCs w:val="22"/>
          <w:rFonts w:eastAsiaTheme="minorHAnsi"/>
        </w:rPr>
      </w:pPr>
      <w:r>
        <w:rPr>
          <w:b/>
          <w:sz w:val="22"/>
          <w:szCs w:val="22"/>
        </w:rPr>
        <w:t xml:space="preserve">Enfoques para integrar la biodiversidad en el sector de la infraestructura</w:t>
      </w:r>
    </w:p>
    <w:p w14:paraId="414707DD" w14:textId="55CDB29C" w:rsidR="006E328D" w:rsidRPr="003722AE" w:rsidRDefault="00636C3A" w:rsidP="003722AE">
      <w:pPr>
        <w:pStyle w:val="CommentText"/>
        <w:spacing w:after="120"/>
        <w:ind w:firstLine="709"/>
        <w:rPr>
          <w:sz w:val="22"/>
          <w:szCs w:val="22"/>
          <w:rFonts w:eastAsiaTheme="minorHAnsi"/>
        </w:rPr>
      </w:pPr>
      <w:r>
        <w:rPr>
          <w:sz w:val="22"/>
          <w:szCs w:val="22"/>
        </w:rPr>
        <w:t xml:space="preserve">Dado que es probable que todos los tipos de infraestructura aumenten en los próximos años, es necesario buscar maneras de reducir la demanda de infraestructura nueva, aprovechando al máximo la infraestructura existente y aumentando la eficiencia, así como garantizando que cualquier infraestructura adicional considere los efectos en la biodiversidad y la dependencia de ella.</w:t>
      </w:r>
    </w:p>
    <w:p w14:paraId="3DF49180" w14:textId="4F49FF09" w:rsidR="00D602B2" w:rsidRPr="003722AE" w:rsidRDefault="00636C3A" w:rsidP="003722AE">
      <w:pPr>
        <w:pStyle w:val="CommentText"/>
        <w:ind w:firstLine="709"/>
        <w:rPr>
          <w:sz w:val="22"/>
          <w:szCs w:val="22"/>
          <w:rFonts w:eastAsiaTheme="minorHAnsi"/>
        </w:rPr>
      </w:pPr>
      <w:r>
        <w:rPr>
          <w:sz w:val="22"/>
          <w:szCs w:val="22"/>
        </w:rPr>
        <w:t xml:space="preserve">Los puntos de intervención posibles para integrar la biodiversidad en el sector de la infraestructura son varios:</w:t>
      </w:r>
    </w:p>
    <w:p w14:paraId="1A9DB52B" w14:textId="2EA91C07" w:rsidR="00D602B2" w:rsidRPr="003722AE" w:rsidRDefault="00636C3A" w:rsidP="003722AE">
      <w:pPr>
        <w:pStyle w:val="CommentText"/>
        <w:spacing w:before="60" w:after="60"/>
        <w:ind w:firstLine="709"/>
        <w:rPr>
          <w:sz w:val="22"/>
          <w:szCs w:val="22"/>
          <w:rFonts w:eastAsiaTheme="minorHAnsi"/>
        </w:rPr>
      </w:pPr>
      <w:r>
        <w:rPr>
          <w:sz w:val="22"/>
          <w:szCs w:val="22"/>
        </w:rPr>
        <w:t xml:space="preserve">a) Por medio de la demanda y el aumento de la eficiencia;</w:t>
      </w:r>
    </w:p>
    <w:p w14:paraId="286CF974" w14:textId="5AE26345" w:rsidR="00D602B2" w:rsidRPr="003722AE" w:rsidRDefault="00636C3A" w:rsidP="003722AE">
      <w:pPr>
        <w:pStyle w:val="CommentText"/>
        <w:spacing w:before="60" w:after="60"/>
        <w:ind w:firstLine="709"/>
        <w:rPr>
          <w:sz w:val="22"/>
          <w:szCs w:val="22"/>
          <w:rFonts w:eastAsiaTheme="minorHAnsi"/>
        </w:rPr>
      </w:pPr>
      <w:r>
        <w:rPr>
          <w:sz w:val="22"/>
          <w:szCs w:val="22"/>
        </w:rPr>
        <w:t xml:space="preserve">b) Planificación estratégica y evaluación de impacto;</w:t>
      </w:r>
    </w:p>
    <w:p w14:paraId="210BA656" w14:textId="42757FB7" w:rsidR="00D602B2" w:rsidRPr="003722AE" w:rsidRDefault="00636C3A" w:rsidP="003722AE">
      <w:pPr>
        <w:pStyle w:val="CommentText"/>
        <w:spacing w:before="60" w:after="60"/>
        <w:ind w:firstLine="709"/>
        <w:rPr>
          <w:sz w:val="22"/>
          <w:szCs w:val="22"/>
          <w:rFonts w:eastAsiaTheme="minorHAnsi"/>
        </w:rPr>
      </w:pPr>
      <w:r>
        <w:rPr>
          <w:sz w:val="22"/>
          <w:szCs w:val="22"/>
        </w:rPr>
        <w:t xml:space="preserve">c) Contratación;</w:t>
      </w:r>
    </w:p>
    <w:p w14:paraId="4C2AD21F" w14:textId="2352C73F" w:rsidR="00D602B2" w:rsidRPr="003722AE" w:rsidRDefault="00636C3A" w:rsidP="003722AE">
      <w:pPr>
        <w:pStyle w:val="CommentText"/>
        <w:spacing w:before="60" w:after="60"/>
        <w:ind w:firstLine="709"/>
        <w:rPr>
          <w:sz w:val="22"/>
          <w:szCs w:val="22"/>
          <w:rFonts w:eastAsiaTheme="minorHAnsi"/>
        </w:rPr>
      </w:pPr>
      <w:r>
        <w:rPr>
          <w:sz w:val="22"/>
          <w:szCs w:val="22"/>
        </w:rPr>
        <w:t xml:space="preserve">d) Financiación;</w:t>
      </w:r>
    </w:p>
    <w:p w14:paraId="6B2BED2E" w14:textId="0DA371BF" w:rsidR="00D602B2" w:rsidRPr="003722AE" w:rsidRDefault="00636C3A" w:rsidP="003722AE">
      <w:pPr>
        <w:pStyle w:val="CommentText"/>
        <w:spacing w:before="60" w:after="60"/>
        <w:ind w:firstLine="709"/>
        <w:rPr>
          <w:sz w:val="22"/>
          <w:szCs w:val="22"/>
          <w:rFonts w:eastAsiaTheme="minorHAnsi"/>
        </w:rPr>
      </w:pPr>
      <w:r>
        <w:rPr>
          <w:sz w:val="22"/>
          <w:szCs w:val="22"/>
        </w:rPr>
        <w:t xml:space="preserve">e) Adquisición;</w:t>
      </w:r>
    </w:p>
    <w:p w14:paraId="67F01A66" w14:textId="4893A4AD" w:rsidR="00D602B2" w:rsidRPr="003722AE" w:rsidRDefault="00636C3A" w:rsidP="003722AE">
      <w:pPr>
        <w:pStyle w:val="CommentText"/>
        <w:spacing w:before="60" w:after="60"/>
        <w:ind w:firstLine="709"/>
        <w:rPr>
          <w:sz w:val="22"/>
          <w:szCs w:val="22"/>
          <w:rFonts w:eastAsiaTheme="minorHAnsi"/>
        </w:rPr>
      </w:pPr>
      <w:r>
        <w:rPr>
          <w:sz w:val="22"/>
          <w:szCs w:val="22"/>
        </w:rPr>
        <w:t xml:space="preserve">f) Construcción;</w:t>
      </w:r>
    </w:p>
    <w:p w14:paraId="2825B917" w14:textId="0FEED724" w:rsidR="00D602B2" w:rsidRPr="003722AE" w:rsidRDefault="00636C3A" w:rsidP="003722AE">
      <w:pPr>
        <w:pStyle w:val="CommentText"/>
        <w:spacing w:before="60" w:after="60"/>
        <w:ind w:firstLine="709"/>
        <w:rPr>
          <w:sz w:val="22"/>
          <w:szCs w:val="22"/>
          <w:rFonts w:eastAsiaTheme="minorHAnsi"/>
        </w:rPr>
      </w:pPr>
      <w:r>
        <w:rPr>
          <w:sz w:val="22"/>
          <w:szCs w:val="22"/>
        </w:rPr>
        <w:t xml:space="preserve">g) Operación;</w:t>
      </w:r>
    </w:p>
    <w:p w14:paraId="40D19477" w14:textId="0869EE75" w:rsidR="00D602B2" w:rsidRPr="003722AE" w:rsidRDefault="00636C3A" w:rsidP="003722AE">
      <w:pPr>
        <w:pStyle w:val="CommentText"/>
        <w:spacing w:before="60" w:after="60"/>
        <w:ind w:firstLine="709"/>
        <w:rPr>
          <w:sz w:val="22"/>
          <w:szCs w:val="22"/>
          <w:rFonts w:eastAsiaTheme="minorHAnsi"/>
        </w:rPr>
      </w:pPr>
      <w:r>
        <w:rPr>
          <w:sz w:val="22"/>
          <w:szCs w:val="22"/>
        </w:rPr>
        <w:t xml:space="preserve">h) Desmantelamiento;</w:t>
      </w:r>
    </w:p>
    <w:p w14:paraId="5D05890B" w14:textId="62EDC1A3" w:rsidR="00636C3A" w:rsidRPr="003722AE" w:rsidRDefault="00636C3A" w:rsidP="003722AE">
      <w:pPr>
        <w:pStyle w:val="CommentText"/>
        <w:spacing w:before="60" w:after="60"/>
        <w:ind w:firstLine="709"/>
        <w:rPr>
          <w:sz w:val="22"/>
          <w:szCs w:val="22"/>
          <w:rFonts w:eastAsiaTheme="minorHAnsi"/>
        </w:rPr>
      </w:pPr>
      <w:r>
        <w:rPr>
          <w:sz w:val="22"/>
          <w:szCs w:val="22"/>
        </w:rPr>
        <w:t xml:space="preserve">i) Legado del proyecto.</w:t>
      </w:r>
    </w:p>
    <w:p w14:paraId="0DA68B3F" w14:textId="622FE175" w:rsidR="00652CE5" w:rsidRDefault="00652CE5" w:rsidP="003722AE">
      <w:pPr>
        <w:spacing w:before="120" w:after="120"/>
        <w:rPr>
          <w:rStyle w:val="apple-converted-space"/>
          <w:b/>
          <w:bCs/>
          <w:sz w:val="22"/>
          <w:szCs w:val="22"/>
          <w:rFonts w:ascii="Times New Roman" w:hAnsi="Times New Roman" w:cs="Times New Roman"/>
        </w:rPr>
      </w:pPr>
      <w:r>
        <w:rPr>
          <w:rStyle w:val="apple-converted-space"/>
          <w:b/>
          <w:bCs/>
          <w:sz w:val="22"/>
          <w:szCs w:val="22"/>
          <w:rFonts w:ascii="Times New Roman" w:hAnsi="Times New Roman"/>
        </w:rPr>
        <w:t xml:space="preserve">Preguntas para guiar el debate</w:t>
      </w:r>
    </w:p>
    <w:p w14:paraId="61E93CB7" w14:textId="0FF19B85" w:rsidR="00B348CA" w:rsidRPr="00AA63C9" w:rsidRDefault="00B348CA" w:rsidP="00AA63C9">
      <w:pPr>
        <w:pStyle w:val="ListParagraph"/>
        <w:numPr>
          <w:ilvl w:val="0"/>
          <w:numId w:val="47"/>
        </w:numPr>
        <w:spacing w:after="120"/>
        <w:contextualSpacing w:val="0"/>
        <w:rPr>
          <w:rStyle w:val="apple-converted-space"/>
          <w:color w:val="000000" w:themeColor="text1"/>
          <w:rFonts w:ascii="Times New Roman" w:hAnsi="Times New Roman"/>
        </w:rPr>
      </w:pPr>
      <w:r>
        <w:rPr>
          <w:rStyle w:val="apple-converted-space"/>
          <w:color w:val="000000" w:themeColor="text1"/>
          <w:rFonts w:ascii="Times New Roman" w:hAnsi="Times New Roman"/>
        </w:rPr>
        <w:t xml:space="preserve">¿Cuáles son las principales acciones que crean entorno favorable para integrar la biodiversidad en este sector?</w:t>
      </w:r>
    </w:p>
    <w:p w14:paraId="4938B20C" w14:textId="77777777" w:rsidR="00652CE5" w:rsidRPr="003722AE" w:rsidRDefault="00652CE5" w:rsidP="00AA63C9">
      <w:pPr>
        <w:numPr>
          <w:ilvl w:val="0"/>
          <w:numId w:val="47"/>
        </w:numPr>
        <w:spacing w:after="120"/>
        <w:rPr>
          <w:rStyle w:val="apple-converted-space"/>
          <w:sz w:val="22"/>
          <w:szCs w:val="22"/>
          <w:rFonts w:ascii="Times New Roman" w:eastAsia="MS Mincho" w:hAnsi="Times New Roman" w:cs="Times New Roman"/>
        </w:rPr>
      </w:pPr>
      <w:r>
        <w:rPr>
          <w:rStyle w:val="apple-converted-space"/>
          <w:sz w:val="22"/>
          <w:szCs w:val="22"/>
          <w:rFonts w:ascii="Times New Roman" w:hAnsi="Times New Roman"/>
        </w:rPr>
        <w:t xml:space="preserve">¿Cuáles son algunos ejemplos positivos concretos de integración de la biodiversidad en el sector de la infraestructura?</w:t>
      </w:r>
    </w:p>
    <w:p w14:paraId="6225E706" w14:textId="77777777" w:rsidR="003440FE" w:rsidRPr="003722AE" w:rsidRDefault="003440FE" w:rsidP="00AA63C9">
      <w:pPr>
        <w:numPr>
          <w:ilvl w:val="0"/>
          <w:numId w:val="45"/>
        </w:numPr>
        <w:spacing w:after="120"/>
        <w:rPr>
          <w:rStyle w:val="apple-converted-space"/>
          <w:sz w:val="22"/>
          <w:szCs w:val="22"/>
          <w:rFonts w:ascii="Times New Roman" w:hAnsi="Times New Roman" w:cs="Times New Roman"/>
        </w:rPr>
      </w:pPr>
      <w:r>
        <w:rPr>
          <w:rStyle w:val="apple-converted-space"/>
          <w:sz w:val="22"/>
          <w:szCs w:val="22"/>
          <w:rFonts w:ascii="Times New Roman" w:hAnsi="Times New Roman"/>
        </w:rPr>
        <w:t xml:space="preserve">¿Cuáles son los mayores retos y obstáculos para integrar la biodiversidad en el sector de la infraestructura?</w:t>
      </w:r>
      <w:r>
        <w:rPr>
          <w:rStyle w:val="apple-converted-space"/>
          <w:sz w:val="22"/>
          <w:szCs w:val="22"/>
          <w:rFonts w:ascii="Times New Roman" w:hAnsi="Times New Roman"/>
        </w:rPr>
        <w:t xml:space="preserve">  </w:t>
      </w:r>
      <w:r>
        <w:rPr>
          <w:rStyle w:val="apple-converted-space"/>
          <w:sz w:val="22"/>
          <w:szCs w:val="22"/>
          <w:rFonts w:ascii="Times New Roman" w:hAnsi="Times New Roman"/>
        </w:rPr>
        <w:t xml:space="preserve">¿Cuáles son las mayores oportunidades que tenemos ahora?</w:t>
      </w:r>
    </w:p>
    <w:p w14:paraId="1F135F1D" w14:textId="1F0C47E2" w:rsidR="00652CE5" w:rsidRPr="003722AE" w:rsidRDefault="00652CE5" w:rsidP="00AA63C9">
      <w:pPr>
        <w:numPr>
          <w:ilvl w:val="0"/>
          <w:numId w:val="45"/>
        </w:numPr>
        <w:spacing w:after="120"/>
        <w:rPr>
          <w:rStyle w:val="apple-converted-space"/>
          <w:b/>
          <w:bCs/>
          <w:sz w:val="22"/>
          <w:szCs w:val="22"/>
          <w:rFonts w:ascii="Times New Roman" w:hAnsi="Times New Roman" w:cs="Times New Roman"/>
        </w:rPr>
      </w:pPr>
      <w:r>
        <w:rPr>
          <w:rStyle w:val="apple-converted-space"/>
          <w:sz w:val="22"/>
          <w:szCs w:val="22"/>
          <w:rFonts w:ascii="Times New Roman" w:hAnsi="Times New Roman"/>
        </w:rPr>
        <w:t xml:space="preserve">¿Qué medidas adicionales se requieren para hacer posible la integración de la biodiversidad en este sector y apoyarla?</w:t>
      </w:r>
      <w:r>
        <w:rPr>
          <w:rStyle w:val="apple-converted-space"/>
          <w:sz w:val="22"/>
          <w:szCs w:val="22"/>
          <w:rFonts w:ascii="Times New Roman" w:hAnsi="Times New Roman"/>
        </w:rPr>
        <w:t xml:space="preserve"> </w:t>
      </w:r>
      <w:r>
        <w:rPr>
          <w:rStyle w:val="apple-converted-space"/>
          <w:sz w:val="22"/>
          <w:szCs w:val="22"/>
          <w:rFonts w:ascii="Times New Roman" w:hAnsi="Times New Roman"/>
        </w:rPr>
        <w:t xml:space="preserve">¿Medidas presupuestarias, marcos y procesos institucionales, legislación y medidas relativas a políticas?</w:t>
      </w:r>
    </w:p>
    <w:p w14:paraId="21961693" w14:textId="58302215" w:rsidR="003440FE" w:rsidRPr="00B348CA" w:rsidRDefault="00652CE5" w:rsidP="00AA63C9">
      <w:pPr>
        <w:numPr>
          <w:ilvl w:val="0"/>
          <w:numId w:val="45"/>
        </w:numPr>
        <w:spacing w:after="120"/>
        <w:jc w:val="both"/>
        <w:rPr>
          <w:sz w:val="22"/>
          <w:szCs w:val="22"/>
          <w:rFonts w:ascii="Times New Roman" w:hAnsi="Times New Roman" w:cs="Times New Roman"/>
        </w:rPr>
      </w:pPr>
      <w:r>
        <w:rPr>
          <w:rStyle w:val="apple-converted-space"/>
          <w:sz w:val="22"/>
          <w:szCs w:val="22"/>
          <w:rFonts w:ascii="Times New Roman" w:hAnsi="Times New Roman"/>
        </w:rPr>
        <w:t xml:space="preserve">¿Quiénes son los principales actores que pueden desempeñar un papel fundamental para lograr la integración de la biodiversidad en este sector?</w:t>
      </w:r>
    </w:p>
    <w:sectPr w:rsidR="003440FE" w:rsidRPr="00B348CA"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BE54" w14:textId="77777777" w:rsidR="00E96038" w:rsidRDefault="00E96038" w:rsidP="00F94790">
      <w:r>
        <w:separator/>
      </w:r>
    </w:p>
  </w:endnote>
  <w:endnote w:type="continuationSeparator" w:id="0">
    <w:p w14:paraId="6BD60755" w14:textId="77777777" w:rsidR="00E96038" w:rsidRDefault="00E96038"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141C11DA"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6E328D" w:rsidRPr="006E328D">
          <w:rPr>
            <w:rFonts w:ascii="Times New Roman" w:hAnsi="Times New Roman" w:cs="Times New Roman"/>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BAD6" w14:textId="77777777" w:rsidR="00E96038" w:rsidRDefault="00E96038" w:rsidP="00F94790">
      <w:r>
        <w:separator/>
      </w:r>
    </w:p>
  </w:footnote>
  <w:footnote w:type="continuationSeparator" w:id="0">
    <w:p w14:paraId="411FF345" w14:textId="77777777" w:rsidR="00E96038" w:rsidRDefault="00E96038"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CDA3" w14:textId="77777777" w:rsidR="00AA509E" w:rsidRDefault="008F0F49">
    <w:pPr>
      <w:pStyle w:val="Header"/>
      <w:tabs>
        <w:tab w:val="clear" w:pos="4419"/>
        <w:tab w:val="clear" w:pos="8838"/>
        <w:tab w:val="left" w:pos="3930"/>
      </w:tabs>
      <w:jc w:val="right"/>
    </w:pPr>
    <w:r>
      <w:drawing>
        <wp:anchor distT="0" distB="0" distL="114300" distR="114300" simplePos="0" relativeHeight="251661312" behindDoc="0" locked="0" layoutInCell="1" allowOverlap="1" wp14:anchorId="0E6E81AB" wp14:editId="407147C0">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0" locked="0" layoutInCell="1" allowOverlap="1" wp14:anchorId="54DA674B" wp14:editId="59B97A37">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7101DB7A" w14:textId="77777777" w:rsidR="00AA509E" w:rsidRDefault="00AA509E"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850C" w14:textId="77777777" w:rsidR="00AA509E" w:rsidRDefault="008F0F49" w:rsidP="00E837B6">
    <w:pPr>
      <w:pStyle w:val="Header"/>
      <w:tabs>
        <w:tab w:val="clear" w:pos="4419"/>
        <w:tab w:val="clear" w:pos="8838"/>
        <w:tab w:val="right" w:pos="9639"/>
      </w:tabs>
    </w:pPr>
    <w:r>
      <w:drawing>
        <wp:anchor distT="0" distB="0" distL="114300" distR="114300" simplePos="0" relativeHeight="251659264" behindDoc="0" locked="0" layoutInCell="1" allowOverlap="1" wp14:anchorId="3B92853E" wp14:editId="7F0E7FA0">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6A4310BD" wp14:editId="29E606F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D031B9D" w14:textId="77777777" w:rsidR="00AA509E" w:rsidRDefault="00AA509E">
    <w:pPr>
      <w:pStyle w:val="Header"/>
      <w:ind w:left="-1276"/>
      <w:jc w:val="right"/>
    </w:pPr>
  </w:p>
  <w:p w14:paraId="0B47325A" w14:textId="77777777" w:rsidR="00AA509E" w:rsidRDefault="00AA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32662"/>
    <w:multiLevelType w:val="multilevel"/>
    <w:tmpl w:val="74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7"/>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9"/>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8"/>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0" w:nlCheck="1" w:checkStyle="0"/>
  <w:proofState w:spelling="dirty" w:grammar="dirty"/>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1705B"/>
    <w:rsid w:val="00020921"/>
    <w:rsid w:val="0002324B"/>
    <w:rsid w:val="0003393A"/>
    <w:rsid w:val="0003643F"/>
    <w:rsid w:val="000434D8"/>
    <w:rsid w:val="00047B23"/>
    <w:rsid w:val="00061208"/>
    <w:rsid w:val="000675C2"/>
    <w:rsid w:val="000778AA"/>
    <w:rsid w:val="00077A34"/>
    <w:rsid w:val="000933FE"/>
    <w:rsid w:val="00095E07"/>
    <w:rsid w:val="000A1832"/>
    <w:rsid w:val="000A25B5"/>
    <w:rsid w:val="000C7D25"/>
    <w:rsid w:val="000D76E9"/>
    <w:rsid w:val="000D7793"/>
    <w:rsid w:val="000E4431"/>
    <w:rsid w:val="000E6C0E"/>
    <w:rsid w:val="00100309"/>
    <w:rsid w:val="00100D04"/>
    <w:rsid w:val="00110B05"/>
    <w:rsid w:val="00116806"/>
    <w:rsid w:val="00152986"/>
    <w:rsid w:val="001661F4"/>
    <w:rsid w:val="00170A66"/>
    <w:rsid w:val="001752B7"/>
    <w:rsid w:val="00177ABA"/>
    <w:rsid w:val="0018499D"/>
    <w:rsid w:val="00197F0C"/>
    <w:rsid w:val="001A24D1"/>
    <w:rsid w:val="001A3FB5"/>
    <w:rsid w:val="001A4F81"/>
    <w:rsid w:val="001B7909"/>
    <w:rsid w:val="001C2268"/>
    <w:rsid w:val="001C2CB2"/>
    <w:rsid w:val="001C3F10"/>
    <w:rsid w:val="001C603A"/>
    <w:rsid w:val="001D0B70"/>
    <w:rsid w:val="001D304A"/>
    <w:rsid w:val="001D4758"/>
    <w:rsid w:val="001E3DB5"/>
    <w:rsid w:val="001E73AB"/>
    <w:rsid w:val="001F61E7"/>
    <w:rsid w:val="00206D1F"/>
    <w:rsid w:val="00240B44"/>
    <w:rsid w:val="00247D1E"/>
    <w:rsid w:val="00250F88"/>
    <w:rsid w:val="002519F0"/>
    <w:rsid w:val="0027654C"/>
    <w:rsid w:val="0028061E"/>
    <w:rsid w:val="00282C37"/>
    <w:rsid w:val="00296AEF"/>
    <w:rsid w:val="002B0686"/>
    <w:rsid w:val="002B1499"/>
    <w:rsid w:val="002B786F"/>
    <w:rsid w:val="002C13E0"/>
    <w:rsid w:val="002C2D20"/>
    <w:rsid w:val="002E42B3"/>
    <w:rsid w:val="002F22C3"/>
    <w:rsid w:val="002F6CD0"/>
    <w:rsid w:val="003006B6"/>
    <w:rsid w:val="00306ED8"/>
    <w:rsid w:val="00317492"/>
    <w:rsid w:val="003246F9"/>
    <w:rsid w:val="00326760"/>
    <w:rsid w:val="00330364"/>
    <w:rsid w:val="00330BD5"/>
    <w:rsid w:val="003344C3"/>
    <w:rsid w:val="00342A4F"/>
    <w:rsid w:val="003440FE"/>
    <w:rsid w:val="00344CD6"/>
    <w:rsid w:val="003455AF"/>
    <w:rsid w:val="0034624E"/>
    <w:rsid w:val="00370F60"/>
    <w:rsid w:val="00371F0A"/>
    <w:rsid w:val="003722AE"/>
    <w:rsid w:val="00375EDD"/>
    <w:rsid w:val="00386271"/>
    <w:rsid w:val="0039160E"/>
    <w:rsid w:val="0039174C"/>
    <w:rsid w:val="00391CA4"/>
    <w:rsid w:val="00397944"/>
    <w:rsid w:val="003A3623"/>
    <w:rsid w:val="003A699B"/>
    <w:rsid w:val="003B0EC2"/>
    <w:rsid w:val="003C7F5F"/>
    <w:rsid w:val="003D0384"/>
    <w:rsid w:val="003D539B"/>
    <w:rsid w:val="003F1366"/>
    <w:rsid w:val="003F29B5"/>
    <w:rsid w:val="00407D9F"/>
    <w:rsid w:val="00410888"/>
    <w:rsid w:val="00412BCD"/>
    <w:rsid w:val="00414632"/>
    <w:rsid w:val="004167C8"/>
    <w:rsid w:val="00416BF5"/>
    <w:rsid w:val="004333FD"/>
    <w:rsid w:val="00445160"/>
    <w:rsid w:val="00446C35"/>
    <w:rsid w:val="00466718"/>
    <w:rsid w:val="0047563E"/>
    <w:rsid w:val="0047764B"/>
    <w:rsid w:val="0048296C"/>
    <w:rsid w:val="004873E7"/>
    <w:rsid w:val="00487559"/>
    <w:rsid w:val="004946B7"/>
    <w:rsid w:val="004B2F6C"/>
    <w:rsid w:val="004B6C74"/>
    <w:rsid w:val="004D0C74"/>
    <w:rsid w:val="004D7530"/>
    <w:rsid w:val="004E2576"/>
    <w:rsid w:val="005046B5"/>
    <w:rsid w:val="00504DD1"/>
    <w:rsid w:val="0050554C"/>
    <w:rsid w:val="0050636A"/>
    <w:rsid w:val="0051018C"/>
    <w:rsid w:val="0051348F"/>
    <w:rsid w:val="00515E6C"/>
    <w:rsid w:val="00525C97"/>
    <w:rsid w:val="00527271"/>
    <w:rsid w:val="00542E4C"/>
    <w:rsid w:val="00561BAD"/>
    <w:rsid w:val="00563B42"/>
    <w:rsid w:val="005651D9"/>
    <w:rsid w:val="00565971"/>
    <w:rsid w:val="00565C4D"/>
    <w:rsid w:val="00567F55"/>
    <w:rsid w:val="005704EA"/>
    <w:rsid w:val="00573061"/>
    <w:rsid w:val="00584320"/>
    <w:rsid w:val="00586AC8"/>
    <w:rsid w:val="00587661"/>
    <w:rsid w:val="005909E1"/>
    <w:rsid w:val="0059685C"/>
    <w:rsid w:val="005A76D0"/>
    <w:rsid w:val="005B2994"/>
    <w:rsid w:val="005B7C13"/>
    <w:rsid w:val="005C0DD8"/>
    <w:rsid w:val="005C6D45"/>
    <w:rsid w:val="005E15D5"/>
    <w:rsid w:val="005E603D"/>
    <w:rsid w:val="005E79DB"/>
    <w:rsid w:val="005F48AB"/>
    <w:rsid w:val="005F5387"/>
    <w:rsid w:val="0060058E"/>
    <w:rsid w:val="006007A8"/>
    <w:rsid w:val="006027C8"/>
    <w:rsid w:val="0060722F"/>
    <w:rsid w:val="00613264"/>
    <w:rsid w:val="00616140"/>
    <w:rsid w:val="00624394"/>
    <w:rsid w:val="006276B7"/>
    <w:rsid w:val="00636C3A"/>
    <w:rsid w:val="00640B07"/>
    <w:rsid w:val="00642E14"/>
    <w:rsid w:val="006433AC"/>
    <w:rsid w:val="00652CE5"/>
    <w:rsid w:val="00656810"/>
    <w:rsid w:val="00657B52"/>
    <w:rsid w:val="00660A5A"/>
    <w:rsid w:val="00683D4D"/>
    <w:rsid w:val="006848E5"/>
    <w:rsid w:val="0069277B"/>
    <w:rsid w:val="006A604A"/>
    <w:rsid w:val="006C1343"/>
    <w:rsid w:val="006C2A8B"/>
    <w:rsid w:val="006D389F"/>
    <w:rsid w:val="006E328D"/>
    <w:rsid w:val="006E450B"/>
    <w:rsid w:val="006E5037"/>
    <w:rsid w:val="006F123F"/>
    <w:rsid w:val="006F38C9"/>
    <w:rsid w:val="006F5D8C"/>
    <w:rsid w:val="007007AA"/>
    <w:rsid w:val="00700982"/>
    <w:rsid w:val="00702E09"/>
    <w:rsid w:val="00706879"/>
    <w:rsid w:val="00711D3E"/>
    <w:rsid w:val="00714EB4"/>
    <w:rsid w:val="00715E7A"/>
    <w:rsid w:val="0072634A"/>
    <w:rsid w:val="00740165"/>
    <w:rsid w:val="007429B9"/>
    <w:rsid w:val="00775496"/>
    <w:rsid w:val="007762C7"/>
    <w:rsid w:val="007772F5"/>
    <w:rsid w:val="00777BB5"/>
    <w:rsid w:val="0078180D"/>
    <w:rsid w:val="00786750"/>
    <w:rsid w:val="0078729F"/>
    <w:rsid w:val="00791F16"/>
    <w:rsid w:val="00795FC6"/>
    <w:rsid w:val="007C1651"/>
    <w:rsid w:val="007C1923"/>
    <w:rsid w:val="007C1C1C"/>
    <w:rsid w:val="007D4E43"/>
    <w:rsid w:val="007D5724"/>
    <w:rsid w:val="007F461B"/>
    <w:rsid w:val="0081196A"/>
    <w:rsid w:val="0081704B"/>
    <w:rsid w:val="0082098C"/>
    <w:rsid w:val="00822CED"/>
    <w:rsid w:val="00827389"/>
    <w:rsid w:val="0084187F"/>
    <w:rsid w:val="008420AC"/>
    <w:rsid w:val="00845715"/>
    <w:rsid w:val="00854314"/>
    <w:rsid w:val="00862F87"/>
    <w:rsid w:val="008641DE"/>
    <w:rsid w:val="00864AA7"/>
    <w:rsid w:val="00866FFB"/>
    <w:rsid w:val="0087470B"/>
    <w:rsid w:val="00883947"/>
    <w:rsid w:val="0088410F"/>
    <w:rsid w:val="00886204"/>
    <w:rsid w:val="00895004"/>
    <w:rsid w:val="008A2722"/>
    <w:rsid w:val="008D0DDD"/>
    <w:rsid w:val="008D1127"/>
    <w:rsid w:val="008D6BFE"/>
    <w:rsid w:val="008E33E7"/>
    <w:rsid w:val="008F0A47"/>
    <w:rsid w:val="008F0F49"/>
    <w:rsid w:val="008F3997"/>
    <w:rsid w:val="00902050"/>
    <w:rsid w:val="00903160"/>
    <w:rsid w:val="0093041E"/>
    <w:rsid w:val="00934C2F"/>
    <w:rsid w:val="009541EF"/>
    <w:rsid w:val="00971571"/>
    <w:rsid w:val="009719FE"/>
    <w:rsid w:val="00972641"/>
    <w:rsid w:val="009760F8"/>
    <w:rsid w:val="009A169E"/>
    <w:rsid w:val="009A332E"/>
    <w:rsid w:val="009A46E3"/>
    <w:rsid w:val="009A6427"/>
    <w:rsid w:val="009B1640"/>
    <w:rsid w:val="009C4E38"/>
    <w:rsid w:val="009D1DBC"/>
    <w:rsid w:val="009E3529"/>
    <w:rsid w:val="009F02CE"/>
    <w:rsid w:val="009F3397"/>
    <w:rsid w:val="009F60F9"/>
    <w:rsid w:val="009F71C8"/>
    <w:rsid w:val="00A04581"/>
    <w:rsid w:val="00A10064"/>
    <w:rsid w:val="00A241F3"/>
    <w:rsid w:val="00A2676E"/>
    <w:rsid w:val="00A42F8D"/>
    <w:rsid w:val="00A47E51"/>
    <w:rsid w:val="00A60F17"/>
    <w:rsid w:val="00A817AA"/>
    <w:rsid w:val="00A93B80"/>
    <w:rsid w:val="00AA03E7"/>
    <w:rsid w:val="00AA1ADE"/>
    <w:rsid w:val="00AA509E"/>
    <w:rsid w:val="00AA63C9"/>
    <w:rsid w:val="00AA6C0F"/>
    <w:rsid w:val="00AC03E4"/>
    <w:rsid w:val="00AE1260"/>
    <w:rsid w:val="00AE451E"/>
    <w:rsid w:val="00AE5A57"/>
    <w:rsid w:val="00AF24CA"/>
    <w:rsid w:val="00B03F4A"/>
    <w:rsid w:val="00B0405D"/>
    <w:rsid w:val="00B11F0C"/>
    <w:rsid w:val="00B162FD"/>
    <w:rsid w:val="00B209B4"/>
    <w:rsid w:val="00B251DE"/>
    <w:rsid w:val="00B267A7"/>
    <w:rsid w:val="00B348CA"/>
    <w:rsid w:val="00B34F51"/>
    <w:rsid w:val="00B35EB1"/>
    <w:rsid w:val="00B36E5B"/>
    <w:rsid w:val="00B43C4E"/>
    <w:rsid w:val="00B479A0"/>
    <w:rsid w:val="00B55551"/>
    <w:rsid w:val="00B55BF4"/>
    <w:rsid w:val="00B615C8"/>
    <w:rsid w:val="00B64CA3"/>
    <w:rsid w:val="00B708AA"/>
    <w:rsid w:val="00B75C01"/>
    <w:rsid w:val="00B76F04"/>
    <w:rsid w:val="00B93767"/>
    <w:rsid w:val="00B977DD"/>
    <w:rsid w:val="00B9793E"/>
    <w:rsid w:val="00BA010A"/>
    <w:rsid w:val="00BB40B9"/>
    <w:rsid w:val="00BC22B1"/>
    <w:rsid w:val="00BD7B0B"/>
    <w:rsid w:val="00C01524"/>
    <w:rsid w:val="00C02631"/>
    <w:rsid w:val="00C0603D"/>
    <w:rsid w:val="00C14B89"/>
    <w:rsid w:val="00C24B66"/>
    <w:rsid w:val="00C2520F"/>
    <w:rsid w:val="00C279CA"/>
    <w:rsid w:val="00C40CED"/>
    <w:rsid w:val="00C42F84"/>
    <w:rsid w:val="00C5519A"/>
    <w:rsid w:val="00C61A44"/>
    <w:rsid w:val="00C66CC5"/>
    <w:rsid w:val="00C74CB9"/>
    <w:rsid w:val="00C770F9"/>
    <w:rsid w:val="00C7799A"/>
    <w:rsid w:val="00C8028E"/>
    <w:rsid w:val="00C84016"/>
    <w:rsid w:val="00C927F7"/>
    <w:rsid w:val="00C94CDA"/>
    <w:rsid w:val="00CA1186"/>
    <w:rsid w:val="00CB2C0C"/>
    <w:rsid w:val="00CB2E1A"/>
    <w:rsid w:val="00CC23A3"/>
    <w:rsid w:val="00CC7482"/>
    <w:rsid w:val="00CD1ADF"/>
    <w:rsid w:val="00CD4A24"/>
    <w:rsid w:val="00CE4582"/>
    <w:rsid w:val="00CF4CAB"/>
    <w:rsid w:val="00D23E1D"/>
    <w:rsid w:val="00D26B3A"/>
    <w:rsid w:val="00D35F72"/>
    <w:rsid w:val="00D4221F"/>
    <w:rsid w:val="00D4651A"/>
    <w:rsid w:val="00D477DF"/>
    <w:rsid w:val="00D561D8"/>
    <w:rsid w:val="00D5648F"/>
    <w:rsid w:val="00D602B2"/>
    <w:rsid w:val="00D6204F"/>
    <w:rsid w:val="00D75717"/>
    <w:rsid w:val="00D85A13"/>
    <w:rsid w:val="00D92B39"/>
    <w:rsid w:val="00DA0F4B"/>
    <w:rsid w:val="00DA505E"/>
    <w:rsid w:val="00DB4F81"/>
    <w:rsid w:val="00DC584C"/>
    <w:rsid w:val="00DD1F4A"/>
    <w:rsid w:val="00DE7F41"/>
    <w:rsid w:val="00DF3BE4"/>
    <w:rsid w:val="00E06663"/>
    <w:rsid w:val="00E06BFB"/>
    <w:rsid w:val="00E13805"/>
    <w:rsid w:val="00E202B4"/>
    <w:rsid w:val="00E2335C"/>
    <w:rsid w:val="00E2565C"/>
    <w:rsid w:val="00E30A24"/>
    <w:rsid w:val="00E35D4A"/>
    <w:rsid w:val="00E4432A"/>
    <w:rsid w:val="00E6327F"/>
    <w:rsid w:val="00E705E6"/>
    <w:rsid w:val="00E7286C"/>
    <w:rsid w:val="00E837B6"/>
    <w:rsid w:val="00E95571"/>
    <w:rsid w:val="00E96038"/>
    <w:rsid w:val="00EB4CE4"/>
    <w:rsid w:val="00EC1933"/>
    <w:rsid w:val="00ED1018"/>
    <w:rsid w:val="00ED1353"/>
    <w:rsid w:val="00ED185B"/>
    <w:rsid w:val="00ED1EE2"/>
    <w:rsid w:val="00ED2289"/>
    <w:rsid w:val="00EE05CE"/>
    <w:rsid w:val="00EE4D5E"/>
    <w:rsid w:val="00EE77F3"/>
    <w:rsid w:val="00EF6706"/>
    <w:rsid w:val="00EF7509"/>
    <w:rsid w:val="00F0646D"/>
    <w:rsid w:val="00F15F54"/>
    <w:rsid w:val="00F207E1"/>
    <w:rsid w:val="00F33FFD"/>
    <w:rsid w:val="00F36BAB"/>
    <w:rsid w:val="00F43C40"/>
    <w:rsid w:val="00F51AD2"/>
    <w:rsid w:val="00F53B83"/>
    <w:rsid w:val="00F53C73"/>
    <w:rsid w:val="00F5580F"/>
    <w:rsid w:val="00F66929"/>
    <w:rsid w:val="00F74B30"/>
    <w:rsid w:val="00F85222"/>
    <w:rsid w:val="00F85420"/>
    <w:rsid w:val="00F901E9"/>
    <w:rsid w:val="00F92065"/>
    <w:rsid w:val="00F94790"/>
    <w:rsid w:val="00FA327A"/>
    <w:rsid w:val="00FB1B22"/>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D43611"/>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s-ES"/>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s-ES"/>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s-ES"/>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s-ES"/>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s-ES"/>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s-ES"/>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s-ES"/>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s-ES"/>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s-ES"/>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s-ES"/>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s-ES"/>
    </w:rPr>
  </w:style>
  <w:style w:type="character" w:customStyle="1" w:styleId="Heading5Char">
    <w:name w:val="Heading 5 Char"/>
    <w:basedOn w:val="DefaultParagraphFont"/>
    <w:link w:val="Heading5"/>
    <w:rsid w:val="00972641"/>
    <w:rPr>
      <w:rFonts w:ascii="Arial" w:eastAsia="MS Mincho" w:hAnsi="Arial" w:cs="Arial"/>
      <w:sz w:val="22"/>
      <w:szCs w:val="22"/>
      <w:lang w:val="es-ES"/>
    </w:rPr>
  </w:style>
  <w:style w:type="character" w:customStyle="1" w:styleId="Heading6Char">
    <w:name w:val="Heading 6 Char"/>
    <w:basedOn w:val="DefaultParagraphFont"/>
    <w:link w:val="Heading6"/>
    <w:rsid w:val="00972641"/>
    <w:rPr>
      <w:rFonts w:ascii="Arial" w:eastAsia="MS Mincho" w:hAnsi="Arial" w:cs="Arial"/>
      <w:i/>
      <w:iCs/>
      <w:sz w:val="22"/>
      <w:szCs w:val="22"/>
      <w:lang w:val="es-ES"/>
    </w:rPr>
  </w:style>
  <w:style w:type="character" w:customStyle="1" w:styleId="Heading7Char">
    <w:name w:val="Heading 7 Char"/>
    <w:basedOn w:val="DefaultParagraphFont"/>
    <w:link w:val="Heading7"/>
    <w:rsid w:val="00972641"/>
    <w:rPr>
      <w:rFonts w:ascii="Arial" w:eastAsia="MS Mincho" w:hAnsi="Arial" w:cs="Arial"/>
      <w:lang w:val="es-ES"/>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s-ES"/>
    </w:rPr>
  </w:style>
  <w:style w:type="character" w:customStyle="1" w:styleId="Heading9Char">
    <w:name w:val="Heading 9 Char"/>
    <w:basedOn w:val="DefaultParagraphFont"/>
    <w:link w:val="Heading9"/>
    <w:rsid w:val="00972641"/>
    <w:rPr>
      <w:rFonts w:ascii="Arial" w:eastAsia="MS Mincho" w:hAnsi="Arial" w:cs="Arial"/>
      <w:i/>
      <w:iCs/>
      <w:sz w:val="18"/>
      <w:szCs w:val="18"/>
      <w:lang w:val="es-ES"/>
    </w:rPr>
  </w:style>
  <w:style w:type="paragraph" w:customStyle="1" w:styleId="sub-title">
    <w:name w:val="sub-title"/>
    <w:rsid w:val="00972641"/>
    <w:pPr>
      <w:jc w:val="both"/>
      <w:outlineLvl w:val="0"/>
    </w:pPr>
    <w:rPr>
      <w:rFonts w:ascii="Times New Roman" w:eastAsia="MS Mincho" w:hAnsi="Times New Roman" w:cs="Times New Roman"/>
      <w:b/>
      <w:bCs/>
      <w:noProof/>
      <w:lang w:val="es-E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s-ES"/>
    </w:rPr>
  </w:style>
  <w:style w:type="paragraph" w:customStyle="1" w:styleId="Decision">
    <w:name w:val="Decision"/>
    <w:basedOn w:val="Normal"/>
    <w:rsid w:val="00972641"/>
    <w:pPr>
      <w:keepLines/>
      <w:jc w:val="right"/>
    </w:pPr>
    <w:rPr>
      <w:rFonts w:ascii="Times New Roman" w:eastAsia="MS Mincho" w:hAnsi="Times New Roman" w:cs="Times New Roman"/>
      <w:b/>
      <w:bCs/>
      <w:lang w:val="es-ES"/>
    </w:rPr>
  </w:style>
  <w:style w:type="paragraph" w:customStyle="1" w:styleId="0Heading0">
    <w:name w:val="0 Heading 0"/>
    <w:rsid w:val="00972641"/>
    <w:rPr>
      <w:rFonts w:ascii="Times New Roman" w:eastAsia="MS Mincho" w:hAnsi="Times New Roman" w:cs="Times New Roman"/>
      <w:lang w:val="es-ES"/>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s-ES"/>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s-ES"/>
    </w:rPr>
  </w:style>
  <w:style w:type="character" w:customStyle="1" w:styleId="BodyTextChar">
    <w:name w:val="Body Text Char"/>
    <w:basedOn w:val="DefaultParagraphFont"/>
    <w:link w:val="BodyText"/>
    <w:rsid w:val="00972641"/>
    <w:rPr>
      <w:rFonts w:ascii="Times New Roman" w:eastAsia="MS Mincho" w:hAnsi="Times New Roman" w:cs="Times New Roman"/>
      <w:lang w:val="es-ES"/>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s-ES"/>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s-ES"/>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s-ES"/>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s-ES"/>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s-ES"/>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s-ES"/>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s-ES"/>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s-ES"/>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s-ES"/>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s-ES"/>
    </w:rPr>
  </w:style>
  <w:style w:type="paragraph" w:styleId="Closing">
    <w:name w:val="Closing"/>
    <w:basedOn w:val="Normal"/>
    <w:link w:val="ClosingChar"/>
    <w:rsid w:val="00972641"/>
    <w:pPr>
      <w:ind w:left="4320"/>
      <w:jc w:val="both"/>
    </w:pPr>
    <w:rPr>
      <w:rFonts w:ascii="Times New Roman" w:eastAsia="MS Mincho" w:hAnsi="Times New Roman" w:cs="Times New Roman"/>
      <w:lang w:val="es-ES"/>
    </w:rPr>
  </w:style>
  <w:style w:type="character" w:customStyle="1" w:styleId="ClosingChar">
    <w:name w:val="Closing Char"/>
    <w:basedOn w:val="DefaultParagraphFont"/>
    <w:link w:val="Closing"/>
    <w:rsid w:val="00972641"/>
    <w:rPr>
      <w:rFonts w:ascii="Times New Roman" w:eastAsia="MS Mincho" w:hAnsi="Times New Roman" w:cs="Times New Roman"/>
      <w:lang w:val="es-ES"/>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s-ES"/>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s-ES"/>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s-ES"/>
    </w:rPr>
  </w:style>
  <w:style w:type="paragraph" w:styleId="EnvelopeReturn">
    <w:name w:val="envelope return"/>
    <w:basedOn w:val="Normal"/>
    <w:rsid w:val="00972641"/>
    <w:pPr>
      <w:jc w:val="both"/>
    </w:pPr>
    <w:rPr>
      <w:rFonts w:ascii="Arial" w:eastAsia="MS Mincho" w:hAnsi="Arial" w:cs="Arial"/>
      <w:sz w:val="20"/>
      <w:szCs w:val="20"/>
      <w:lang w:val="es-ES"/>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s-ES"/>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s-ES"/>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s-ES"/>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s-ES"/>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s-ES"/>
    </w:rPr>
  </w:style>
  <w:style w:type="paragraph" w:styleId="List2">
    <w:name w:val="List 2"/>
    <w:basedOn w:val="Normal"/>
    <w:rsid w:val="00972641"/>
    <w:pPr>
      <w:ind w:left="720" w:hanging="360"/>
      <w:jc w:val="both"/>
    </w:pPr>
    <w:rPr>
      <w:rFonts w:ascii="Times New Roman" w:eastAsia="MS Mincho" w:hAnsi="Times New Roman" w:cs="Times New Roman"/>
      <w:lang w:val="es-ES"/>
    </w:rPr>
  </w:style>
  <w:style w:type="paragraph" w:styleId="List3">
    <w:name w:val="List 3"/>
    <w:basedOn w:val="Normal"/>
    <w:rsid w:val="00972641"/>
    <w:pPr>
      <w:ind w:left="1080" w:hanging="360"/>
      <w:jc w:val="both"/>
    </w:pPr>
    <w:rPr>
      <w:rFonts w:ascii="Times New Roman" w:eastAsia="MS Mincho" w:hAnsi="Times New Roman" w:cs="Times New Roman"/>
      <w:lang w:val="es-ES"/>
    </w:rPr>
  </w:style>
  <w:style w:type="paragraph" w:styleId="List4">
    <w:name w:val="List 4"/>
    <w:basedOn w:val="Normal"/>
    <w:rsid w:val="00972641"/>
    <w:pPr>
      <w:ind w:left="1440" w:hanging="360"/>
      <w:jc w:val="both"/>
    </w:pPr>
    <w:rPr>
      <w:rFonts w:ascii="Times New Roman" w:eastAsia="MS Mincho" w:hAnsi="Times New Roman" w:cs="Times New Roman"/>
      <w:lang w:val="es-ES"/>
    </w:rPr>
  </w:style>
  <w:style w:type="paragraph" w:styleId="List5">
    <w:name w:val="List 5"/>
    <w:basedOn w:val="Normal"/>
    <w:rsid w:val="00972641"/>
    <w:pPr>
      <w:ind w:left="1800" w:hanging="360"/>
      <w:jc w:val="both"/>
    </w:pPr>
    <w:rPr>
      <w:rFonts w:ascii="Times New Roman" w:eastAsia="MS Mincho" w:hAnsi="Times New Roman" w:cs="Times New Roman"/>
      <w:lang w:val="es-ES"/>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s-ES"/>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s-ES"/>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s-ES"/>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s-ES"/>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s-ES"/>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s-ES"/>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s-ES"/>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s-ES"/>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s-ES"/>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s-ES"/>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s-ES"/>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s-ES"/>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s-ES"/>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s-ES"/>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s-ES"/>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s-ES"/>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s-ES"/>
    </w:rPr>
  </w:style>
  <w:style w:type="paragraph" w:styleId="NormalWeb">
    <w:name w:val="Normal (Web)"/>
    <w:basedOn w:val="Normal"/>
    <w:uiPriority w:val="99"/>
    <w:rsid w:val="00972641"/>
    <w:pPr>
      <w:jc w:val="both"/>
    </w:pPr>
    <w:rPr>
      <w:rFonts w:ascii="Times New Roman" w:eastAsia="MS Mincho" w:hAnsi="Times New Roman" w:cs="Times New Roman"/>
      <w:lang w:val="es-ES"/>
    </w:rPr>
  </w:style>
  <w:style w:type="paragraph" w:styleId="NormalIndent">
    <w:name w:val="Normal Indent"/>
    <w:basedOn w:val="Normal"/>
    <w:rsid w:val="00972641"/>
    <w:pPr>
      <w:ind w:left="720"/>
      <w:jc w:val="both"/>
    </w:pPr>
    <w:rPr>
      <w:rFonts w:ascii="Times New Roman" w:eastAsia="MS Mincho" w:hAnsi="Times New Roman" w:cs="Times New Roman"/>
      <w:lang w:val="es-ES"/>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s-ES"/>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s-ES"/>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s-ES"/>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s-ES"/>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s-ES"/>
    </w:rPr>
  </w:style>
  <w:style w:type="character" w:customStyle="1" w:styleId="SalutationChar">
    <w:name w:val="Salutation Char"/>
    <w:basedOn w:val="DefaultParagraphFont"/>
    <w:link w:val="Salutation"/>
    <w:rsid w:val="00972641"/>
    <w:rPr>
      <w:rFonts w:ascii="Times New Roman" w:eastAsia="MS Mincho" w:hAnsi="Times New Roman" w:cs="Times New Roman"/>
      <w:lang w:val="es-ES"/>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s-ES"/>
    </w:rPr>
  </w:style>
  <w:style w:type="character" w:customStyle="1" w:styleId="SignatureChar">
    <w:name w:val="Signature Char"/>
    <w:basedOn w:val="DefaultParagraphFont"/>
    <w:link w:val="Signature"/>
    <w:rsid w:val="00972641"/>
    <w:rPr>
      <w:rFonts w:ascii="Times New Roman" w:eastAsia="MS Mincho" w:hAnsi="Times New Roman" w:cs="Times New Roman"/>
      <w:lang w:val="es-ES"/>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s-ES"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s-ES"/>
    </w:rPr>
  </w:style>
  <w:style w:type="paragraph" w:styleId="BalloonText">
    <w:name w:val="Balloon Text"/>
    <w:basedOn w:val="Normal"/>
    <w:link w:val="BalloonTextChar"/>
    <w:rsid w:val="00972641"/>
    <w:pPr>
      <w:jc w:val="both"/>
    </w:pPr>
    <w:rPr>
      <w:rFonts w:ascii="Tahoma" w:eastAsia="MS Mincho" w:hAnsi="Tahoma" w:cs="Tahoma"/>
      <w:sz w:val="16"/>
      <w:szCs w:val="16"/>
      <w:lang w:val="es-ES"/>
    </w:rPr>
  </w:style>
  <w:style w:type="character" w:customStyle="1" w:styleId="BalloonTextChar">
    <w:name w:val="Balloon Text Char"/>
    <w:basedOn w:val="DefaultParagraphFont"/>
    <w:link w:val="BalloonText"/>
    <w:rsid w:val="00972641"/>
    <w:rPr>
      <w:rFonts w:ascii="Tahoma" w:eastAsia="MS Mincho" w:hAnsi="Tahoma" w:cs="Tahoma"/>
      <w:sz w:val="16"/>
      <w:szCs w:val="16"/>
      <w:lang w:val="es-ES"/>
    </w:rPr>
  </w:style>
  <w:style w:type="paragraph" w:customStyle="1" w:styleId="IBackground">
    <w:name w:val="I. Background"/>
    <w:basedOn w:val="FIRST"/>
    <w:rsid w:val="00972641"/>
    <w:pPr>
      <w:spacing w:after="240"/>
    </w:pPr>
    <w:rPr>
      <w:lang w:val="es-E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s-E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s-E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s-ES"/>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s-ES"/>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s-ES"/>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s-ES"/>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s-ES"/>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s-ES"/>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s-ES"/>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s-ES"/>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s-ES"/>
    </w:rPr>
  </w:style>
  <w:style w:type="paragraph" w:customStyle="1" w:styleId="Titre1">
    <w:name w:val="Titre 1"/>
    <w:basedOn w:val="Normal"/>
    <w:rsid w:val="00972641"/>
    <w:rPr>
      <w:rFonts w:ascii="Times New Roman" w:eastAsia="MS Mincho" w:hAnsi="Times New Roman" w:cs="Times New Roman"/>
      <w:lang w:val="es-ES"/>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s-ES"/>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s-ES"/>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s-ES"/>
    </w:rPr>
  </w:style>
  <w:style w:type="character" w:customStyle="1" w:styleId="BodyText2Char">
    <w:name w:val="Body Text 2 Char"/>
    <w:basedOn w:val="DefaultParagraphFont"/>
    <w:link w:val="BodyText2"/>
    <w:rsid w:val="00972641"/>
    <w:rPr>
      <w:rFonts w:ascii="Times New Roman" w:eastAsia="MS Mincho" w:hAnsi="Times New Roman" w:cs="Times New Roman"/>
      <w:lang w:val="es-ES"/>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s-E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s-E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s-E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s-ES"/>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s-ES"/>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es-ES"/>
    </w:rPr>
  </w:style>
  <w:style w:type="character" w:customStyle="1" w:styleId="Style1-level-1Char">
    <w:name w:val="Style1-level-1 Char"/>
    <w:link w:val="Style1-level-1"/>
    <w:rsid w:val="00972641"/>
    <w:rPr>
      <w:rFonts w:ascii="Times New Roman Bold" w:eastAsia="MS Mincho" w:hAnsi="Times New Roman Bold" w:cs="Times New Roman"/>
      <w:b/>
      <w:sz w:val="22"/>
      <w:lang w:val="es-ES"/>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s-E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s-E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s-E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es-ES"/>
    </w:rPr>
  </w:style>
  <w:style w:type="paragraph" w:customStyle="1" w:styleId="Style3-level-3">
    <w:name w:val="Style3-level-3"/>
    <w:basedOn w:val="Style1-level-1"/>
    <w:rsid w:val="00972641"/>
    <w:rPr>
      <w:rFonts w:ascii="Times New Roman" w:hAnsi="Times New Roman"/>
      <w:sz w:val="24"/>
      <w:lang w:val="es-ES"/>
    </w:rPr>
  </w:style>
  <w:style w:type="character" w:customStyle="1" w:styleId="Style1-LP-1Char">
    <w:name w:val="Style1-LP-1 Char"/>
    <w:rsid w:val="00972641"/>
    <w:rPr>
      <w:b/>
      <w:sz w:val="24"/>
      <w:szCs w:val="22"/>
      <w:lang w:val="es-ES"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s-E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s-E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s-ES"/>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s-E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s-ES"/>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es-ES"/>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s-E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s-E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s-E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s-E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s-E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s-ES"/>
    </w:rPr>
  </w:style>
  <w:style w:type="paragraph" w:styleId="IndexHeading">
    <w:name w:val="index heading"/>
    <w:basedOn w:val="Normal"/>
    <w:next w:val="Normal"/>
    <w:semiHidden/>
    <w:rsid w:val="00972641"/>
    <w:rPr>
      <w:rFonts w:ascii="Times New Roman" w:eastAsia="MS Mincho" w:hAnsi="Times New Roman" w:cs="Times New Roman"/>
      <w:lang w:val="es-E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s-E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s-E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s-E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s-E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s-E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s-E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s-ES"/>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s-E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es-ES"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es-ES"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s-E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es-ES"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es-ES"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s-E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s-ES"/>
    </w:rPr>
  </w:style>
  <w:style w:type="paragraph" w:customStyle="1" w:styleId="a0">
    <w:name w:val="変更箇所"/>
    <w:hidden/>
    <w:uiPriority w:val="99"/>
    <w:semiHidden/>
    <w:rsid w:val="00972641"/>
    <w:rPr>
      <w:rFonts w:ascii="Times New Roman" w:eastAsia="MS Mincho" w:hAnsi="Times New Roman" w:cs="Times New Roman"/>
      <w:lang w:val="es-ES"/>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s-E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s-ES"/>
    </w:rPr>
  </w:style>
  <w:style w:type="character" w:customStyle="1" w:styleId="CharChar1">
    <w:name w:val="Char Char1"/>
    <w:rsid w:val="00972641"/>
    <w:rPr>
      <w:sz w:val="24"/>
      <w:szCs w:val="24"/>
      <w:lang w:val="es-ES"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s-ES"/>
    </w:rPr>
  </w:style>
  <w:style w:type="table" w:styleId="TableSimple3">
    <w:name w:val="Table Simple 3"/>
    <w:basedOn w:val="TableNormal"/>
    <w:rsid w:val="00972641"/>
    <w:pPr>
      <w:jc w:val="both"/>
    </w:pPr>
    <w:rPr>
      <w:rFonts w:ascii="Times New Roman" w:eastAsia="MS Mincho" w:hAnsi="Times New Roman" w:cs="Times New Roman"/>
      <w:sz w:val="20"/>
      <w:szCs w:val="20"/>
      <w:lang w:val="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s-E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s-ES"/>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s-E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s-ES"/>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693337100">
      <w:bodyDiv w:val="1"/>
      <w:marLeft w:val="0"/>
      <w:marRight w:val="0"/>
      <w:marTop w:val="0"/>
      <w:marBottom w:val="0"/>
      <w:divBdr>
        <w:top w:val="none" w:sz="0" w:space="0" w:color="auto"/>
        <w:left w:val="none" w:sz="0" w:space="0" w:color="auto"/>
        <w:bottom w:val="none" w:sz="0" w:space="0" w:color="auto"/>
        <w:right w:val="none" w:sz="0" w:space="0" w:color="auto"/>
      </w:divBdr>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9DAB-6910-495F-AFB2-179AAA78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biodiversity in the infrastructure sector</vt:lpstr>
      <vt:lpstr/>
    </vt:vector>
  </TitlesOfParts>
  <Company>SCBD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biodiversity in the infrastructure sector</dc:title>
  <dc:creator>Paola Guadalupe  Lino Torres</dc:creator>
  <cp:lastModifiedBy>Veronique Lefebvre</cp:lastModifiedBy>
  <cp:revision>3</cp:revision>
  <cp:lastPrinted>2016-10-24T15:05:00Z</cp:lastPrinted>
  <dcterms:created xsi:type="dcterms:W3CDTF">2018-10-22T19:59:00Z</dcterms:created>
  <dcterms:modified xsi:type="dcterms:W3CDTF">2018-10-22T19:59:00Z</dcterms:modified>
</cp:coreProperties>
</file>