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82" w:type="dxa"/>
        <w:tblInd w:w="-283" w:type="dxa"/>
        <w:tblLayout w:type="fixed"/>
        <w:tblLook w:val="0000" w:firstRow="0" w:lastRow="0" w:firstColumn="0" w:lastColumn="0" w:noHBand="0" w:noVBand="0"/>
      </w:tblPr>
      <w:tblGrid>
        <w:gridCol w:w="975"/>
        <w:gridCol w:w="1434"/>
        <w:gridCol w:w="8073"/>
      </w:tblGrid>
      <w:tr w:rsidR="001065E9" w:rsidRPr="00D16F38" w14:paraId="139A89C9" w14:textId="77777777" w:rsidTr="001065E9">
        <w:trPr>
          <w:trHeight w:val="850"/>
        </w:trPr>
        <w:tc>
          <w:tcPr>
            <w:tcW w:w="975" w:type="dxa"/>
            <w:vAlign w:val="bottom"/>
          </w:tcPr>
          <w:p w14:paraId="558375E6" w14:textId="77777777" w:rsidR="005012FC" w:rsidRPr="00D16F38" w:rsidRDefault="005012FC" w:rsidP="005012FC">
            <w:pPr>
              <w:pStyle w:val="AASmallLogo"/>
            </w:pPr>
            <w:r>
              <w:rPr>
                <w:noProof/>
                <w:lang w:val="en-US"/>
              </w:rPr>
              <w:drawing>
                <wp:inline distT="0" distB="0" distL="0" distR="0" wp14:anchorId="108C7E4C" wp14:editId="78D5F55C">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2F4ED89D" w14:textId="77777777" w:rsidR="001065E9" w:rsidRPr="00D16F38" w:rsidRDefault="001065E9" w:rsidP="005012FC">
            <w:pPr>
              <w:pStyle w:val="AASmallLogo"/>
            </w:pPr>
          </w:p>
        </w:tc>
        <w:tc>
          <w:tcPr>
            <w:tcW w:w="1434" w:type="dxa"/>
            <w:noWrap/>
            <w:vAlign w:val="bottom"/>
          </w:tcPr>
          <w:p w14:paraId="7ED8D3A0" w14:textId="472D2FDB" w:rsidR="005012FC" w:rsidRPr="00D16F38" w:rsidRDefault="00762AB7" w:rsidP="005012FC">
            <w:pPr>
              <w:pStyle w:val="AASmallLogo"/>
            </w:pPr>
            <w:r w:rsidRPr="00794E83">
              <w:rPr>
                <w:noProof/>
                <w:lang w:val="en-US"/>
                <w14:ligatures w14:val="standardContextual"/>
              </w:rPr>
              <w:drawing>
                <wp:inline distT="0" distB="0" distL="0" distR="0" wp14:anchorId="2B91B7BB" wp14:editId="10424C3D">
                  <wp:extent cx="611015" cy="349151"/>
                  <wp:effectExtent l="0" t="0" r="0" b="0"/>
                  <wp:docPr id="1111614573"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2">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r w:rsidR="005012FC">
              <w:t xml:space="preserve"> </w:t>
            </w:r>
          </w:p>
          <w:p w14:paraId="5F3BA419" w14:textId="77777777" w:rsidR="001065E9" w:rsidRPr="00D16F38" w:rsidRDefault="001065E9" w:rsidP="005012FC">
            <w:pPr>
              <w:pStyle w:val="AASmallLogo"/>
            </w:pPr>
          </w:p>
        </w:tc>
        <w:tc>
          <w:tcPr>
            <w:tcW w:w="8073" w:type="dxa"/>
            <w:vAlign w:val="bottom"/>
          </w:tcPr>
          <w:p w14:paraId="0E134068" w14:textId="3644175E" w:rsidR="001065E9" w:rsidRPr="00D16F38" w:rsidRDefault="009C0BBB" w:rsidP="00CA0389">
            <w:pPr>
              <w:pStyle w:val="ABSymbol"/>
            </w:pPr>
            <w:r>
              <w:rPr>
                <w:sz w:val="40"/>
              </w:rPr>
              <w:t>CBD</w:t>
            </w:r>
            <w:r>
              <w:t>/SBSTTA/27/6</w:t>
            </w:r>
          </w:p>
        </w:tc>
      </w:tr>
    </w:tbl>
    <w:p w14:paraId="2AA499BF" w14:textId="77777777" w:rsidR="009F67EB" w:rsidRPr="00D16F38"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D16F38" w14:paraId="09B77170" w14:textId="77777777" w:rsidTr="001065E9">
        <w:trPr>
          <w:trHeight w:val="1814"/>
        </w:trPr>
        <w:tc>
          <w:tcPr>
            <w:tcW w:w="7370" w:type="dxa"/>
          </w:tcPr>
          <w:p w14:paraId="07AAF0EF" w14:textId="234FE29D" w:rsidR="005012FC" w:rsidRPr="00D16F38" w:rsidRDefault="00762AB7" w:rsidP="005012FC">
            <w:pPr>
              <w:pStyle w:val="ACLargeLogo"/>
            </w:pPr>
            <w:r>
              <w:rPr>
                <w:noProof/>
                <w:lang w:val="en-US"/>
              </w:rPr>
              <w:drawing>
                <wp:inline distT="0" distB="0" distL="0" distR="0" wp14:anchorId="4AB57628" wp14:editId="2E82AB95">
                  <wp:extent cx="2755631" cy="1013099"/>
                  <wp:effectExtent l="0" t="0" r="6985" b="0"/>
                  <wp:docPr id="1146546960" name="Picture 3"/>
                  <wp:cNvGraphicFramePr/>
                  <a:graphic xmlns:a="http://schemas.openxmlformats.org/drawingml/2006/main">
                    <a:graphicData uri="http://schemas.openxmlformats.org/drawingml/2006/picture">
                      <pic:pic xmlns:pic="http://schemas.openxmlformats.org/drawingml/2006/picture">
                        <pic:nvPicPr>
                          <pic:cNvPr id="1146546960"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5012FC">
              <w:t xml:space="preserve"> </w:t>
            </w:r>
          </w:p>
          <w:p w14:paraId="43E9AB4F" w14:textId="77777777" w:rsidR="001065E9" w:rsidRPr="00D16F38" w:rsidRDefault="001065E9" w:rsidP="005012FC">
            <w:pPr>
              <w:pStyle w:val="ACLargeLogo"/>
            </w:pPr>
          </w:p>
        </w:tc>
        <w:tc>
          <w:tcPr>
            <w:tcW w:w="3112" w:type="dxa"/>
          </w:tcPr>
          <w:p w14:paraId="765DCF29" w14:textId="77777777" w:rsidR="005012FC" w:rsidRPr="00D16F38" w:rsidRDefault="005012FC" w:rsidP="005012FC">
            <w:pPr>
              <w:pStyle w:val="AEDistrNormal"/>
            </w:pPr>
            <w:r>
              <w:t>Distr. general</w:t>
            </w:r>
          </w:p>
          <w:p w14:paraId="07E15374" w14:textId="4430B227" w:rsidR="005012FC" w:rsidRPr="00D16F38" w:rsidRDefault="00E513EF" w:rsidP="005012FC">
            <w:pPr>
              <w:pStyle w:val="AEDistrNormal"/>
            </w:pPr>
            <w:r>
              <w:t>15 de julio de 2025</w:t>
            </w:r>
          </w:p>
          <w:p w14:paraId="66696826" w14:textId="77777777" w:rsidR="005012FC" w:rsidRPr="00D16F38" w:rsidRDefault="005012FC" w:rsidP="005012FC">
            <w:pPr>
              <w:pStyle w:val="AEDistrNormal"/>
            </w:pPr>
            <w:r>
              <w:t>Español</w:t>
            </w:r>
            <w:r>
              <w:br/>
              <w:t xml:space="preserve">Original: inglés </w:t>
            </w:r>
          </w:p>
          <w:p w14:paraId="74CD7968" w14:textId="77777777" w:rsidR="001065E9" w:rsidRPr="00D16F38" w:rsidRDefault="001065E9" w:rsidP="005012FC">
            <w:pPr>
              <w:pStyle w:val="AEDistrNormal6pt"/>
            </w:pPr>
          </w:p>
        </w:tc>
      </w:tr>
    </w:tbl>
    <w:p w14:paraId="5D878378" w14:textId="77777777" w:rsidR="001065E9" w:rsidRPr="00D16F38"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D16F38" w14:paraId="5FBB0DB2" w14:textId="77777777" w:rsidTr="001065E9">
        <w:trPr>
          <w:trHeight w:val="57"/>
        </w:trPr>
        <w:tc>
          <w:tcPr>
            <w:tcW w:w="6094" w:type="dxa"/>
          </w:tcPr>
          <w:p w14:paraId="32CB6BC2" w14:textId="77777777" w:rsidR="005012FC" w:rsidRPr="00D16F38" w:rsidRDefault="005012FC" w:rsidP="005012FC">
            <w:pPr>
              <w:pStyle w:val="AFCorN12Bold"/>
            </w:pPr>
            <w:r>
              <w:t>Órgano Subsidiario de Asesoramiento</w:t>
            </w:r>
            <w:r>
              <w:br/>
              <w:t>Científico, Técnico y Tecnológico</w:t>
            </w:r>
          </w:p>
          <w:p w14:paraId="40F1D129" w14:textId="77777777" w:rsidR="005012FC" w:rsidRPr="00D16F38" w:rsidRDefault="00962822" w:rsidP="005012FC">
            <w:pPr>
              <w:pStyle w:val="AFCorNBold"/>
            </w:pPr>
            <w:r>
              <w:t xml:space="preserve">27ª reunión </w:t>
            </w:r>
          </w:p>
          <w:p w14:paraId="17F1EA03" w14:textId="46BBCCEA" w:rsidR="005012FC" w:rsidRPr="00D16F38" w:rsidRDefault="00962822" w:rsidP="005012FC">
            <w:pPr>
              <w:pStyle w:val="AFCorNNormal"/>
            </w:pPr>
            <w:r>
              <w:t xml:space="preserve">Panamá, 20 a 24 de octubre de 2025 </w:t>
            </w:r>
          </w:p>
          <w:p w14:paraId="36AB3FF2" w14:textId="5355EACA" w:rsidR="005012FC" w:rsidRPr="00D16F38" w:rsidRDefault="005012FC" w:rsidP="005012FC">
            <w:pPr>
              <w:pStyle w:val="AFCorNNormal"/>
            </w:pPr>
            <w:r>
              <w:t>Tema 7 del programa provisional</w:t>
            </w:r>
            <w:r w:rsidR="00CA0389">
              <w:rPr>
                <w:rStyle w:val="FootnoteReference"/>
              </w:rPr>
              <w:footnoteReference w:customMarkFollows="1" w:id="1"/>
              <w:t>*</w:t>
            </w:r>
          </w:p>
          <w:p w14:paraId="62C0EBFF" w14:textId="0A39AA9C" w:rsidR="001065E9" w:rsidRPr="00D16F38" w:rsidRDefault="0009421D" w:rsidP="00B1090B">
            <w:pPr>
              <w:pStyle w:val="AFCorNBold"/>
              <w:spacing w:after="120"/>
            </w:pPr>
            <w:r>
              <w:t>Evaluación del riesgo y gestión del riesgo</w:t>
            </w:r>
            <w:bookmarkStart w:id="0" w:name="_GoBack"/>
            <w:bookmarkEnd w:id="0"/>
          </w:p>
        </w:tc>
        <w:tc>
          <w:tcPr>
            <w:tcW w:w="4388" w:type="dxa"/>
          </w:tcPr>
          <w:p w14:paraId="1E2A819C" w14:textId="77777777" w:rsidR="001065E9" w:rsidRPr="00D16F38" w:rsidRDefault="001065E9" w:rsidP="001065E9">
            <w:pPr>
              <w:pStyle w:val="CBDNormal"/>
              <w:jc w:val="left"/>
            </w:pPr>
          </w:p>
        </w:tc>
      </w:tr>
    </w:tbl>
    <w:sdt>
      <w:sdtPr>
        <w:rPr>
          <w:rFonts w:ascii="Times New Roman Bold" w:hAnsi="Times New Roman Bold"/>
          <w:spacing w:val="-2"/>
        </w:rPr>
        <w:alias w:val="Title"/>
        <w:tag w:val=""/>
        <w:id w:val="-591865594"/>
        <w:placeholder>
          <w:docPart w:val="D176974CAE7F4C98B024CDADEBC38C0E"/>
        </w:placeholder>
        <w:dataBinding w:prefixMappings="xmlns:ns0='http://purl.org/dc/elements/1.1/' xmlns:ns1='http://schemas.openxmlformats.org/package/2006/metadata/core-properties' " w:xpath="/ns1:coreProperties[1]/ns0:title[1]" w:storeItemID="{6C3C8BC8-F283-45AE-878A-BAB7291924A1}"/>
        <w:text/>
      </w:sdtPr>
      <w:sdtEndPr/>
      <w:sdtContent>
        <w:p w14:paraId="26093F35" w14:textId="4765481A" w:rsidR="001065E9" w:rsidRPr="00184202" w:rsidRDefault="00762AB7" w:rsidP="003B142D">
          <w:pPr>
            <w:pStyle w:val="CBDTitle"/>
            <w:rPr>
              <w:rFonts w:ascii="Times New Roman Bold" w:hAnsi="Times New Roman Bold" w:hint="eastAsia"/>
              <w:spacing w:val="-2"/>
            </w:rPr>
          </w:pPr>
          <w:r w:rsidRPr="00184202">
            <w:rPr>
              <w:rFonts w:ascii="Times New Roman Bold" w:hAnsi="Times New Roman Bold"/>
              <w:spacing w:val="-2"/>
            </w:rPr>
            <w:t>Evaluación del r</w:t>
          </w:r>
          <w:r w:rsidR="00821AED" w:rsidRPr="00184202">
            <w:rPr>
              <w:rFonts w:ascii="Times New Roman Bold" w:hAnsi="Times New Roman Bold"/>
              <w:spacing w:val="-2"/>
            </w:rPr>
            <w:t>i</w:t>
          </w:r>
          <w:r w:rsidRPr="00184202">
            <w:rPr>
              <w:rFonts w:ascii="Times New Roman Bold" w:hAnsi="Times New Roman Bold"/>
              <w:spacing w:val="-2"/>
            </w:rPr>
            <w:t>e</w:t>
          </w:r>
          <w:r w:rsidR="00821AED" w:rsidRPr="00184202">
            <w:rPr>
              <w:rFonts w:ascii="Times New Roman Bold" w:hAnsi="Times New Roman Bold"/>
              <w:spacing w:val="-2"/>
            </w:rPr>
            <w:t>s</w:t>
          </w:r>
          <w:r w:rsidRPr="00184202">
            <w:rPr>
              <w:rFonts w:ascii="Times New Roman Bold" w:hAnsi="Times New Roman Bold"/>
              <w:spacing w:val="-2"/>
            </w:rPr>
            <w:t>go y gestión del riesgo de organismos vivos modificados</w:t>
          </w:r>
        </w:p>
      </w:sdtContent>
    </w:sdt>
    <w:p w14:paraId="25EA73CB" w14:textId="6A6213F3" w:rsidR="00D4364D" w:rsidRPr="00D16F38" w:rsidRDefault="00D4364D" w:rsidP="00B1090B">
      <w:pPr>
        <w:pStyle w:val="CBDSubTitle"/>
      </w:pPr>
      <w:r>
        <w:t>Nota de la Secretaría</w:t>
      </w:r>
    </w:p>
    <w:p w14:paraId="0632D488" w14:textId="0A11C327" w:rsidR="00441CCC" w:rsidRPr="00D16F38" w:rsidRDefault="00D4364D" w:rsidP="00B1090B">
      <w:pPr>
        <w:pStyle w:val="CBDH1"/>
      </w:pPr>
      <w:r>
        <w:t>I.</w:t>
      </w:r>
      <w:r>
        <w:tab/>
        <w:t>Antecedentes</w:t>
      </w:r>
    </w:p>
    <w:p w14:paraId="5382CE51" w14:textId="7412BBF0" w:rsidR="00664670" w:rsidRPr="00D16F38" w:rsidRDefault="00664670" w:rsidP="00D312AB">
      <w:pPr>
        <w:pStyle w:val="CBDNormalNumber"/>
      </w:pPr>
      <w:r>
        <w:t>En su decisión </w:t>
      </w:r>
      <w:hyperlink r:id="rId14" w:history="1">
        <w:r>
          <w:rPr>
            <w:rStyle w:val="Hyperlink"/>
          </w:rPr>
          <w:t>CP-11/7</w:t>
        </w:r>
      </w:hyperlink>
      <w:r>
        <w:t>, la Conferencia de las Partes que actúa como reunión de las Partes en el Protocolo de Cartagena sobre Seguridad de la Biotecnología</w:t>
      </w:r>
      <w:r w:rsidR="00D312AB">
        <w:t xml:space="preserve"> </w:t>
      </w:r>
      <w:r w:rsidR="00D312AB" w:rsidRPr="00D312AB">
        <w:t>del Convenio sobre la Diversidad Biológica</w:t>
      </w:r>
      <w:r>
        <w:t xml:space="preserve"> invitó a las Partes a presentar información detallada sobre sus necesidades y prioridades con respecto a más materiales de orientación sobre temas específicos de evaluación del riesgo de organismos vivos modificados, con una justificación basada en los criterios establecidos en el anexo I de la decisión </w:t>
      </w:r>
      <w:hyperlink r:id="rId15" w:history="1">
        <w:r>
          <w:rPr>
            <w:rStyle w:val="Hyperlink"/>
          </w:rPr>
          <w:t>CP-9/13</w:t>
        </w:r>
      </w:hyperlink>
      <w:r>
        <w:t xml:space="preserve">. </w:t>
      </w:r>
    </w:p>
    <w:p w14:paraId="5C31DD01" w14:textId="06E0FD3A" w:rsidR="00664670" w:rsidRPr="00B1090B" w:rsidRDefault="00D312AB" w:rsidP="00E63EF6">
      <w:pPr>
        <w:pStyle w:val="CBDNormalNumber"/>
        <w:rPr>
          <w:rFonts w:ascii="TimesNewRomanPSMT" w:eastAsiaTheme="minorHAnsi" w:hAnsi="TimesNewRomanPSMT" w:cs="TimesNewRomanPSMT"/>
          <w:color w:val="000000"/>
          <w14:ligatures w14:val="standardContextual"/>
        </w:rPr>
      </w:pPr>
      <w:r>
        <w:t>Por</w:t>
      </w:r>
      <w:r w:rsidR="00664670">
        <w:t xml:space="preserve"> decisión </w:t>
      </w:r>
      <w:hyperlink r:id="rId16" w:history="1">
        <w:r w:rsidR="00664670">
          <w:rPr>
            <w:rStyle w:val="Hyperlink"/>
          </w:rPr>
          <w:t>CP-11/7</w:t>
        </w:r>
      </w:hyperlink>
      <w:r>
        <w:t xml:space="preserve"> también </w:t>
      </w:r>
      <w:r w:rsidR="00E63EF6">
        <w:t xml:space="preserve">se </w:t>
      </w:r>
      <w:r w:rsidR="00664670">
        <w:t>prorrog</w:t>
      </w:r>
      <w:r>
        <w:t>ó</w:t>
      </w:r>
      <w:r w:rsidR="00664670">
        <w:t xml:space="preserve"> </w:t>
      </w:r>
      <w:r w:rsidR="00E63EF6">
        <w:t>e</w:t>
      </w:r>
      <w:r w:rsidR="00664670">
        <w:t xml:space="preserve">l Foro en Línea de Composición Abierta sobre Evaluación del Riesgo y Gestión del Riesgo </w:t>
      </w:r>
      <w:r w:rsidR="00E63EF6" w:rsidRPr="00E63EF6">
        <w:t>para que prestara apoyo</w:t>
      </w:r>
      <w:r w:rsidR="00664670">
        <w:t xml:space="preserve"> </w:t>
      </w:r>
      <w:r w:rsidR="00E63EF6">
        <w:t xml:space="preserve">en </w:t>
      </w:r>
      <w:r w:rsidR="00664670">
        <w:t>el análisis de más temas de evaluación del riesgo con</w:t>
      </w:r>
      <w:r>
        <w:t xml:space="preserve"> ar</w:t>
      </w:r>
      <w:r w:rsidR="00664670">
        <w:t>re</w:t>
      </w:r>
      <w:r>
        <w:t>glo</w:t>
      </w:r>
      <w:r w:rsidR="00664670">
        <w:t xml:space="preserve"> a los criterios establecidos en el anexo I de la decisión </w:t>
      </w:r>
      <w:hyperlink r:id="rId17" w:history="1">
        <w:r w:rsidR="00664670">
          <w:rPr>
            <w:rStyle w:val="Hyperlink"/>
          </w:rPr>
          <w:t>CP-9/13</w:t>
        </w:r>
      </w:hyperlink>
      <w:r w:rsidR="00664670">
        <w:t xml:space="preserve">. </w:t>
      </w:r>
      <w:r w:rsidR="00E63EF6">
        <w:t>Asimismo,</w:t>
      </w:r>
      <w:r w:rsidR="00664670">
        <w:t xml:space="preserve"> se estableció un grupo especial de expertos técnicos sobre evaluaci</w:t>
      </w:r>
      <w:r w:rsidR="00627487">
        <w:t>ó</w:t>
      </w:r>
      <w:r w:rsidR="00664670">
        <w:t xml:space="preserve">n del riesgo encargado de evaluar las necesidades y prioridades </w:t>
      </w:r>
      <w:r w:rsidR="00664670">
        <w:rPr>
          <w:color w:val="000000"/>
        </w:rPr>
        <w:t xml:space="preserve">identificadas por las Partes. </w:t>
      </w:r>
    </w:p>
    <w:p w14:paraId="7FF8588F" w14:textId="1B0CF732" w:rsidR="00664670" w:rsidRPr="00B1090B" w:rsidRDefault="006A6B23" w:rsidP="00664670">
      <w:pPr>
        <w:pStyle w:val="CBDNormalNumber"/>
        <w:rPr>
          <w:rFonts w:ascii="TimesNewRomanPSMT" w:eastAsiaTheme="minorHAnsi" w:hAnsi="TimesNewRomanPSMT" w:cs="TimesNewRomanPSMT"/>
          <w:color w:val="000000"/>
          <w14:ligatures w14:val="standardContextual"/>
        </w:rPr>
      </w:pPr>
      <w:r>
        <w:rPr>
          <w:color w:val="000000"/>
        </w:rPr>
        <w:t>Conforme a su mandato, se encomendó al Grupo Especial de Expertos Técnicos en Evaluación del Riesgo las siguientes tareas, entre otras:</w:t>
      </w:r>
    </w:p>
    <w:p w14:paraId="756A670C" w14:textId="2A7BF904" w:rsidR="00664670" w:rsidRPr="00A82597" w:rsidRDefault="00664670" w:rsidP="00762AB7">
      <w:pPr>
        <w:pStyle w:val="CBDNormalNumber"/>
        <w:numPr>
          <w:ilvl w:val="1"/>
          <w:numId w:val="24"/>
        </w:numPr>
        <w:rPr>
          <w:rFonts w:eastAsiaTheme="minorHAnsi"/>
          <w:color w:val="000000"/>
          <w14:ligatures w14:val="standardContextual"/>
        </w:rPr>
      </w:pPr>
      <w:r>
        <w:rPr>
          <w:color w:val="000000"/>
        </w:rPr>
        <w:t>Analizar la información presentada por las Partes y las discusiones mantenidas por el Foro en Línea, y a partir de ese análisis preparar una lista de temas priorizados, si hubiera, para los que se p</w:t>
      </w:r>
      <w:r w:rsidR="00340E18">
        <w:rPr>
          <w:color w:val="000000"/>
        </w:rPr>
        <w:t>u</w:t>
      </w:r>
      <w:r>
        <w:rPr>
          <w:color w:val="000000"/>
        </w:rPr>
        <w:t>d</w:t>
      </w:r>
      <w:r w:rsidR="00340E18">
        <w:rPr>
          <w:color w:val="000000"/>
        </w:rPr>
        <w:t>ie</w:t>
      </w:r>
      <w:r>
        <w:rPr>
          <w:color w:val="000000"/>
        </w:rPr>
        <w:t>ra</w:t>
      </w:r>
      <w:r w:rsidR="00340E18">
        <w:rPr>
          <w:color w:val="000000"/>
        </w:rPr>
        <w:t>n</w:t>
      </w:r>
      <w:r>
        <w:rPr>
          <w:color w:val="000000"/>
        </w:rPr>
        <w:t xml:space="preserve"> necesitar más materiales de orientación sobre evaluación del riesgo </w:t>
      </w:r>
      <w:r w:rsidR="00627487">
        <w:rPr>
          <w:color w:val="000000"/>
        </w:rPr>
        <w:t>según</w:t>
      </w:r>
      <w:r>
        <w:rPr>
          <w:color w:val="000000"/>
        </w:rPr>
        <w:t xml:space="preserve"> los criterios establecidos en el anexo I de la decisión </w:t>
      </w:r>
      <w:hyperlink r:id="rId18" w:history="1">
        <w:r>
          <w:rPr>
            <w:rStyle w:val="Hyperlink"/>
          </w:rPr>
          <w:t>CP-9/13</w:t>
        </w:r>
      </w:hyperlink>
      <w:r>
        <w:rPr>
          <w:color w:val="000000"/>
        </w:rPr>
        <w:t>;</w:t>
      </w:r>
    </w:p>
    <w:p w14:paraId="066DAC66" w14:textId="4C5FBFC4" w:rsidR="00AE59E0" w:rsidRPr="00D16F38" w:rsidRDefault="00664670" w:rsidP="00762AB7">
      <w:pPr>
        <w:pStyle w:val="CBDNormalNumber"/>
        <w:numPr>
          <w:ilvl w:val="1"/>
          <w:numId w:val="24"/>
        </w:numPr>
      </w:pPr>
      <w:r>
        <w:t xml:space="preserve">Preparar un informe para </w:t>
      </w:r>
      <w:r w:rsidR="00340E18">
        <w:t xml:space="preserve">que sea </w:t>
      </w:r>
      <w:r>
        <w:t>considerad</w:t>
      </w:r>
      <w:r w:rsidR="00340E18">
        <w:t xml:space="preserve">o por </w:t>
      </w:r>
      <w:r>
        <w:t>el Órgano Subsidiario de Asesoramiento Científico, Técnico y Tecnológico, con miras a que el Órgano Subsidiario formule una recomendación para consideración de la Conferencia de las Partes que actúa como reunión de las Partes en el Protocolo de Cartagena en su 12ª reunión.</w:t>
      </w:r>
    </w:p>
    <w:p w14:paraId="54CC7A41" w14:textId="1242027C" w:rsidR="00842FE2" w:rsidRPr="00B1090B" w:rsidRDefault="00C174F3" w:rsidP="00B65404">
      <w:pPr>
        <w:pStyle w:val="CBDNormalNumber"/>
      </w:pPr>
      <w:bookmarkStart w:id="1" w:name="_Hlk204845738"/>
      <w:r>
        <w:t xml:space="preserve">También </w:t>
      </w:r>
      <w:r w:rsidR="00627487">
        <w:t>por</w:t>
      </w:r>
      <w:r>
        <w:t xml:space="preserve"> decisión </w:t>
      </w:r>
      <w:hyperlink r:id="rId19" w:history="1">
        <w:r>
          <w:rPr>
            <w:rStyle w:val="Hyperlink"/>
          </w:rPr>
          <w:t>CP-11/7</w:t>
        </w:r>
      </w:hyperlink>
      <w:r>
        <w:t xml:space="preserve">, se pidió a la Secretaría del Convenio </w:t>
      </w:r>
      <w:bookmarkStart w:id="2" w:name="_Hlk204845651"/>
      <w:r>
        <w:t>que</w:t>
      </w:r>
      <w:r w:rsidR="00627487">
        <w:t>:</w:t>
      </w:r>
      <w:r>
        <w:t xml:space="preserve"> convocara discusiones del Foro en Línea; preparara una síntesis de la información presentada por las Partes en respuesta a la invitación indicada en el párrafo 1 anterior, así como de las discusiones mantenidas en el Foro; convocara </w:t>
      </w:r>
      <w:bookmarkEnd w:id="2"/>
      <w:r>
        <w:t xml:space="preserve">por lo menos una reunión presencial del Grupo de Expertos; y organizara actividades de creación y desarrollo de capacidad en apoyo a la evaluación del riesgo, centrándose </w:t>
      </w:r>
      <w:r>
        <w:lastRenderedPageBreak/>
        <w:t>en particular en la evaluación del riesgo de organismos vivos modificados que contengan impulsores genéticos modificados.</w:t>
      </w:r>
    </w:p>
    <w:bookmarkEnd w:id="1"/>
    <w:p w14:paraId="240584C2" w14:textId="6C361646" w:rsidR="00664670" w:rsidRPr="00D16F38" w:rsidRDefault="00CE19D2" w:rsidP="00627487">
      <w:pPr>
        <w:pStyle w:val="CBDNormalNumber"/>
      </w:pPr>
      <w:r>
        <w:t xml:space="preserve">El presente documento contiene una descripción de las actividades emprendidas </w:t>
      </w:r>
      <w:r w:rsidR="00627487" w:rsidRPr="00627487">
        <w:t>en respuesta</w:t>
      </w:r>
      <w:r w:rsidR="00627487">
        <w:t xml:space="preserve"> </w:t>
      </w:r>
      <w:r>
        <w:t xml:space="preserve">a los pedidos formulados en la decisión </w:t>
      </w:r>
      <w:hyperlink r:id="rId20" w:history="1">
        <w:r>
          <w:rPr>
            <w:rStyle w:val="Hyperlink"/>
          </w:rPr>
          <w:t>CP-11/7</w:t>
        </w:r>
      </w:hyperlink>
      <w:r>
        <w:t xml:space="preserve"> (secc. II) y </w:t>
      </w:r>
      <w:r w:rsidR="00627487">
        <w:t>un proyecto</w:t>
      </w:r>
      <w:r>
        <w:t xml:space="preserve"> de recomendación para consideración del Órgano Subsidiario (secc. III).</w:t>
      </w:r>
    </w:p>
    <w:p w14:paraId="54609397" w14:textId="60C03B16" w:rsidR="00AE59E0" w:rsidRPr="00D16F38" w:rsidRDefault="00D4364D" w:rsidP="00B1090B">
      <w:pPr>
        <w:pStyle w:val="CBDH1"/>
      </w:pPr>
      <w:r>
        <w:t>II.</w:t>
      </w:r>
      <w:r>
        <w:tab/>
        <w:t>Descripción general del proceso establecido en la decisión CP-11/7</w:t>
      </w:r>
    </w:p>
    <w:p w14:paraId="5F097CEC" w14:textId="4049FB6B" w:rsidR="00FB2DEA" w:rsidRPr="00D16F38" w:rsidRDefault="00D4364D" w:rsidP="00B1090B">
      <w:pPr>
        <w:pStyle w:val="CBDH2"/>
        <w:jc w:val="left"/>
      </w:pPr>
      <w:r>
        <w:t>A.</w:t>
      </w:r>
      <w:r>
        <w:tab/>
        <w:t>Resumen de la información presentada por las Partes referida a sus necesidades y prioridades respecto a más materiales de orientación sobre temas específicos de evaluación del riesgo de organismos vivos modificados y de las discusiones mantenidas en el Foro en Línea de Composición Abierta sobre Evaluación del Riesgo y Gestión del Riesgo</w:t>
      </w:r>
    </w:p>
    <w:p w14:paraId="1073369C" w14:textId="69E49C88" w:rsidR="00FC7BF1" w:rsidRPr="00D16F38" w:rsidRDefault="007A6312" w:rsidP="00924638">
      <w:pPr>
        <w:pStyle w:val="CBDNormalNumber"/>
      </w:pPr>
      <w:r>
        <w:t xml:space="preserve">Por notificación </w:t>
      </w:r>
      <w:r w:rsidR="00184202">
        <w:t>núm.</w:t>
      </w:r>
      <w:r>
        <w:t> </w:t>
      </w:r>
      <w:hyperlink r:id="rId21" w:history="1">
        <w:r>
          <w:rPr>
            <w:rStyle w:val="Hyperlink"/>
          </w:rPr>
          <w:t>2025-017</w:t>
        </w:r>
      </w:hyperlink>
      <w:r>
        <w:t xml:space="preserve"> se invitó a las Partes en el Protocolo a presentar información detallada sobre sus necesidades y prioridades con respecto a más materiales de orientación sobre temas específicos de evaluación del riesgo de organismos vivos modificados, con una justificación basada en los criterios establecidos en el anexo I de la decisión </w:t>
      </w:r>
      <w:hyperlink r:id="rId22" w:history="1">
        <w:r>
          <w:rPr>
            <w:rStyle w:val="Hyperlink"/>
          </w:rPr>
          <w:t>CP-9/13</w:t>
        </w:r>
      </w:hyperlink>
      <w:r>
        <w:t>;</w:t>
      </w:r>
    </w:p>
    <w:p w14:paraId="631FDDE0" w14:textId="382A6781" w:rsidR="00FA5751" w:rsidRPr="00D16F38" w:rsidRDefault="00313708" w:rsidP="006A38D1">
      <w:pPr>
        <w:pStyle w:val="CBDNormalNumber"/>
      </w:pPr>
      <w:r>
        <w:t>Un total de 12 Partes</w:t>
      </w:r>
      <w:r w:rsidR="00C9008F" w:rsidRPr="00B1090B">
        <w:rPr>
          <w:rStyle w:val="FootnoteReference"/>
        </w:rPr>
        <w:footnoteReference w:id="2"/>
      </w:r>
      <w:r>
        <w:t xml:space="preserve"> presentaron respuestas, en las que identificaron 15 temas de evaluación del riesgo para los que se requería elaborar orientaciones adicionales, a saber:</w:t>
      </w:r>
    </w:p>
    <w:p w14:paraId="38168A02" w14:textId="1FC64F10" w:rsidR="006A38D1" w:rsidRPr="00184202" w:rsidRDefault="006A38D1" w:rsidP="00762AB7">
      <w:pPr>
        <w:pStyle w:val="CBDNormalNumber"/>
        <w:numPr>
          <w:ilvl w:val="1"/>
          <w:numId w:val="25"/>
        </w:numPr>
        <w:rPr>
          <w:kern w:val="22"/>
        </w:rPr>
      </w:pPr>
      <w:r w:rsidRPr="00184202">
        <w:rPr>
          <w:kern w:val="22"/>
        </w:rPr>
        <w:t>Detección y seguimiento de organismos vivos modificados;</w:t>
      </w:r>
    </w:p>
    <w:p w14:paraId="79AD006A" w14:textId="5C8A0E46" w:rsidR="00F22826" w:rsidRPr="00D16F38" w:rsidRDefault="00F22826" w:rsidP="00762AB7">
      <w:pPr>
        <w:pStyle w:val="CBDNormalNumber"/>
        <w:numPr>
          <w:ilvl w:val="1"/>
          <w:numId w:val="25"/>
        </w:numPr>
      </w:pPr>
      <w:r>
        <w:t xml:space="preserve">Mamíferos desarrollados mediante técnicas de edición genómica para uso en </w:t>
      </w:r>
      <w:r w:rsidR="006F072E">
        <w:t xml:space="preserve">la </w:t>
      </w:r>
      <w:r>
        <w:t xml:space="preserve">agricultura; </w:t>
      </w:r>
    </w:p>
    <w:p w14:paraId="6B9B5006" w14:textId="31A3DDF4" w:rsidR="00F22826" w:rsidRPr="00D16F38" w:rsidRDefault="00F22826" w:rsidP="00762AB7">
      <w:pPr>
        <w:pStyle w:val="CBDNormalNumber"/>
        <w:numPr>
          <w:ilvl w:val="1"/>
          <w:numId w:val="25"/>
        </w:numPr>
      </w:pPr>
      <w:r>
        <w:t>Algas vivas modificadas;</w:t>
      </w:r>
    </w:p>
    <w:p w14:paraId="2CF841F6" w14:textId="48F9F44E" w:rsidR="00526BF0" w:rsidRPr="00D16F38" w:rsidRDefault="00526BF0" w:rsidP="00762AB7">
      <w:pPr>
        <w:pStyle w:val="CBDNormalNumber"/>
        <w:numPr>
          <w:ilvl w:val="1"/>
          <w:numId w:val="25"/>
        </w:numPr>
      </w:pPr>
      <w:r>
        <w:t>Animales vivos modificados;</w:t>
      </w:r>
    </w:p>
    <w:p w14:paraId="2547ADE6" w14:textId="49B97C84" w:rsidR="00F22826" w:rsidRPr="00D16F38" w:rsidRDefault="00F22826" w:rsidP="00762AB7">
      <w:pPr>
        <w:pStyle w:val="CBDNormalNumber"/>
        <w:numPr>
          <w:ilvl w:val="1"/>
          <w:numId w:val="25"/>
        </w:numPr>
      </w:pPr>
      <w:r>
        <w:t>Peces vivos modificados;</w:t>
      </w:r>
    </w:p>
    <w:p w14:paraId="2850316F" w14:textId="78798676" w:rsidR="00F22826" w:rsidRPr="00D16F38" w:rsidRDefault="00F22826" w:rsidP="00762AB7">
      <w:pPr>
        <w:pStyle w:val="CBDNormalNumber"/>
        <w:numPr>
          <w:ilvl w:val="1"/>
          <w:numId w:val="25"/>
        </w:numPr>
      </w:pPr>
      <w:r>
        <w:t>Microorganismos vivos modificados;</w:t>
      </w:r>
    </w:p>
    <w:p w14:paraId="49D56C53" w14:textId="293C0E83" w:rsidR="00F22826" w:rsidRPr="00D16F38" w:rsidRDefault="00F22826" w:rsidP="00762AB7">
      <w:pPr>
        <w:pStyle w:val="CBDNormalNumber"/>
        <w:numPr>
          <w:ilvl w:val="1"/>
          <w:numId w:val="25"/>
        </w:numPr>
      </w:pPr>
      <w:r>
        <w:t>Organismos vivos modificados que contienen eventos apilados;</w:t>
      </w:r>
    </w:p>
    <w:p w14:paraId="6D8CBE74" w14:textId="043B865C" w:rsidR="00F22826" w:rsidRPr="00D16F38" w:rsidRDefault="00F22826" w:rsidP="00762AB7">
      <w:pPr>
        <w:pStyle w:val="CBDNormalNumber"/>
        <w:numPr>
          <w:ilvl w:val="1"/>
          <w:numId w:val="25"/>
        </w:numPr>
      </w:pPr>
      <w:r>
        <w:t>Organismos vivos modificados que expresan técnicas de edición genómica para control de plagas y patógenos;</w:t>
      </w:r>
    </w:p>
    <w:p w14:paraId="237E4D18" w14:textId="210F8F49" w:rsidR="00F22826" w:rsidRPr="00D16F38" w:rsidRDefault="00F22826" w:rsidP="00762AB7">
      <w:pPr>
        <w:pStyle w:val="CBDNormalNumber"/>
        <w:numPr>
          <w:ilvl w:val="1"/>
          <w:numId w:val="25"/>
        </w:numPr>
      </w:pPr>
      <w:r>
        <w:t>Organismos vivos modificados para alimentos, piensos y procesamiento;</w:t>
      </w:r>
    </w:p>
    <w:p w14:paraId="1A82E6C1" w14:textId="5C5C8A23" w:rsidR="00F22826" w:rsidRPr="00D16F38" w:rsidRDefault="00F22826" w:rsidP="00762AB7">
      <w:pPr>
        <w:pStyle w:val="CBDNormalNumber"/>
        <w:numPr>
          <w:ilvl w:val="1"/>
          <w:numId w:val="25"/>
        </w:numPr>
      </w:pPr>
      <w:r>
        <w:t>Organismos vivos modificados producidos mediante nuevas biotecnologías;</w:t>
      </w:r>
    </w:p>
    <w:p w14:paraId="6E253BDE" w14:textId="7820AB06" w:rsidR="00F22826" w:rsidRPr="00D16F38" w:rsidRDefault="00F22826" w:rsidP="00762AB7">
      <w:pPr>
        <w:pStyle w:val="CBDNormalNumber"/>
        <w:numPr>
          <w:ilvl w:val="1"/>
          <w:numId w:val="25"/>
        </w:numPr>
      </w:pPr>
      <w:r>
        <w:t>Efectos a largo plazo y acumulativos de las construcciones genéticas y los organismos vivos modificados;</w:t>
      </w:r>
    </w:p>
    <w:p w14:paraId="027C6603" w14:textId="2B5A4B90" w:rsidR="00F22826" w:rsidRPr="00D16F38" w:rsidRDefault="00526BF0" w:rsidP="00762AB7">
      <w:pPr>
        <w:pStyle w:val="CBDNormalNumber"/>
        <w:numPr>
          <w:ilvl w:val="1"/>
          <w:numId w:val="25"/>
        </w:numPr>
      </w:pPr>
      <w:r>
        <w:t>Operacionalización de objetivos de protección traduciéndolos a puntos finales de evaluación y medición pertinentes;</w:t>
      </w:r>
    </w:p>
    <w:p w14:paraId="3B5A80C5" w14:textId="38B7A551" w:rsidR="00526BF0" w:rsidRPr="00D16F38" w:rsidRDefault="00526BF0" w:rsidP="00762AB7">
      <w:pPr>
        <w:pStyle w:val="CBDNormalNumber"/>
        <w:numPr>
          <w:ilvl w:val="1"/>
          <w:numId w:val="25"/>
        </w:numPr>
      </w:pPr>
      <w:r>
        <w:t>Procedimiento simplificado (artículo 13 del Protocolo) y acuerdos y arreglos (artículo 14);</w:t>
      </w:r>
    </w:p>
    <w:p w14:paraId="7B96D43F" w14:textId="1251A6AB" w:rsidR="00526BF0" w:rsidRPr="00D16F38" w:rsidRDefault="00526BF0" w:rsidP="00762AB7">
      <w:pPr>
        <w:pStyle w:val="CBDNormalNumber"/>
        <w:numPr>
          <w:ilvl w:val="1"/>
          <w:numId w:val="25"/>
        </w:numPr>
      </w:pPr>
      <w:r>
        <w:t xml:space="preserve">Transportabilidad de datos para la evaluación del riesgo de organismos vivos modificados; </w:t>
      </w:r>
    </w:p>
    <w:p w14:paraId="2C617860" w14:textId="15748585" w:rsidR="00CE25CA" w:rsidRPr="00D16F38" w:rsidRDefault="00CE25CA" w:rsidP="00762AB7">
      <w:pPr>
        <w:pStyle w:val="CBDNormalNumber"/>
        <w:numPr>
          <w:ilvl w:val="1"/>
          <w:numId w:val="25"/>
        </w:numPr>
      </w:pPr>
      <w:r>
        <w:t>Uso de organismos vivos modificados en centros de origen y en sistemas agrícolas tradicionales.</w:t>
      </w:r>
    </w:p>
    <w:p w14:paraId="1858CEDB" w14:textId="62D5D6C1" w:rsidR="00447373" w:rsidRPr="00D16F38" w:rsidRDefault="0095011F" w:rsidP="00A02B6B">
      <w:pPr>
        <w:pStyle w:val="CBDNormalNumber"/>
      </w:pPr>
      <w:r>
        <w:lastRenderedPageBreak/>
        <w:t xml:space="preserve">A fin de recabar información para complementar las presentaciones de las Partes y apoyar el análisis de los temas </w:t>
      </w:r>
      <w:r w:rsidR="00184202">
        <w:t xml:space="preserve">de </w:t>
      </w:r>
      <w:r>
        <w:t>evaluación del riesgo propuestos, la Secretaría convocó al Foro en Línea de Composición Abierta sobre Evaluación del Riesgo y Gestión del Riesgo para que de</w:t>
      </w:r>
      <w:r w:rsidR="0059395F">
        <w:t>liberara</w:t>
      </w:r>
      <w:r>
        <w:t xml:space="preserve"> entre el 21 </w:t>
      </w:r>
      <w:r w:rsidR="00340E18">
        <w:t xml:space="preserve">de </w:t>
      </w:r>
      <w:r>
        <w:t xml:space="preserve">abril y el 9 de mayo de 2025. El Foro estuvo comoderado por Anita Anthonysamy (Malasia) y Ana Laura Mello (Uruguay). </w:t>
      </w:r>
    </w:p>
    <w:p w14:paraId="5CD70516" w14:textId="543AC302" w:rsidR="00FC7BF1" w:rsidRPr="00D16F38" w:rsidRDefault="00447373" w:rsidP="00447373">
      <w:pPr>
        <w:pStyle w:val="CBDNormalNumber"/>
      </w:pPr>
      <w:r>
        <w:t>El Foro contó con un total de 282</w:t>
      </w:r>
      <w:r w:rsidR="0059395F">
        <w:t> </w:t>
      </w:r>
      <w:r>
        <w:t>intervenciones y la participación de 69</w:t>
      </w:r>
      <w:r w:rsidR="0059395F">
        <w:t> </w:t>
      </w:r>
      <w:r>
        <w:t>representantes de 24</w:t>
      </w:r>
      <w:r w:rsidR="0059395F">
        <w:t> </w:t>
      </w:r>
      <w:r>
        <w:t>Partes en el Protocolo, 2</w:t>
      </w:r>
      <w:r w:rsidR="0059395F">
        <w:t> </w:t>
      </w:r>
      <w:r>
        <w:t>representantes de un Estado que no es Parte, 1</w:t>
      </w:r>
      <w:r w:rsidR="0059395F">
        <w:t> </w:t>
      </w:r>
      <w:r>
        <w:t>representante de pueblos indígenas y comunidades locales y representantes de 18 organizaciones.</w:t>
      </w:r>
    </w:p>
    <w:p w14:paraId="1AA27DD0" w14:textId="062E158D" w:rsidR="005E5C0C" w:rsidRPr="00D16F38" w:rsidRDefault="005E5C0C" w:rsidP="00447373">
      <w:pPr>
        <w:pStyle w:val="CBDNormalNumber"/>
      </w:pPr>
      <w:r>
        <w:t xml:space="preserve">La información presentada por las Partes y la información compartida en el Foro fue resumida en el documento </w:t>
      </w:r>
      <w:hyperlink r:id="rId23" w:history="1">
        <w:r>
          <w:rPr>
            <w:rStyle w:val="Hyperlink"/>
          </w:rPr>
          <w:t>CBD/CP/RA/AHTEG/2025/1/INF/1</w:t>
        </w:r>
      </w:hyperlink>
      <w:r>
        <w:t xml:space="preserve">, mientras que las referencias </w:t>
      </w:r>
      <w:r w:rsidR="0059395F">
        <w:t>aportadas</w:t>
      </w:r>
      <w:r>
        <w:t xml:space="preserve"> en las presentaciones y en el Foro fueron recopiladas en el documento </w:t>
      </w:r>
      <w:hyperlink r:id="rId24" w:history="1">
        <w:r>
          <w:rPr>
            <w:rStyle w:val="Hyperlink"/>
          </w:rPr>
          <w:t>CBD/CP/RA/AHTEG/2025/1/INF/2</w:t>
        </w:r>
      </w:hyperlink>
      <w:r>
        <w:t>.</w:t>
      </w:r>
    </w:p>
    <w:p w14:paraId="0F574E91" w14:textId="0BF73979" w:rsidR="00C56F80" w:rsidRPr="00D16F38" w:rsidRDefault="00D4364D" w:rsidP="00B1090B">
      <w:pPr>
        <w:pStyle w:val="CBDH2"/>
      </w:pPr>
      <w:r>
        <w:t>B.</w:t>
      </w:r>
      <w:r>
        <w:tab/>
        <w:t xml:space="preserve">Reunión del Grupo Especial de Expertos Técnicos sobre </w:t>
      </w:r>
      <w:r w:rsidR="0059395F">
        <w:t>Evaluac</w:t>
      </w:r>
      <w:r>
        <w:t>ión del Riesgo</w:t>
      </w:r>
    </w:p>
    <w:p w14:paraId="78A23E93" w14:textId="66BC2862" w:rsidR="008A37D9" w:rsidRPr="00D16F38" w:rsidRDefault="000F1F8D" w:rsidP="00AE59E0">
      <w:pPr>
        <w:pStyle w:val="CBDNormalNumber"/>
      </w:pPr>
      <w:r>
        <w:t xml:space="preserve">El Grupo de Expertos se reunió </w:t>
      </w:r>
      <w:r w:rsidR="00171275">
        <w:t xml:space="preserve">entre </w:t>
      </w:r>
      <w:r>
        <w:t xml:space="preserve">el 8 </w:t>
      </w:r>
      <w:r w:rsidR="00171275">
        <w:t>y e</w:t>
      </w:r>
      <w:r>
        <w:t xml:space="preserve">l 11 de julio de 2025. A la reunión asistieron 14 expertos </w:t>
      </w:r>
      <w:r w:rsidR="00BE0F3E">
        <w:t xml:space="preserve">provenientes </w:t>
      </w:r>
      <w:r>
        <w:t>de Partes, 1</w:t>
      </w:r>
      <w:r w:rsidR="009E3833">
        <w:t> </w:t>
      </w:r>
      <w:r>
        <w:t xml:space="preserve">experto </w:t>
      </w:r>
      <w:r w:rsidR="00BE0F3E">
        <w:t xml:space="preserve">proveniente </w:t>
      </w:r>
      <w:r>
        <w:t xml:space="preserve">de pueblos indígenas y comunidades locales y 5 expertos </w:t>
      </w:r>
      <w:r w:rsidR="00BE0F3E">
        <w:t xml:space="preserve">provenientes </w:t>
      </w:r>
      <w:r>
        <w:t>de organizaciones observadoras.</w:t>
      </w:r>
    </w:p>
    <w:p w14:paraId="5DEA1EE5" w14:textId="36B623B7" w:rsidR="004F3CE8" w:rsidRPr="00D16F38" w:rsidRDefault="00041805" w:rsidP="009737EC">
      <w:pPr>
        <w:pStyle w:val="CBDNormalNumber"/>
      </w:pPr>
      <w:r>
        <w:t xml:space="preserve">El Grupo de Expertos realizó un análisis estructurado de </w:t>
      </w:r>
      <w:r w:rsidR="009E3833">
        <w:t xml:space="preserve">los </w:t>
      </w:r>
      <w:r>
        <w:t xml:space="preserve">15 temas de evaluación del riesgo, sobre la base de la información presentada por las Partes y las discusiones mantenidas en el Foro, y preparó una lista de temas priorizados </w:t>
      </w:r>
      <w:r w:rsidR="009E3833">
        <w:t>para</w:t>
      </w:r>
      <w:r>
        <w:t xml:space="preserve"> los que se podría necesitar materiales de orientación adicionales sobre evaluación del riesgo según los criterios establecidos en el anexo I de la decisión </w:t>
      </w:r>
      <w:hyperlink r:id="rId25" w:history="1">
        <w:r>
          <w:rPr>
            <w:rStyle w:val="Hyperlink"/>
          </w:rPr>
          <w:t>CP-9/13</w:t>
        </w:r>
      </w:hyperlink>
      <w:r>
        <w:t>. El Grupo s</w:t>
      </w:r>
      <w:r w:rsidR="00171275">
        <w:t xml:space="preserve">e </w:t>
      </w:r>
      <w:r>
        <w:t>gui</w:t>
      </w:r>
      <w:r w:rsidR="00171275">
        <w:t>o</w:t>
      </w:r>
      <w:r>
        <w:t xml:space="preserve"> </w:t>
      </w:r>
      <w:r w:rsidR="00171275">
        <w:t xml:space="preserve">por </w:t>
      </w:r>
      <w:r>
        <w:t xml:space="preserve">las aclaraciones referidas a la aplicación de los criterios que habían sido aportadas por un Grupo Especial de Expertos Técnicos sobre Evaluación del Riesgo anterior en el documento </w:t>
      </w:r>
      <w:hyperlink r:id="rId26" w:history="1">
        <w:r>
          <w:rPr>
            <w:rStyle w:val="Hyperlink"/>
          </w:rPr>
          <w:t>CBD/CP/RA/AHTEG/2020/1/5</w:t>
        </w:r>
        <w:r w:rsidR="00A45CCA" w:rsidRPr="00D16F38">
          <w:rPr>
            <w:rStyle w:val="FootnoteReference"/>
          </w:rPr>
          <w:footnoteReference w:id="3"/>
        </w:r>
      </w:hyperlink>
      <w:r>
        <w:t xml:space="preserve"> y de l</w:t>
      </w:r>
      <w:r w:rsidR="00171275">
        <w:t>a</w:t>
      </w:r>
      <w:r>
        <w:t xml:space="preserve">s cuales la Conferencia de las Partes que actúa como reunión de las Partes en el Protocolo había tomado nota en su decisión </w:t>
      </w:r>
      <w:hyperlink r:id="rId27" w:history="1">
        <w:r>
          <w:rPr>
            <w:rStyle w:val="Hyperlink"/>
          </w:rPr>
          <w:t>CP-10/10</w:t>
        </w:r>
      </w:hyperlink>
      <w:r>
        <w:t>. También se realizó un ejercicio de balance en relación con los 15 temas.</w:t>
      </w:r>
    </w:p>
    <w:p w14:paraId="1165646E" w14:textId="0C586E1B" w:rsidR="00322835" w:rsidRPr="00D16F38" w:rsidRDefault="00322835" w:rsidP="007B673B">
      <w:pPr>
        <w:pStyle w:val="CBDNormalNumber"/>
      </w:pPr>
      <w:r>
        <w:t xml:space="preserve">Al realizar el análisis estructurado, el Grupo de Expertos enfrentó dificultades en la aplicación de los criterios c) y d) con respecto a los temas referidos a procedimiento simplificado (artículo 13 del Protocolo) y acuerdos y arreglos (artículo 14) y transportabilidad de datos para la evaluación del riesgo de organismos vivos modificados. Por consiguiente, se consideró que </w:t>
      </w:r>
      <w:r w:rsidR="00E60C25">
        <w:t xml:space="preserve">en estos dos temas </w:t>
      </w:r>
      <w:r>
        <w:t>el análisis no era concluyente.</w:t>
      </w:r>
    </w:p>
    <w:p w14:paraId="7FBD7C3A" w14:textId="757899BB" w:rsidR="00D42F8D" w:rsidRPr="00D16F38" w:rsidRDefault="00D42F8D" w:rsidP="00AE59E0">
      <w:pPr>
        <w:pStyle w:val="CBDNormalNumber"/>
      </w:pPr>
      <w:r>
        <w:t xml:space="preserve">El Grupo de Expertos </w:t>
      </w:r>
      <w:r w:rsidR="00171275">
        <w:t>concluyó</w:t>
      </w:r>
      <w:r>
        <w:t xml:space="preserve"> que se necesitarían materiales de orientación adicionales principalmente para los temas de algas vivas modificadas, microorganismos vivos modificados y organismos vivos modificados que expresan técnicas de edición genómica para control de plagas y patógenos. El Grupo también reconoció que había necesidad de contar con materiales de orientación adicionales para el tema de peces vivos modificados. Además, recomendó que se elaboraran notas técnicas para los temas de efectos a largo plazo y acumulativos de las construcciones genéticas y organismos vivos modificados, operacionalización de objetivos de protección traduciéndolos a puntos finales de evaluación y medición pertinentes y uso de organismos vivos modificados en centros de origen y en sistemas agrícolas tradicionales.</w:t>
      </w:r>
    </w:p>
    <w:p w14:paraId="0CA01C2C" w14:textId="0452C51D" w:rsidR="00F72745" w:rsidRPr="00D16F38" w:rsidRDefault="00A81FC8" w:rsidP="00F72745">
      <w:pPr>
        <w:pStyle w:val="CBDNormalNumber"/>
      </w:pPr>
      <w:r>
        <w:t xml:space="preserve">El Grupo de Expertos consideró que </w:t>
      </w:r>
      <w:r w:rsidR="00B041B1">
        <w:t xml:space="preserve">para apoyar a las Partes a abordar dificultades o contextos específicos sería útil contar con </w:t>
      </w:r>
      <w:r>
        <w:t xml:space="preserve">notas técnicas que sirvieran como </w:t>
      </w:r>
      <w:r w:rsidR="00B041B1">
        <w:t>com</w:t>
      </w:r>
      <w:r>
        <w:t>plementos prácticos de materiales de orientación existentes</w:t>
      </w:r>
      <w:r w:rsidR="00F059B2" w:rsidRPr="00D16F38">
        <w:rPr>
          <w:rStyle w:val="FootnoteReference"/>
        </w:rPr>
        <w:footnoteReference w:id="4"/>
      </w:r>
      <w:r>
        <w:t>.</w:t>
      </w:r>
    </w:p>
    <w:p w14:paraId="2F49F034" w14:textId="7DE30B15" w:rsidR="00A44B4C" w:rsidRPr="00D16F38" w:rsidRDefault="00A44B4C" w:rsidP="00A44B4C">
      <w:pPr>
        <w:pStyle w:val="CBDNormalNumber"/>
      </w:pPr>
      <w:r>
        <w:t xml:space="preserve">Se determinó que </w:t>
      </w:r>
      <w:r w:rsidR="00B041B1">
        <w:t xml:space="preserve">las </w:t>
      </w:r>
      <w:r>
        <w:t xml:space="preserve">actividades sostenidas de creación y desarrollo de capacidad, </w:t>
      </w:r>
      <w:r w:rsidR="00B041B1">
        <w:t xml:space="preserve">la </w:t>
      </w:r>
      <w:r>
        <w:t xml:space="preserve">cooperación internacional </w:t>
      </w:r>
      <w:r w:rsidR="00B041B1">
        <w:t xml:space="preserve">y </w:t>
      </w:r>
      <w:r>
        <w:t>e</w:t>
      </w:r>
      <w:r w:rsidR="00B041B1">
        <w:t>l</w:t>
      </w:r>
      <w:r>
        <w:t xml:space="preserve"> intercambio de conocimientos en apoyo a la evaluación del riesgo y </w:t>
      </w:r>
      <w:r>
        <w:lastRenderedPageBreak/>
        <w:t>la gestión del riesgo de organismos vivos modificados son elementos importantes para abordar los temas identificados por las Partes.</w:t>
      </w:r>
    </w:p>
    <w:p w14:paraId="13A1C2B0" w14:textId="36F7AF07" w:rsidR="00FC7BF1" w:rsidRPr="00D16F38" w:rsidRDefault="00421E81" w:rsidP="00AE59E0">
      <w:pPr>
        <w:pStyle w:val="CBDNormalNumber"/>
      </w:pPr>
      <w:r>
        <w:t xml:space="preserve">En el anexo del presente documento se exponen los resultados sustantivos del análisis. </w:t>
      </w:r>
    </w:p>
    <w:p w14:paraId="334457A6" w14:textId="5BFB1727" w:rsidR="00CD27D7" w:rsidRPr="00D16F38" w:rsidRDefault="00CD27D7" w:rsidP="00AE59E0">
      <w:pPr>
        <w:pStyle w:val="CBDNormalNumber"/>
      </w:pPr>
      <w:r>
        <w:t>El informe de la reunión se publicará como documento CBD/CP/RA/AHTEG/2025/1/3.</w:t>
      </w:r>
    </w:p>
    <w:p w14:paraId="736A0F79" w14:textId="6BB77190" w:rsidR="00AE59E0" w:rsidRPr="00D16F38" w:rsidRDefault="00D4364D" w:rsidP="00B1090B">
      <w:pPr>
        <w:pStyle w:val="CBDH2"/>
        <w:jc w:val="left"/>
      </w:pPr>
      <w:r>
        <w:t>C.</w:t>
      </w:r>
      <w:r>
        <w:tab/>
        <w:t>Actividades de creación y desarrollo de capacidad</w:t>
      </w:r>
      <w:r w:rsidR="00B041B1">
        <w:br/>
      </w:r>
      <w:r>
        <w:t>en apoyo a la evaluación del riesgo de organismos vivos modificados</w:t>
      </w:r>
    </w:p>
    <w:p w14:paraId="37FFED87" w14:textId="5EE90682" w:rsidR="00FC7BF1" w:rsidRPr="00D16F38" w:rsidRDefault="00695133" w:rsidP="00AE59E0">
      <w:pPr>
        <w:pStyle w:val="CBDNormalNumber"/>
      </w:pPr>
      <w:r>
        <w:t xml:space="preserve">En respuesta al pedido formulado en la decisión </w:t>
      </w:r>
      <w:hyperlink r:id="rId28" w:history="1">
        <w:r>
          <w:rPr>
            <w:rStyle w:val="Hyperlink"/>
          </w:rPr>
          <w:t>CP-11/7</w:t>
        </w:r>
      </w:hyperlink>
      <w:r>
        <w:t>, el Ministerio de Agricultura y Ganadería del Brasil y la Secretaría organizaron un curso internacional de capacitación en evaluaciones del riesgo de organismos vivos modificados, que se realizó en Brasilia del 2 al 6 de junio de 2025. La Comisión Europea brindó apoyo financiero.</w:t>
      </w:r>
    </w:p>
    <w:p w14:paraId="5B3285F4" w14:textId="52F8DECE" w:rsidR="0056429B" w:rsidRPr="00B1090B" w:rsidRDefault="00ED6CC7" w:rsidP="003430A5">
      <w:pPr>
        <w:pStyle w:val="CBDNormalNumber"/>
      </w:pPr>
      <w:r>
        <w:t xml:space="preserve">Asistieron al curso de capacitación un total de 44 participantes provenientes de 24 Partes. Los participantes recibieron capacitación teórica </w:t>
      </w:r>
      <w:r w:rsidR="001146B9">
        <w:t>en materia de</w:t>
      </w:r>
      <w:r>
        <w:t xml:space="preserve"> evaluación del riesgo de organismos vivos modificados, seguida por un ejercicio práctico de estudio de caso sobre una liberación </w:t>
      </w:r>
      <w:r w:rsidR="001146B9">
        <w:t xml:space="preserve">hipotética </w:t>
      </w:r>
      <w:r>
        <w:t xml:space="preserve">al </w:t>
      </w:r>
      <w:r w:rsidR="001146B9">
        <w:t xml:space="preserve">medio </w:t>
      </w:r>
      <w:r>
        <w:t xml:space="preserve">ambiente de mosquitos </w:t>
      </w:r>
      <w:r w:rsidR="001146B9">
        <w:t xml:space="preserve">vivos </w:t>
      </w:r>
      <w:r>
        <w:t xml:space="preserve">modificados </w:t>
      </w:r>
      <w:r w:rsidR="001146B9">
        <w:t xml:space="preserve">que </w:t>
      </w:r>
      <w:r>
        <w:t>con</w:t>
      </w:r>
      <w:r w:rsidR="001146B9">
        <w:t>tenían</w:t>
      </w:r>
      <w:r>
        <w:t xml:space="preserve"> un impulsor genético modificado. El curso se basó en el Manual de capacitación sobre evaluación del riesgo de organismos vivos modificados en el contexto del Protocolo de Cartagena sobre Seguridad de la Biotecnología</w:t>
      </w:r>
      <w:r w:rsidR="003430A5">
        <w:rPr>
          <w:rStyle w:val="FootnoteReference"/>
        </w:rPr>
        <w:footnoteReference w:id="5"/>
      </w:r>
      <w:r>
        <w:t xml:space="preserve"> y </w:t>
      </w:r>
      <w:r w:rsidR="00B14244">
        <w:t xml:space="preserve">en </w:t>
      </w:r>
      <w:r>
        <w:t>los materiales de orientación voluntari</w:t>
      </w:r>
      <w:r w:rsidR="001146B9">
        <w:t>a</w:t>
      </w:r>
      <w:r>
        <w:t xml:space="preserve"> adicionales en apoyo a evaluaciones del riesgo caso por caso de organismos vivos modificados que contengan impulsores genéticos modificados. En el curso también se hizo hincapié en el uso del Centro de Intercambio de Información sobre Seguridad de la Biotecnología como recurso para las evaluaciones del riesgo.</w:t>
      </w:r>
    </w:p>
    <w:p w14:paraId="2CB05520" w14:textId="77777777" w:rsidR="00252A3C" w:rsidRPr="00762AB7" w:rsidRDefault="00B91499" w:rsidP="00AE59E0">
      <w:pPr>
        <w:pStyle w:val="CBDNormalNumber"/>
        <w:rPr>
          <w:spacing w:val="-2"/>
        </w:rPr>
        <w:sectPr w:rsidR="00252A3C" w:rsidRPr="00762AB7" w:rsidSect="007D514E">
          <w:headerReference w:type="even" r:id="rId29"/>
          <w:headerReference w:type="default" r:id="rId30"/>
          <w:footerReference w:type="even" r:id="rId31"/>
          <w:footerReference w:type="default" r:id="rId32"/>
          <w:pgSz w:w="12240" w:h="15840"/>
          <w:pgMar w:top="567" w:right="1440" w:bottom="1134" w:left="1440" w:header="709" w:footer="709" w:gutter="0"/>
          <w:cols w:space="708"/>
          <w:titlePg/>
          <w:docGrid w:linePitch="360"/>
        </w:sectPr>
      </w:pPr>
      <w:r w:rsidRPr="00762AB7">
        <w:rPr>
          <w:spacing w:val="-2"/>
        </w:rPr>
        <w:t xml:space="preserve">El informe del curso de capacitación se publicará como documento CBD/CP/RA/OM/2025/1/2. </w:t>
      </w:r>
    </w:p>
    <w:p w14:paraId="6F51525E" w14:textId="5703D4F5" w:rsidR="00AE59E0" w:rsidRPr="00D16F38" w:rsidRDefault="00D4364D" w:rsidP="00B1090B">
      <w:pPr>
        <w:pStyle w:val="CBDH1"/>
      </w:pPr>
      <w:r>
        <w:t>III.</w:t>
      </w:r>
      <w:r>
        <w:tab/>
        <w:t>Recomendaciones</w:t>
      </w:r>
    </w:p>
    <w:p w14:paraId="2B856219" w14:textId="0CC58D76" w:rsidR="00EB58C5" w:rsidRPr="00B1090B" w:rsidRDefault="00B14244" w:rsidP="00EB58C5">
      <w:pPr>
        <w:pStyle w:val="CBDNormalNumber"/>
      </w:pPr>
      <w:r>
        <w:t>Conforme</w:t>
      </w:r>
      <w:r w:rsidR="00CD1F92">
        <w:t xml:space="preserve"> al pedido formulado en la decisión </w:t>
      </w:r>
      <w:hyperlink r:id="rId33" w:history="1">
        <w:r w:rsidR="00CD1F92">
          <w:rPr>
            <w:rStyle w:val="Hyperlink"/>
          </w:rPr>
          <w:t>CP-11/7</w:t>
        </w:r>
      </w:hyperlink>
      <w:r w:rsidR="00CD1F92">
        <w:t xml:space="preserve">, el Órgano Subsidiario podría estimar oportuno recomendar a </w:t>
      </w:r>
      <w:r w:rsidR="00946779">
        <w:t xml:space="preserve">la Conferencia de </w:t>
      </w:r>
      <w:r w:rsidR="00CD1F92">
        <w:t>las Partes que actúa como reunión de las Partes en el Protocolo que en su 12</w:t>
      </w:r>
      <w:r w:rsidR="00CD1F92">
        <w:rPr>
          <w:vertAlign w:val="superscript"/>
        </w:rPr>
        <w:t>a</w:t>
      </w:r>
      <w:r w:rsidR="00CD1F92">
        <w:t xml:space="preserve"> reunión adopte una decisión del siguiente tenor: </w:t>
      </w:r>
    </w:p>
    <w:p w14:paraId="2EB62F70" w14:textId="14852774" w:rsidR="00AE59E0" w:rsidRPr="00D16F38" w:rsidRDefault="00EB58C5" w:rsidP="00B1090B">
      <w:pPr>
        <w:pStyle w:val="CBDNormalNoNumber"/>
        <w:tabs>
          <w:tab w:val="clear" w:pos="567"/>
        </w:tabs>
        <w:ind w:left="1134" w:firstLine="567"/>
        <w:rPr>
          <w:i/>
          <w:iCs/>
        </w:rPr>
      </w:pPr>
      <w:r>
        <w:rPr>
          <w:i/>
        </w:rPr>
        <w:t>La Conferencia de las Partes que actúa como reunión de las Partes en el Protocolo de Cartagena</w:t>
      </w:r>
      <w:r>
        <w:t>,</w:t>
      </w:r>
    </w:p>
    <w:p w14:paraId="2EF218C3" w14:textId="55BBDF2B" w:rsidR="00EB58C5" w:rsidRPr="00D16F38" w:rsidRDefault="002070FA" w:rsidP="00B1090B">
      <w:pPr>
        <w:pStyle w:val="CBDNormalNumber"/>
        <w:numPr>
          <w:ilvl w:val="0"/>
          <w:numId w:val="0"/>
        </w:numPr>
        <w:tabs>
          <w:tab w:val="clear" w:pos="567"/>
        </w:tabs>
        <w:ind w:left="1134" w:firstLine="567"/>
        <w:rPr>
          <w:i/>
          <w:iCs/>
        </w:rPr>
      </w:pPr>
      <w:r>
        <w:rPr>
          <w:i/>
        </w:rPr>
        <w:t>Recordando</w:t>
      </w:r>
      <w:r>
        <w:t xml:space="preserve"> las decisiones</w:t>
      </w:r>
      <w:r>
        <w:rPr>
          <w:i/>
        </w:rPr>
        <w:t xml:space="preserve"> </w:t>
      </w:r>
      <w:hyperlink r:id="rId34" w:history="1">
        <w:r>
          <w:rPr>
            <w:rStyle w:val="Hyperlink"/>
          </w:rPr>
          <w:t>CP-9/13</w:t>
        </w:r>
      </w:hyperlink>
      <w:r>
        <w:t xml:space="preserve">, de 28 de noviembre de 2018, y </w:t>
      </w:r>
      <w:hyperlink r:id="rId35" w:history="1">
        <w:r>
          <w:rPr>
            <w:rStyle w:val="Hyperlink"/>
          </w:rPr>
          <w:t>CP-11/7</w:t>
        </w:r>
      </w:hyperlink>
      <w:r>
        <w:t>, de 30 de octubre de 2024,</w:t>
      </w:r>
    </w:p>
    <w:p w14:paraId="54B3C117" w14:textId="20BD9022" w:rsidR="00333EC2" w:rsidRPr="00D16F38" w:rsidRDefault="006E7B58" w:rsidP="00B1090B">
      <w:pPr>
        <w:pStyle w:val="CBDNormalNoNumber"/>
        <w:tabs>
          <w:tab w:val="clear" w:pos="567"/>
        </w:tabs>
        <w:ind w:left="1134" w:firstLine="567"/>
      </w:pPr>
      <w:r>
        <w:t>1.</w:t>
      </w:r>
      <w:r>
        <w:rPr>
          <w:i/>
        </w:rPr>
        <w:tab/>
        <w:t>Acoge con satisfacción</w:t>
      </w:r>
      <w:r>
        <w:t xml:space="preserve"> l</w:t>
      </w:r>
      <w:r w:rsidR="001C19FB">
        <w:t>a</w:t>
      </w:r>
      <w:r>
        <w:t xml:space="preserve">s </w:t>
      </w:r>
      <w:r w:rsidR="001C19FB">
        <w:t>c</w:t>
      </w:r>
      <w:r>
        <w:t>o</w:t>
      </w:r>
      <w:r w:rsidR="001C19FB">
        <w:t>nclusione</w:t>
      </w:r>
      <w:r>
        <w:t>s de la reunión del Grupo Especial de Expertos Técnicos sobre Evaluación del Riesgo</w:t>
      </w:r>
      <w:r w:rsidR="007C2248" w:rsidRPr="00B1090B">
        <w:rPr>
          <w:rStyle w:val="FootnoteReference"/>
        </w:rPr>
        <w:footnoteReference w:id="6"/>
      </w:r>
      <w:r>
        <w:t xml:space="preserve"> y toma nota de </w:t>
      </w:r>
      <w:r w:rsidR="001C19FB">
        <w:t>las conclusiones</w:t>
      </w:r>
      <w:r>
        <w:t xml:space="preserve"> del análisis estructurado de </w:t>
      </w:r>
      <w:r w:rsidR="00946779">
        <w:t xml:space="preserve">los </w:t>
      </w:r>
      <w:r>
        <w:t>temas de evaluación del riesgo propuestos por las Partes en relación con las necesidades y prioridades de orientación adicional sobre temas específicos de evaluación del riesgo de organismos vivos modificados</w:t>
      </w:r>
      <w:r w:rsidR="00CD6AB7">
        <w:rPr>
          <w:rStyle w:val="FootnoteReference"/>
        </w:rPr>
        <w:footnoteReference w:id="7"/>
      </w:r>
      <w:r>
        <w:t>;</w:t>
      </w:r>
      <w:r>
        <w:rPr>
          <w:rStyle w:val="CommentReference"/>
        </w:rPr>
        <w:t xml:space="preserve"> </w:t>
      </w:r>
    </w:p>
    <w:p w14:paraId="70305518" w14:textId="76072B7B" w:rsidR="004D2879" w:rsidRPr="00B1090B" w:rsidRDefault="006E7B58" w:rsidP="00B1090B">
      <w:pPr>
        <w:pStyle w:val="CBDNormalNoNumber"/>
        <w:tabs>
          <w:tab w:val="clear" w:pos="567"/>
        </w:tabs>
        <w:ind w:left="1134" w:firstLine="567"/>
      </w:pPr>
      <w:r>
        <w:t>2.</w:t>
      </w:r>
      <w:r>
        <w:rPr>
          <w:i/>
        </w:rPr>
        <w:tab/>
        <w:t>Hace suya</w:t>
      </w:r>
      <w:r>
        <w:t xml:space="preserve"> la recomendación del Grupo Especial de Expertos Técnicos sobre Evaluación del Riesgo de elaborar materiales de orientación voluntari</w:t>
      </w:r>
      <w:r w:rsidR="00946779">
        <w:t>a</w:t>
      </w:r>
      <w:r>
        <w:t xml:space="preserve"> adicionales para los temas de algas vivas modificadas, microorganismos vivos modificados, organismos vivos modificados que expresan técnicas de edición genómica para control de plagas y patógenos y peces vivos modificados;</w:t>
      </w:r>
    </w:p>
    <w:p w14:paraId="5C5AAC90" w14:textId="35D0F797" w:rsidR="004D2879" w:rsidRPr="00B1090B" w:rsidRDefault="006E7B58" w:rsidP="00B1090B">
      <w:pPr>
        <w:pStyle w:val="CBDNormalNoNumber"/>
        <w:tabs>
          <w:tab w:val="clear" w:pos="567"/>
        </w:tabs>
        <w:ind w:left="1134" w:firstLine="567"/>
      </w:pPr>
      <w:r>
        <w:t>3.</w:t>
      </w:r>
      <w:r>
        <w:rPr>
          <w:i/>
        </w:rPr>
        <w:tab/>
        <w:t>Hace suya también</w:t>
      </w:r>
      <w:r>
        <w:t xml:space="preserve"> la recomendación del Grupo Especial de Expertos Técnicos sobre Evaluación del Riesgo de elaborar notas técnicas</w:t>
      </w:r>
      <w:r w:rsidR="00B4387F" w:rsidRPr="00D16F38">
        <w:rPr>
          <w:rStyle w:val="FootnoteReference"/>
        </w:rPr>
        <w:footnoteReference w:id="8"/>
      </w:r>
      <w:r>
        <w:t xml:space="preserve"> de uso voluntario para los temas de </w:t>
      </w:r>
      <w:r>
        <w:lastRenderedPageBreak/>
        <w:t>efectos a largo plazo y acumulativos de las construcciones genéticas y los organismos vivos modificados, operacionalización de objetivos de protección traduciéndolos a puntos finales de evaluación y medición pertinentes y uso de organismos vivos modificados en centros de origen y en sistemas agrícolas tradicionales;</w:t>
      </w:r>
    </w:p>
    <w:p w14:paraId="4FF7E02E" w14:textId="5426F71F" w:rsidR="008F0670" w:rsidRPr="00B1090B" w:rsidRDefault="006E7B58" w:rsidP="00B1090B">
      <w:pPr>
        <w:pStyle w:val="CBDNormalNoNumber"/>
        <w:tabs>
          <w:tab w:val="clear" w:pos="567"/>
        </w:tabs>
        <w:ind w:left="1134" w:firstLine="567"/>
      </w:pPr>
      <w:r>
        <w:t>4.</w:t>
      </w:r>
      <w:r>
        <w:rPr>
          <w:i/>
        </w:rPr>
        <w:tab/>
        <w:t>Decide</w:t>
      </w:r>
      <w:r>
        <w:t xml:space="preserve"> establecer un nuevo grupo especial de expertos técnicos sobre evaluación del riesgo, con el mandato que figura en el anexo de la presente decisión;</w:t>
      </w:r>
    </w:p>
    <w:p w14:paraId="3E7D64B8" w14:textId="33134E38" w:rsidR="00892F3F" w:rsidRPr="00B1090B" w:rsidRDefault="006E7B58" w:rsidP="00B1090B">
      <w:pPr>
        <w:pStyle w:val="CBDNormalNoNumber"/>
        <w:tabs>
          <w:tab w:val="clear" w:pos="567"/>
        </w:tabs>
        <w:ind w:left="1134" w:firstLine="567"/>
      </w:pPr>
      <w:r>
        <w:t>5.</w:t>
      </w:r>
      <w:r>
        <w:rPr>
          <w:i/>
        </w:rPr>
        <w:tab/>
      </w:r>
      <w:r>
        <w:rPr>
          <w:i/>
          <w:iCs/>
        </w:rPr>
        <w:t>Invita</w:t>
      </w:r>
      <w:r>
        <w:t xml:space="preserve"> a las Partes, otros Gobiernos, pueblos indígenas y comunidades locales y organizaciones pertinentes a presentar información pertinente para la labor del Grupo Especial de Expertos Técnicos sobre Evaluación del Riesgo;</w:t>
      </w:r>
    </w:p>
    <w:p w14:paraId="50A1E428" w14:textId="66143F61" w:rsidR="00FB46FC" w:rsidRPr="00D16F38" w:rsidRDefault="006E7B58" w:rsidP="00B1090B">
      <w:pPr>
        <w:pStyle w:val="CBDNormalNoNumber"/>
        <w:tabs>
          <w:tab w:val="clear" w:pos="567"/>
        </w:tabs>
        <w:ind w:left="1134" w:firstLine="567"/>
      </w:pPr>
      <w:r>
        <w:t>6.</w:t>
      </w:r>
      <w:r>
        <w:rPr>
          <w:i/>
        </w:rPr>
        <w:tab/>
      </w:r>
      <w:r>
        <w:rPr>
          <w:i/>
          <w:iCs/>
        </w:rPr>
        <w:t>Decide</w:t>
      </w:r>
      <w:r w:rsidR="001C19FB">
        <w:t> </w:t>
      </w:r>
      <w:r>
        <w:t>prorrogar el Foro en Línea de Composición Abierta sobre Evaluación del Riesgo y Gestión del Riesgo para apoyar la labor del Grupo Especial de Expertos Técnicos sobre Evaluación del Riesgo;</w:t>
      </w:r>
    </w:p>
    <w:p w14:paraId="13BC2900" w14:textId="503B82E9" w:rsidR="00CD3193" w:rsidRPr="00D16F38" w:rsidRDefault="00A2135A" w:rsidP="00B1090B">
      <w:pPr>
        <w:pStyle w:val="CBDNormalNoNumber"/>
        <w:tabs>
          <w:tab w:val="clear" w:pos="567"/>
        </w:tabs>
        <w:ind w:left="1134" w:firstLine="567"/>
      </w:pPr>
      <w:r>
        <w:t>7.</w:t>
      </w:r>
      <w:r>
        <w:rPr>
          <w:i/>
        </w:rPr>
        <w:tab/>
      </w:r>
      <w:r>
        <w:rPr>
          <w:i/>
          <w:iCs/>
        </w:rPr>
        <w:t>Decide también</w:t>
      </w:r>
      <w:r w:rsidR="0022035F">
        <w:t xml:space="preserve"> que</w:t>
      </w:r>
      <w:r>
        <w:t xml:space="preserve"> en su 13</w:t>
      </w:r>
      <w:r>
        <w:rPr>
          <w:vertAlign w:val="superscript"/>
        </w:rPr>
        <w:t>a</w:t>
      </w:r>
      <w:r>
        <w:t> reunión</w:t>
      </w:r>
      <w:r w:rsidR="0022035F">
        <w:t xml:space="preserve"> considerará</w:t>
      </w:r>
      <w:r>
        <w:t xml:space="preserve"> otras cuestiones </w:t>
      </w:r>
      <w:r w:rsidR="0022035F">
        <w:t xml:space="preserve">para </w:t>
      </w:r>
      <w:r>
        <w:t>las que se p</w:t>
      </w:r>
      <w:r w:rsidR="0022035F">
        <w:t>o</w:t>
      </w:r>
      <w:r>
        <w:t>dr</w:t>
      </w:r>
      <w:r w:rsidR="0022035F">
        <w:t>í</w:t>
      </w:r>
      <w:r>
        <w:t>a requerir materiales de orientación sobre evaluación del riesgo, con</w:t>
      </w:r>
      <w:r w:rsidR="0022035F">
        <w:t xml:space="preserve"> arr</w:t>
      </w:r>
      <w:r>
        <w:t>e</w:t>
      </w:r>
      <w:r w:rsidR="0022035F">
        <w:t>glo</w:t>
      </w:r>
      <w:r>
        <w:t xml:space="preserve"> al proceso establecido en la decisión</w:t>
      </w:r>
      <w:r w:rsidR="001C19FB">
        <w:t> </w:t>
      </w:r>
      <w:hyperlink r:id="rId36" w:history="1">
        <w:r>
          <w:rPr>
            <w:rStyle w:val="Hyperlink"/>
          </w:rPr>
          <w:t>CP-9/13</w:t>
        </w:r>
      </w:hyperlink>
      <w:r>
        <w:t xml:space="preserve"> para la determinación y priorización de cuestiones específicas de evaluación del riesgo de organismos vivos modificados que p</w:t>
      </w:r>
      <w:r w:rsidR="0022035F">
        <w:t>o</w:t>
      </w:r>
      <w:r>
        <w:t>dr</w:t>
      </w:r>
      <w:r w:rsidR="0022035F">
        <w:t>í</w:t>
      </w:r>
      <w:r>
        <w:t>an ameritar consideración, teniendo en cuenta las prioridades determinadas por las Partes, inclu</w:t>
      </w:r>
      <w:r w:rsidR="001C19FB">
        <w:t>ido en sus informes nacionales.</w:t>
      </w:r>
    </w:p>
    <w:p w14:paraId="5F23D5BE" w14:textId="1545D095" w:rsidR="008F0670" w:rsidRPr="00D16F38" w:rsidRDefault="00A2135A" w:rsidP="00B1090B">
      <w:pPr>
        <w:pStyle w:val="CBDNormalNoNumber"/>
        <w:tabs>
          <w:tab w:val="clear" w:pos="567"/>
        </w:tabs>
        <w:ind w:left="1134" w:firstLine="567"/>
      </w:pPr>
      <w:r>
        <w:t>8.</w:t>
      </w:r>
      <w:r>
        <w:rPr>
          <w:i/>
        </w:rPr>
        <w:tab/>
      </w:r>
      <w:r>
        <w:rPr>
          <w:i/>
          <w:iCs/>
        </w:rPr>
        <w:t>Pide</w:t>
      </w:r>
      <w:r>
        <w:t xml:space="preserve"> a la Secretaria Ejecutiva que, con sujeción a la disponibilidad de recursos financieros:</w:t>
      </w:r>
    </w:p>
    <w:p w14:paraId="35F80683" w14:textId="42A9057C" w:rsidR="00270806" w:rsidRPr="00D16F38" w:rsidRDefault="00A2135A" w:rsidP="00B1090B">
      <w:pPr>
        <w:pStyle w:val="CBDNormalNoNumber"/>
        <w:tabs>
          <w:tab w:val="clear" w:pos="567"/>
        </w:tabs>
        <w:ind w:left="1134" w:firstLine="567"/>
      </w:pPr>
      <w:r>
        <w:t>a)</w:t>
      </w:r>
      <w:r>
        <w:tab/>
        <w:t>Convoque por lo menos dos reuniones del Grupo Especial de Expertos Técnicos sobre Evaluación del Riesgo, una de ellas presencial, con anterioridad la 13ª reunión de la Conferencia de las Partes que actúa como reunión de las Partes en el Protocolo de Cartagena</w:t>
      </w:r>
      <w:r w:rsidR="0022035F" w:rsidRPr="0022035F">
        <w:t xml:space="preserve"> sobre Seguridad de la Biotecnología</w:t>
      </w:r>
      <w:r w:rsidR="00B260C1" w:rsidRPr="00D16F38">
        <w:rPr>
          <w:rStyle w:val="FootnoteReference"/>
        </w:rPr>
        <w:footnoteReference w:id="9"/>
      </w:r>
      <w:r>
        <w:t>;</w:t>
      </w:r>
    </w:p>
    <w:p w14:paraId="48494556" w14:textId="5DD1889C" w:rsidR="00270806" w:rsidRPr="00D16F38" w:rsidRDefault="007B2840" w:rsidP="00B1090B">
      <w:pPr>
        <w:pStyle w:val="CBDNormalNoNumber"/>
        <w:tabs>
          <w:tab w:val="clear" w:pos="567"/>
        </w:tabs>
        <w:ind w:left="1134" w:firstLine="567"/>
      </w:pPr>
      <w:r>
        <w:t>b)</w:t>
      </w:r>
      <w:r>
        <w:tab/>
        <w:t>Convoque discusiones del Foro en Línea de Composición Abierta sobre Evaluación del Riesgo y Gestión del Riesgo en el mismo período entre reuniones;</w:t>
      </w:r>
    </w:p>
    <w:p w14:paraId="682708AE" w14:textId="4A72B5EB" w:rsidR="00872F1E" w:rsidRPr="00D16F38" w:rsidRDefault="007B2840" w:rsidP="00B1090B">
      <w:pPr>
        <w:pStyle w:val="CBDNormalNoNumber"/>
        <w:tabs>
          <w:tab w:val="clear" w:pos="567"/>
        </w:tabs>
        <w:ind w:left="1134" w:firstLine="567"/>
      </w:pPr>
      <w:r>
        <w:t>c)</w:t>
      </w:r>
      <w:r>
        <w:tab/>
        <w:t>Sintetice la información recabada en respuesta a los párrafos 5 y 6 de la presente decisión;</w:t>
      </w:r>
    </w:p>
    <w:p w14:paraId="5A534AEF" w14:textId="2DB9CBC5" w:rsidR="001706DC" w:rsidRPr="00D16F38" w:rsidRDefault="007B2840" w:rsidP="00B1090B">
      <w:pPr>
        <w:pStyle w:val="CBDNormalNoNumber"/>
        <w:tabs>
          <w:tab w:val="clear" w:pos="567"/>
        </w:tabs>
        <w:ind w:left="1134" w:firstLine="567"/>
      </w:pPr>
      <w:r>
        <w:t>d)</w:t>
      </w:r>
      <w:r>
        <w:tab/>
        <w:t>Siga emprendiendo actividades de creación y desarrollo de capacidad en apoyo a la evaluación del riesgo de organismos vivos modificados;</w:t>
      </w:r>
    </w:p>
    <w:p w14:paraId="2219DF3D" w14:textId="1EF59951" w:rsidR="00F1565C" w:rsidRPr="00D16F38" w:rsidRDefault="007B2840" w:rsidP="00B1090B">
      <w:pPr>
        <w:pStyle w:val="CBDNormalNoNumber"/>
        <w:tabs>
          <w:tab w:val="clear" w:pos="567"/>
        </w:tabs>
        <w:ind w:left="1134" w:firstLine="567"/>
      </w:pPr>
      <w:r>
        <w:t>9.</w:t>
      </w:r>
      <w:r>
        <w:rPr>
          <w:i/>
        </w:rPr>
        <w:tab/>
      </w:r>
      <w:r>
        <w:rPr>
          <w:i/>
          <w:iCs/>
        </w:rPr>
        <w:t>Pide</w:t>
      </w:r>
      <w:r>
        <w:t xml:space="preserve"> al Órgano Subsidiario de Asesoramiento Científico, Técnico y Tecnológico que examine l</w:t>
      </w:r>
      <w:r w:rsidR="001C19FB">
        <w:t>a</w:t>
      </w:r>
      <w:r>
        <w:t xml:space="preserve">s </w:t>
      </w:r>
      <w:r w:rsidR="001C19FB">
        <w:t>conclusiones</w:t>
      </w:r>
      <w:r>
        <w:t xml:space="preserve"> del Grupo Especial de Expertos Técnicos sobre Evaluación del Riesgo en una reunión celebr</w:t>
      </w:r>
      <w:r w:rsidR="001C19FB">
        <w:t>ada</w:t>
      </w:r>
      <w:r>
        <w:t xml:space="preserve"> con anterioridad a la 13ª reunión de la Conferencia de las Partes que actúa como reunión de las Partes en el Protocolo de Cartagena y que formule recomendaciones </w:t>
      </w:r>
      <w:r w:rsidR="001C19FB">
        <w:t>par</w:t>
      </w:r>
      <w:r>
        <w:t>a la Conferencia de las Partes que actúa como reunión de las Partes en el Protocolo de Cartagena</w:t>
      </w:r>
      <w:r w:rsidR="0022035F">
        <w:t>.</w:t>
      </w:r>
    </w:p>
    <w:p w14:paraId="66CB45C9" w14:textId="68D935A5" w:rsidR="00F1565C" w:rsidRPr="00D16F38" w:rsidRDefault="0001310A" w:rsidP="00B1090B">
      <w:pPr>
        <w:pStyle w:val="CBDDesicionAnnex"/>
        <w:ind w:left="1134"/>
        <w:rPr>
          <w:rFonts w:hint="eastAsia"/>
        </w:rPr>
      </w:pPr>
      <w:r>
        <w:t>Anexo</w:t>
      </w:r>
    </w:p>
    <w:p w14:paraId="250A0BB8" w14:textId="1EB4EE0D" w:rsidR="00F1565C" w:rsidRPr="00D16F38" w:rsidRDefault="00F1565C" w:rsidP="00B1090B">
      <w:pPr>
        <w:pStyle w:val="CBDDesicionAnnex"/>
        <w:spacing w:before="120"/>
        <w:ind w:left="1134"/>
        <w:rPr>
          <w:rFonts w:hint="eastAsia"/>
        </w:rPr>
      </w:pPr>
      <w:r>
        <w:t xml:space="preserve">Mandato </w:t>
      </w:r>
      <w:r w:rsidR="001220AD">
        <w:t>d</w:t>
      </w:r>
      <w:r>
        <w:t>el Grupo Especial de Expertos Técnicos sobre Evaluación del Riesgo</w:t>
      </w:r>
    </w:p>
    <w:p w14:paraId="13436A7D" w14:textId="1C2301B2" w:rsidR="00864AFA" w:rsidRPr="00D16F38" w:rsidRDefault="00864AFA" w:rsidP="00B1090B">
      <w:pPr>
        <w:pStyle w:val="CBDNormalNumber"/>
        <w:numPr>
          <w:ilvl w:val="0"/>
          <w:numId w:val="21"/>
        </w:numPr>
        <w:tabs>
          <w:tab w:val="clear" w:pos="567"/>
        </w:tabs>
        <w:ind w:left="1134"/>
      </w:pPr>
      <w:r>
        <w:t>El Grupo Especial de Expertos Técnicos sobre Evaluación del Riesgo:</w:t>
      </w:r>
    </w:p>
    <w:p w14:paraId="00852C7C" w14:textId="164061CC" w:rsidR="00864AFA" w:rsidRPr="00D16F38" w:rsidRDefault="00864AFA" w:rsidP="00762AB7">
      <w:pPr>
        <w:pStyle w:val="CBDNormalNumber"/>
        <w:numPr>
          <w:ilvl w:val="1"/>
          <w:numId w:val="26"/>
        </w:numPr>
        <w:tabs>
          <w:tab w:val="clear" w:pos="567"/>
        </w:tabs>
        <w:ind w:left="1170"/>
      </w:pPr>
      <w:r>
        <w:t xml:space="preserve">Estará conformado por expertos, seleccionados con arreglo a la sección H del </w:t>
      </w:r>
      <w:r>
        <w:rPr>
          <w:i/>
          <w:iCs/>
        </w:rPr>
        <w:t>modus operandi</w:t>
      </w:r>
      <w:r>
        <w:t xml:space="preserve"> refundido del Órgano Subsidiario de Asesoramiento Científico, Técnico y Tecnológico</w:t>
      </w:r>
      <w:r w:rsidR="00D076DD" w:rsidRPr="00D16F38">
        <w:rPr>
          <w:rStyle w:val="FootnoteReference"/>
        </w:rPr>
        <w:footnoteReference w:id="10"/>
      </w:r>
      <w:r>
        <w:t>, que poseen conocimientos científicos y técnicos específicos pertinentes para el presente mandato, e i</w:t>
      </w:r>
      <w:r w:rsidR="007B2966">
        <w:t>ncluirá expertos procedentes de</w:t>
      </w:r>
      <w:r>
        <w:t>l</w:t>
      </w:r>
      <w:r w:rsidR="007B2966">
        <w:t xml:space="preserve"> sector</w:t>
      </w:r>
      <w:r>
        <w:t xml:space="preserve"> acad</w:t>
      </w:r>
      <w:r w:rsidR="007B2966">
        <w:t>é</w:t>
      </w:r>
      <w:r>
        <w:t>mi</w:t>
      </w:r>
      <w:r w:rsidR="007B2966">
        <w:t>co</w:t>
      </w:r>
      <w:r>
        <w:t xml:space="preserve">, organizaciones </w:t>
      </w:r>
      <w:r>
        <w:lastRenderedPageBreak/>
        <w:t xml:space="preserve">internacionales pertinentes y pueblos indígenas y comunidades locales, conforme a la decisión </w:t>
      </w:r>
      <w:hyperlink r:id="rId37" w:history="1">
        <w:r>
          <w:rPr>
            <w:rStyle w:val="Hyperlink"/>
          </w:rPr>
          <w:t>14/33</w:t>
        </w:r>
      </w:hyperlink>
      <w:r>
        <w:t xml:space="preserve">, del 29 de noviembre de 2018, sobre el procedimiento para evitar o tratar conflictos de intereses en los grupos de expertos, en su versión modificada por decisión </w:t>
      </w:r>
      <w:hyperlink r:id="rId38" w:history="1">
        <w:r>
          <w:rPr>
            <w:rStyle w:val="Hyperlink"/>
          </w:rPr>
          <w:t>CP-11/6</w:t>
        </w:r>
      </w:hyperlink>
      <w:r>
        <w:t>, de 1 de noviembre de 2024;</w:t>
      </w:r>
    </w:p>
    <w:p w14:paraId="7D8CD313" w14:textId="1FEA4988" w:rsidR="00052655" w:rsidRPr="00D16F38" w:rsidRDefault="00052655" w:rsidP="00762AB7">
      <w:pPr>
        <w:pStyle w:val="CBDNormalNumber"/>
        <w:numPr>
          <w:ilvl w:val="1"/>
          <w:numId w:val="26"/>
        </w:numPr>
        <w:tabs>
          <w:tab w:val="clear" w:pos="567"/>
        </w:tabs>
        <w:ind w:left="1170"/>
      </w:pPr>
      <w:r>
        <w:t>Celebrará, con sujeción a la disponibilidad de fondos, por lo menos dos reuniones, una de ellas presencial, con anterioridad a la 13ª reunión de la Conferencia de las Partes que actúa como reunión de las Partes en el Protocolo de Cartagena sobre Seguridad de la Biotecnología</w:t>
      </w:r>
      <w:r w:rsidR="007221D4" w:rsidRPr="00D16F38">
        <w:rPr>
          <w:rStyle w:val="FootnoteReference"/>
        </w:rPr>
        <w:footnoteReference w:id="11"/>
      </w:r>
      <w:r>
        <w:t xml:space="preserve"> y realizará las tareas que sean necesarias entre sus dos reuniones con el apoyo de medios de comunicación y participación en línea;</w:t>
      </w:r>
    </w:p>
    <w:p w14:paraId="2C82870B" w14:textId="251E2B11" w:rsidR="00CF496F" w:rsidRPr="00D16F38" w:rsidRDefault="0066322C" w:rsidP="00762AB7">
      <w:pPr>
        <w:pStyle w:val="CBDNormalNumber"/>
        <w:numPr>
          <w:ilvl w:val="1"/>
          <w:numId w:val="26"/>
        </w:numPr>
        <w:tabs>
          <w:tab w:val="clear" w:pos="567"/>
        </w:tabs>
        <w:ind w:left="1170"/>
      </w:pPr>
      <w:r>
        <w:t>Elaborará proyecto</w:t>
      </w:r>
      <w:r w:rsidR="0055699F">
        <w:t>s</w:t>
      </w:r>
      <w:r>
        <w:t xml:space="preserve"> de materiales de orientación voluntari</w:t>
      </w:r>
      <w:r w:rsidR="00AA2123">
        <w:t>a</w:t>
      </w:r>
      <w:r>
        <w:t xml:space="preserve"> adicionales para los temas de algas vivas modificadas, microorganismos vivos modificados, organismos vivos modificados que expresan técnicas de edición genómica para control de plagas y patógenos y peces vivos modificados, para que sean considerados por el Órgano Subsidiario en una reunión celebrada </w:t>
      </w:r>
      <w:r w:rsidR="00AA2123">
        <w:t xml:space="preserve">con </w:t>
      </w:r>
      <w:r>
        <w:t>ante</w:t>
      </w:r>
      <w:r w:rsidR="00AA2123">
        <w:t>riorida</w:t>
      </w:r>
      <w:r>
        <w:t>d</w:t>
      </w:r>
      <w:r w:rsidR="00AA2123">
        <w:t xml:space="preserve"> a</w:t>
      </w:r>
      <w:r>
        <w:t xml:space="preserve"> la 13ª reunión de la Conferencia de las Partes que actúa como reunión de las Partes en el Protocolo de Cartagena;</w:t>
      </w:r>
    </w:p>
    <w:p w14:paraId="2C28B689" w14:textId="20B560D2" w:rsidR="0066322C" w:rsidRPr="00B1090B" w:rsidRDefault="0066322C" w:rsidP="00762AB7">
      <w:pPr>
        <w:pStyle w:val="CBDNormalNumber"/>
        <w:numPr>
          <w:ilvl w:val="1"/>
          <w:numId w:val="26"/>
        </w:numPr>
        <w:tabs>
          <w:tab w:val="clear" w:pos="567"/>
        </w:tabs>
        <w:ind w:left="1170"/>
      </w:pPr>
      <w:r>
        <w:t>Elaborará proyecto</w:t>
      </w:r>
      <w:r w:rsidR="009317FE">
        <w:t>s</w:t>
      </w:r>
      <w:r>
        <w:t xml:space="preserve"> de notas técnicas</w:t>
      </w:r>
      <w:r w:rsidRPr="00D16F38">
        <w:rPr>
          <w:rStyle w:val="FootnoteReference"/>
        </w:rPr>
        <w:footnoteReference w:id="12"/>
      </w:r>
      <w:r w:rsidR="0023084E">
        <w:t xml:space="preserve"> para </w:t>
      </w:r>
      <w:r>
        <w:t>l</w:t>
      </w:r>
      <w:r w:rsidR="0023084E">
        <w:t>os</w:t>
      </w:r>
      <w:r>
        <w:t xml:space="preserve"> tema</w:t>
      </w:r>
      <w:r w:rsidR="0023084E">
        <w:t>s</w:t>
      </w:r>
      <w:r>
        <w:t xml:space="preserve"> de efectos a largo plazo y acumulativos de las construcciones genéticas y los organismos vivos modificados, operacionalización de objetivos de protección traduciéndolos a puntos finales de evaluación y medición pertinentes y uso de organismos vivos modificados en centros de origen y en sistemas agrícolas tradicionales, para </w:t>
      </w:r>
      <w:r w:rsidR="009317FE">
        <w:t xml:space="preserve">que sean </w:t>
      </w:r>
      <w:r>
        <w:t>considerad</w:t>
      </w:r>
      <w:r w:rsidR="009317FE">
        <w:t xml:space="preserve">os por </w:t>
      </w:r>
      <w:r>
        <w:t>el Órgano Subsidiario en una reunión celebrada con anterioridad a la 13ª reunión de la Conferencia de las Partes que actúa como reunión de las Partes en el Protocolo de Cartagena.</w:t>
      </w:r>
    </w:p>
    <w:p w14:paraId="2A7D2CF8" w14:textId="71A01392" w:rsidR="00D10D16" w:rsidRPr="00D16F38" w:rsidRDefault="00D10D16" w:rsidP="00B1090B">
      <w:pPr>
        <w:pStyle w:val="CBDNormalNumber"/>
        <w:numPr>
          <w:ilvl w:val="0"/>
          <w:numId w:val="21"/>
        </w:numPr>
        <w:tabs>
          <w:tab w:val="clear" w:pos="567"/>
        </w:tabs>
        <w:ind w:left="1134"/>
      </w:pPr>
      <w:r>
        <w:t>En el curso de su labor, el Grupo de Expertos considerará la información presentada con arreglo al párrafo 5 de la presente decisión, las discusiones mantenidas en el Foro en Línea de Composición Abierta sobre Evaluación del Riesgo</w:t>
      </w:r>
      <w:r w:rsidR="00EF025A" w:rsidRPr="00EF025A">
        <w:t xml:space="preserve"> </w:t>
      </w:r>
      <w:r w:rsidR="00EF025A">
        <w:t>y Gestión del Riesgo</w:t>
      </w:r>
      <w:r>
        <w:t>, la síntesis de información preparada por la Secretaría con arreglo al párrafo 8 c) de la presente decisión, la síntesis de presentaciones de información sobre evaluación del riesgo y</w:t>
      </w:r>
      <w:r w:rsidR="00EF025A">
        <w:t xml:space="preserve"> de</w:t>
      </w:r>
      <w:r>
        <w:t xml:space="preserve"> las discusiones del Foro en Línea de Composición Abierta sobre Evaluación del Riesgo y Gestión del Riesgo</w:t>
      </w:r>
      <w:r w:rsidR="009A18A5" w:rsidRPr="00D16F38">
        <w:rPr>
          <w:rStyle w:val="FootnoteReference"/>
        </w:rPr>
        <w:footnoteReference w:id="13"/>
      </w:r>
      <w:r>
        <w:t xml:space="preserve"> y la lista de referencias bibliográficas </w:t>
      </w:r>
      <w:r w:rsidR="00EF025A">
        <w:t>a</w:t>
      </w:r>
      <w:r>
        <w:t>por</w:t>
      </w:r>
      <w:r w:rsidR="00EF025A">
        <w:t>t</w:t>
      </w:r>
      <w:r>
        <w:t>adas en las presentaciones de las Partes y en las discusiones del Foro en Línea de Composición Abierta sobre Evaluación del Riesgo y Gestión del Riesgo</w:t>
      </w:r>
      <w:r w:rsidR="00C1650B" w:rsidRPr="00D16F38">
        <w:rPr>
          <w:rStyle w:val="FootnoteReference"/>
        </w:rPr>
        <w:footnoteReference w:id="14"/>
      </w:r>
      <w:r>
        <w:t xml:space="preserve">. </w:t>
      </w:r>
    </w:p>
    <w:p w14:paraId="27A36FCE" w14:textId="62097946" w:rsidR="001065E9" w:rsidRPr="00D16F38" w:rsidRDefault="00EF025A" w:rsidP="00B1090B">
      <w:pPr>
        <w:pStyle w:val="CBDNormalNumber"/>
        <w:numPr>
          <w:ilvl w:val="0"/>
          <w:numId w:val="21"/>
        </w:numPr>
        <w:tabs>
          <w:tab w:val="clear" w:pos="567"/>
        </w:tabs>
        <w:ind w:left="1134"/>
      </w:pPr>
      <w:r>
        <w:t>En el desarrollo de</w:t>
      </w:r>
      <w:r w:rsidR="00C74DE3">
        <w:t xml:space="preserve"> su labor, el Grupo de Expertos considerará también información producida por otros organismos internacional</w:t>
      </w:r>
      <w:r>
        <w:t>es</w:t>
      </w:r>
      <w:r w:rsidR="00C74DE3">
        <w:t>, regionales y nacionales, a fin de evitar la duplicación de materiales existentes.</w:t>
      </w:r>
    </w:p>
    <w:p w14:paraId="015EC242" w14:textId="13E19ADE" w:rsidR="00821AED" w:rsidRPr="00B1090B" w:rsidRDefault="00821AED" w:rsidP="001065E9">
      <w:r>
        <w:br w:type="page"/>
      </w:r>
    </w:p>
    <w:p w14:paraId="50FEF76C" w14:textId="7B5B738E" w:rsidR="00821AED" w:rsidRPr="00D16F38" w:rsidRDefault="0072090E" w:rsidP="0028632E">
      <w:pPr>
        <w:pStyle w:val="CBDAnnex"/>
      </w:pPr>
      <w:r>
        <w:lastRenderedPageBreak/>
        <w:t>Anexo</w:t>
      </w:r>
    </w:p>
    <w:p w14:paraId="539B292B" w14:textId="29189A90" w:rsidR="00D144FD" w:rsidRPr="00D16F38" w:rsidRDefault="00545A76" w:rsidP="00B1090B">
      <w:pPr>
        <w:pStyle w:val="CBDAnnex"/>
      </w:pPr>
      <w:r>
        <w:t>Análisis de los temas propuestos por la</w:t>
      </w:r>
      <w:r w:rsidR="00DC49A1">
        <w:t>s</w:t>
      </w:r>
      <w:r>
        <w:t xml:space="preserve"> Partes en relación con las necesidades y prioridades </w:t>
      </w:r>
      <w:r w:rsidR="00DC49A1">
        <w:t>de</w:t>
      </w:r>
      <w:r>
        <w:t xml:space="preserve"> orientación adicional sobre temas específicos de evaluación del riesgo de organismos vivos modificados</w:t>
      </w:r>
    </w:p>
    <w:p w14:paraId="199CB68C" w14:textId="1BFE1544" w:rsidR="00D144FD" w:rsidRPr="00D16F38" w:rsidRDefault="00EF025A" w:rsidP="00D144FD">
      <w:pPr>
        <w:pStyle w:val="CBDNormalNumber"/>
        <w:numPr>
          <w:ilvl w:val="0"/>
          <w:numId w:val="15"/>
        </w:numPr>
      </w:pPr>
      <w:r>
        <w:t>A continuación se exponen las conclusiones</w:t>
      </w:r>
      <w:r w:rsidR="00622153">
        <w:t xml:space="preserve"> </w:t>
      </w:r>
      <w:r>
        <w:t xml:space="preserve">a las que arribó </w:t>
      </w:r>
      <w:r w:rsidR="00622153">
        <w:t xml:space="preserve">el Grupo Especial de Expertos Técnicos sobre Evaluación del Riesgo </w:t>
      </w:r>
      <w:r>
        <w:t>en su análisis de los temas de evaluación del riesgo propuestos</w:t>
      </w:r>
      <w:r w:rsidR="00622153">
        <w:t>.</w:t>
      </w:r>
    </w:p>
    <w:p w14:paraId="2C13DB8D" w14:textId="3AF877EC" w:rsidR="00D144FD" w:rsidRPr="00D16F38" w:rsidRDefault="00D144FD" w:rsidP="00D144FD">
      <w:pPr>
        <w:pStyle w:val="CBDNormalNumber"/>
        <w:numPr>
          <w:ilvl w:val="0"/>
          <w:numId w:val="15"/>
        </w:numPr>
      </w:pPr>
      <w:r>
        <w:t xml:space="preserve">El enfoque de precaución es un </w:t>
      </w:r>
      <w:r w:rsidR="00C47F29">
        <w:t>elemento</w:t>
      </w:r>
      <w:r>
        <w:t xml:space="preserve"> esencial del objetivo y el </w:t>
      </w:r>
      <w:r w:rsidR="00C47F29">
        <w:t>ámbito</w:t>
      </w:r>
      <w:r>
        <w:t xml:space="preserve"> del Protocolo de Cartagena sobre Seguridad de la Biotecnología.</w:t>
      </w:r>
    </w:p>
    <w:p w14:paraId="10DA6DAB" w14:textId="0008E10E" w:rsidR="00D144FD" w:rsidRPr="00D16F38" w:rsidRDefault="00D144FD" w:rsidP="00D144FD">
      <w:pPr>
        <w:pStyle w:val="CBDNormalNumber"/>
        <w:numPr>
          <w:ilvl w:val="0"/>
          <w:numId w:val="15"/>
        </w:numPr>
      </w:pPr>
      <w:r>
        <w:t>El anexo</w:t>
      </w:r>
      <w:r w:rsidR="00C47F29">
        <w:t> </w:t>
      </w:r>
      <w:r>
        <w:t xml:space="preserve">III del Protocolo </w:t>
      </w:r>
      <w:r w:rsidR="00DC49A1">
        <w:t>tiene carácter fundacional</w:t>
      </w:r>
      <w:r>
        <w:t xml:space="preserve"> </w:t>
      </w:r>
      <w:r w:rsidR="00DC49A1">
        <w:t>con respecto a</w:t>
      </w:r>
      <w:r>
        <w:t xml:space="preserve"> la realización de evaluaciones del riesgo </w:t>
      </w:r>
      <w:r w:rsidR="00BB35A9">
        <w:t xml:space="preserve">ambiental </w:t>
      </w:r>
      <w:r>
        <w:t>de organismos vivos modificados. La formulación de</w:t>
      </w:r>
      <w:r w:rsidR="00C47F29">
        <w:t>l</w:t>
      </w:r>
      <w:r>
        <w:t xml:space="preserve"> problema es un enfoque útil para enmarcar el proceso de evaluación del riesgo.</w:t>
      </w:r>
    </w:p>
    <w:p w14:paraId="26ADEA80" w14:textId="5210DDF5" w:rsidR="00D144FD" w:rsidRPr="00D16F38" w:rsidRDefault="00D144FD" w:rsidP="00D144FD">
      <w:pPr>
        <w:pStyle w:val="CBDNormalNumber"/>
        <w:numPr>
          <w:ilvl w:val="0"/>
          <w:numId w:val="15"/>
        </w:numPr>
      </w:pPr>
      <w:r>
        <w:t>La realización de actividades sostenidas de creación y desarrollo de capacidad, cooperación internacional e intercambio de conocimientos en apoyo a la evaluación del riesgo y la gestión del riesgo de organismos vivos modificados son elementos importantes para abordar los temas identificados por las Partes.</w:t>
      </w:r>
    </w:p>
    <w:p w14:paraId="7909FEDF" w14:textId="573105E9" w:rsidR="00D144FD" w:rsidRPr="00D16F38" w:rsidRDefault="00D144FD" w:rsidP="00D144FD">
      <w:pPr>
        <w:pStyle w:val="CBDNormalNumber"/>
        <w:numPr>
          <w:ilvl w:val="0"/>
          <w:numId w:val="15"/>
        </w:numPr>
      </w:pPr>
      <w:r>
        <w:t>Las metodologías</w:t>
      </w:r>
      <w:r w:rsidR="00AE48D4">
        <w:t>,</w:t>
      </w:r>
      <w:r>
        <w:t xml:space="preserve"> </w:t>
      </w:r>
      <w:r w:rsidR="00AE48D4">
        <w:t>los materiales de orientación y los marcos existen</w:t>
      </w:r>
      <w:r w:rsidR="00DC49A1">
        <w:t>tes</w:t>
      </w:r>
      <w:r w:rsidR="00AE48D4">
        <w:t xml:space="preserve"> en materia </w:t>
      </w:r>
      <w:r>
        <w:t xml:space="preserve">de evaluación del riesgo ambiental fueron desarrollado principalmente para cultivos vivos modificados. Por lo tanto, puede </w:t>
      </w:r>
      <w:r w:rsidR="00AE48D4">
        <w:t>habe</w:t>
      </w:r>
      <w:r>
        <w:t>r dificultades para evalua</w:t>
      </w:r>
      <w:r w:rsidR="00AE48D4">
        <w:t>r</w:t>
      </w:r>
      <w:r>
        <w:t xml:space="preserve"> riesgos relacionados con otros tipos de ambientes y organismos vivos modificados, especialmente teniendo en cuenta el ritmo de desarrollo en el campo y </w:t>
      </w:r>
      <w:r w:rsidR="00AE48D4">
        <w:t xml:space="preserve">la </w:t>
      </w:r>
      <w:r>
        <w:t xml:space="preserve">creciente diversidad de aplicaciones. Además, podría haber </w:t>
      </w:r>
      <w:r w:rsidR="00AE48D4">
        <w:t>carencias</w:t>
      </w:r>
      <w:r>
        <w:t xml:space="preserve"> de información o datos de referencia.</w:t>
      </w:r>
    </w:p>
    <w:p w14:paraId="0F83B111" w14:textId="768C9817" w:rsidR="00D144FD" w:rsidRPr="00D16F38" w:rsidRDefault="003547F2" w:rsidP="00D144FD">
      <w:pPr>
        <w:pStyle w:val="CBDNormalNumber"/>
        <w:numPr>
          <w:ilvl w:val="0"/>
          <w:numId w:val="15"/>
        </w:numPr>
      </w:pPr>
      <w:r>
        <w:t>Algunos de los temas identificados por las Partes</w:t>
      </w:r>
      <w:r w:rsidR="00270E3C">
        <w:t xml:space="preserve"> podrían</w:t>
      </w:r>
      <w:r>
        <w:t xml:space="preserve"> compart</w:t>
      </w:r>
      <w:r w:rsidR="00270E3C">
        <w:t>ir</w:t>
      </w:r>
      <w:r>
        <w:t xml:space="preserve"> elementos o dificultades similares que podrían ser abordados de manera transversal.</w:t>
      </w:r>
    </w:p>
    <w:p w14:paraId="4A2C9CFC" w14:textId="27EE9073" w:rsidR="00D144FD" w:rsidRPr="00D16F38" w:rsidRDefault="00D144FD" w:rsidP="00D144FD">
      <w:pPr>
        <w:pStyle w:val="CBDNormalNumber"/>
        <w:numPr>
          <w:ilvl w:val="0"/>
          <w:numId w:val="15"/>
        </w:numPr>
      </w:pPr>
      <w:r>
        <w:t xml:space="preserve">El medio ambiente </w:t>
      </w:r>
      <w:r w:rsidR="00270E3C">
        <w:t>pos</w:t>
      </w:r>
      <w:r>
        <w:t>ee un valor</w:t>
      </w:r>
      <w:r w:rsidR="00270E3C">
        <w:t xml:space="preserve"> importante</w:t>
      </w:r>
      <w:r>
        <w:t xml:space="preserve"> para los pueblos indígenas y las comunidades</w:t>
      </w:r>
      <w:r w:rsidR="00270E3C">
        <w:t xml:space="preserve"> locales</w:t>
      </w:r>
      <w:r>
        <w:t xml:space="preserve">. En la evaluación de posibles impactos en los pueblos indígenas y las comunidades locales, deben usarse o tomarse en cuenta herramientas (tales como protocolos comunitarios bioculturales), consideraciones socioeconómicas, culturales y éticas y sistemas consuetudinarios. </w:t>
      </w:r>
    </w:p>
    <w:p w14:paraId="2C8F5826" w14:textId="770C05B0" w:rsidR="00D144FD" w:rsidRPr="00D16F38" w:rsidRDefault="00D144FD" w:rsidP="00D144FD">
      <w:pPr>
        <w:pStyle w:val="CBDNormalNumber"/>
        <w:numPr>
          <w:ilvl w:val="0"/>
          <w:numId w:val="15"/>
        </w:numPr>
      </w:pPr>
      <w:r>
        <w:t xml:space="preserve">La participación plena y efectiva de los pueblos indígenas y las comunidades locales y su consentimiento libre, previo </w:t>
      </w:r>
      <w:r w:rsidR="00762AB7">
        <w:t>e</w:t>
      </w:r>
      <w:r>
        <w:t xml:space="preserve"> informado son esenciales en el contexto de la toma de decisiones sobre organismos vivos modificados.</w:t>
      </w:r>
    </w:p>
    <w:p w14:paraId="57FF3C63" w14:textId="58B2DC06" w:rsidR="00694E2E" w:rsidRPr="00D16F38" w:rsidRDefault="00694E2E" w:rsidP="00D144FD">
      <w:pPr>
        <w:pStyle w:val="CBDNormalNumber"/>
        <w:numPr>
          <w:ilvl w:val="0"/>
          <w:numId w:val="15"/>
        </w:numPr>
      </w:pPr>
      <w:r>
        <w:t>El siguiente cuadro contiene un resumen del análisis realizado por el Grupo de Expertos.</w:t>
      </w:r>
    </w:p>
    <w:p w14:paraId="278FBF11" w14:textId="77777777" w:rsidR="00D144FD" w:rsidRPr="00D16F38" w:rsidRDefault="00D144FD">
      <w:pPr>
        <w:pStyle w:val="CBDNormalNumber"/>
        <w:numPr>
          <w:ilvl w:val="0"/>
          <w:numId w:val="0"/>
        </w:numPr>
      </w:pPr>
    </w:p>
    <w:p w14:paraId="50A1BA7A" w14:textId="77777777" w:rsidR="00D144FD" w:rsidRPr="00D16F38" w:rsidRDefault="00D144FD" w:rsidP="00D144FD">
      <w:pPr>
        <w:tabs>
          <w:tab w:val="clear" w:pos="567"/>
          <w:tab w:val="clear" w:pos="1134"/>
          <w:tab w:val="clear" w:pos="1701"/>
          <w:tab w:val="clear" w:pos="2268"/>
        </w:tabs>
        <w:jc w:val="left"/>
        <w:rPr>
          <w:rFonts w:ascii="Times New Roman Bold" w:eastAsia="DengXian Light" w:hAnsi="Times New Roman Bold" w:hint="eastAsia"/>
          <w:b/>
          <w:bCs/>
          <w:spacing w:val="5"/>
          <w:kern w:val="28"/>
          <w:sz w:val="28"/>
          <w:szCs w:val="28"/>
          <w14:ligatures w14:val="standardContextual"/>
        </w:rPr>
        <w:sectPr w:rsidR="00D144FD" w:rsidRPr="00D16F38" w:rsidSect="00252A3C">
          <w:type w:val="continuous"/>
          <w:pgSz w:w="12240" w:h="15840"/>
          <w:pgMar w:top="567" w:right="1440" w:bottom="1134" w:left="1440" w:header="709" w:footer="709" w:gutter="0"/>
          <w:cols w:space="708"/>
          <w:titlePg/>
          <w:docGrid w:linePitch="360"/>
        </w:sectPr>
      </w:pPr>
      <w:r>
        <w:br w:type="page"/>
      </w:r>
    </w:p>
    <w:p w14:paraId="12E3163B" w14:textId="403A1DCC" w:rsidR="00D144FD" w:rsidRPr="00D16F38" w:rsidRDefault="00D144FD" w:rsidP="00B1090B">
      <w:pPr>
        <w:pStyle w:val="CBDTableTitle"/>
      </w:pPr>
      <w:r>
        <w:lastRenderedPageBreak/>
        <w:t>Resumen del análisis estructurado sobre la base de los criterios establecidos en la decisión CP-9/13</w:t>
      </w:r>
    </w:p>
    <w:tbl>
      <w:tblPr>
        <w:tblW w:w="14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945"/>
        <w:gridCol w:w="2280"/>
        <w:gridCol w:w="1620"/>
        <w:gridCol w:w="3239"/>
        <w:gridCol w:w="5045"/>
      </w:tblGrid>
      <w:tr w:rsidR="000C078C" w:rsidRPr="00D16F38" w14:paraId="0D636B2A" w14:textId="77777777" w:rsidTr="007F340D">
        <w:trPr>
          <w:trHeight w:val="300"/>
          <w:tblHeader/>
        </w:trPr>
        <w:tc>
          <w:tcPr>
            <w:tcW w:w="1945" w:type="dxa"/>
            <w:hideMark/>
          </w:tcPr>
          <w:p w14:paraId="2CD88158" w14:textId="77777777" w:rsidR="00D144FD" w:rsidRPr="00B1090B" w:rsidRDefault="00D144FD" w:rsidP="00B1090B">
            <w:pPr>
              <w:pStyle w:val="CBDTableNormal"/>
              <w:rPr>
                <w:i/>
                <w:iCs/>
              </w:rPr>
            </w:pPr>
            <w:r>
              <w:rPr>
                <w:i/>
              </w:rPr>
              <w:t>Tema de evaluación del riesgo de organismos vivos modificados</w:t>
            </w:r>
          </w:p>
        </w:tc>
        <w:tc>
          <w:tcPr>
            <w:tcW w:w="2280" w:type="dxa"/>
          </w:tcPr>
          <w:p w14:paraId="08E6D162" w14:textId="77777777" w:rsidR="00D144FD" w:rsidRPr="00B1090B" w:rsidRDefault="00D144FD" w:rsidP="00B1090B">
            <w:pPr>
              <w:pStyle w:val="CBDTableNormal"/>
              <w:rPr>
                <w:i/>
                <w:iCs/>
              </w:rPr>
            </w:pPr>
            <w:r>
              <w:rPr>
                <w:i/>
              </w:rPr>
              <w:t>Cumplimiento de los criterios establecidos en la decisión CP-9/13</w:t>
            </w:r>
          </w:p>
        </w:tc>
        <w:tc>
          <w:tcPr>
            <w:tcW w:w="1620" w:type="dxa"/>
          </w:tcPr>
          <w:p w14:paraId="19FB49DC" w14:textId="77777777" w:rsidR="00D144FD" w:rsidRPr="00B1090B" w:rsidRDefault="00D144FD" w:rsidP="00B1090B">
            <w:pPr>
              <w:pStyle w:val="CBDTableNormal"/>
              <w:rPr>
                <w:i/>
                <w:iCs/>
              </w:rPr>
            </w:pPr>
            <w:r>
              <w:rPr>
                <w:i/>
              </w:rPr>
              <w:t>Disponibilidad de materiales de orientación existentes</w:t>
            </w:r>
            <w:r w:rsidRPr="00D16F38">
              <w:rPr>
                <w:rStyle w:val="FootnoteReference"/>
                <w:i/>
                <w:iCs/>
              </w:rPr>
              <w:footnoteReference w:id="15"/>
            </w:r>
          </w:p>
        </w:tc>
        <w:tc>
          <w:tcPr>
            <w:tcW w:w="3239" w:type="dxa"/>
          </w:tcPr>
          <w:p w14:paraId="584D4BAC" w14:textId="77777777" w:rsidR="00D144FD" w:rsidRPr="00B1090B" w:rsidRDefault="00D144FD" w:rsidP="00B1090B">
            <w:pPr>
              <w:pStyle w:val="CBDTableNormal"/>
              <w:rPr>
                <w:i/>
                <w:iCs/>
              </w:rPr>
            </w:pPr>
            <w:r>
              <w:rPr>
                <w:i/>
              </w:rPr>
              <w:t>Dificultades para abordar el tema</w:t>
            </w:r>
            <w:r w:rsidRPr="00D16F38">
              <w:rPr>
                <w:rStyle w:val="FootnoteReference"/>
                <w:i/>
                <w:iCs/>
              </w:rPr>
              <w:footnoteReference w:id="16"/>
            </w:r>
          </w:p>
        </w:tc>
        <w:tc>
          <w:tcPr>
            <w:tcW w:w="5045" w:type="dxa"/>
          </w:tcPr>
          <w:p w14:paraId="285CDBA7" w14:textId="4BE128FB" w:rsidR="00D144FD" w:rsidRPr="00B1090B" w:rsidRDefault="00D144FD" w:rsidP="00B1090B">
            <w:pPr>
              <w:pStyle w:val="CBDTableNormal"/>
              <w:rPr>
                <w:i/>
                <w:iCs/>
              </w:rPr>
            </w:pPr>
            <w:r>
              <w:rPr>
                <w:i/>
              </w:rPr>
              <w:t xml:space="preserve">Conclusión del </w:t>
            </w:r>
            <w:bookmarkStart w:id="3" w:name="_Hlk204782045"/>
            <w:r>
              <w:rPr>
                <w:i/>
              </w:rPr>
              <w:t>Grupo Especial de Expertos Técnicos sobre Evaluación del Riesgo</w:t>
            </w:r>
            <w:bookmarkEnd w:id="3"/>
          </w:p>
        </w:tc>
      </w:tr>
      <w:tr w:rsidR="000C078C" w:rsidRPr="00D16F38" w14:paraId="21C55E10" w14:textId="77777777" w:rsidTr="007F340D">
        <w:trPr>
          <w:trHeight w:val="300"/>
        </w:trPr>
        <w:tc>
          <w:tcPr>
            <w:tcW w:w="1945" w:type="dxa"/>
            <w:hideMark/>
          </w:tcPr>
          <w:p w14:paraId="3A12E766" w14:textId="77777777" w:rsidR="00D144FD" w:rsidRPr="00D16F38" w:rsidRDefault="00D144FD" w:rsidP="00B1090B">
            <w:pPr>
              <w:pStyle w:val="CBDTableNormal"/>
            </w:pPr>
            <w:r>
              <w:t>Detección y seguimiento de organismos vivos modificados</w:t>
            </w:r>
          </w:p>
        </w:tc>
        <w:tc>
          <w:tcPr>
            <w:tcW w:w="2280" w:type="dxa"/>
          </w:tcPr>
          <w:p w14:paraId="0244164A" w14:textId="426BDC1C" w:rsidR="00D144FD" w:rsidRPr="00D16F38" w:rsidRDefault="00D144FD" w:rsidP="00B1090B">
            <w:pPr>
              <w:pStyle w:val="CBDTableNormal"/>
            </w:pPr>
            <w:r>
              <w:t>Se cumplen los criterios a)</w:t>
            </w:r>
            <w:r w:rsidR="00145FD9">
              <w:t> </w:t>
            </w:r>
            <w:r>
              <w:t>y b)</w:t>
            </w:r>
          </w:p>
          <w:p w14:paraId="0917CD62" w14:textId="330686A3" w:rsidR="00D144FD" w:rsidRPr="00D16F38" w:rsidRDefault="00D144FD" w:rsidP="00B1090B">
            <w:pPr>
              <w:pStyle w:val="CBDTableNormal"/>
            </w:pPr>
            <w:r>
              <w:t>No se cumplen los criterios c) y d)</w:t>
            </w:r>
          </w:p>
          <w:p w14:paraId="712EDA6E" w14:textId="58904A05" w:rsidR="00D144FD" w:rsidRPr="00D16F38" w:rsidRDefault="00D144FD" w:rsidP="00B1090B">
            <w:pPr>
              <w:pStyle w:val="CBDTableNormal"/>
            </w:pPr>
            <w:r>
              <w:t>El criterio e) no corresponde</w:t>
            </w:r>
          </w:p>
        </w:tc>
        <w:tc>
          <w:tcPr>
            <w:tcW w:w="1620" w:type="dxa"/>
          </w:tcPr>
          <w:p w14:paraId="2D7E96C7" w14:textId="32748074" w:rsidR="00D144FD" w:rsidRPr="00D16F38" w:rsidRDefault="00D144FD" w:rsidP="00B1090B">
            <w:pPr>
              <w:pStyle w:val="CBDTableNormal"/>
            </w:pPr>
            <w:r>
              <w:t>Varios</w:t>
            </w:r>
          </w:p>
        </w:tc>
        <w:tc>
          <w:tcPr>
            <w:tcW w:w="3239" w:type="dxa"/>
          </w:tcPr>
          <w:p w14:paraId="6C6B1F57" w14:textId="2E3BEC5D" w:rsidR="00D144FD" w:rsidRPr="00D16F38" w:rsidRDefault="00D144FD" w:rsidP="00B1090B">
            <w:pPr>
              <w:pStyle w:val="CBDTableNormal"/>
            </w:pPr>
            <w:r>
              <w:t>Las dificultades relacionadas con este tema</w:t>
            </w:r>
            <w:r w:rsidR="00E87CAF">
              <w:t xml:space="preserve"> no</w:t>
            </w:r>
            <w:r>
              <w:t xml:space="preserve"> </w:t>
            </w:r>
            <w:r w:rsidR="00DB01D6">
              <w:t xml:space="preserve">son </w:t>
            </w:r>
            <w:r>
              <w:t>específic</w:t>
            </w:r>
            <w:r w:rsidR="00DB01D6">
              <w:t xml:space="preserve">as </w:t>
            </w:r>
            <w:r>
              <w:t>a la evaluación del riesgo</w:t>
            </w:r>
            <w:r w:rsidR="00DB01D6">
              <w:t>, sino</w:t>
            </w:r>
            <w:r>
              <w:t xml:space="preserve"> </w:t>
            </w:r>
            <w:r w:rsidR="00DB01D6">
              <w:t>que</w:t>
            </w:r>
            <w:r>
              <w:t xml:space="preserve"> </w:t>
            </w:r>
            <w:r w:rsidR="00DB01D6">
              <w:t>ti</w:t>
            </w:r>
            <w:r>
              <w:t>e</w:t>
            </w:r>
            <w:r w:rsidR="00DB01D6">
              <w:t>ne</w:t>
            </w:r>
            <w:r>
              <w:t xml:space="preserve">n </w:t>
            </w:r>
            <w:r w:rsidR="00DB01D6">
              <w:t xml:space="preserve">que ver </w:t>
            </w:r>
            <w:r>
              <w:t xml:space="preserve">más bien </w:t>
            </w:r>
            <w:r w:rsidR="00DB01D6">
              <w:t>con</w:t>
            </w:r>
            <w:r>
              <w:t xml:space="preserve"> </w:t>
            </w:r>
            <w:r w:rsidR="00E87CAF">
              <w:t xml:space="preserve">cuestiones de </w:t>
            </w:r>
            <w:r>
              <w:t>implementación y capacidad limitada.</w:t>
            </w:r>
          </w:p>
          <w:p w14:paraId="25D62B77" w14:textId="1611404C" w:rsidR="00D144FD" w:rsidRPr="00D16F38" w:rsidRDefault="00D144FD" w:rsidP="006F072E">
            <w:pPr>
              <w:pStyle w:val="CBDTableNormal"/>
            </w:pPr>
            <w:r>
              <w:t>Podría considerarse que este tema es transversal</w:t>
            </w:r>
            <w:r w:rsidR="006F072E">
              <w:t xml:space="preserve"> y que</w:t>
            </w:r>
            <w:r>
              <w:t xml:space="preserve"> algunos elementos </w:t>
            </w:r>
            <w:r w:rsidR="006F072E">
              <w:t xml:space="preserve">también están </w:t>
            </w:r>
            <w:r>
              <w:t xml:space="preserve">incluidos en otros temas y </w:t>
            </w:r>
            <w:r w:rsidR="006F072E">
              <w:t xml:space="preserve">son </w:t>
            </w:r>
            <w:r>
              <w:t>pertinentes a otros temas.</w:t>
            </w:r>
          </w:p>
        </w:tc>
        <w:tc>
          <w:tcPr>
            <w:tcW w:w="5045" w:type="dxa"/>
          </w:tcPr>
          <w:p w14:paraId="244E40CF" w14:textId="1CA0DA1B" w:rsidR="00D144FD" w:rsidRPr="00D16F38" w:rsidRDefault="00D144FD" w:rsidP="00B1090B">
            <w:pPr>
              <w:pStyle w:val="CBDTableNormal"/>
            </w:pPr>
            <w:r>
              <w:t>Este tema no fue priorizado para la elaboración de materiales de orientación adicionales dado que no se cumplen los criterios c) y d).</w:t>
            </w:r>
          </w:p>
          <w:p w14:paraId="69191119" w14:textId="21362464" w:rsidR="00D144FD" w:rsidRPr="00B1090B" w:rsidRDefault="00D144FD" w:rsidP="00B1090B">
            <w:pPr>
              <w:pStyle w:val="CBDTableNormal"/>
              <w:rPr>
                <w:i/>
                <w:iCs/>
              </w:rPr>
            </w:pPr>
            <w:r w:rsidRPr="004A24CE">
              <w:rPr>
                <w:spacing w:val="-2"/>
              </w:rPr>
              <w:t xml:space="preserve">Este tema puede ser abordado a través de un programa de trabajo sobre detección e identificación de organismos vivos modificados en el marco del Protocolo de Cartagena, incluido a través del </w:t>
            </w:r>
            <w:r w:rsidRPr="004A24CE">
              <w:rPr>
                <w:i/>
                <w:spacing w:val="-2"/>
              </w:rPr>
              <w:t>Manual de capacitación sobre la detección e identificación de organismos vivos modificados en el contexto del Protocolo de Cartagena sobre Seguridad de la Biotecnología</w:t>
            </w:r>
            <w:r w:rsidRPr="004A24CE">
              <w:rPr>
                <w:spacing w:val="-2"/>
              </w:rPr>
              <w:t xml:space="preserve"> (Serie Técnica sobre Seguridad de la Biotecnología núm. 05) y bases de datos pertinentes indicadas en el documento </w:t>
            </w:r>
            <w:hyperlink r:id="rId39" w:history="1">
              <w:r>
                <w:rPr>
                  <w:rStyle w:val="Hyperlink"/>
                </w:rPr>
                <w:t>CBD/CP/RA/AHTEG/2025/1/INF/2</w:t>
              </w:r>
            </w:hyperlink>
            <w:r>
              <w:t>.</w:t>
            </w:r>
          </w:p>
          <w:p w14:paraId="01B1EC5D" w14:textId="798C7905" w:rsidR="00D144FD" w:rsidRPr="00D16F38" w:rsidRDefault="00D144FD" w:rsidP="00B1090B">
            <w:pPr>
              <w:pStyle w:val="CBDTableNormal"/>
            </w:pPr>
            <w:r>
              <w:t xml:space="preserve">En las secciones referidas a seguimiento de los documentos </w:t>
            </w:r>
            <w:hyperlink r:id="rId40" w:history="1">
              <w:r>
                <w:rPr>
                  <w:rStyle w:val="Hyperlink"/>
                </w:rPr>
                <w:t>UNEP/CBD/BS/COP-MOP/8/8/Add.1</w:t>
              </w:r>
            </w:hyperlink>
            <w:r>
              <w:t xml:space="preserve"> y </w:t>
            </w:r>
            <w:hyperlink r:id="rId41" w:history="1">
              <w:r>
                <w:rPr>
                  <w:rStyle w:val="Hyperlink"/>
                </w:rPr>
                <w:t>CBD/CP/MOP/11/9</w:t>
              </w:r>
            </w:hyperlink>
            <w:r>
              <w:t xml:space="preserve"> se brinda información adicional.</w:t>
            </w:r>
          </w:p>
        </w:tc>
      </w:tr>
      <w:tr w:rsidR="000C078C" w:rsidRPr="00D16F38" w14:paraId="02EB484B" w14:textId="77777777" w:rsidTr="007F340D">
        <w:trPr>
          <w:trHeight w:val="300"/>
        </w:trPr>
        <w:tc>
          <w:tcPr>
            <w:tcW w:w="1945" w:type="dxa"/>
            <w:hideMark/>
          </w:tcPr>
          <w:p w14:paraId="2BB66116" w14:textId="1A9F905D" w:rsidR="00D144FD" w:rsidRPr="00D16F38" w:rsidRDefault="00D144FD" w:rsidP="00B1090B">
            <w:pPr>
              <w:pStyle w:val="CBDTableNormal"/>
            </w:pPr>
            <w:r>
              <w:t>Mamíferos desarrollados mediante técnicas de edición genómica para uso en</w:t>
            </w:r>
            <w:r w:rsidR="006F072E">
              <w:t xml:space="preserve"> la</w:t>
            </w:r>
            <w:r>
              <w:t xml:space="preserve"> agricultura</w:t>
            </w:r>
          </w:p>
        </w:tc>
        <w:tc>
          <w:tcPr>
            <w:tcW w:w="2280" w:type="dxa"/>
          </w:tcPr>
          <w:p w14:paraId="0EB7483C" w14:textId="32730220" w:rsidR="00D144FD" w:rsidRPr="00B1090B" w:rsidRDefault="006F072E" w:rsidP="00B1090B">
            <w:pPr>
              <w:pStyle w:val="CBDTableNormal"/>
            </w:pPr>
            <w:r>
              <w:t>Se cumplen los criterios a), c),</w:t>
            </w:r>
            <w:r w:rsidR="00D144FD">
              <w:t xml:space="preserve"> d)</w:t>
            </w:r>
            <w:r>
              <w:t xml:space="preserve"> y e)</w:t>
            </w:r>
          </w:p>
          <w:p w14:paraId="285AE4F7" w14:textId="59BFB7F8" w:rsidR="00D144FD" w:rsidRPr="00B1090B" w:rsidRDefault="00DB01D6" w:rsidP="00DB01D6">
            <w:pPr>
              <w:pStyle w:val="CBDTableNormal"/>
            </w:pPr>
            <w:r>
              <w:t>No se ap</w:t>
            </w:r>
            <w:r w:rsidR="00D144FD">
              <w:t>l</w:t>
            </w:r>
            <w:r>
              <w:t>icó el</w:t>
            </w:r>
            <w:r w:rsidR="00D144FD">
              <w:t xml:space="preserve"> </w:t>
            </w:r>
            <w:r>
              <w:t>criterio b)</w:t>
            </w:r>
            <w:r w:rsidR="00D144FD" w:rsidRPr="00B1090B">
              <w:rPr>
                <w:rStyle w:val="FootnoteReference"/>
                <w:i/>
                <w:iCs/>
              </w:rPr>
              <w:footnoteReference w:id="17"/>
            </w:r>
          </w:p>
        </w:tc>
        <w:tc>
          <w:tcPr>
            <w:tcW w:w="1620" w:type="dxa"/>
          </w:tcPr>
          <w:p w14:paraId="420E8FED" w14:textId="6195CC15" w:rsidR="00D144FD" w:rsidRPr="00B1090B" w:rsidRDefault="00D144FD" w:rsidP="00B1090B">
            <w:pPr>
              <w:pStyle w:val="CBDTableNormal"/>
            </w:pPr>
            <w:r>
              <w:t>Algunos</w:t>
            </w:r>
          </w:p>
        </w:tc>
        <w:tc>
          <w:tcPr>
            <w:tcW w:w="3239" w:type="dxa"/>
          </w:tcPr>
          <w:p w14:paraId="43B459C7" w14:textId="33E0B3AF" w:rsidR="00D144FD" w:rsidRPr="00B1090B" w:rsidRDefault="00D144FD" w:rsidP="00B1090B">
            <w:pPr>
              <w:pStyle w:val="CBDTableNormal"/>
            </w:pPr>
            <w:r>
              <w:t>Las dificultades podrían tener que ver con modificación genética, experiencia con el organismo, interacciones con el medio ambiente, movilidad, detección y seguimiento y aspectos de bienestar animal.</w:t>
            </w:r>
          </w:p>
        </w:tc>
        <w:tc>
          <w:tcPr>
            <w:tcW w:w="5045" w:type="dxa"/>
          </w:tcPr>
          <w:p w14:paraId="78E50999" w14:textId="41FE6A0C" w:rsidR="00D144FD" w:rsidRPr="006F072E" w:rsidRDefault="00D144FD" w:rsidP="00B1090B">
            <w:pPr>
              <w:pStyle w:val="CBDTableNormal"/>
              <w:rPr>
                <w:spacing w:val="-2"/>
              </w:rPr>
            </w:pPr>
            <w:r w:rsidRPr="006F072E">
              <w:rPr>
                <w:spacing w:val="-2"/>
              </w:rPr>
              <w:t xml:space="preserve">Este tema no fue priorizado para la elaboración de materiales de orientación adicionales dado que no </w:t>
            </w:r>
            <w:r w:rsidR="006F072E" w:rsidRPr="006F072E">
              <w:rPr>
                <w:spacing w:val="-2"/>
              </w:rPr>
              <w:t>se aplicó</w:t>
            </w:r>
            <w:r w:rsidRPr="006F072E">
              <w:rPr>
                <w:spacing w:val="-2"/>
              </w:rPr>
              <w:t xml:space="preserve"> el criterio</w:t>
            </w:r>
            <w:r w:rsidR="006F072E" w:rsidRPr="006F072E">
              <w:rPr>
                <w:spacing w:val="-2"/>
              </w:rPr>
              <w:t> b).</w:t>
            </w:r>
          </w:p>
          <w:p w14:paraId="05AE186A" w14:textId="7FF866D2" w:rsidR="00D144FD" w:rsidRPr="00B1090B" w:rsidRDefault="006F072E" w:rsidP="006F072E">
            <w:pPr>
              <w:pStyle w:val="CBDTableNormal"/>
            </w:pPr>
            <w:r>
              <w:t>Se brinda más información e</w:t>
            </w:r>
            <w:r w:rsidR="00D144FD">
              <w:t xml:space="preserve">n los documentos </w:t>
            </w:r>
            <w:hyperlink r:id="rId42" w:history="1">
              <w:r w:rsidR="00D144FD">
                <w:rPr>
                  <w:rStyle w:val="Hyperlink"/>
                </w:rPr>
                <w:t>UNEP/CBD/BS/COP-MOP/8/8/Add.1</w:t>
              </w:r>
            </w:hyperlink>
            <w:r w:rsidR="00D144FD">
              <w:t xml:space="preserve"> y </w:t>
            </w:r>
            <w:hyperlink r:id="rId43" w:history="1">
              <w:r w:rsidR="00D144FD">
                <w:rPr>
                  <w:rStyle w:val="Hyperlink"/>
                </w:rPr>
                <w:t>CBD/CP/MOP/11/9</w:t>
              </w:r>
            </w:hyperlink>
            <w:r w:rsidR="00D144FD">
              <w:t xml:space="preserve">, la </w:t>
            </w:r>
            <w:r w:rsidR="00D144FD">
              <w:rPr>
                <w:i/>
              </w:rPr>
              <w:t>Serie Técnica sobre Seguridad de la Biotecnológica núm. 05</w:t>
            </w:r>
            <w:r w:rsidR="00D144FD">
              <w:t xml:space="preserve"> y el documento</w:t>
            </w:r>
            <w:r w:rsidR="00762AB7">
              <w:t xml:space="preserve"> </w:t>
            </w:r>
            <w:hyperlink r:id="rId44" w:history="1">
              <w:r w:rsidR="00D144FD">
                <w:rPr>
                  <w:rStyle w:val="Hyperlink"/>
                </w:rPr>
                <w:t>CBD/CP/RA/AHTEG/2025/1/INF/2</w:t>
              </w:r>
            </w:hyperlink>
            <w:r w:rsidR="00D144FD">
              <w:t>.</w:t>
            </w:r>
          </w:p>
        </w:tc>
      </w:tr>
      <w:tr w:rsidR="000C078C" w:rsidRPr="00D16F38" w14:paraId="38894734" w14:textId="77777777" w:rsidTr="007F340D">
        <w:trPr>
          <w:trHeight w:val="300"/>
        </w:trPr>
        <w:tc>
          <w:tcPr>
            <w:tcW w:w="1945" w:type="dxa"/>
            <w:hideMark/>
          </w:tcPr>
          <w:p w14:paraId="1741180D" w14:textId="77777777" w:rsidR="00D144FD" w:rsidRPr="00D16F38" w:rsidRDefault="00D144FD" w:rsidP="00B1090B">
            <w:pPr>
              <w:pStyle w:val="CBDTableNormal"/>
            </w:pPr>
            <w:r>
              <w:t>Algas vivas modificadas</w:t>
            </w:r>
          </w:p>
        </w:tc>
        <w:tc>
          <w:tcPr>
            <w:tcW w:w="2280" w:type="dxa"/>
          </w:tcPr>
          <w:p w14:paraId="3744640C" w14:textId="3F5F9E73" w:rsidR="00D144FD" w:rsidRPr="00D16F38" w:rsidRDefault="00D144FD" w:rsidP="00B1090B">
            <w:pPr>
              <w:pStyle w:val="CBDTableNormal"/>
            </w:pPr>
            <w:r>
              <w:t>Se cumplen todos los criterios</w:t>
            </w:r>
          </w:p>
        </w:tc>
        <w:tc>
          <w:tcPr>
            <w:tcW w:w="1620" w:type="dxa"/>
          </w:tcPr>
          <w:p w14:paraId="55BEE91D" w14:textId="25D845DE" w:rsidR="00D144FD" w:rsidRPr="00D16F38" w:rsidRDefault="00D144FD" w:rsidP="00B1090B">
            <w:pPr>
              <w:pStyle w:val="CBDTableNormal"/>
            </w:pPr>
            <w:r>
              <w:t>Ninguno o pocos</w:t>
            </w:r>
          </w:p>
        </w:tc>
        <w:tc>
          <w:tcPr>
            <w:tcW w:w="3239" w:type="dxa"/>
          </w:tcPr>
          <w:p w14:paraId="1801E5B0" w14:textId="6C466529" w:rsidR="00D144FD" w:rsidRPr="00D16F38" w:rsidRDefault="00D144FD" w:rsidP="004A24CE">
            <w:pPr>
              <w:pStyle w:val="CBDTableNormal"/>
            </w:pPr>
            <w:r>
              <w:t xml:space="preserve">Las dificultades podrían tener que ver con biología compleja de </w:t>
            </w:r>
            <w:r w:rsidR="004A24CE">
              <w:t>algas, ecología de algas, medio</w:t>
            </w:r>
            <w:r>
              <w:t>s acuáticos, detección y seguimiento a largo plazo, gestión del riesgo y con</w:t>
            </w:r>
            <w:r w:rsidR="00672C7A">
              <w:t>fi</w:t>
            </w:r>
            <w:r>
              <w:t>n</w:t>
            </w:r>
            <w:r w:rsidR="00672C7A">
              <w:t>amie</w:t>
            </w:r>
            <w:r>
              <w:t>n</w:t>
            </w:r>
            <w:r w:rsidR="00672C7A">
              <w:t>to</w:t>
            </w:r>
            <w:r>
              <w:t xml:space="preserve">, </w:t>
            </w:r>
            <w:r>
              <w:lastRenderedPageBreak/>
              <w:t>potencial para efectos adversos rápidos (por ej., floraciones de algas), potencial para distribución espacial amplia, alto potencial para movimientos transfronterizos y cooperación internacional.</w:t>
            </w:r>
          </w:p>
        </w:tc>
        <w:tc>
          <w:tcPr>
            <w:tcW w:w="5045" w:type="dxa"/>
          </w:tcPr>
          <w:p w14:paraId="1BD556D9" w14:textId="77777777" w:rsidR="00D144FD" w:rsidRPr="00D16F38" w:rsidRDefault="00D144FD" w:rsidP="00B1090B">
            <w:pPr>
              <w:pStyle w:val="CBDTableNormal"/>
            </w:pPr>
            <w:r>
              <w:lastRenderedPageBreak/>
              <w:t xml:space="preserve">Se requieren materiales de orientación adicionales. </w:t>
            </w:r>
          </w:p>
          <w:p w14:paraId="6271885D" w14:textId="04659FC0" w:rsidR="00D144FD" w:rsidRPr="00D16F38" w:rsidRDefault="00930C3D" w:rsidP="00914A98">
            <w:pPr>
              <w:pStyle w:val="CBDTableNormal"/>
            </w:pPr>
            <w:r>
              <w:t xml:space="preserve">Los factores que </w:t>
            </w:r>
            <w:r w:rsidR="006F072E">
              <w:t>han de</w:t>
            </w:r>
            <w:r>
              <w:t xml:space="preserve"> t</w:t>
            </w:r>
            <w:r w:rsidR="00914A98">
              <w:t>ene</w:t>
            </w:r>
            <w:r>
              <w:t xml:space="preserve">rse en </w:t>
            </w:r>
            <w:r w:rsidR="006F072E">
              <w:t>cuenta</w:t>
            </w:r>
            <w:r>
              <w:t xml:space="preserve"> para este tema </w:t>
            </w:r>
            <w:r w:rsidR="006F072E">
              <w:t>podrían ser similares a los que han de tenerse en cuenta</w:t>
            </w:r>
            <w:r>
              <w:t xml:space="preserve"> para microorganismos vivos modificados y organismos vivos </w:t>
            </w:r>
            <w:r>
              <w:lastRenderedPageBreak/>
              <w:t>modificados que expresan técnicas de edición genómica para control de plagas y patógenos.</w:t>
            </w:r>
          </w:p>
        </w:tc>
      </w:tr>
      <w:tr w:rsidR="000C078C" w:rsidRPr="00D16F38" w14:paraId="450955F8" w14:textId="77777777" w:rsidTr="007F340D">
        <w:trPr>
          <w:trHeight w:val="300"/>
        </w:trPr>
        <w:tc>
          <w:tcPr>
            <w:tcW w:w="1945" w:type="dxa"/>
            <w:hideMark/>
          </w:tcPr>
          <w:p w14:paraId="057D738E" w14:textId="77777777" w:rsidR="00D144FD" w:rsidRPr="00D16F38" w:rsidRDefault="00D144FD" w:rsidP="00B1090B">
            <w:pPr>
              <w:pStyle w:val="CBDTableNormal"/>
            </w:pPr>
            <w:r>
              <w:lastRenderedPageBreak/>
              <w:t>Animales vivos modificados</w:t>
            </w:r>
          </w:p>
        </w:tc>
        <w:tc>
          <w:tcPr>
            <w:tcW w:w="2280" w:type="dxa"/>
          </w:tcPr>
          <w:p w14:paraId="38C6C403" w14:textId="20C5E149" w:rsidR="00D144FD" w:rsidRPr="00D16F38" w:rsidRDefault="00D144FD" w:rsidP="00B1090B">
            <w:pPr>
              <w:pStyle w:val="CBDTableNormal"/>
            </w:pPr>
            <w:r>
              <w:t>Se cumplen los criterios a)</w:t>
            </w:r>
            <w:r w:rsidR="00145FD9">
              <w:t> </w:t>
            </w:r>
            <w:r>
              <w:t>y b)</w:t>
            </w:r>
          </w:p>
          <w:p w14:paraId="3C5A6E1F" w14:textId="24195E42" w:rsidR="00D144FD" w:rsidRPr="00D16F38" w:rsidRDefault="00D144FD" w:rsidP="00B1090B">
            <w:pPr>
              <w:pStyle w:val="CBDTableNormal"/>
            </w:pPr>
            <w:r>
              <w:t>No se cumplen los criterios c), d) y e)</w:t>
            </w:r>
          </w:p>
        </w:tc>
        <w:tc>
          <w:tcPr>
            <w:tcW w:w="1620" w:type="dxa"/>
          </w:tcPr>
          <w:p w14:paraId="743F7C97" w14:textId="7C41C983" w:rsidR="00D144FD" w:rsidRPr="00D16F38" w:rsidRDefault="00D144FD" w:rsidP="00B1090B">
            <w:pPr>
              <w:pStyle w:val="CBDTableNormal"/>
            </w:pPr>
            <w:r>
              <w:t>Varios</w:t>
            </w:r>
          </w:p>
        </w:tc>
        <w:tc>
          <w:tcPr>
            <w:tcW w:w="3239" w:type="dxa"/>
          </w:tcPr>
          <w:p w14:paraId="429BAB2F" w14:textId="672799B3" w:rsidR="00D144FD" w:rsidRPr="00D16F38" w:rsidRDefault="00D144FD" w:rsidP="00B1090B">
            <w:pPr>
              <w:pStyle w:val="CBDTableNormal"/>
            </w:pPr>
            <w:r>
              <w:t>Fue difícil identificar las dificultades debido a la amplitud del tema (por ej., la diversidad de tipos de organismos animales).</w:t>
            </w:r>
          </w:p>
        </w:tc>
        <w:tc>
          <w:tcPr>
            <w:tcW w:w="5045" w:type="dxa"/>
          </w:tcPr>
          <w:p w14:paraId="69030D80" w14:textId="29EE4636" w:rsidR="00D144FD" w:rsidRPr="00B1090B" w:rsidRDefault="00D144FD" w:rsidP="00B1090B">
            <w:pPr>
              <w:pStyle w:val="CBDTableNormal"/>
            </w:pPr>
            <w:r>
              <w:t xml:space="preserve">Este tema no fue priorizado para la elaboración de materiales de orientación adicionales dado que no se cumplen los criterios c), d) y e). </w:t>
            </w:r>
            <w:r w:rsidR="008E41D0" w:rsidRPr="008E41D0">
              <w:t>Para orientar futuras discusiones podría ser necesario definir con mayor precisión el alcance dentro de la categoría amplia de animales vivos modificados.</w:t>
            </w:r>
            <w:r>
              <w:t xml:space="preserve"> </w:t>
            </w:r>
          </w:p>
          <w:p w14:paraId="3529E920" w14:textId="412D7422" w:rsidR="00D144FD" w:rsidRPr="00B1090B" w:rsidRDefault="00990149" w:rsidP="00B1090B">
            <w:pPr>
              <w:pStyle w:val="CBDTableNormal"/>
            </w:pPr>
            <w:r>
              <w:t xml:space="preserve">Los factores que </w:t>
            </w:r>
            <w:r w:rsidR="00AF720B">
              <w:t>ha</w:t>
            </w:r>
            <w:r>
              <w:t>n</w:t>
            </w:r>
            <w:r w:rsidR="00AF720B">
              <w:t xml:space="preserve"> de</w:t>
            </w:r>
            <w:r>
              <w:t xml:space="preserve"> t</w:t>
            </w:r>
            <w:r w:rsidR="00AF720B">
              <w:t>ene</w:t>
            </w:r>
            <w:r>
              <w:t>rse en c</w:t>
            </w:r>
            <w:r w:rsidR="00AF720B">
              <w:t>ue</w:t>
            </w:r>
            <w:r>
              <w:t>n</w:t>
            </w:r>
            <w:r w:rsidR="00AF720B">
              <w:t>ta</w:t>
            </w:r>
            <w:r>
              <w:t xml:space="preserve"> para este tema </w:t>
            </w:r>
            <w:r w:rsidR="00AF720B">
              <w:t xml:space="preserve">podrían ser similares a los que han de tenerse en cuenta </w:t>
            </w:r>
            <w:r>
              <w:t xml:space="preserve">para peces vivos modificados, organismos vivos modificados que expresan técnicas de edición genómica para control de plagas y patógenos y mamíferos desarrollados mediante técnicas de edición genómica para uso en </w:t>
            </w:r>
            <w:r w:rsidR="006F072E">
              <w:t xml:space="preserve">la </w:t>
            </w:r>
            <w:r>
              <w:t>agricultura.</w:t>
            </w:r>
          </w:p>
          <w:p w14:paraId="16513921" w14:textId="270832AD" w:rsidR="00D144FD" w:rsidRPr="00B1090B" w:rsidRDefault="00654465" w:rsidP="00AF720B">
            <w:pPr>
              <w:pStyle w:val="CBDTableNormal"/>
            </w:pPr>
            <w:r>
              <w:t xml:space="preserve">Este tema se podría abordar con materiales de orientación </w:t>
            </w:r>
            <w:r w:rsidR="00AF720B">
              <w:t xml:space="preserve">pertinentes ya </w:t>
            </w:r>
            <w:r>
              <w:t xml:space="preserve">existentes (por ej., el documento </w:t>
            </w:r>
            <w:hyperlink r:id="rId45" w:history="1">
              <w:r>
                <w:rPr>
                  <w:rStyle w:val="Hyperlink"/>
                </w:rPr>
                <w:t>CBD/CP/MOP/11/9</w:t>
              </w:r>
            </w:hyperlink>
            <w:r>
              <w:t>) y esfuerzos centrados en el intercambio de experiencias y la creación de capacidad.</w:t>
            </w:r>
          </w:p>
        </w:tc>
      </w:tr>
      <w:tr w:rsidR="000C078C" w:rsidRPr="00D16F38" w14:paraId="7E338499" w14:textId="77777777" w:rsidTr="007F340D">
        <w:trPr>
          <w:trHeight w:val="300"/>
        </w:trPr>
        <w:tc>
          <w:tcPr>
            <w:tcW w:w="1945" w:type="dxa"/>
            <w:hideMark/>
          </w:tcPr>
          <w:p w14:paraId="1233E0AA" w14:textId="77777777" w:rsidR="00D144FD" w:rsidRPr="00D16F38" w:rsidRDefault="00D144FD" w:rsidP="00B1090B">
            <w:pPr>
              <w:pStyle w:val="CBDTableNormal"/>
            </w:pPr>
            <w:r>
              <w:t>Peces vivos modificados</w:t>
            </w:r>
          </w:p>
        </w:tc>
        <w:tc>
          <w:tcPr>
            <w:tcW w:w="2280" w:type="dxa"/>
          </w:tcPr>
          <w:p w14:paraId="6B3E9DDE" w14:textId="5A0E03AD" w:rsidR="00D144FD" w:rsidRPr="00D16F38" w:rsidRDefault="00D144FD" w:rsidP="00B1090B">
            <w:pPr>
              <w:pStyle w:val="CBDTableNormal"/>
            </w:pPr>
            <w:r>
              <w:t>Se cumplen todos los criterios</w:t>
            </w:r>
          </w:p>
        </w:tc>
        <w:tc>
          <w:tcPr>
            <w:tcW w:w="1620" w:type="dxa"/>
          </w:tcPr>
          <w:p w14:paraId="5C3B2BC2" w14:textId="66AFE27B" w:rsidR="00D144FD" w:rsidRPr="00D16F38" w:rsidRDefault="00D144FD" w:rsidP="00B1090B">
            <w:pPr>
              <w:pStyle w:val="CBDTableNormal"/>
            </w:pPr>
            <w:r>
              <w:t>Algunos</w:t>
            </w:r>
          </w:p>
        </w:tc>
        <w:tc>
          <w:tcPr>
            <w:tcW w:w="3239" w:type="dxa"/>
          </w:tcPr>
          <w:p w14:paraId="650A90B5" w14:textId="16ABA0AE" w:rsidR="00D144FD" w:rsidRPr="00D16F38" w:rsidRDefault="00D144FD" w:rsidP="0007349D">
            <w:pPr>
              <w:pStyle w:val="CBDTableNormal"/>
            </w:pPr>
            <w:r>
              <w:t xml:space="preserve">Las dificultades podrían tener que ver con biología de peces, modificación genética, ecología de peces, </w:t>
            </w:r>
            <w:r w:rsidR="0007349D">
              <w:t>medio acuático, gestión del riesgo</w:t>
            </w:r>
            <w:r>
              <w:t xml:space="preserve">, detección y seguimiento y arreglos institucionales. </w:t>
            </w:r>
            <w:r w:rsidR="0007349D">
              <w:t>Además, e</w:t>
            </w:r>
            <w:r>
              <w:t xml:space="preserve">n </w:t>
            </w:r>
            <w:r w:rsidR="0007349D">
              <w:t xml:space="preserve">anteriores </w:t>
            </w:r>
            <w:r>
              <w:t xml:space="preserve">evaluaciones del riesgo </w:t>
            </w:r>
            <w:r w:rsidR="0007349D">
              <w:t>es posible que</w:t>
            </w:r>
            <w:r>
              <w:t xml:space="preserve"> no </w:t>
            </w:r>
            <w:r w:rsidR="0007349D">
              <w:t>se haya</w:t>
            </w:r>
            <w:r w:rsidR="007F340D">
              <w:t>n</w:t>
            </w:r>
            <w:r w:rsidR="0007349D">
              <w:t xml:space="preserve"> </w:t>
            </w:r>
            <w:r>
              <w:t>tenido en cuenta medio</w:t>
            </w:r>
            <w:r w:rsidR="0007349D">
              <w:t>s</w:t>
            </w:r>
            <w:r>
              <w:t xml:space="preserve"> subtropicales y tropicales y el alto potencial para movimientos transfronterizos.</w:t>
            </w:r>
          </w:p>
        </w:tc>
        <w:tc>
          <w:tcPr>
            <w:tcW w:w="5045" w:type="dxa"/>
          </w:tcPr>
          <w:p w14:paraId="615E6AC9" w14:textId="1951E8F1" w:rsidR="00D144FD" w:rsidRPr="00D16F38" w:rsidRDefault="00D144FD" w:rsidP="00B1090B">
            <w:pPr>
              <w:pStyle w:val="CBDTableNormal"/>
            </w:pPr>
            <w:r>
              <w:t xml:space="preserve">Se requieren materiales de orientación adicionales, que podrían tener en cuenta la información contenida en el documento </w:t>
            </w:r>
            <w:hyperlink r:id="rId46" w:history="1">
              <w:r>
                <w:rPr>
                  <w:rStyle w:val="Hyperlink"/>
                </w:rPr>
                <w:t>CBD/CP/RA/AHTEG/2020/1/3</w:t>
              </w:r>
            </w:hyperlink>
            <w:r>
              <w:t xml:space="preserve">. </w:t>
            </w:r>
          </w:p>
        </w:tc>
      </w:tr>
      <w:tr w:rsidR="000C078C" w:rsidRPr="00D16F38" w14:paraId="75BD5AA6" w14:textId="77777777" w:rsidTr="007F340D">
        <w:trPr>
          <w:trHeight w:val="300"/>
        </w:trPr>
        <w:tc>
          <w:tcPr>
            <w:tcW w:w="1945" w:type="dxa"/>
            <w:hideMark/>
          </w:tcPr>
          <w:p w14:paraId="1972CAC9" w14:textId="77777777" w:rsidR="00D144FD" w:rsidRPr="00D16F38" w:rsidRDefault="00D144FD" w:rsidP="00B1090B">
            <w:pPr>
              <w:pStyle w:val="CBDTableNormal"/>
            </w:pPr>
            <w:r>
              <w:t>Microorganismos vivos modificados</w:t>
            </w:r>
          </w:p>
        </w:tc>
        <w:tc>
          <w:tcPr>
            <w:tcW w:w="2280" w:type="dxa"/>
          </w:tcPr>
          <w:p w14:paraId="63DA3564" w14:textId="0C2A2AF5" w:rsidR="00D144FD" w:rsidRPr="00D16F38" w:rsidRDefault="00D144FD" w:rsidP="00B1090B">
            <w:pPr>
              <w:pStyle w:val="CBDTableNormal"/>
            </w:pPr>
            <w:r>
              <w:t>Se cumplen todos los criterios</w:t>
            </w:r>
          </w:p>
          <w:p w14:paraId="453F3C42" w14:textId="77777777" w:rsidR="00D144FD" w:rsidRPr="00D16F38" w:rsidRDefault="00D144FD" w:rsidP="00B1090B">
            <w:pPr>
              <w:pStyle w:val="CBDTableNormal"/>
            </w:pPr>
          </w:p>
        </w:tc>
        <w:tc>
          <w:tcPr>
            <w:tcW w:w="1620" w:type="dxa"/>
          </w:tcPr>
          <w:p w14:paraId="25F77E47" w14:textId="35818F9D" w:rsidR="00D144FD" w:rsidRPr="00D16F38" w:rsidRDefault="00D144FD" w:rsidP="007F340D">
            <w:pPr>
              <w:pStyle w:val="CBDTableNormal"/>
            </w:pPr>
            <w:r>
              <w:t xml:space="preserve">Algunos, pero </w:t>
            </w:r>
            <w:r w:rsidR="007F340D">
              <w:t>ninguno referido</w:t>
            </w:r>
            <w:r>
              <w:t xml:space="preserve"> a la liberación en </w:t>
            </w:r>
            <w:r w:rsidRPr="007F340D">
              <w:rPr>
                <w:spacing w:val="-4"/>
              </w:rPr>
              <w:t xml:space="preserve">el </w:t>
            </w:r>
            <w:r w:rsidRPr="007F340D">
              <w:rPr>
                <w:spacing w:val="-4"/>
              </w:rPr>
              <w:lastRenderedPageBreak/>
              <w:t>medio ambiente de microorganismos vivos modificados</w:t>
            </w:r>
          </w:p>
        </w:tc>
        <w:tc>
          <w:tcPr>
            <w:tcW w:w="3239" w:type="dxa"/>
          </w:tcPr>
          <w:p w14:paraId="22B43C84" w14:textId="2AD81973" w:rsidR="00D144FD" w:rsidRPr="007F340D" w:rsidRDefault="00D144FD" w:rsidP="004A24CE">
            <w:pPr>
              <w:pStyle w:val="CBDTableNormal"/>
              <w:rPr>
                <w:spacing w:val="-4"/>
              </w:rPr>
            </w:pPr>
            <w:r w:rsidRPr="007F340D">
              <w:rPr>
                <w:spacing w:val="-4"/>
              </w:rPr>
              <w:lastRenderedPageBreak/>
              <w:t xml:space="preserve">Las dificultades podrían tener que ver con biología microbiana, ecología microbiana, persistencia, modificación </w:t>
            </w:r>
            <w:r w:rsidRPr="007F340D">
              <w:rPr>
                <w:spacing w:val="-4"/>
              </w:rPr>
              <w:lastRenderedPageBreak/>
              <w:t>genética, disponibilidad de datos, seguimiento y vigilancia, con</w:t>
            </w:r>
            <w:r w:rsidR="00672C7A" w:rsidRPr="007F340D">
              <w:rPr>
                <w:spacing w:val="-4"/>
              </w:rPr>
              <w:t>fi</w:t>
            </w:r>
            <w:r w:rsidRPr="007F340D">
              <w:rPr>
                <w:spacing w:val="-4"/>
              </w:rPr>
              <w:t>n</w:t>
            </w:r>
            <w:r w:rsidR="00672C7A" w:rsidRPr="007F340D">
              <w:rPr>
                <w:spacing w:val="-4"/>
              </w:rPr>
              <w:t>amie</w:t>
            </w:r>
            <w:r w:rsidRPr="007F340D">
              <w:rPr>
                <w:spacing w:val="-4"/>
              </w:rPr>
              <w:t>n</w:t>
            </w:r>
            <w:r w:rsidR="00672C7A" w:rsidRPr="007F340D">
              <w:rPr>
                <w:spacing w:val="-4"/>
              </w:rPr>
              <w:t>to</w:t>
            </w:r>
            <w:r w:rsidRPr="007F340D">
              <w:rPr>
                <w:spacing w:val="-4"/>
              </w:rPr>
              <w:t xml:space="preserve"> y gestión del riesgo y poca experiencia </w:t>
            </w:r>
            <w:r w:rsidR="004A24CE">
              <w:rPr>
                <w:spacing w:val="-4"/>
              </w:rPr>
              <w:t>en</w:t>
            </w:r>
            <w:r w:rsidRPr="007F340D">
              <w:rPr>
                <w:spacing w:val="-4"/>
              </w:rPr>
              <w:t xml:space="preserve"> la liberación en el medio ambiente de microorganismos vivos modificados.</w:t>
            </w:r>
          </w:p>
        </w:tc>
        <w:tc>
          <w:tcPr>
            <w:tcW w:w="5045" w:type="dxa"/>
          </w:tcPr>
          <w:p w14:paraId="77825BCE" w14:textId="77777777" w:rsidR="00D144FD" w:rsidRPr="00D16F38" w:rsidRDefault="00D144FD" w:rsidP="00B1090B">
            <w:pPr>
              <w:pStyle w:val="CBDTableNormal"/>
            </w:pPr>
            <w:r>
              <w:lastRenderedPageBreak/>
              <w:t xml:space="preserve">Se requieren materiales de orientación adicionales. </w:t>
            </w:r>
          </w:p>
          <w:p w14:paraId="5F08F574" w14:textId="6C31C9CF" w:rsidR="00D144FD" w:rsidRPr="00D16F38" w:rsidRDefault="00622153" w:rsidP="007F340D">
            <w:pPr>
              <w:pStyle w:val="CBDTableNormal"/>
            </w:pPr>
            <w:r>
              <w:t xml:space="preserve">Los factores que </w:t>
            </w:r>
            <w:r w:rsidR="007F340D">
              <w:t>ha</w:t>
            </w:r>
            <w:r>
              <w:t xml:space="preserve">n </w:t>
            </w:r>
            <w:r w:rsidR="007F340D">
              <w:t xml:space="preserve">de </w:t>
            </w:r>
            <w:r>
              <w:t>t</w:t>
            </w:r>
            <w:r w:rsidR="007F340D">
              <w:t>ene</w:t>
            </w:r>
            <w:r>
              <w:t>rse en c</w:t>
            </w:r>
            <w:r w:rsidR="007F340D">
              <w:t>ue</w:t>
            </w:r>
            <w:r>
              <w:t>n</w:t>
            </w:r>
            <w:r w:rsidR="007F340D">
              <w:t>ta</w:t>
            </w:r>
            <w:r>
              <w:t xml:space="preserve"> para este tema </w:t>
            </w:r>
            <w:r w:rsidR="007F340D">
              <w:t>podrían ser similares a los que han de tenerse en cuenta</w:t>
            </w:r>
            <w:r>
              <w:t xml:space="preserve"> para </w:t>
            </w:r>
            <w:r>
              <w:lastRenderedPageBreak/>
              <w:t>algas vivas modificadas y organismos vivos modificados que expresan técnicas de edición genómica para control de plagas y patógenos.</w:t>
            </w:r>
          </w:p>
        </w:tc>
      </w:tr>
      <w:tr w:rsidR="000C078C" w:rsidRPr="00D16F38" w14:paraId="32ABD8AE" w14:textId="77777777" w:rsidTr="007F340D">
        <w:trPr>
          <w:trHeight w:val="300"/>
        </w:trPr>
        <w:tc>
          <w:tcPr>
            <w:tcW w:w="1945" w:type="dxa"/>
            <w:hideMark/>
          </w:tcPr>
          <w:p w14:paraId="7C4B87A4" w14:textId="0B95A5D6" w:rsidR="00D144FD" w:rsidRPr="00D16F38" w:rsidRDefault="00D144FD" w:rsidP="00B1090B">
            <w:pPr>
              <w:pStyle w:val="CBDTableNormal"/>
            </w:pPr>
            <w:r>
              <w:lastRenderedPageBreak/>
              <w:t>Organismos vivos modificados</w:t>
            </w:r>
            <w:r w:rsidR="007F340D">
              <w:t xml:space="preserve"> que contienen eventos apilados</w:t>
            </w:r>
          </w:p>
        </w:tc>
        <w:tc>
          <w:tcPr>
            <w:tcW w:w="2280" w:type="dxa"/>
          </w:tcPr>
          <w:p w14:paraId="789F89CC" w14:textId="34CB3728" w:rsidR="00D144FD" w:rsidRPr="00D16F38" w:rsidRDefault="00D144FD" w:rsidP="00B1090B">
            <w:pPr>
              <w:pStyle w:val="CBDTableNormal"/>
            </w:pPr>
            <w:r>
              <w:t>Se cumplen los criterios a), b) y e)</w:t>
            </w:r>
          </w:p>
          <w:p w14:paraId="1B76549E" w14:textId="730FC7E7" w:rsidR="00D144FD" w:rsidRPr="00D16F38" w:rsidRDefault="00D144FD" w:rsidP="00B1090B">
            <w:pPr>
              <w:pStyle w:val="CBDTableNormal"/>
            </w:pPr>
            <w:r>
              <w:t>No se cumplen los criterios c) y d)</w:t>
            </w:r>
          </w:p>
        </w:tc>
        <w:tc>
          <w:tcPr>
            <w:tcW w:w="1620" w:type="dxa"/>
          </w:tcPr>
          <w:p w14:paraId="2598EE78" w14:textId="3F74E8F9" w:rsidR="00D144FD" w:rsidRPr="00D16F38" w:rsidRDefault="00D144FD" w:rsidP="00B1090B">
            <w:pPr>
              <w:pStyle w:val="CBDTableNormal"/>
            </w:pPr>
            <w:r>
              <w:t>Varios</w:t>
            </w:r>
          </w:p>
        </w:tc>
        <w:tc>
          <w:tcPr>
            <w:tcW w:w="3239" w:type="dxa"/>
          </w:tcPr>
          <w:p w14:paraId="7701267D" w14:textId="77777777" w:rsidR="00D144FD" w:rsidRPr="00D16F38" w:rsidRDefault="00D144FD" w:rsidP="00B1090B">
            <w:pPr>
              <w:pStyle w:val="CBDTableNormal"/>
            </w:pPr>
            <w:r>
              <w:t>Si bien se reconoce la complejidad de los eventos apilados, no se detectaron mayores dificultades.</w:t>
            </w:r>
          </w:p>
        </w:tc>
        <w:tc>
          <w:tcPr>
            <w:tcW w:w="5045" w:type="dxa"/>
          </w:tcPr>
          <w:p w14:paraId="022E92C2" w14:textId="3911554F" w:rsidR="00D144FD" w:rsidRPr="00B1090B" w:rsidRDefault="00D144FD" w:rsidP="00B1090B">
            <w:pPr>
              <w:pStyle w:val="CBDTableNormal"/>
            </w:pPr>
            <w:r>
              <w:t xml:space="preserve">Este tema no fue priorizado para la elaboración de materiales de orientación adicionales dado que no se cumplen los criterios c) y d). </w:t>
            </w:r>
          </w:p>
          <w:p w14:paraId="4FC0CE01" w14:textId="334AC5F1" w:rsidR="00D144FD" w:rsidRPr="00D16F38" w:rsidRDefault="00D144FD" w:rsidP="00B1090B">
            <w:pPr>
              <w:pStyle w:val="CBDTableNormal"/>
            </w:pPr>
            <w:r>
              <w:t xml:space="preserve">En los documentos </w:t>
            </w:r>
            <w:hyperlink r:id="rId47" w:history="1">
              <w:r>
                <w:rPr>
                  <w:rStyle w:val="Hyperlink"/>
                </w:rPr>
                <w:t>UNEP/CBD/BS/COP-MOP/8/8/Add.1</w:t>
              </w:r>
            </w:hyperlink>
            <w:r>
              <w:t xml:space="preserve">, </w:t>
            </w:r>
            <w:hyperlink r:id="rId48" w:history="1">
              <w:r>
                <w:rPr>
                  <w:rStyle w:val="Hyperlink"/>
                </w:rPr>
                <w:t>CBD/CP/MOP/11/9</w:t>
              </w:r>
            </w:hyperlink>
            <w:r>
              <w:t xml:space="preserve"> y </w:t>
            </w:r>
            <w:hyperlink r:id="rId49" w:history="1">
              <w:r>
                <w:rPr>
                  <w:rStyle w:val="Hyperlink"/>
                </w:rPr>
                <w:t>CBD/CP/RA/AHTEG/2025/1/INF/2</w:t>
              </w:r>
            </w:hyperlink>
            <w:r>
              <w:t xml:space="preserve"> se brinda información adicional.</w:t>
            </w:r>
          </w:p>
        </w:tc>
      </w:tr>
      <w:tr w:rsidR="000C078C" w:rsidRPr="00D16F38" w14:paraId="3E0A858D" w14:textId="77777777" w:rsidTr="007F340D">
        <w:trPr>
          <w:trHeight w:val="300"/>
        </w:trPr>
        <w:tc>
          <w:tcPr>
            <w:tcW w:w="1945" w:type="dxa"/>
            <w:hideMark/>
          </w:tcPr>
          <w:p w14:paraId="05A44D4D" w14:textId="77777777" w:rsidR="00D144FD" w:rsidRPr="00D16F38" w:rsidRDefault="00D144FD" w:rsidP="00B1090B">
            <w:pPr>
              <w:pStyle w:val="CBDTableNormal"/>
            </w:pPr>
            <w:r>
              <w:t>Organismos vivos modificados que expresan técnicas de edición genómica para control de plagas y patógenos</w:t>
            </w:r>
          </w:p>
        </w:tc>
        <w:tc>
          <w:tcPr>
            <w:tcW w:w="2280" w:type="dxa"/>
          </w:tcPr>
          <w:p w14:paraId="0B363E65" w14:textId="031A5C45" w:rsidR="00D144FD" w:rsidRPr="00D16F38" w:rsidRDefault="00D144FD" w:rsidP="00B1090B">
            <w:pPr>
              <w:pStyle w:val="CBDTableNormal"/>
            </w:pPr>
            <w:r>
              <w:t>Se cumplen todos los criterios</w:t>
            </w:r>
          </w:p>
        </w:tc>
        <w:tc>
          <w:tcPr>
            <w:tcW w:w="1620" w:type="dxa"/>
          </w:tcPr>
          <w:p w14:paraId="3B045DBE" w14:textId="36F12A09" w:rsidR="00D144FD" w:rsidRPr="00D16F38" w:rsidRDefault="00D144FD" w:rsidP="00934BD4">
            <w:pPr>
              <w:pStyle w:val="CBDTableNormal"/>
            </w:pPr>
            <w:r>
              <w:t>Ningun</w:t>
            </w:r>
            <w:r w:rsidR="00934BD4">
              <w:t>o</w:t>
            </w:r>
          </w:p>
        </w:tc>
        <w:tc>
          <w:tcPr>
            <w:tcW w:w="3239" w:type="dxa"/>
            <w:vAlign w:val="center"/>
          </w:tcPr>
          <w:p w14:paraId="318D0C94" w14:textId="61D1E686" w:rsidR="00D144FD" w:rsidRPr="00D16F38" w:rsidRDefault="00D144FD" w:rsidP="00C156CE">
            <w:pPr>
              <w:pStyle w:val="CBDTableNormal"/>
            </w:pPr>
            <w:r>
              <w:t>Las dificultades podrían tener que ver con organismos vivos modificados, rasgos n</w:t>
            </w:r>
            <w:r w:rsidR="00C156CE">
              <w:t>ue</w:t>
            </w:r>
            <w:r>
              <w:t xml:space="preserve">vos, complejidad de exposición en el medio </w:t>
            </w:r>
            <w:r w:rsidR="00C156CE">
              <w:t>receptor, flujo g</w:t>
            </w:r>
            <w:r>
              <w:t>é</w:t>
            </w:r>
            <w:r w:rsidR="00C156CE">
              <w:t>n</w:t>
            </w:r>
            <w:r>
              <w:t xml:space="preserve">ico, evaluación </w:t>
            </w:r>
            <w:r w:rsidR="00112DB7">
              <w:t>a</w:t>
            </w:r>
            <w:r>
              <w:t xml:space="preserve"> largo plazo, detección y seguimiento, irreversibilidad y gestión del riesgo.</w:t>
            </w:r>
          </w:p>
        </w:tc>
        <w:tc>
          <w:tcPr>
            <w:tcW w:w="5045" w:type="dxa"/>
          </w:tcPr>
          <w:p w14:paraId="0B285958" w14:textId="77777777" w:rsidR="00D144FD" w:rsidRPr="00D16F38" w:rsidRDefault="00D144FD" w:rsidP="00B1090B">
            <w:pPr>
              <w:pStyle w:val="CBDTableNormal"/>
            </w:pPr>
            <w:r>
              <w:t xml:space="preserve">Se requieren materiales de orientación adicionales. </w:t>
            </w:r>
          </w:p>
          <w:p w14:paraId="25F834B3" w14:textId="1AD79879" w:rsidR="00D144FD" w:rsidRPr="00D16F38" w:rsidRDefault="00622153" w:rsidP="00C845B7">
            <w:pPr>
              <w:pStyle w:val="CBDTableNormal"/>
            </w:pPr>
            <w:r>
              <w:t xml:space="preserve">Los factores que </w:t>
            </w:r>
            <w:r w:rsidR="00C156CE">
              <w:t>ha</w:t>
            </w:r>
            <w:r>
              <w:t xml:space="preserve">n </w:t>
            </w:r>
            <w:r w:rsidR="00C156CE">
              <w:t xml:space="preserve">de </w:t>
            </w:r>
            <w:r>
              <w:t>t</w:t>
            </w:r>
            <w:r w:rsidR="00C156CE">
              <w:t>ene</w:t>
            </w:r>
            <w:r>
              <w:t>rse en c</w:t>
            </w:r>
            <w:r w:rsidR="00C156CE">
              <w:t>ue</w:t>
            </w:r>
            <w:r>
              <w:t>n</w:t>
            </w:r>
            <w:r w:rsidR="00C156CE">
              <w:t>ta</w:t>
            </w:r>
            <w:r>
              <w:t xml:space="preserve"> para este tema </w:t>
            </w:r>
            <w:r w:rsidR="00C156CE">
              <w:t xml:space="preserve">podrían ser similares </w:t>
            </w:r>
            <w:r>
              <w:t xml:space="preserve">para </w:t>
            </w:r>
            <w:r w:rsidR="00C156CE">
              <w:t>los que ha</w:t>
            </w:r>
            <w:r w:rsidR="00C845B7">
              <w:t>n</w:t>
            </w:r>
            <w:r w:rsidR="00C156CE">
              <w:t xml:space="preserve"> </w:t>
            </w:r>
            <w:r w:rsidR="00C845B7">
              <w:t>d</w:t>
            </w:r>
            <w:r w:rsidR="00C156CE">
              <w:t>e tener</w:t>
            </w:r>
            <w:r w:rsidR="00C845B7">
              <w:t>se</w:t>
            </w:r>
            <w:r w:rsidR="00C156CE">
              <w:t xml:space="preserve"> en cuenta para </w:t>
            </w:r>
            <w:r>
              <w:t>microorganismos vivos modificados y algas vivas modificadas.</w:t>
            </w:r>
          </w:p>
        </w:tc>
      </w:tr>
      <w:tr w:rsidR="000C078C" w:rsidRPr="00D16F38" w14:paraId="2B940E76" w14:textId="77777777" w:rsidTr="007F340D">
        <w:trPr>
          <w:trHeight w:val="300"/>
        </w:trPr>
        <w:tc>
          <w:tcPr>
            <w:tcW w:w="1945" w:type="dxa"/>
            <w:hideMark/>
          </w:tcPr>
          <w:p w14:paraId="34B259D9" w14:textId="77777777" w:rsidR="00D144FD" w:rsidRPr="00D16F38" w:rsidRDefault="00D144FD" w:rsidP="00B1090B">
            <w:pPr>
              <w:pStyle w:val="CBDTableNormal"/>
            </w:pPr>
            <w:r>
              <w:t>Organismos vivos modificados para alimentos, piensos y procesamiento</w:t>
            </w:r>
          </w:p>
        </w:tc>
        <w:tc>
          <w:tcPr>
            <w:tcW w:w="2280" w:type="dxa"/>
          </w:tcPr>
          <w:p w14:paraId="392DBBB0" w14:textId="7A7B19F0" w:rsidR="00D144FD" w:rsidRPr="00D16F38" w:rsidRDefault="00D144FD" w:rsidP="00B1090B">
            <w:pPr>
              <w:pStyle w:val="CBDTableNormal"/>
            </w:pPr>
            <w:r>
              <w:t>Se cumplen los criterios a), b) y e)</w:t>
            </w:r>
          </w:p>
          <w:p w14:paraId="2A863152" w14:textId="5F9EF66F" w:rsidR="00D144FD" w:rsidRPr="00D16F38" w:rsidRDefault="00D144FD" w:rsidP="00B1090B">
            <w:pPr>
              <w:pStyle w:val="CBDTableNormal"/>
            </w:pPr>
            <w:r>
              <w:t>No se cumplen los criterios c) y d)</w:t>
            </w:r>
          </w:p>
        </w:tc>
        <w:tc>
          <w:tcPr>
            <w:tcW w:w="1620" w:type="dxa"/>
          </w:tcPr>
          <w:p w14:paraId="791EDD38" w14:textId="7060F00A" w:rsidR="00D144FD" w:rsidRPr="00D16F38" w:rsidRDefault="00D144FD" w:rsidP="00B1090B">
            <w:pPr>
              <w:pStyle w:val="CBDTableNormal"/>
            </w:pPr>
            <w:r>
              <w:t>Muchos</w:t>
            </w:r>
          </w:p>
        </w:tc>
        <w:tc>
          <w:tcPr>
            <w:tcW w:w="3239" w:type="dxa"/>
          </w:tcPr>
          <w:p w14:paraId="3019A3A8" w14:textId="6C9FAC0B" w:rsidR="00D144FD" w:rsidRPr="00D16F38" w:rsidRDefault="00D144FD" w:rsidP="00B1090B">
            <w:pPr>
              <w:pStyle w:val="CBDTableNormal"/>
            </w:pPr>
            <w:r>
              <w:t>No se detectaron dificu</w:t>
            </w:r>
            <w:r w:rsidR="00692E18">
              <w:t>ltades de evaluación del riesgo</w:t>
            </w:r>
            <w:r>
              <w:t xml:space="preserve"> significativas. Las dificultades podrían tener que ver con el comercio internacional y la implementación. </w:t>
            </w:r>
          </w:p>
        </w:tc>
        <w:tc>
          <w:tcPr>
            <w:tcW w:w="5045" w:type="dxa"/>
          </w:tcPr>
          <w:p w14:paraId="62A836AD" w14:textId="705F6AC9" w:rsidR="00D144FD" w:rsidRPr="00B1090B" w:rsidRDefault="00D144FD" w:rsidP="00B1090B">
            <w:pPr>
              <w:pStyle w:val="CBDTableNormal"/>
            </w:pPr>
            <w:r>
              <w:t xml:space="preserve">Este tema no fue priorizado para la elaboración de materiales de orientación adicionales dado que no se cumplen los criterios c) y d). </w:t>
            </w:r>
          </w:p>
          <w:p w14:paraId="6A467219" w14:textId="350F7F96" w:rsidR="00D144FD" w:rsidRPr="00D16F38" w:rsidRDefault="00D144FD" w:rsidP="00B1090B">
            <w:pPr>
              <w:pStyle w:val="CBDTableNormal"/>
            </w:pPr>
            <w:r>
              <w:t xml:space="preserve">En los documentos </w:t>
            </w:r>
            <w:hyperlink r:id="rId50" w:history="1">
              <w:r>
                <w:rPr>
                  <w:rStyle w:val="Hyperlink"/>
                </w:rPr>
                <w:t>UNEP/CBD/BS/COP-MOP/8/8/Add.1</w:t>
              </w:r>
            </w:hyperlink>
            <w:r>
              <w:t xml:space="preserve">, </w:t>
            </w:r>
            <w:hyperlink r:id="rId51" w:history="1">
              <w:r>
                <w:rPr>
                  <w:rStyle w:val="Hyperlink"/>
                </w:rPr>
                <w:t>CBD/CP/MOP/11/9</w:t>
              </w:r>
            </w:hyperlink>
            <w:r>
              <w:t xml:space="preserve"> y </w:t>
            </w:r>
            <w:hyperlink r:id="rId52" w:history="1">
              <w:r>
                <w:rPr>
                  <w:rStyle w:val="Hyperlink"/>
                </w:rPr>
                <w:t>CBD/CP/RA/AHTEG/2025/1/INF/2</w:t>
              </w:r>
            </w:hyperlink>
            <w:r>
              <w:t xml:space="preserve"> se brinda información adicional.</w:t>
            </w:r>
          </w:p>
        </w:tc>
      </w:tr>
      <w:tr w:rsidR="000C078C" w:rsidRPr="00D16F38" w14:paraId="574968EF" w14:textId="77777777" w:rsidTr="007F340D">
        <w:trPr>
          <w:trHeight w:val="300"/>
        </w:trPr>
        <w:tc>
          <w:tcPr>
            <w:tcW w:w="1945" w:type="dxa"/>
            <w:hideMark/>
          </w:tcPr>
          <w:p w14:paraId="69FB957D" w14:textId="77777777" w:rsidR="00D144FD" w:rsidRPr="00D16F38" w:rsidRDefault="00D144FD" w:rsidP="00B1090B">
            <w:pPr>
              <w:pStyle w:val="CBDTableNormal"/>
            </w:pPr>
            <w:r>
              <w:t>Organismos vivos modificados producidos mediante nuevas biotecnologías</w:t>
            </w:r>
          </w:p>
        </w:tc>
        <w:tc>
          <w:tcPr>
            <w:tcW w:w="2280" w:type="dxa"/>
          </w:tcPr>
          <w:p w14:paraId="73A2C754" w14:textId="51E5A92A" w:rsidR="00D144FD" w:rsidRPr="00B1090B" w:rsidRDefault="00D144FD" w:rsidP="00B1090B">
            <w:pPr>
              <w:pStyle w:val="CBDTableNormal"/>
            </w:pPr>
            <w:r>
              <w:t>Se cumple el criterio a)</w:t>
            </w:r>
          </w:p>
          <w:p w14:paraId="46C5E96F" w14:textId="28A35696" w:rsidR="00D144FD" w:rsidRPr="00B1090B" w:rsidRDefault="00D144FD" w:rsidP="00B1090B">
            <w:pPr>
              <w:pStyle w:val="CBDTableNormal"/>
            </w:pPr>
            <w:r>
              <w:t>No se aplic</w:t>
            </w:r>
            <w:r w:rsidR="00C156CE">
              <w:t>ó</w:t>
            </w:r>
            <w:r>
              <w:t xml:space="preserve"> el criterio b)</w:t>
            </w:r>
            <w:r>
              <w:rPr>
                <w:i/>
                <w:vertAlign w:val="superscript"/>
              </w:rPr>
              <w:t>c</w:t>
            </w:r>
          </w:p>
          <w:p w14:paraId="31993459" w14:textId="73D625F7" w:rsidR="00D144FD" w:rsidRPr="00B1090B" w:rsidRDefault="00D144FD" w:rsidP="00B1090B">
            <w:pPr>
              <w:pStyle w:val="CBDTableNormal"/>
            </w:pPr>
            <w:r>
              <w:t>No se cumplen los criterios c), d) y e)</w:t>
            </w:r>
          </w:p>
        </w:tc>
        <w:tc>
          <w:tcPr>
            <w:tcW w:w="1620" w:type="dxa"/>
          </w:tcPr>
          <w:p w14:paraId="5D79F8D2" w14:textId="797B6C9D" w:rsidR="00D144FD" w:rsidRPr="00D16F38" w:rsidRDefault="00D144FD" w:rsidP="00B1090B">
            <w:pPr>
              <w:pStyle w:val="CBDTableNormal"/>
            </w:pPr>
            <w:r>
              <w:t>Pocos</w:t>
            </w:r>
          </w:p>
        </w:tc>
        <w:tc>
          <w:tcPr>
            <w:tcW w:w="3239" w:type="dxa"/>
          </w:tcPr>
          <w:p w14:paraId="2B4B7CDD" w14:textId="6D1DB562" w:rsidR="00D144FD" w:rsidRPr="00D16F38" w:rsidRDefault="00D144FD" w:rsidP="00C156CE">
            <w:pPr>
              <w:pStyle w:val="CBDTableNormal"/>
            </w:pPr>
            <w:r>
              <w:t xml:space="preserve">Fue difícil identificar dificultades debido a la amplitud del tema (por ej., muchos tipos de organismos, tecnologías y aplicaciones). </w:t>
            </w:r>
          </w:p>
        </w:tc>
        <w:tc>
          <w:tcPr>
            <w:tcW w:w="5045" w:type="dxa"/>
          </w:tcPr>
          <w:p w14:paraId="0A01E555" w14:textId="79AF1465" w:rsidR="00D144FD" w:rsidRPr="00B1090B" w:rsidRDefault="00D144FD" w:rsidP="00B1090B">
            <w:pPr>
              <w:pStyle w:val="CBDTableNormal"/>
            </w:pPr>
            <w:r>
              <w:t xml:space="preserve">Este tema no fue priorizado para la elaboración de materiales de orientación adicionales dado que no se </w:t>
            </w:r>
            <w:r w:rsidR="00762AB7">
              <w:t>aplicó</w:t>
            </w:r>
            <w:r>
              <w:t xml:space="preserve"> el criterio b) y no se cumplieron los criterios c), d) y e). </w:t>
            </w:r>
            <w:r w:rsidR="00C156CE">
              <w:t>Para orientar futuras discusiones, p</w:t>
            </w:r>
            <w:r>
              <w:t xml:space="preserve">odría ser necesario definir </w:t>
            </w:r>
            <w:r w:rsidR="00C156CE">
              <w:t>con mayor precisión el</w:t>
            </w:r>
            <w:r>
              <w:t xml:space="preserve"> alcance dentro de la categoría amplia de organismos vivos modificados producidos mediante nuevas biotecnologías</w:t>
            </w:r>
            <w:r w:rsidR="00C156CE">
              <w:t>.</w:t>
            </w:r>
          </w:p>
          <w:p w14:paraId="05C7A674" w14:textId="2E9E6C65" w:rsidR="00D144FD" w:rsidRPr="00B1090B" w:rsidRDefault="003F2784" w:rsidP="00B1090B">
            <w:pPr>
              <w:pStyle w:val="CBDTableNormal"/>
            </w:pPr>
            <w:r>
              <w:t xml:space="preserve">Este tema podría abordarse con materiales de orientación existentes pertinentes (por ej., el documento </w:t>
            </w:r>
            <w:hyperlink r:id="rId53" w:history="1">
              <w:r>
                <w:rPr>
                  <w:rStyle w:val="Hyperlink"/>
                </w:rPr>
                <w:t>CBD/CP/MOP/11/9</w:t>
              </w:r>
            </w:hyperlink>
            <w:r>
              <w:t>).</w:t>
            </w:r>
          </w:p>
        </w:tc>
      </w:tr>
      <w:tr w:rsidR="000C078C" w:rsidRPr="00D16F38" w14:paraId="1EC56DA5" w14:textId="77777777" w:rsidTr="007F340D">
        <w:trPr>
          <w:trHeight w:val="300"/>
        </w:trPr>
        <w:tc>
          <w:tcPr>
            <w:tcW w:w="1945" w:type="dxa"/>
            <w:hideMark/>
          </w:tcPr>
          <w:p w14:paraId="364B8CE4" w14:textId="77777777" w:rsidR="00D144FD" w:rsidRPr="00D16F38" w:rsidRDefault="00D144FD" w:rsidP="00B1090B">
            <w:pPr>
              <w:pStyle w:val="CBDTableNormal"/>
            </w:pPr>
            <w:r>
              <w:lastRenderedPageBreak/>
              <w:t>Efectos a largo plazo y acumulativos de las construcciones genéticas y los organismos vivos modificados</w:t>
            </w:r>
          </w:p>
        </w:tc>
        <w:tc>
          <w:tcPr>
            <w:tcW w:w="2280" w:type="dxa"/>
          </w:tcPr>
          <w:p w14:paraId="0B68C82B" w14:textId="6BD96EDB" w:rsidR="00D144FD" w:rsidRPr="00D16F38" w:rsidRDefault="00D144FD" w:rsidP="00B1090B">
            <w:pPr>
              <w:pStyle w:val="CBDTableNormal"/>
            </w:pPr>
            <w:r>
              <w:t>Se cumplen todos los criterios</w:t>
            </w:r>
          </w:p>
        </w:tc>
        <w:tc>
          <w:tcPr>
            <w:tcW w:w="1620" w:type="dxa"/>
          </w:tcPr>
          <w:p w14:paraId="4DD3DC15" w14:textId="0F7EC212" w:rsidR="00D144FD" w:rsidRPr="00D16F38" w:rsidRDefault="00D144FD" w:rsidP="00B1090B">
            <w:pPr>
              <w:pStyle w:val="CBDTableNormal"/>
            </w:pPr>
            <w:r>
              <w:t>Algunos</w:t>
            </w:r>
          </w:p>
        </w:tc>
        <w:tc>
          <w:tcPr>
            <w:tcW w:w="3239" w:type="dxa"/>
          </w:tcPr>
          <w:p w14:paraId="53AEEFE3" w14:textId="12F036E6" w:rsidR="00D144FD" w:rsidRPr="00D16F38" w:rsidRDefault="00D144FD" w:rsidP="00C156CE">
            <w:pPr>
              <w:pStyle w:val="CBDTableNormal"/>
            </w:pPr>
            <w:r>
              <w:t xml:space="preserve">Las dificultades podrían tener que ver con </w:t>
            </w:r>
            <w:r w:rsidR="00C156CE">
              <w:t xml:space="preserve">escala, </w:t>
            </w:r>
            <w:r>
              <w:t xml:space="preserve">medio receptor, modelización, </w:t>
            </w:r>
            <w:r w:rsidR="00C156CE">
              <w:t xml:space="preserve">metodologías de </w:t>
            </w:r>
            <w:r>
              <w:t>evaluación del riesgo, seguimiento a largo plazo, incertidumbre (por ej., en relación con cambios ambientales y liberaciones no intencionales) y gestión del riesgo.</w:t>
            </w:r>
          </w:p>
        </w:tc>
        <w:tc>
          <w:tcPr>
            <w:tcW w:w="5045" w:type="dxa"/>
          </w:tcPr>
          <w:p w14:paraId="7935C4A2" w14:textId="3B9C9B93" w:rsidR="00D144FD" w:rsidRPr="00D16F38" w:rsidRDefault="00D144FD" w:rsidP="00B1090B">
            <w:pPr>
              <w:pStyle w:val="CBDTableNormal"/>
            </w:pPr>
            <w:r>
              <w:t>Se requiere una nota técnica</w:t>
            </w:r>
            <w:r w:rsidRPr="00B1090B">
              <w:rPr>
                <w:rStyle w:val="FootnoteReference"/>
                <w:i/>
                <w:iCs/>
              </w:rPr>
              <w:footnoteReference w:id="18"/>
            </w:r>
            <w:r>
              <w:t xml:space="preserve"> para complementar los documentos </w:t>
            </w:r>
            <w:hyperlink r:id="rId54" w:history="1">
              <w:r>
                <w:rPr>
                  <w:rStyle w:val="Hyperlink"/>
                </w:rPr>
                <w:t>UNEP/CBD/BS/COP-MOP/8/8/Add.1</w:t>
              </w:r>
            </w:hyperlink>
            <w:r>
              <w:t xml:space="preserve"> y </w:t>
            </w:r>
            <w:hyperlink r:id="rId55" w:history="1">
              <w:r>
                <w:rPr>
                  <w:rStyle w:val="Hyperlink"/>
                </w:rPr>
                <w:t>CBD/CP/MOP/11/9</w:t>
              </w:r>
            </w:hyperlink>
            <w:r>
              <w:t>.</w:t>
            </w:r>
          </w:p>
        </w:tc>
      </w:tr>
      <w:tr w:rsidR="000C078C" w:rsidRPr="00D16F38" w14:paraId="27DB10F7" w14:textId="77777777" w:rsidTr="007F340D">
        <w:trPr>
          <w:trHeight w:val="300"/>
        </w:trPr>
        <w:tc>
          <w:tcPr>
            <w:tcW w:w="1945" w:type="dxa"/>
            <w:hideMark/>
          </w:tcPr>
          <w:p w14:paraId="170C10E9" w14:textId="1DABFB8B" w:rsidR="00D144FD" w:rsidRPr="00EA7E25" w:rsidRDefault="00D144FD" w:rsidP="00B1090B">
            <w:pPr>
              <w:pStyle w:val="CBDTableNormal"/>
              <w:rPr>
                <w:spacing w:val="-2"/>
              </w:rPr>
            </w:pPr>
            <w:r w:rsidRPr="00EA7E25">
              <w:rPr>
                <w:spacing w:val="-2"/>
              </w:rPr>
              <w:t>Operacionalización de objetivos de protección traduciéndolos a puntos finales de ev</w:t>
            </w:r>
            <w:r w:rsidR="00EA7E25">
              <w:rPr>
                <w:spacing w:val="-2"/>
              </w:rPr>
              <w:t>aluación y medición pertinentes</w:t>
            </w:r>
          </w:p>
        </w:tc>
        <w:tc>
          <w:tcPr>
            <w:tcW w:w="2280" w:type="dxa"/>
          </w:tcPr>
          <w:p w14:paraId="44F17670" w14:textId="3672CC29" w:rsidR="00D144FD" w:rsidRPr="00D16F38" w:rsidRDefault="00D144FD" w:rsidP="00B1090B">
            <w:pPr>
              <w:pStyle w:val="CBDTableNormal"/>
            </w:pPr>
            <w:r>
              <w:t>Se cumplen todos los criterios</w:t>
            </w:r>
          </w:p>
        </w:tc>
        <w:tc>
          <w:tcPr>
            <w:tcW w:w="1620" w:type="dxa"/>
          </w:tcPr>
          <w:p w14:paraId="7E597E93" w14:textId="6D0F14E3" w:rsidR="00D144FD" w:rsidRPr="00D16F38" w:rsidRDefault="00D144FD" w:rsidP="00B1090B">
            <w:pPr>
              <w:pStyle w:val="CBDTableNormal"/>
            </w:pPr>
            <w:r>
              <w:t>Algunos</w:t>
            </w:r>
          </w:p>
        </w:tc>
        <w:tc>
          <w:tcPr>
            <w:tcW w:w="3239" w:type="dxa"/>
          </w:tcPr>
          <w:p w14:paraId="4A59D014" w14:textId="223D1303" w:rsidR="00D144FD" w:rsidRPr="00D16F38" w:rsidRDefault="00D144FD" w:rsidP="00B1090B">
            <w:pPr>
              <w:pStyle w:val="CBDTableNormal"/>
            </w:pPr>
            <w:r>
              <w:t>La conversión de objetivos de protección amplios a puntos finales de evaluación y medición puede presentar dificultades logísticas y contextuales. El proceso suele no estar documentado y carece de una clara articulación.</w:t>
            </w:r>
          </w:p>
        </w:tc>
        <w:tc>
          <w:tcPr>
            <w:tcW w:w="5045" w:type="dxa"/>
          </w:tcPr>
          <w:p w14:paraId="729060B6" w14:textId="371C1A38" w:rsidR="00D144FD" w:rsidRPr="00D16F38" w:rsidRDefault="00D144FD" w:rsidP="00B1090B">
            <w:pPr>
              <w:pStyle w:val="CBDTableNormal"/>
            </w:pPr>
            <w:r>
              <w:t xml:space="preserve">Se requiere una nota técnica para complementar los documentos </w:t>
            </w:r>
            <w:hyperlink r:id="rId56" w:history="1">
              <w:r>
                <w:rPr>
                  <w:rStyle w:val="Hyperlink"/>
                </w:rPr>
                <w:t>UNEP/CBD/BS/COP-MOP/8/8/Add.1</w:t>
              </w:r>
            </w:hyperlink>
            <w:r>
              <w:t xml:space="preserve"> y </w:t>
            </w:r>
            <w:hyperlink r:id="rId57" w:history="1">
              <w:r>
                <w:rPr>
                  <w:rStyle w:val="Hyperlink"/>
                </w:rPr>
                <w:t>CBD/CP/MOP/11/9</w:t>
              </w:r>
            </w:hyperlink>
            <w:r>
              <w:t>.</w:t>
            </w:r>
          </w:p>
        </w:tc>
      </w:tr>
      <w:tr w:rsidR="000C078C" w:rsidRPr="00D16F38" w14:paraId="5F162100" w14:textId="77777777" w:rsidTr="007F340D">
        <w:trPr>
          <w:trHeight w:val="300"/>
        </w:trPr>
        <w:tc>
          <w:tcPr>
            <w:tcW w:w="1945" w:type="dxa"/>
            <w:hideMark/>
          </w:tcPr>
          <w:p w14:paraId="1A26AE79" w14:textId="0DEC0746" w:rsidR="00D144FD" w:rsidRPr="00D5237E" w:rsidRDefault="00D144FD" w:rsidP="00B1090B">
            <w:pPr>
              <w:pStyle w:val="CBDTableNormal"/>
              <w:rPr>
                <w:spacing w:val="-2"/>
              </w:rPr>
            </w:pPr>
            <w:r w:rsidRPr="00D5237E">
              <w:rPr>
                <w:spacing w:val="-2"/>
              </w:rPr>
              <w:t>Procedimiento simplificado (artículo 13 del Protocolo) y acuerdos y arreglos (artículo 14)</w:t>
            </w:r>
          </w:p>
        </w:tc>
        <w:tc>
          <w:tcPr>
            <w:tcW w:w="2280" w:type="dxa"/>
          </w:tcPr>
          <w:p w14:paraId="59000A28" w14:textId="32DFCC3E" w:rsidR="00D144FD" w:rsidRPr="00D16F38" w:rsidRDefault="00D144FD" w:rsidP="00B1090B">
            <w:pPr>
              <w:pStyle w:val="CBDTableNormal"/>
            </w:pPr>
            <w:r>
              <w:t>Se cumple el criterio a)</w:t>
            </w:r>
          </w:p>
          <w:p w14:paraId="71929531" w14:textId="4EAB28C2" w:rsidR="00D144FD" w:rsidRPr="00D16F38" w:rsidRDefault="00D144FD" w:rsidP="00B1090B">
            <w:pPr>
              <w:pStyle w:val="CBDTableNormal"/>
            </w:pPr>
            <w:r>
              <w:t>Sobre el criterio b) se expresaron opiniones divergentes</w:t>
            </w:r>
          </w:p>
          <w:p w14:paraId="1F7271E3" w14:textId="5D3C4F33" w:rsidR="00D144FD" w:rsidRPr="009006BA" w:rsidRDefault="009006BA" w:rsidP="00B1090B">
            <w:pPr>
              <w:pStyle w:val="CBDTableNormal"/>
              <w:rPr>
                <w:spacing w:val="-2"/>
              </w:rPr>
            </w:pPr>
            <w:r>
              <w:t>Para l</w:t>
            </w:r>
            <w:r w:rsidR="00D144FD">
              <w:t xml:space="preserve">os criterios c) y d) </w:t>
            </w:r>
            <w:r>
              <w:t xml:space="preserve">el </w:t>
            </w:r>
            <w:r w:rsidRPr="009006BA">
              <w:rPr>
                <w:spacing w:val="-2"/>
              </w:rPr>
              <w:t xml:space="preserve">análisis </w:t>
            </w:r>
            <w:r w:rsidR="00D144FD" w:rsidRPr="009006BA">
              <w:rPr>
                <w:spacing w:val="-2"/>
              </w:rPr>
              <w:t xml:space="preserve">no </w:t>
            </w:r>
            <w:r w:rsidRPr="009006BA">
              <w:rPr>
                <w:spacing w:val="-2"/>
              </w:rPr>
              <w:t>fue concluyente</w:t>
            </w:r>
          </w:p>
          <w:p w14:paraId="0487D953" w14:textId="2E8D7356" w:rsidR="00D144FD" w:rsidRPr="00D16F38" w:rsidRDefault="00D144FD" w:rsidP="00B1090B">
            <w:pPr>
              <w:pStyle w:val="CBDTableNormal"/>
            </w:pPr>
            <w:r>
              <w:t>El criterio e) no corresponde</w:t>
            </w:r>
          </w:p>
        </w:tc>
        <w:tc>
          <w:tcPr>
            <w:tcW w:w="1620" w:type="dxa"/>
          </w:tcPr>
          <w:p w14:paraId="6AA9000B" w14:textId="038E758D" w:rsidR="00D144FD" w:rsidRPr="00D16F38" w:rsidRDefault="00D144FD" w:rsidP="00B1090B">
            <w:pPr>
              <w:pStyle w:val="CBDTableNormal"/>
            </w:pPr>
            <w:r>
              <w:t>Pocos</w:t>
            </w:r>
          </w:p>
        </w:tc>
        <w:tc>
          <w:tcPr>
            <w:tcW w:w="3239" w:type="dxa"/>
          </w:tcPr>
          <w:p w14:paraId="70739D5B" w14:textId="3B8C8393" w:rsidR="00D144FD" w:rsidRPr="00D16F38" w:rsidRDefault="00D144FD" w:rsidP="00B1090B">
            <w:pPr>
              <w:pStyle w:val="CBDTableNormal"/>
            </w:pPr>
            <w:r>
              <w:t xml:space="preserve">El análisis con respecto a los criterios c) y d) no fue concluyente debido a las dificultades para aplicar esos criterios a este tema. </w:t>
            </w:r>
          </w:p>
          <w:p w14:paraId="1E689376" w14:textId="07D75E43" w:rsidR="00D144FD" w:rsidRPr="00D16F38" w:rsidRDefault="00D144FD" w:rsidP="009006BA">
            <w:pPr>
              <w:pStyle w:val="CBDTableNormal"/>
            </w:pPr>
            <w:r>
              <w:t>Las dificultades podrían tener que ver con creación de un ambiente propicio y el reconocimiento de la experien</w:t>
            </w:r>
            <w:r w:rsidR="00EA7E25">
              <w:t xml:space="preserve">cia hasta la fecha (por ej., </w:t>
            </w:r>
            <w:r>
              <w:t xml:space="preserve">definición de procedimientos simplificados y elementos relacionados con acuerdos y arreglos). </w:t>
            </w:r>
          </w:p>
        </w:tc>
        <w:tc>
          <w:tcPr>
            <w:tcW w:w="5045" w:type="dxa"/>
          </w:tcPr>
          <w:p w14:paraId="2CEDE2D2" w14:textId="023506D1" w:rsidR="00D144FD" w:rsidRPr="00B1090B" w:rsidRDefault="00D144FD" w:rsidP="00B1090B">
            <w:pPr>
              <w:pStyle w:val="CBDTableNormal"/>
            </w:pPr>
            <w:r>
              <w:t xml:space="preserve">Este tema no fue priorizado para la elaboración de materiales de orientación adicionales dado que no </w:t>
            </w:r>
            <w:r w:rsidR="009006BA">
              <w:t>h</w:t>
            </w:r>
            <w:r>
              <w:t>u</w:t>
            </w:r>
            <w:r w:rsidR="009006BA">
              <w:t>bo</w:t>
            </w:r>
            <w:r>
              <w:t xml:space="preserve"> consenso con respecto al criterio b), el análisis de los criterios c) y </w:t>
            </w:r>
            <w:r w:rsidR="009006BA">
              <w:t>d</w:t>
            </w:r>
            <w:r>
              <w:t>) no fue concluyente y se consideró que el criterio e) no correspondía.</w:t>
            </w:r>
          </w:p>
          <w:p w14:paraId="3D235AAC" w14:textId="653E6054" w:rsidR="00D144FD" w:rsidRPr="00D16F38" w:rsidRDefault="00D144FD" w:rsidP="00B1090B">
            <w:pPr>
              <w:pStyle w:val="CBDTableNormal"/>
            </w:pPr>
            <w:r>
              <w:t>Hubo falta de claridad con respecto a la aplicación del artículo 13 en el contexto de la evaluación del riesgo.</w:t>
            </w:r>
          </w:p>
          <w:p w14:paraId="105A3DCC" w14:textId="0D1162DC" w:rsidR="00D144FD" w:rsidRPr="00D16F38" w:rsidRDefault="00D144FD" w:rsidP="00B1090B">
            <w:pPr>
              <w:pStyle w:val="CBDTableNormal"/>
            </w:pPr>
            <w:r>
              <w:t>Este tema p</w:t>
            </w:r>
            <w:r w:rsidR="00936D60">
              <w:t>o</w:t>
            </w:r>
            <w:r>
              <w:t>d</w:t>
            </w:r>
            <w:r w:rsidR="00936D60">
              <w:t>ría</w:t>
            </w:r>
            <w:r>
              <w:t xml:space="preserve"> ser pertinente para la transportabilidad de datos para la evaluación del riesgo de organismos vivos modificados.</w:t>
            </w:r>
          </w:p>
          <w:p w14:paraId="71016F42" w14:textId="306657C5" w:rsidR="00D144FD" w:rsidRPr="00D16F38" w:rsidRDefault="00D144FD" w:rsidP="00B1090B">
            <w:pPr>
              <w:pStyle w:val="CBDTableNormal"/>
            </w:pPr>
            <w:r>
              <w:t>Las Partes podrían estimar oportuno co</w:t>
            </w:r>
            <w:r w:rsidR="00EA7E25">
              <w:t xml:space="preserve">mpartir </w:t>
            </w:r>
            <w:r>
              <w:t>experiencias con respecto a este tema.</w:t>
            </w:r>
          </w:p>
        </w:tc>
      </w:tr>
      <w:tr w:rsidR="000C078C" w:rsidRPr="00D16F38" w14:paraId="7524E25A" w14:textId="77777777" w:rsidTr="007F340D">
        <w:trPr>
          <w:trHeight w:val="300"/>
        </w:trPr>
        <w:tc>
          <w:tcPr>
            <w:tcW w:w="1945" w:type="dxa"/>
            <w:hideMark/>
          </w:tcPr>
          <w:p w14:paraId="6EFCD7BC" w14:textId="77777777" w:rsidR="00D144FD" w:rsidRPr="00D16F38" w:rsidRDefault="00D144FD" w:rsidP="00B1090B">
            <w:pPr>
              <w:pStyle w:val="CBDTableNormal"/>
            </w:pPr>
            <w:r>
              <w:t>Transportabilidad de datos para la evaluación del riesgo de organismos vivos modificados</w:t>
            </w:r>
          </w:p>
        </w:tc>
        <w:tc>
          <w:tcPr>
            <w:tcW w:w="2280" w:type="dxa"/>
          </w:tcPr>
          <w:p w14:paraId="74ED4639" w14:textId="7F27E9AB" w:rsidR="00D144FD" w:rsidRPr="00D16F38" w:rsidRDefault="00D144FD" w:rsidP="00B1090B">
            <w:pPr>
              <w:pStyle w:val="CBDTableNormal"/>
            </w:pPr>
            <w:r>
              <w:t>Se cumplen los criterios a)</w:t>
            </w:r>
            <w:r w:rsidR="00FE61E1">
              <w:t> </w:t>
            </w:r>
            <w:r>
              <w:t>y b)</w:t>
            </w:r>
          </w:p>
          <w:p w14:paraId="4DABED85" w14:textId="46F1ED96" w:rsidR="00D144FD" w:rsidRPr="00D16F38" w:rsidRDefault="00936D60" w:rsidP="00B1090B">
            <w:pPr>
              <w:pStyle w:val="CBDTableNormal"/>
            </w:pPr>
            <w:r>
              <w:t>Para l</w:t>
            </w:r>
            <w:r w:rsidR="00D144FD">
              <w:t xml:space="preserve">os criterios c) y d) </w:t>
            </w:r>
            <w:r>
              <w:t xml:space="preserve">el </w:t>
            </w:r>
            <w:r w:rsidRPr="00936D60">
              <w:rPr>
                <w:spacing w:val="-2"/>
              </w:rPr>
              <w:t xml:space="preserve">análisis </w:t>
            </w:r>
            <w:r w:rsidR="00D144FD" w:rsidRPr="00936D60">
              <w:rPr>
                <w:spacing w:val="-2"/>
              </w:rPr>
              <w:t xml:space="preserve">no </w:t>
            </w:r>
            <w:r w:rsidRPr="00936D60">
              <w:rPr>
                <w:spacing w:val="-2"/>
              </w:rPr>
              <w:t>fue concluyente</w:t>
            </w:r>
          </w:p>
          <w:p w14:paraId="57C3E80C" w14:textId="463756B3" w:rsidR="00D144FD" w:rsidRPr="00D16F38" w:rsidRDefault="00D144FD" w:rsidP="00B1090B">
            <w:pPr>
              <w:pStyle w:val="CBDTableNormal"/>
            </w:pPr>
            <w:r>
              <w:t>El criterio e) no corresponde</w:t>
            </w:r>
          </w:p>
        </w:tc>
        <w:tc>
          <w:tcPr>
            <w:tcW w:w="1620" w:type="dxa"/>
          </w:tcPr>
          <w:p w14:paraId="11AA014F" w14:textId="13BC7B18" w:rsidR="00D144FD" w:rsidRPr="00D16F38" w:rsidRDefault="00934BD4" w:rsidP="00B1090B">
            <w:pPr>
              <w:pStyle w:val="CBDTableNormal"/>
            </w:pPr>
            <w:r>
              <w:t>Ninguno</w:t>
            </w:r>
          </w:p>
        </w:tc>
        <w:tc>
          <w:tcPr>
            <w:tcW w:w="3239" w:type="dxa"/>
          </w:tcPr>
          <w:p w14:paraId="4200EB39" w14:textId="21CD747B" w:rsidR="00D144FD" w:rsidRPr="00D16F38" w:rsidRDefault="00D144FD" w:rsidP="00B1090B">
            <w:pPr>
              <w:pStyle w:val="CBDTableNormal"/>
            </w:pPr>
            <w:r>
              <w:t xml:space="preserve">Se consideró que el análisis con respecto a los criterios c) y d) no fue concluyente debido a las dificultades para aplicar esos criterios </w:t>
            </w:r>
            <w:r w:rsidR="00EA7E25">
              <w:t>a</w:t>
            </w:r>
            <w:r>
              <w:t xml:space="preserve"> este tema. </w:t>
            </w:r>
          </w:p>
          <w:p w14:paraId="384CB409" w14:textId="30680A38" w:rsidR="00D144FD" w:rsidRPr="00D16F38" w:rsidRDefault="00D144FD" w:rsidP="00B1090B">
            <w:pPr>
              <w:pStyle w:val="CBDTableNormal"/>
            </w:pPr>
            <w:r>
              <w:t xml:space="preserve">Podría haber dificultades relacionadas con datos y su reutilización, contextos locales, interoperabilidad entre bases </w:t>
            </w:r>
            <w:r>
              <w:lastRenderedPageBreak/>
              <w:t xml:space="preserve">de datos, regulación, capacidades nacionales y uso inapropiado de datos transportados entre jurisdicciones. </w:t>
            </w:r>
          </w:p>
        </w:tc>
        <w:tc>
          <w:tcPr>
            <w:tcW w:w="5045" w:type="dxa"/>
          </w:tcPr>
          <w:p w14:paraId="71A39E4D" w14:textId="690C5E18" w:rsidR="00D144FD" w:rsidRPr="00B1090B" w:rsidRDefault="00D144FD" w:rsidP="00B1090B">
            <w:pPr>
              <w:pStyle w:val="CBDTableNormal"/>
            </w:pPr>
            <w:r>
              <w:lastRenderedPageBreak/>
              <w:t xml:space="preserve">Este tema no fue priorizado para la elaboración de materiales de orientación adicionales dado que el análisis de los criterios c) y </w:t>
            </w:r>
            <w:r w:rsidR="000238D7">
              <w:t>d</w:t>
            </w:r>
            <w:r>
              <w:t>) no fue concluyente y se consideró que el criterio e) no correspondía. Las dificultades técnicas identificadas podrían no tener que ver con la evaluación del riesgo.</w:t>
            </w:r>
          </w:p>
          <w:p w14:paraId="2CFCD26E" w14:textId="523F7A4D" w:rsidR="00D144FD" w:rsidRPr="00D16F38" w:rsidRDefault="00F62C05" w:rsidP="00B1090B">
            <w:pPr>
              <w:pStyle w:val="CBDTableNormal"/>
            </w:pPr>
            <w:r>
              <w:lastRenderedPageBreak/>
              <w:t>Podría ser pertinente abordar este tema en el marco del tema referido a procedimiento simplificado (artículo 13 del Protocolo Cartagena) y acuerdos y arreglos (artículo 14).</w:t>
            </w:r>
          </w:p>
          <w:p w14:paraId="7A219382" w14:textId="27620DD7" w:rsidR="00D144FD" w:rsidRPr="00D16F38" w:rsidRDefault="00D144FD" w:rsidP="00EA7E25">
            <w:pPr>
              <w:pStyle w:val="CBDTableNormal"/>
            </w:pPr>
            <w:r>
              <w:t>Las Partes podrían estimar oportuno compartir experiencias con respecto a este tema.</w:t>
            </w:r>
          </w:p>
        </w:tc>
      </w:tr>
      <w:tr w:rsidR="000C078C" w:rsidRPr="00D16F38" w14:paraId="2056C8B9" w14:textId="77777777" w:rsidTr="007F340D">
        <w:trPr>
          <w:trHeight w:val="300"/>
        </w:trPr>
        <w:tc>
          <w:tcPr>
            <w:tcW w:w="1945" w:type="dxa"/>
            <w:hideMark/>
          </w:tcPr>
          <w:p w14:paraId="230C87EA" w14:textId="6843BF07" w:rsidR="00D144FD" w:rsidRPr="00D16F38" w:rsidRDefault="00D144FD" w:rsidP="00B1090B">
            <w:pPr>
              <w:pStyle w:val="CBDTableNormal"/>
            </w:pPr>
            <w:r>
              <w:lastRenderedPageBreak/>
              <w:t>Uso de organismos vivos modificados en centros de origen y en sistemas agrícolas tradicionales</w:t>
            </w:r>
          </w:p>
        </w:tc>
        <w:tc>
          <w:tcPr>
            <w:tcW w:w="2280" w:type="dxa"/>
          </w:tcPr>
          <w:p w14:paraId="32C6E12B" w14:textId="0A044E55" w:rsidR="00D144FD" w:rsidRPr="00D16F38" w:rsidRDefault="00D144FD" w:rsidP="00B1090B">
            <w:pPr>
              <w:pStyle w:val="CBDTableNormal"/>
            </w:pPr>
            <w:r>
              <w:t>Se cumplen todos los criterios</w:t>
            </w:r>
          </w:p>
        </w:tc>
        <w:tc>
          <w:tcPr>
            <w:tcW w:w="1620" w:type="dxa"/>
          </w:tcPr>
          <w:p w14:paraId="12B8FB33" w14:textId="044AA959" w:rsidR="00D144FD" w:rsidRPr="00D16F38" w:rsidRDefault="00D144FD" w:rsidP="00934BD4">
            <w:pPr>
              <w:pStyle w:val="CBDTableNormal"/>
            </w:pPr>
            <w:r>
              <w:t>Ningun</w:t>
            </w:r>
            <w:r w:rsidR="00934BD4">
              <w:t>o</w:t>
            </w:r>
          </w:p>
        </w:tc>
        <w:tc>
          <w:tcPr>
            <w:tcW w:w="3239" w:type="dxa"/>
          </w:tcPr>
          <w:p w14:paraId="5D899F6E" w14:textId="635B524A" w:rsidR="00D144FD" w:rsidRPr="00D16F38" w:rsidRDefault="00D144FD" w:rsidP="008F208C">
            <w:pPr>
              <w:pStyle w:val="CBDTableNormal"/>
            </w:pPr>
            <w:r>
              <w:t>Las dificultades podrían tener que ver con la singularidad de la naturaleza y el contexto de los centros de origen y los sistemas agrícolas tradicionales (por ej., medios altamente diversos, diversidad genética, agricultura a pequeña escala y valor de la diversidad biológica para los pueblos indígenas y las comunidades locales).</w:t>
            </w:r>
          </w:p>
        </w:tc>
        <w:tc>
          <w:tcPr>
            <w:tcW w:w="5045" w:type="dxa"/>
          </w:tcPr>
          <w:p w14:paraId="03B618E1" w14:textId="689FADBA" w:rsidR="00D144FD" w:rsidRPr="00622153" w:rsidRDefault="00D144FD" w:rsidP="00B1090B">
            <w:pPr>
              <w:pStyle w:val="CBDTableNormal"/>
            </w:pPr>
            <w:r>
              <w:t xml:space="preserve">Se requiere una </w:t>
            </w:r>
            <w:r w:rsidR="00EA7E25">
              <w:t>nota técnica armonizada con las</w:t>
            </w:r>
            <w:r>
              <w:t xml:space="preserve"> Directrices voluntarias Akwé: Kon para complementar los documentos </w:t>
            </w:r>
            <w:hyperlink r:id="rId58" w:history="1">
              <w:r>
                <w:rPr>
                  <w:rStyle w:val="Hyperlink"/>
                </w:rPr>
                <w:t>UNEP/CBD/BS/COP-MOP/8/8/Add.1</w:t>
              </w:r>
            </w:hyperlink>
            <w:r>
              <w:t xml:space="preserve"> y </w:t>
            </w:r>
            <w:hyperlink r:id="rId59" w:history="1">
              <w:r>
                <w:rPr>
                  <w:rStyle w:val="Hyperlink"/>
                </w:rPr>
                <w:t>CBD/CP/MOP/11/9</w:t>
              </w:r>
            </w:hyperlink>
            <w:r>
              <w:t>.</w:t>
            </w:r>
          </w:p>
          <w:p w14:paraId="7BE52203" w14:textId="70C73B0B" w:rsidR="00D144FD" w:rsidRPr="00D16F38" w:rsidRDefault="00622153" w:rsidP="00045789">
            <w:pPr>
              <w:pStyle w:val="CBDTableNormal"/>
            </w:pPr>
            <w:r>
              <w:t xml:space="preserve">Los factores que </w:t>
            </w:r>
            <w:r w:rsidR="00045789">
              <w:t>ha</w:t>
            </w:r>
            <w:r>
              <w:t xml:space="preserve">n </w:t>
            </w:r>
            <w:r w:rsidR="00045789">
              <w:t xml:space="preserve">de </w:t>
            </w:r>
            <w:r>
              <w:t>t</w:t>
            </w:r>
            <w:r w:rsidR="00045789">
              <w:t>ene</w:t>
            </w:r>
            <w:r>
              <w:t>rse en c</w:t>
            </w:r>
            <w:r w:rsidR="00045789">
              <w:t>ue</w:t>
            </w:r>
            <w:r>
              <w:t>n</w:t>
            </w:r>
            <w:r w:rsidR="00045789">
              <w:t xml:space="preserve">ta </w:t>
            </w:r>
            <w:r>
              <w:t xml:space="preserve">para este tema </w:t>
            </w:r>
            <w:r w:rsidR="00045789">
              <w:t xml:space="preserve">podrían ser similares a los que han de tenerse en cuenta para la operacionalización </w:t>
            </w:r>
            <w:r>
              <w:t xml:space="preserve">de objetivos de protección </w:t>
            </w:r>
            <w:r w:rsidR="00045789">
              <w:t>t</w:t>
            </w:r>
            <w:r>
              <w:t>ra</w:t>
            </w:r>
            <w:r w:rsidR="00045789">
              <w:t>d</w:t>
            </w:r>
            <w:r>
              <w:t>u</w:t>
            </w:r>
            <w:r w:rsidR="00045789">
              <w:t>ciéndolos a</w:t>
            </w:r>
            <w:r>
              <w:t xml:space="preserve"> puntos finales de evaluación y medición pertinentes.</w:t>
            </w:r>
          </w:p>
        </w:tc>
      </w:tr>
    </w:tbl>
    <w:p w14:paraId="6E4E2FBF" w14:textId="77777777" w:rsidR="0072090E" w:rsidRPr="00D16F38" w:rsidRDefault="0072090E" w:rsidP="001065E9"/>
    <w:p w14:paraId="44050B3A" w14:textId="77777777" w:rsidR="001065E9" w:rsidRPr="00D16F38" w:rsidRDefault="002C2886" w:rsidP="002C2886">
      <w:pPr>
        <w:jc w:val="center"/>
      </w:pPr>
      <w:r>
        <w:t>__________</w:t>
      </w:r>
    </w:p>
    <w:sectPr w:rsidR="001065E9" w:rsidRPr="00D16F38" w:rsidSect="00B1090B">
      <w:footnotePr>
        <w:numFmt w:val="lowerLetter"/>
        <w:numRestart w:val="eachSect"/>
      </w:footnotePr>
      <w:pgSz w:w="15840" w:h="12240" w:orient="landscape"/>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8646C8" w14:textId="77777777" w:rsidR="00793F26" w:rsidRDefault="00793F26" w:rsidP="00840E56">
      <w:r>
        <w:separator/>
      </w:r>
    </w:p>
  </w:endnote>
  <w:endnote w:type="continuationSeparator" w:id="0">
    <w:p w14:paraId="4AB6B634" w14:textId="77777777" w:rsidR="00793F26" w:rsidRDefault="00793F26" w:rsidP="00840E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ptos">
    <w:altName w:val="Times New Roman"/>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altName w:val="Times New Roman"/>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TimesNewRomanPSMT">
    <w:altName w:val="MS Gothic"/>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5708784"/>
      <w:docPartObj>
        <w:docPartGallery w:val="Page Numbers (Top of Page)"/>
        <w:docPartUnique/>
      </w:docPartObj>
    </w:sdtPr>
    <w:sdtEndPr/>
    <w:sdtContent>
      <w:p w14:paraId="73BA6EA0" w14:textId="0D21F3CA" w:rsidR="006F072E" w:rsidRDefault="006F072E">
        <w:pPr>
          <w:pStyle w:val="Footer"/>
        </w:pPr>
        <w:r w:rsidRPr="002A5512">
          <w:fldChar w:fldCharType="begin"/>
        </w:r>
        <w:r w:rsidRPr="002A5512">
          <w:instrText xml:space="preserve"> PAGE </w:instrText>
        </w:r>
        <w:r w:rsidRPr="002A5512">
          <w:fldChar w:fldCharType="separate"/>
        </w:r>
        <w:r w:rsidR="004A73DC">
          <w:rPr>
            <w:noProof/>
          </w:rPr>
          <w:t>2</w:t>
        </w:r>
        <w:r w:rsidRPr="002A5512">
          <w:fldChar w:fldCharType="end"/>
        </w:r>
        <w:r>
          <w:t>/</w:t>
        </w:r>
        <w:fldSimple w:instr=" NUMPAGES  ">
          <w:r w:rsidR="004A73DC">
            <w:rPr>
              <w:noProof/>
            </w:rPr>
            <w:t>12</w:t>
          </w:r>
        </w:fldSimple>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3556901"/>
      <w:docPartObj>
        <w:docPartGallery w:val="Page Numbers (Top of Page)"/>
        <w:docPartUnique/>
      </w:docPartObj>
    </w:sdtPr>
    <w:sdtEndPr/>
    <w:sdtContent>
      <w:p w14:paraId="06BEFDC1" w14:textId="259CF4F6" w:rsidR="006F072E" w:rsidRDefault="006F072E" w:rsidP="00B1090B">
        <w:pPr>
          <w:pStyle w:val="Footer"/>
          <w:jc w:val="right"/>
        </w:pPr>
        <w:r w:rsidRPr="002A5512">
          <w:fldChar w:fldCharType="begin"/>
        </w:r>
        <w:r w:rsidRPr="002A5512">
          <w:instrText xml:space="preserve"> PAGE </w:instrText>
        </w:r>
        <w:r w:rsidRPr="002A5512">
          <w:fldChar w:fldCharType="separate"/>
        </w:r>
        <w:r w:rsidR="004A73DC">
          <w:rPr>
            <w:noProof/>
          </w:rPr>
          <w:t>11</w:t>
        </w:r>
        <w:r w:rsidRPr="002A5512">
          <w:fldChar w:fldCharType="end"/>
        </w:r>
        <w:r>
          <w:t>/</w:t>
        </w:r>
        <w:fldSimple w:instr=" NUMPAGES  ">
          <w:r w:rsidR="004A73DC">
            <w:rPr>
              <w:noProof/>
            </w:rPr>
            <w:t>12</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BF4D4D" w14:textId="77777777" w:rsidR="00793F26" w:rsidRDefault="00793F26" w:rsidP="00840E56">
      <w:r>
        <w:separator/>
      </w:r>
    </w:p>
  </w:footnote>
  <w:footnote w:type="continuationSeparator" w:id="0">
    <w:p w14:paraId="5B9E568E" w14:textId="77777777" w:rsidR="00793F26" w:rsidRDefault="00793F26" w:rsidP="00840E56">
      <w:r>
        <w:continuationSeparator/>
      </w:r>
    </w:p>
  </w:footnote>
  <w:footnote w:id="1">
    <w:p w14:paraId="221D1D1A" w14:textId="77777777" w:rsidR="00CA0389" w:rsidRPr="00FE75A8" w:rsidRDefault="00CA0389" w:rsidP="00CA0389">
      <w:pPr>
        <w:pStyle w:val="FootnoteText"/>
      </w:pPr>
      <w:r>
        <w:rPr>
          <w:rStyle w:val="FootnoteReference"/>
        </w:rPr>
        <w:t>*</w:t>
      </w:r>
      <w:r>
        <w:t xml:space="preserve"> </w:t>
      </w:r>
      <w:r>
        <w:rPr>
          <w:snapToGrid w:val="0"/>
        </w:rPr>
        <w:t>CBD/SBSTTA/27/1.</w:t>
      </w:r>
    </w:p>
  </w:footnote>
  <w:footnote w:id="2">
    <w:p w14:paraId="1431051E" w14:textId="11386BE7" w:rsidR="006F072E" w:rsidRPr="007405C9" w:rsidRDefault="006F072E">
      <w:pPr>
        <w:pStyle w:val="FootnoteText"/>
      </w:pPr>
      <w:r>
        <w:rPr>
          <w:rStyle w:val="FootnoteReference"/>
        </w:rPr>
        <w:footnoteRef/>
      </w:r>
      <w:r>
        <w:t xml:space="preserve"> Brasil, Chad, Colombia, Egipto, Malasia, Mauritania, México, Níger, Pakistán, Panamá, Perú y Sudáfrica.</w:t>
      </w:r>
    </w:p>
  </w:footnote>
  <w:footnote w:id="3">
    <w:p w14:paraId="09E1B689" w14:textId="7AADB65F" w:rsidR="006F072E" w:rsidRPr="00D16F38" w:rsidRDefault="006F072E" w:rsidP="00A45CCA">
      <w:pPr>
        <w:pStyle w:val="FootnoteText"/>
      </w:pPr>
      <w:r>
        <w:rPr>
          <w:rStyle w:val="FootnoteReference"/>
        </w:rPr>
        <w:footnoteRef/>
      </w:r>
      <w:r>
        <w:t xml:space="preserve"> Véase el anexo I, secc. III.</w:t>
      </w:r>
    </w:p>
  </w:footnote>
  <w:footnote w:id="4">
    <w:p w14:paraId="4EA2835B" w14:textId="79E7F682" w:rsidR="006F072E" w:rsidRPr="00B1090B" w:rsidRDefault="006F072E" w:rsidP="00BF65BE">
      <w:pPr>
        <w:pStyle w:val="FootnoteText"/>
      </w:pPr>
      <w:r>
        <w:rPr>
          <w:rStyle w:val="FootnoteReference"/>
        </w:rPr>
        <w:footnoteRef/>
      </w:r>
      <w:r>
        <w:t xml:space="preserve"> Como, por ejemplo, la orientación sobre la evaluación del riesgo de los organismos vivos modificados y vigilancia en el contexto de la evaluación del riesgo (</w:t>
      </w:r>
      <w:hyperlink r:id="rId1" w:history="1">
        <w:r>
          <w:rPr>
            <w:rStyle w:val="Hyperlink"/>
          </w:rPr>
          <w:t>UNEP/CBD/BS/COP-MOP/8/8/Add.1</w:t>
        </w:r>
      </w:hyperlink>
      <w:r>
        <w:t>, anexo) y los materiales de orientación voluntaria adicionales para apoyar evaluaciones del riesgo caso por caso de organismos vivos modificados que contengan impulsores genéticos modificados (</w:t>
      </w:r>
      <w:hyperlink r:id="rId2" w:history="1">
        <w:r>
          <w:rPr>
            <w:rStyle w:val="Hyperlink"/>
          </w:rPr>
          <w:t>CBD/CP/MOP/11/9</w:t>
        </w:r>
      </w:hyperlink>
      <w:r>
        <w:t>).</w:t>
      </w:r>
    </w:p>
  </w:footnote>
  <w:footnote w:id="5">
    <w:p w14:paraId="7727A779" w14:textId="2EB0A184" w:rsidR="006F072E" w:rsidRPr="003430A5" w:rsidRDefault="006F072E" w:rsidP="003430A5">
      <w:pPr>
        <w:pStyle w:val="FootnoteText"/>
      </w:pPr>
      <w:r>
        <w:rPr>
          <w:rStyle w:val="FootnoteReference"/>
        </w:rPr>
        <w:footnoteRef/>
      </w:r>
      <w:r>
        <w:t xml:space="preserve"> </w:t>
      </w:r>
      <w:hyperlink r:id="rId3" w:history="1">
        <w:r>
          <w:rPr>
            <w:rStyle w:val="Hyperlink"/>
          </w:rPr>
          <w:t>UNEP/CBD/BS/COP-MOP/7/INF/6</w:t>
        </w:r>
      </w:hyperlink>
      <w:r>
        <w:t>.</w:t>
      </w:r>
    </w:p>
  </w:footnote>
  <w:footnote w:id="6">
    <w:p w14:paraId="7F250B83" w14:textId="7CAD6435" w:rsidR="006F072E" w:rsidRPr="00D16F38" w:rsidRDefault="006F072E">
      <w:pPr>
        <w:pStyle w:val="FootnoteText"/>
      </w:pPr>
      <w:r>
        <w:rPr>
          <w:rStyle w:val="FootnoteReference"/>
        </w:rPr>
        <w:footnoteRef/>
      </w:r>
      <w:r>
        <w:t xml:space="preserve"> Véase el documento CBD/CP/RA/AHTEG/2025/1/3.</w:t>
      </w:r>
    </w:p>
  </w:footnote>
  <w:footnote w:id="7">
    <w:p w14:paraId="2A539B4E" w14:textId="1A203717" w:rsidR="006F072E" w:rsidRPr="00CD6AB7" w:rsidRDefault="006F072E">
      <w:pPr>
        <w:pStyle w:val="FootnoteText"/>
      </w:pPr>
      <w:r>
        <w:rPr>
          <w:rStyle w:val="FootnoteReference"/>
        </w:rPr>
        <w:footnoteRef/>
      </w:r>
      <w:r>
        <w:t xml:space="preserve"> CBD/SBSTTA/27/6, anexo.</w:t>
      </w:r>
    </w:p>
  </w:footnote>
  <w:footnote w:id="8">
    <w:p w14:paraId="1BA145C1" w14:textId="69B0CD49" w:rsidR="006F072E" w:rsidRPr="00D16F38" w:rsidRDefault="006F072E">
      <w:pPr>
        <w:pStyle w:val="FootnoteText"/>
      </w:pPr>
      <w:r>
        <w:rPr>
          <w:rStyle w:val="FootnoteReference"/>
        </w:rPr>
        <w:footnoteRef/>
      </w:r>
      <w:r>
        <w:t xml:space="preserve"> Que sirvan de complementos prácticos de materiales de orientación existentes para apoyar a las Partes a abordar dificultades o contextos específicos.</w:t>
      </w:r>
    </w:p>
  </w:footnote>
  <w:footnote w:id="9">
    <w:p w14:paraId="66424598" w14:textId="77777777" w:rsidR="006F072E" w:rsidRPr="00B1090B" w:rsidRDefault="006F072E" w:rsidP="00B260C1">
      <w:pPr>
        <w:pStyle w:val="FootnoteText"/>
      </w:pPr>
      <w:r>
        <w:rPr>
          <w:rStyle w:val="FootnoteReference"/>
        </w:rPr>
        <w:footnoteRef/>
      </w:r>
      <w:r>
        <w:t xml:space="preserve"> Naciones Unidas, </w:t>
      </w:r>
      <w:r>
        <w:rPr>
          <w:i/>
        </w:rPr>
        <w:t>Treaty Series</w:t>
      </w:r>
      <w:r>
        <w:t>, vol. 2226, núm. 30619.</w:t>
      </w:r>
    </w:p>
  </w:footnote>
  <w:footnote w:id="10">
    <w:p w14:paraId="5797A757" w14:textId="49310158" w:rsidR="006F072E" w:rsidRPr="00D16F38" w:rsidRDefault="006F072E">
      <w:pPr>
        <w:pStyle w:val="FootnoteText"/>
      </w:pPr>
      <w:r>
        <w:rPr>
          <w:rStyle w:val="FootnoteReference"/>
        </w:rPr>
        <w:footnoteRef/>
      </w:r>
      <w:r>
        <w:t xml:space="preserve"> Decisión </w:t>
      </w:r>
      <w:hyperlink r:id="rId4" w:history="1">
        <w:r>
          <w:rPr>
            <w:rStyle w:val="Hyperlink"/>
          </w:rPr>
          <w:t>VIII/10</w:t>
        </w:r>
      </w:hyperlink>
      <w:r>
        <w:t>, anexo III.</w:t>
      </w:r>
    </w:p>
  </w:footnote>
  <w:footnote w:id="11">
    <w:p w14:paraId="3F832868" w14:textId="546039D0" w:rsidR="006F072E" w:rsidRPr="00D16F38" w:rsidRDefault="006F072E" w:rsidP="007221D4">
      <w:pPr>
        <w:pStyle w:val="FootnoteText"/>
      </w:pPr>
      <w:r>
        <w:rPr>
          <w:rStyle w:val="FootnoteReference"/>
        </w:rPr>
        <w:footnoteRef/>
      </w:r>
      <w:r>
        <w:t xml:space="preserve"> Naciones Unidas, </w:t>
      </w:r>
      <w:r>
        <w:rPr>
          <w:i/>
        </w:rPr>
        <w:t>Treaty Series</w:t>
      </w:r>
      <w:r>
        <w:t>, vol. 2226, núm. 30619.</w:t>
      </w:r>
    </w:p>
  </w:footnote>
  <w:footnote w:id="12">
    <w:p w14:paraId="4702B17E" w14:textId="3D38EF4B" w:rsidR="006F072E" w:rsidRPr="00B1090B" w:rsidRDefault="006F072E">
      <w:pPr>
        <w:pStyle w:val="FootnoteText"/>
      </w:pPr>
      <w:r>
        <w:rPr>
          <w:rStyle w:val="FootnoteReference"/>
        </w:rPr>
        <w:footnoteRef/>
      </w:r>
      <w:r>
        <w:t xml:space="preserve"> Las notas técnicas sirven como complementos prácticos de materiales de orientación existentes para apoyar a las Partes a abordar dificultades o contextos específicos.</w:t>
      </w:r>
    </w:p>
  </w:footnote>
  <w:footnote w:id="13">
    <w:p w14:paraId="7EFFD78E" w14:textId="780D763D" w:rsidR="006F072E" w:rsidRPr="00D16F38" w:rsidRDefault="006F072E">
      <w:pPr>
        <w:pStyle w:val="FootnoteText"/>
      </w:pPr>
      <w:r>
        <w:rPr>
          <w:rStyle w:val="FootnoteReference"/>
        </w:rPr>
        <w:footnoteRef/>
      </w:r>
      <w:r>
        <w:t xml:space="preserve"> </w:t>
      </w:r>
      <w:hyperlink r:id="rId5" w:history="1">
        <w:r>
          <w:rPr>
            <w:rStyle w:val="Hyperlink"/>
          </w:rPr>
          <w:t>CBD/CP/RA/AHTEG/2025/1/INF/1</w:t>
        </w:r>
      </w:hyperlink>
      <w:r>
        <w:t>.</w:t>
      </w:r>
    </w:p>
  </w:footnote>
  <w:footnote w:id="14">
    <w:p w14:paraId="77A83CC2" w14:textId="377E0A3B" w:rsidR="006F072E" w:rsidRPr="00B1090B" w:rsidRDefault="006F072E" w:rsidP="00C1650B">
      <w:pPr>
        <w:pStyle w:val="FootnoteText"/>
      </w:pPr>
      <w:r>
        <w:rPr>
          <w:rStyle w:val="FootnoteReference"/>
        </w:rPr>
        <w:footnoteRef/>
      </w:r>
      <w:r>
        <w:t xml:space="preserve"> </w:t>
      </w:r>
      <w:hyperlink r:id="rId6" w:history="1">
        <w:r>
          <w:rPr>
            <w:rStyle w:val="Hyperlink"/>
          </w:rPr>
          <w:t>CBD/CP/RA/AHTEG/2025/1/INF/2</w:t>
        </w:r>
      </w:hyperlink>
      <w:r>
        <w:t>.</w:t>
      </w:r>
    </w:p>
  </w:footnote>
  <w:footnote w:id="15">
    <w:p w14:paraId="2ABFA02C" w14:textId="795B4DE0" w:rsidR="006F072E" w:rsidRPr="00D16F38" w:rsidRDefault="006F072E" w:rsidP="00D144FD">
      <w:pPr>
        <w:pStyle w:val="FootnoteText"/>
      </w:pPr>
      <w:r>
        <w:rPr>
          <w:rStyle w:val="FootnoteReference"/>
          <w:i/>
          <w:iCs/>
        </w:rPr>
        <w:footnoteRef/>
      </w:r>
      <w:r>
        <w:t xml:space="preserve"> Donde “pocos” es 1 o 2, “algunos” es entre 3 y 5, “varios” es entre 5 y 10 y “muchos” es más de 10. En el documento </w:t>
      </w:r>
      <w:hyperlink r:id="rId7" w:history="1">
        <w:r>
          <w:rPr>
            <w:rStyle w:val="Hyperlink"/>
          </w:rPr>
          <w:t>CBD/CP/RA/AHTEG/2025/1/INF/2</w:t>
        </w:r>
      </w:hyperlink>
      <w:r>
        <w:t xml:space="preserve"> se enumeran los recursos existentes.</w:t>
      </w:r>
    </w:p>
  </w:footnote>
  <w:footnote w:id="16">
    <w:p w14:paraId="14708D7B" w14:textId="3EC77F6A" w:rsidR="006F072E" w:rsidRPr="00D16F38" w:rsidRDefault="006F072E" w:rsidP="00D144FD">
      <w:pPr>
        <w:pStyle w:val="FootnoteText"/>
      </w:pPr>
      <w:r>
        <w:rPr>
          <w:rStyle w:val="FootnoteReference"/>
          <w:i/>
          <w:iCs/>
        </w:rPr>
        <w:footnoteRef/>
      </w:r>
      <w:r>
        <w:t xml:space="preserve"> En el documento </w:t>
      </w:r>
      <w:hyperlink r:id="rId8" w:history="1">
        <w:r>
          <w:rPr>
            <w:rStyle w:val="Hyperlink"/>
          </w:rPr>
          <w:t>CBD/CP/RA/AHTEG/2025/1/INF/1</w:t>
        </w:r>
      </w:hyperlink>
      <w:r>
        <w:t xml:space="preserve"> se brinda información detallada sobre las dificultades específicas.</w:t>
      </w:r>
    </w:p>
  </w:footnote>
  <w:footnote w:id="17">
    <w:p w14:paraId="3CF064D3" w14:textId="42184DAF" w:rsidR="006F072E" w:rsidRPr="00B1090B" w:rsidRDefault="006F072E" w:rsidP="00D144FD">
      <w:pPr>
        <w:pStyle w:val="FootnoteText"/>
      </w:pPr>
      <w:r>
        <w:rPr>
          <w:rStyle w:val="FootnoteReference"/>
          <w:i/>
          <w:iCs/>
        </w:rPr>
        <w:footnoteRef/>
      </w:r>
      <w:r>
        <w:t xml:space="preserve"> Reconociendo la diversidad de enfoques y legislaciones nacionales en materia de organismos desarrollados mediante técnicas de edición genómica, el Grupo Especial de Expertos Técnicos sobre Evaluación del Riesgo decidió no aplicar en este tema el criterio b) (esto es, el tema está comprendido en el ámbito y el objetivo del Protocolo de Cartagena) y se centró en vez en </w:t>
      </w:r>
      <w:r w:rsidR="00E87CAF">
        <w:t>sus méritos</w:t>
      </w:r>
      <w:r>
        <w:t>.</w:t>
      </w:r>
    </w:p>
  </w:footnote>
  <w:footnote w:id="18">
    <w:p w14:paraId="03EBC0F7" w14:textId="11703AFA" w:rsidR="006F072E" w:rsidRPr="00B1090B" w:rsidRDefault="006F072E" w:rsidP="00D144FD">
      <w:pPr>
        <w:pStyle w:val="FootnoteText"/>
      </w:pPr>
      <w:r>
        <w:rPr>
          <w:rStyle w:val="FootnoteReference"/>
          <w:i/>
          <w:iCs/>
        </w:rPr>
        <w:footnoteRef/>
      </w:r>
      <w:r>
        <w:t xml:space="preserve"> Las notas técnicas sirven como complementos prácticos de materiales de orientación existentes para apoyar a las Partes a abordar dificultades o contextos específicos.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6C677D" w14:textId="4B84E900" w:rsidR="006F072E" w:rsidRPr="00B1090B" w:rsidRDefault="006F072E" w:rsidP="00776D82">
    <w:pPr>
      <w:pStyle w:val="Header"/>
      <w:spacing w:after="240"/>
    </w:pPr>
    <w:r>
      <w:t>CBD/SBSTTA/27/6</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ED83F4" w14:textId="7186E058" w:rsidR="006F072E" w:rsidRPr="00B1090B" w:rsidRDefault="006F072E" w:rsidP="00776D82">
    <w:pPr>
      <w:pStyle w:val="Header"/>
      <w:spacing w:after="240"/>
      <w:jc w:val="right"/>
    </w:pPr>
    <w:r>
      <w:t>CBD/SBSTTA/27/6</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9EC92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5627F2C"/>
    <w:multiLevelType w:val="hybridMultilevel"/>
    <w:tmpl w:val="44061504"/>
    <w:lvl w:ilvl="0" w:tplc="9D4C0668">
      <w:start w:val="1"/>
      <w:numFmt w:val="lowerLetter"/>
      <w:lvlText w:val="%1)"/>
      <w:lvlJc w:val="left"/>
      <w:pPr>
        <w:ind w:left="1020" w:hanging="360"/>
      </w:pPr>
    </w:lvl>
    <w:lvl w:ilvl="1" w:tplc="0AC2154E">
      <w:start w:val="1"/>
      <w:numFmt w:val="lowerLetter"/>
      <w:lvlText w:val="%2)"/>
      <w:lvlJc w:val="left"/>
      <w:pPr>
        <w:ind w:left="1020" w:hanging="360"/>
      </w:pPr>
    </w:lvl>
    <w:lvl w:ilvl="2" w:tplc="CAB2A274">
      <w:start w:val="1"/>
      <w:numFmt w:val="lowerLetter"/>
      <w:lvlText w:val="%3)"/>
      <w:lvlJc w:val="left"/>
      <w:pPr>
        <w:ind w:left="1020" w:hanging="360"/>
      </w:pPr>
    </w:lvl>
    <w:lvl w:ilvl="3" w:tplc="AFC811FC">
      <w:start w:val="1"/>
      <w:numFmt w:val="lowerLetter"/>
      <w:lvlText w:val="%4)"/>
      <w:lvlJc w:val="left"/>
      <w:pPr>
        <w:ind w:left="1020" w:hanging="360"/>
      </w:pPr>
    </w:lvl>
    <w:lvl w:ilvl="4" w:tplc="61904424">
      <w:start w:val="1"/>
      <w:numFmt w:val="lowerLetter"/>
      <w:lvlText w:val="%5)"/>
      <w:lvlJc w:val="left"/>
      <w:pPr>
        <w:ind w:left="1020" w:hanging="360"/>
      </w:pPr>
    </w:lvl>
    <w:lvl w:ilvl="5" w:tplc="93886AF4">
      <w:start w:val="1"/>
      <w:numFmt w:val="lowerLetter"/>
      <w:lvlText w:val="%6)"/>
      <w:lvlJc w:val="left"/>
      <w:pPr>
        <w:ind w:left="1020" w:hanging="360"/>
      </w:pPr>
    </w:lvl>
    <w:lvl w:ilvl="6" w:tplc="741AA6D6">
      <w:start w:val="1"/>
      <w:numFmt w:val="lowerLetter"/>
      <w:lvlText w:val="%7)"/>
      <w:lvlJc w:val="left"/>
      <w:pPr>
        <w:ind w:left="1020" w:hanging="360"/>
      </w:pPr>
    </w:lvl>
    <w:lvl w:ilvl="7" w:tplc="DA22024C">
      <w:start w:val="1"/>
      <w:numFmt w:val="lowerLetter"/>
      <w:lvlText w:val="%8)"/>
      <w:lvlJc w:val="left"/>
      <w:pPr>
        <w:ind w:left="1020" w:hanging="360"/>
      </w:pPr>
    </w:lvl>
    <w:lvl w:ilvl="8" w:tplc="71C6207C">
      <w:start w:val="1"/>
      <w:numFmt w:val="lowerLetter"/>
      <w:lvlText w:val="%9)"/>
      <w:lvlJc w:val="left"/>
      <w:pPr>
        <w:ind w:left="1020" w:hanging="360"/>
      </w:pPr>
    </w:lvl>
  </w:abstractNum>
  <w:abstractNum w:abstractNumId="11" w15:restartNumberingAfterBreak="0">
    <w:nsid w:val="19E646BE"/>
    <w:multiLevelType w:val="hybridMultilevel"/>
    <w:tmpl w:val="5C4A16AE"/>
    <w:lvl w:ilvl="0" w:tplc="9042D268">
      <w:start w:val="1"/>
      <w:numFmt w:val="lowerLetter"/>
      <w:lvlText w:val="%1)"/>
      <w:lvlJc w:val="left"/>
      <w:pPr>
        <w:ind w:left="1020" w:hanging="360"/>
      </w:pPr>
    </w:lvl>
    <w:lvl w:ilvl="1" w:tplc="8AB0081E">
      <w:start w:val="1"/>
      <w:numFmt w:val="lowerLetter"/>
      <w:lvlText w:val="%2)"/>
      <w:lvlJc w:val="left"/>
      <w:pPr>
        <w:ind w:left="1020" w:hanging="360"/>
      </w:pPr>
    </w:lvl>
    <w:lvl w:ilvl="2" w:tplc="A32C404E">
      <w:start w:val="1"/>
      <w:numFmt w:val="lowerLetter"/>
      <w:lvlText w:val="%3)"/>
      <w:lvlJc w:val="left"/>
      <w:pPr>
        <w:ind w:left="1020" w:hanging="360"/>
      </w:pPr>
    </w:lvl>
    <w:lvl w:ilvl="3" w:tplc="7C4E49A4">
      <w:start w:val="1"/>
      <w:numFmt w:val="lowerLetter"/>
      <w:lvlText w:val="%4)"/>
      <w:lvlJc w:val="left"/>
      <w:pPr>
        <w:ind w:left="1020" w:hanging="360"/>
      </w:pPr>
    </w:lvl>
    <w:lvl w:ilvl="4" w:tplc="6A6C1B6E">
      <w:start w:val="1"/>
      <w:numFmt w:val="lowerLetter"/>
      <w:lvlText w:val="%5)"/>
      <w:lvlJc w:val="left"/>
      <w:pPr>
        <w:ind w:left="1020" w:hanging="360"/>
      </w:pPr>
    </w:lvl>
    <w:lvl w:ilvl="5" w:tplc="9894F3DC">
      <w:start w:val="1"/>
      <w:numFmt w:val="lowerLetter"/>
      <w:lvlText w:val="%6)"/>
      <w:lvlJc w:val="left"/>
      <w:pPr>
        <w:ind w:left="1020" w:hanging="360"/>
      </w:pPr>
    </w:lvl>
    <w:lvl w:ilvl="6" w:tplc="C2B094CA">
      <w:start w:val="1"/>
      <w:numFmt w:val="lowerLetter"/>
      <w:lvlText w:val="%7)"/>
      <w:lvlJc w:val="left"/>
      <w:pPr>
        <w:ind w:left="1020" w:hanging="360"/>
      </w:pPr>
    </w:lvl>
    <w:lvl w:ilvl="7" w:tplc="8326F04E">
      <w:start w:val="1"/>
      <w:numFmt w:val="lowerLetter"/>
      <w:lvlText w:val="%8)"/>
      <w:lvlJc w:val="left"/>
      <w:pPr>
        <w:ind w:left="1020" w:hanging="360"/>
      </w:pPr>
    </w:lvl>
    <w:lvl w:ilvl="8" w:tplc="7D5806C2">
      <w:start w:val="1"/>
      <w:numFmt w:val="lowerLetter"/>
      <w:lvlText w:val="%9)"/>
      <w:lvlJc w:val="left"/>
      <w:pPr>
        <w:ind w:left="1020" w:hanging="360"/>
      </w:pPr>
    </w:lvl>
  </w:abstractNum>
  <w:abstractNum w:abstractNumId="12" w15:restartNumberingAfterBreak="0">
    <w:nsid w:val="41034BC2"/>
    <w:multiLevelType w:val="multilevel"/>
    <w:tmpl w:val="3CAAA6E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5676473C"/>
    <w:multiLevelType w:val="multilevel"/>
    <w:tmpl w:val="2BFA6E5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5" w15:restartNumberingAfterBreak="0">
    <w:nsid w:val="5D943BEE"/>
    <w:multiLevelType w:val="multilevel"/>
    <w:tmpl w:val="222A08B4"/>
    <w:numStyleLink w:val="ListCBD"/>
  </w:abstractNum>
  <w:abstractNum w:abstractNumId="1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8" w15:restartNumberingAfterBreak="0">
    <w:nsid w:val="7C9D709C"/>
    <w:multiLevelType w:val="multilevel"/>
    <w:tmpl w:val="C1D0B9BC"/>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13"/>
  </w:num>
  <w:num w:numId="8">
    <w:abstractNumId w:val="16"/>
  </w:num>
  <w:num w:numId="9">
    <w:abstractNumId w:val="15"/>
  </w:num>
  <w:num w:numId="10">
    <w:abstractNumId w:val="8"/>
  </w:num>
  <w:num w:numId="11">
    <w:abstractNumId w:val="3"/>
  </w:num>
  <w:num w:numId="12">
    <w:abstractNumId w:val="2"/>
  </w:num>
  <w:num w:numId="13">
    <w:abstractNumId w:val="1"/>
  </w:num>
  <w:num w:numId="14">
    <w:abstractNumId w:val="0"/>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num>
  <w:num w:numId="23">
    <w:abstractNumId w:val="10"/>
  </w:num>
  <w:num w:numId="24">
    <w:abstractNumId w:val="12"/>
  </w:num>
  <w:num w:numId="25">
    <w:abstractNumId w:val="18"/>
  </w:num>
  <w:num w:numId="26">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attachedTemplate r:id="rId1"/>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690E"/>
    <w:rsid w:val="00002498"/>
    <w:rsid w:val="0000573F"/>
    <w:rsid w:val="000103AE"/>
    <w:rsid w:val="00012983"/>
    <w:rsid w:val="0001310A"/>
    <w:rsid w:val="000137EF"/>
    <w:rsid w:val="000141B5"/>
    <w:rsid w:val="000159AF"/>
    <w:rsid w:val="00016290"/>
    <w:rsid w:val="000229E8"/>
    <w:rsid w:val="000238D7"/>
    <w:rsid w:val="0002546E"/>
    <w:rsid w:val="00034F9D"/>
    <w:rsid w:val="00035B6F"/>
    <w:rsid w:val="0003698C"/>
    <w:rsid w:val="00036F7B"/>
    <w:rsid w:val="00040502"/>
    <w:rsid w:val="0004077A"/>
    <w:rsid w:val="00041805"/>
    <w:rsid w:val="00045789"/>
    <w:rsid w:val="0004590B"/>
    <w:rsid w:val="0004786A"/>
    <w:rsid w:val="000511B1"/>
    <w:rsid w:val="00052655"/>
    <w:rsid w:val="000526ED"/>
    <w:rsid w:val="00057B13"/>
    <w:rsid w:val="00064C69"/>
    <w:rsid w:val="00071536"/>
    <w:rsid w:val="0007248D"/>
    <w:rsid w:val="0007349D"/>
    <w:rsid w:val="000754E8"/>
    <w:rsid w:val="00076176"/>
    <w:rsid w:val="00083EBE"/>
    <w:rsid w:val="0008497C"/>
    <w:rsid w:val="00087CFB"/>
    <w:rsid w:val="00092E88"/>
    <w:rsid w:val="000941BB"/>
    <w:rsid w:val="0009421D"/>
    <w:rsid w:val="00096DE1"/>
    <w:rsid w:val="00097729"/>
    <w:rsid w:val="000A08C9"/>
    <w:rsid w:val="000A16D9"/>
    <w:rsid w:val="000A2C33"/>
    <w:rsid w:val="000A33DF"/>
    <w:rsid w:val="000A421A"/>
    <w:rsid w:val="000A439C"/>
    <w:rsid w:val="000A70C5"/>
    <w:rsid w:val="000A728D"/>
    <w:rsid w:val="000A7D4B"/>
    <w:rsid w:val="000C078C"/>
    <w:rsid w:val="000C21C0"/>
    <w:rsid w:val="000C4D63"/>
    <w:rsid w:val="000C51EC"/>
    <w:rsid w:val="000C56DA"/>
    <w:rsid w:val="000D3987"/>
    <w:rsid w:val="000D5C27"/>
    <w:rsid w:val="000D68B6"/>
    <w:rsid w:val="000E0C14"/>
    <w:rsid w:val="000E1726"/>
    <w:rsid w:val="000E5A18"/>
    <w:rsid w:val="000E5ED6"/>
    <w:rsid w:val="000E7FB7"/>
    <w:rsid w:val="000F1311"/>
    <w:rsid w:val="000F1F8D"/>
    <w:rsid w:val="0010015F"/>
    <w:rsid w:val="0010086D"/>
    <w:rsid w:val="0010227B"/>
    <w:rsid w:val="0010384C"/>
    <w:rsid w:val="0010521A"/>
    <w:rsid w:val="001065E9"/>
    <w:rsid w:val="00112DB7"/>
    <w:rsid w:val="00113663"/>
    <w:rsid w:val="001146B9"/>
    <w:rsid w:val="00115AC6"/>
    <w:rsid w:val="001166FC"/>
    <w:rsid w:val="001219A4"/>
    <w:rsid w:val="001220AD"/>
    <w:rsid w:val="001225EF"/>
    <w:rsid w:val="00124DA2"/>
    <w:rsid w:val="00126657"/>
    <w:rsid w:val="00130EDB"/>
    <w:rsid w:val="00132B3A"/>
    <w:rsid w:val="00135272"/>
    <w:rsid w:val="0013541F"/>
    <w:rsid w:val="00144B5D"/>
    <w:rsid w:val="00145C23"/>
    <w:rsid w:val="00145FD9"/>
    <w:rsid w:val="001516A6"/>
    <w:rsid w:val="00151C46"/>
    <w:rsid w:val="00152105"/>
    <w:rsid w:val="00152A63"/>
    <w:rsid w:val="00153D6B"/>
    <w:rsid w:val="0015763D"/>
    <w:rsid w:val="001606EC"/>
    <w:rsid w:val="0016191D"/>
    <w:rsid w:val="00162A48"/>
    <w:rsid w:val="001706DC"/>
    <w:rsid w:val="00171275"/>
    <w:rsid w:val="0017755E"/>
    <w:rsid w:val="0018284E"/>
    <w:rsid w:val="00182B48"/>
    <w:rsid w:val="00184202"/>
    <w:rsid w:val="0018471B"/>
    <w:rsid w:val="00185BEF"/>
    <w:rsid w:val="00191C46"/>
    <w:rsid w:val="00192518"/>
    <w:rsid w:val="00192CE3"/>
    <w:rsid w:val="00195681"/>
    <w:rsid w:val="001959D2"/>
    <w:rsid w:val="00197AFB"/>
    <w:rsid w:val="001A278D"/>
    <w:rsid w:val="001A2F36"/>
    <w:rsid w:val="001A3E6C"/>
    <w:rsid w:val="001A5A37"/>
    <w:rsid w:val="001A62CD"/>
    <w:rsid w:val="001A7305"/>
    <w:rsid w:val="001A79FF"/>
    <w:rsid w:val="001B1FB6"/>
    <w:rsid w:val="001B28FC"/>
    <w:rsid w:val="001B6473"/>
    <w:rsid w:val="001C19FB"/>
    <w:rsid w:val="001C696F"/>
    <w:rsid w:val="001C76C4"/>
    <w:rsid w:val="001C7C6F"/>
    <w:rsid w:val="001D3583"/>
    <w:rsid w:val="001D4B19"/>
    <w:rsid w:val="001D4F4D"/>
    <w:rsid w:val="001E56F3"/>
    <w:rsid w:val="001E5F87"/>
    <w:rsid w:val="001F09CD"/>
    <w:rsid w:val="001F0F1B"/>
    <w:rsid w:val="001F1D42"/>
    <w:rsid w:val="001F35B7"/>
    <w:rsid w:val="001F46D3"/>
    <w:rsid w:val="001F58C1"/>
    <w:rsid w:val="001F6571"/>
    <w:rsid w:val="001F69ED"/>
    <w:rsid w:val="001F7BFC"/>
    <w:rsid w:val="0020443C"/>
    <w:rsid w:val="002070FA"/>
    <w:rsid w:val="00213786"/>
    <w:rsid w:val="00213CAF"/>
    <w:rsid w:val="00215830"/>
    <w:rsid w:val="002161CD"/>
    <w:rsid w:val="0022035F"/>
    <w:rsid w:val="00222A48"/>
    <w:rsid w:val="00224675"/>
    <w:rsid w:val="002307DE"/>
    <w:rsid w:val="0023084E"/>
    <w:rsid w:val="00231CA4"/>
    <w:rsid w:val="00234C42"/>
    <w:rsid w:val="00243E31"/>
    <w:rsid w:val="002463BF"/>
    <w:rsid w:val="002511E7"/>
    <w:rsid w:val="002515B5"/>
    <w:rsid w:val="00252161"/>
    <w:rsid w:val="00252A3C"/>
    <w:rsid w:val="002537BA"/>
    <w:rsid w:val="00254722"/>
    <w:rsid w:val="00255808"/>
    <w:rsid w:val="00260C29"/>
    <w:rsid w:val="00270806"/>
    <w:rsid w:val="00270E3C"/>
    <w:rsid w:val="00271208"/>
    <w:rsid w:val="002730E3"/>
    <w:rsid w:val="00275FDD"/>
    <w:rsid w:val="002812FA"/>
    <w:rsid w:val="00281DE4"/>
    <w:rsid w:val="00282EAA"/>
    <w:rsid w:val="002834EC"/>
    <w:rsid w:val="00283E3D"/>
    <w:rsid w:val="0028632E"/>
    <w:rsid w:val="00290F43"/>
    <w:rsid w:val="00294C7A"/>
    <w:rsid w:val="00297E2E"/>
    <w:rsid w:val="00297FD8"/>
    <w:rsid w:val="002A305B"/>
    <w:rsid w:val="002A5C4F"/>
    <w:rsid w:val="002B1DBE"/>
    <w:rsid w:val="002C1C52"/>
    <w:rsid w:val="002C2886"/>
    <w:rsid w:val="002C39D6"/>
    <w:rsid w:val="002C7379"/>
    <w:rsid w:val="002D4DA9"/>
    <w:rsid w:val="002E008D"/>
    <w:rsid w:val="002E019B"/>
    <w:rsid w:val="002E08C1"/>
    <w:rsid w:val="002E1C90"/>
    <w:rsid w:val="002E53DB"/>
    <w:rsid w:val="002F37DD"/>
    <w:rsid w:val="002F3E82"/>
    <w:rsid w:val="002F426C"/>
    <w:rsid w:val="002F42EA"/>
    <w:rsid w:val="002F4353"/>
    <w:rsid w:val="002F6523"/>
    <w:rsid w:val="003015A5"/>
    <w:rsid w:val="00304819"/>
    <w:rsid w:val="0030611F"/>
    <w:rsid w:val="00306326"/>
    <w:rsid w:val="0030715C"/>
    <w:rsid w:val="00307DDC"/>
    <w:rsid w:val="00310BE6"/>
    <w:rsid w:val="00310CEB"/>
    <w:rsid w:val="00312001"/>
    <w:rsid w:val="00313708"/>
    <w:rsid w:val="00315143"/>
    <w:rsid w:val="00315A20"/>
    <w:rsid w:val="003204F8"/>
    <w:rsid w:val="003213F6"/>
    <w:rsid w:val="00321FAF"/>
    <w:rsid w:val="00322835"/>
    <w:rsid w:val="003249F9"/>
    <w:rsid w:val="003266C6"/>
    <w:rsid w:val="0032763C"/>
    <w:rsid w:val="00333EC2"/>
    <w:rsid w:val="00336581"/>
    <w:rsid w:val="00340CC8"/>
    <w:rsid w:val="00340E18"/>
    <w:rsid w:val="003430A5"/>
    <w:rsid w:val="003434AB"/>
    <w:rsid w:val="003461CD"/>
    <w:rsid w:val="0034733E"/>
    <w:rsid w:val="00347A2A"/>
    <w:rsid w:val="003547F2"/>
    <w:rsid w:val="0037227B"/>
    <w:rsid w:val="00376457"/>
    <w:rsid w:val="00377ED6"/>
    <w:rsid w:val="00384B0F"/>
    <w:rsid w:val="003907D7"/>
    <w:rsid w:val="00397173"/>
    <w:rsid w:val="00397D26"/>
    <w:rsid w:val="003A2546"/>
    <w:rsid w:val="003A3301"/>
    <w:rsid w:val="003B0497"/>
    <w:rsid w:val="003B142B"/>
    <w:rsid w:val="003B142D"/>
    <w:rsid w:val="003B2D99"/>
    <w:rsid w:val="003B3B5F"/>
    <w:rsid w:val="003B42D8"/>
    <w:rsid w:val="003C49C5"/>
    <w:rsid w:val="003D172C"/>
    <w:rsid w:val="003D1D86"/>
    <w:rsid w:val="003D53C6"/>
    <w:rsid w:val="003D7EAF"/>
    <w:rsid w:val="003E0F05"/>
    <w:rsid w:val="003F1699"/>
    <w:rsid w:val="003F2784"/>
    <w:rsid w:val="003F2CFA"/>
    <w:rsid w:val="003F3A67"/>
    <w:rsid w:val="003F618D"/>
    <w:rsid w:val="00404BA4"/>
    <w:rsid w:val="00405778"/>
    <w:rsid w:val="00406965"/>
    <w:rsid w:val="004071D7"/>
    <w:rsid w:val="0041089E"/>
    <w:rsid w:val="004110E6"/>
    <w:rsid w:val="00411E3E"/>
    <w:rsid w:val="004122EB"/>
    <w:rsid w:val="00414833"/>
    <w:rsid w:val="004210A7"/>
    <w:rsid w:val="00421336"/>
    <w:rsid w:val="004213EC"/>
    <w:rsid w:val="0042188A"/>
    <w:rsid w:val="00421B3D"/>
    <w:rsid w:val="00421E81"/>
    <w:rsid w:val="00423575"/>
    <w:rsid w:val="00430D15"/>
    <w:rsid w:val="0043650F"/>
    <w:rsid w:val="004409C5"/>
    <w:rsid w:val="00440FFA"/>
    <w:rsid w:val="00441CCC"/>
    <w:rsid w:val="00442061"/>
    <w:rsid w:val="00446696"/>
    <w:rsid w:val="00447373"/>
    <w:rsid w:val="00453477"/>
    <w:rsid w:val="00460163"/>
    <w:rsid w:val="0046056A"/>
    <w:rsid w:val="0046134F"/>
    <w:rsid w:val="00463AF6"/>
    <w:rsid w:val="004668C9"/>
    <w:rsid w:val="00472262"/>
    <w:rsid w:val="00475157"/>
    <w:rsid w:val="00475B68"/>
    <w:rsid w:val="00475D81"/>
    <w:rsid w:val="0047663B"/>
    <w:rsid w:val="00481F9B"/>
    <w:rsid w:val="0048358C"/>
    <w:rsid w:val="0048565A"/>
    <w:rsid w:val="004859B6"/>
    <w:rsid w:val="00487986"/>
    <w:rsid w:val="00491137"/>
    <w:rsid w:val="00493822"/>
    <w:rsid w:val="004A1974"/>
    <w:rsid w:val="004A24CE"/>
    <w:rsid w:val="004A73DC"/>
    <w:rsid w:val="004A7D50"/>
    <w:rsid w:val="004B2DBC"/>
    <w:rsid w:val="004B367E"/>
    <w:rsid w:val="004C0EB6"/>
    <w:rsid w:val="004C2983"/>
    <w:rsid w:val="004C6992"/>
    <w:rsid w:val="004C70DA"/>
    <w:rsid w:val="004D2538"/>
    <w:rsid w:val="004D2879"/>
    <w:rsid w:val="004D2C4B"/>
    <w:rsid w:val="004D3345"/>
    <w:rsid w:val="004E00FA"/>
    <w:rsid w:val="004E18FE"/>
    <w:rsid w:val="004E1C4C"/>
    <w:rsid w:val="004E3CC6"/>
    <w:rsid w:val="004E5048"/>
    <w:rsid w:val="004E5239"/>
    <w:rsid w:val="004F15F0"/>
    <w:rsid w:val="004F2C89"/>
    <w:rsid w:val="004F3BE6"/>
    <w:rsid w:val="004F3CE8"/>
    <w:rsid w:val="004F59E5"/>
    <w:rsid w:val="004F6865"/>
    <w:rsid w:val="004F6EC8"/>
    <w:rsid w:val="00500176"/>
    <w:rsid w:val="005012FC"/>
    <w:rsid w:val="00504552"/>
    <w:rsid w:val="00506765"/>
    <w:rsid w:val="00514CC9"/>
    <w:rsid w:val="0051798B"/>
    <w:rsid w:val="00523FFE"/>
    <w:rsid w:val="005242D2"/>
    <w:rsid w:val="00526BF0"/>
    <w:rsid w:val="005312C7"/>
    <w:rsid w:val="0053602A"/>
    <w:rsid w:val="0053612D"/>
    <w:rsid w:val="00545616"/>
    <w:rsid w:val="00545A76"/>
    <w:rsid w:val="00545F94"/>
    <w:rsid w:val="005542F5"/>
    <w:rsid w:val="00554B82"/>
    <w:rsid w:val="0055699F"/>
    <w:rsid w:val="00557022"/>
    <w:rsid w:val="005577FA"/>
    <w:rsid w:val="005614FA"/>
    <w:rsid w:val="00563E58"/>
    <w:rsid w:val="0056429B"/>
    <w:rsid w:val="00565A5C"/>
    <w:rsid w:val="00565A8E"/>
    <w:rsid w:val="00571200"/>
    <w:rsid w:val="005738C4"/>
    <w:rsid w:val="00573F8D"/>
    <w:rsid w:val="00575B7A"/>
    <w:rsid w:val="005835CE"/>
    <w:rsid w:val="005868BA"/>
    <w:rsid w:val="0058723D"/>
    <w:rsid w:val="005916F0"/>
    <w:rsid w:val="0059395F"/>
    <w:rsid w:val="00593D65"/>
    <w:rsid w:val="00597C2A"/>
    <w:rsid w:val="005A1601"/>
    <w:rsid w:val="005A3E35"/>
    <w:rsid w:val="005A675C"/>
    <w:rsid w:val="005A68E6"/>
    <w:rsid w:val="005B5500"/>
    <w:rsid w:val="005D31FD"/>
    <w:rsid w:val="005D40D2"/>
    <w:rsid w:val="005D4438"/>
    <w:rsid w:val="005D6672"/>
    <w:rsid w:val="005D6B48"/>
    <w:rsid w:val="005D7864"/>
    <w:rsid w:val="005E2DC5"/>
    <w:rsid w:val="005E35CC"/>
    <w:rsid w:val="005E5C0C"/>
    <w:rsid w:val="005E683E"/>
    <w:rsid w:val="005F461E"/>
    <w:rsid w:val="005F7C15"/>
    <w:rsid w:val="006004DB"/>
    <w:rsid w:val="00601AEF"/>
    <w:rsid w:val="00606F6E"/>
    <w:rsid w:val="006071E1"/>
    <w:rsid w:val="0061025B"/>
    <w:rsid w:val="00612577"/>
    <w:rsid w:val="00613E5D"/>
    <w:rsid w:val="00616192"/>
    <w:rsid w:val="00620E36"/>
    <w:rsid w:val="0062113E"/>
    <w:rsid w:val="00621A34"/>
    <w:rsid w:val="00621BA6"/>
    <w:rsid w:val="00622153"/>
    <w:rsid w:val="00624C1A"/>
    <w:rsid w:val="00624F08"/>
    <w:rsid w:val="006265EB"/>
    <w:rsid w:val="00627487"/>
    <w:rsid w:val="00632BAF"/>
    <w:rsid w:val="0064461A"/>
    <w:rsid w:val="006476CB"/>
    <w:rsid w:val="006500F3"/>
    <w:rsid w:val="006502A4"/>
    <w:rsid w:val="00651F2E"/>
    <w:rsid w:val="006542D7"/>
    <w:rsid w:val="006543ED"/>
    <w:rsid w:val="00654465"/>
    <w:rsid w:val="00654C46"/>
    <w:rsid w:val="00655438"/>
    <w:rsid w:val="006604AE"/>
    <w:rsid w:val="00661F8D"/>
    <w:rsid w:val="0066322C"/>
    <w:rsid w:val="00663FA4"/>
    <w:rsid w:val="00664670"/>
    <w:rsid w:val="006703DD"/>
    <w:rsid w:val="006706BC"/>
    <w:rsid w:val="006711C6"/>
    <w:rsid w:val="00671D4E"/>
    <w:rsid w:val="00672C7A"/>
    <w:rsid w:val="00673560"/>
    <w:rsid w:val="00673DA8"/>
    <w:rsid w:val="00677035"/>
    <w:rsid w:val="00680458"/>
    <w:rsid w:val="006836EE"/>
    <w:rsid w:val="00685E03"/>
    <w:rsid w:val="00686F7A"/>
    <w:rsid w:val="0069090E"/>
    <w:rsid w:val="00690F42"/>
    <w:rsid w:val="00692E18"/>
    <w:rsid w:val="006939BB"/>
    <w:rsid w:val="00694870"/>
    <w:rsid w:val="00694998"/>
    <w:rsid w:val="00694E2E"/>
    <w:rsid w:val="00695133"/>
    <w:rsid w:val="00695A0B"/>
    <w:rsid w:val="006976E9"/>
    <w:rsid w:val="006A1BC9"/>
    <w:rsid w:val="006A38D1"/>
    <w:rsid w:val="006A599C"/>
    <w:rsid w:val="006A6B23"/>
    <w:rsid w:val="006A6B89"/>
    <w:rsid w:val="006A780E"/>
    <w:rsid w:val="006B0AED"/>
    <w:rsid w:val="006B1066"/>
    <w:rsid w:val="006B6D3E"/>
    <w:rsid w:val="006B7533"/>
    <w:rsid w:val="006C4378"/>
    <w:rsid w:val="006C4469"/>
    <w:rsid w:val="006C48EF"/>
    <w:rsid w:val="006C51B8"/>
    <w:rsid w:val="006D677A"/>
    <w:rsid w:val="006E0355"/>
    <w:rsid w:val="006E0E42"/>
    <w:rsid w:val="006E2885"/>
    <w:rsid w:val="006E2942"/>
    <w:rsid w:val="006E7B58"/>
    <w:rsid w:val="006F072E"/>
    <w:rsid w:val="006F2894"/>
    <w:rsid w:val="006F2B9F"/>
    <w:rsid w:val="006F2E95"/>
    <w:rsid w:val="006F3998"/>
    <w:rsid w:val="006F3BFB"/>
    <w:rsid w:val="006F4251"/>
    <w:rsid w:val="00701524"/>
    <w:rsid w:val="00701DF5"/>
    <w:rsid w:val="00703E23"/>
    <w:rsid w:val="007067DC"/>
    <w:rsid w:val="00707855"/>
    <w:rsid w:val="00707DDB"/>
    <w:rsid w:val="007127F3"/>
    <w:rsid w:val="00712B64"/>
    <w:rsid w:val="00713791"/>
    <w:rsid w:val="007161A1"/>
    <w:rsid w:val="0072090E"/>
    <w:rsid w:val="007221D4"/>
    <w:rsid w:val="00722819"/>
    <w:rsid w:val="00723FAF"/>
    <w:rsid w:val="00724F5F"/>
    <w:rsid w:val="00724FB4"/>
    <w:rsid w:val="007405C9"/>
    <w:rsid w:val="007449F1"/>
    <w:rsid w:val="00744DC8"/>
    <w:rsid w:val="0075019A"/>
    <w:rsid w:val="0075098E"/>
    <w:rsid w:val="0075188C"/>
    <w:rsid w:val="00754D6B"/>
    <w:rsid w:val="0076010A"/>
    <w:rsid w:val="0076059B"/>
    <w:rsid w:val="00761616"/>
    <w:rsid w:val="00761F36"/>
    <w:rsid w:val="00762AB7"/>
    <w:rsid w:val="00766E66"/>
    <w:rsid w:val="00771125"/>
    <w:rsid w:val="00771C8F"/>
    <w:rsid w:val="0077676B"/>
    <w:rsid w:val="00776D82"/>
    <w:rsid w:val="007831DF"/>
    <w:rsid w:val="00790B1B"/>
    <w:rsid w:val="00793F26"/>
    <w:rsid w:val="00796688"/>
    <w:rsid w:val="007974EF"/>
    <w:rsid w:val="007A1C71"/>
    <w:rsid w:val="007A2C68"/>
    <w:rsid w:val="007A45DA"/>
    <w:rsid w:val="007A5836"/>
    <w:rsid w:val="007A6312"/>
    <w:rsid w:val="007A7AB8"/>
    <w:rsid w:val="007B2840"/>
    <w:rsid w:val="007B2966"/>
    <w:rsid w:val="007B4710"/>
    <w:rsid w:val="007B673B"/>
    <w:rsid w:val="007C042B"/>
    <w:rsid w:val="007C2248"/>
    <w:rsid w:val="007C2D1F"/>
    <w:rsid w:val="007C5AD1"/>
    <w:rsid w:val="007C5F39"/>
    <w:rsid w:val="007C5FC5"/>
    <w:rsid w:val="007D0C77"/>
    <w:rsid w:val="007D514E"/>
    <w:rsid w:val="007E03C0"/>
    <w:rsid w:val="007E35B1"/>
    <w:rsid w:val="007E7041"/>
    <w:rsid w:val="007E7139"/>
    <w:rsid w:val="007F26AD"/>
    <w:rsid w:val="007F340D"/>
    <w:rsid w:val="007F3794"/>
    <w:rsid w:val="007F40D8"/>
    <w:rsid w:val="007F5C27"/>
    <w:rsid w:val="007F624C"/>
    <w:rsid w:val="00800555"/>
    <w:rsid w:val="0080057A"/>
    <w:rsid w:val="0080295A"/>
    <w:rsid w:val="0080373D"/>
    <w:rsid w:val="00803996"/>
    <w:rsid w:val="0080721F"/>
    <w:rsid w:val="00812247"/>
    <w:rsid w:val="00812F03"/>
    <w:rsid w:val="008144E2"/>
    <w:rsid w:val="00816E4F"/>
    <w:rsid w:val="00820999"/>
    <w:rsid w:val="00820E2A"/>
    <w:rsid w:val="00821AED"/>
    <w:rsid w:val="0082441F"/>
    <w:rsid w:val="0082641A"/>
    <w:rsid w:val="0083011B"/>
    <w:rsid w:val="0083411F"/>
    <w:rsid w:val="008360B4"/>
    <w:rsid w:val="00840E56"/>
    <w:rsid w:val="00842FE2"/>
    <w:rsid w:val="0084375A"/>
    <w:rsid w:val="0084445A"/>
    <w:rsid w:val="00845A0D"/>
    <w:rsid w:val="00846AC4"/>
    <w:rsid w:val="00851BBC"/>
    <w:rsid w:val="00851DD6"/>
    <w:rsid w:val="00852250"/>
    <w:rsid w:val="0085660F"/>
    <w:rsid w:val="00856973"/>
    <w:rsid w:val="00861CAD"/>
    <w:rsid w:val="00864AFA"/>
    <w:rsid w:val="00864FB1"/>
    <w:rsid w:val="00864FE1"/>
    <w:rsid w:val="0086574D"/>
    <w:rsid w:val="00872F1E"/>
    <w:rsid w:val="008750DD"/>
    <w:rsid w:val="0087688E"/>
    <w:rsid w:val="00880D3B"/>
    <w:rsid w:val="00882942"/>
    <w:rsid w:val="00886089"/>
    <w:rsid w:val="00887925"/>
    <w:rsid w:val="008918DD"/>
    <w:rsid w:val="00892F3F"/>
    <w:rsid w:val="0089338E"/>
    <w:rsid w:val="00893BC5"/>
    <w:rsid w:val="00894A1D"/>
    <w:rsid w:val="00897F54"/>
    <w:rsid w:val="008A0346"/>
    <w:rsid w:val="008A06CB"/>
    <w:rsid w:val="008A27AF"/>
    <w:rsid w:val="008A32A5"/>
    <w:rsid w:val="008A37D9"/>
    <w:rsid w:val="008A392E"/>
    <w:rsid w:val="008A39AC"/>
    <w:rsid w:val="008A6A0D"/>
    <w:rsid w:val="008A7F1B"/>
    <w:rsid w:val="008A7FF7"/>
    <w:rsid w:val="008B22C4"/>
    <w:rsid w:val="008B30ED"/>
    <w:rsid w:val="008B4E15"/>
    <w:rsid w:val="008B4F73"/>
    <w:rsid w:val="008C0E69"/>
    <w:rsid w:val="008C4AD2"/>
    <w:rsid w:val="008C57C9"/>
    <w:rsid w:val="008C738E"/>
    <w:rsid w:val="008D601F"/>
    <w:rsid w:val="008D690E"/>
    <w:rsid w:val="008D6F24"/>
    <w:rsid w:val="008E00F7"/>
    <w:rsid w:val="008E41D0"/>
    <w:rsid w:val="008E6EA7"/>
    <w:rsid w:val="008F0670"/>
    <w:rsid w:val="008F0BBF"/>
    <w:rsid w:val="008F1F72"/>
    <w:rsid w:val="008F208C"/>
    <w:rsid w:val="008F38CC"/>
    <w:rsid w:val="008F4CD4"/>
    <w:rsid w:val="009006BA"/>
    <w:rsid w:val="00910D63"/>
    <w:rsid w:val="00910F48"/>
    <w:rsid w:val="00914A98"/>
    <w:rsid w:val="009218AA"/>
    <w:rsid w:val="009243E2"/>
    <w:rsid w:val="00924638"/>
    <w:rsid w:val="00930C3D"/>
    <w:rsid w:val="009310B6"/>
    <w:rsid w:val="009312AB"/>
    <w:rsid w:val="009313F0"/>
    <w:rsid w:val="009317FE"/>
    <w:rsid w:val="00932F3F"/>
    <w:rsid w:val="00934BD4"/>
    <w:rsid w:val="00936D60"/>
    <w:rsid w:val="00940B5D"/>
    <w:rsid w:val="00943530"/>
    <w:rsid w:val="00944D05"/>
    <w:rsid w:val="00945490"/>
    <w:rsid w:val="009460CD"/>
    <w:rsid w:val="00946779"/>
    <w:rsid w:val="0095011F"/>
    <w:rsid w:val="00955D9F"/>
    <w:rsid w:val="00956384"/>
    <w:rsid w:val="00961F9A"/>
    <w:rsid w:val="00962316"/>
    <w:rsid w:val="00962822"/>
    <w:rsid w:val="00963351"/>
    <w:rsid w:val="00964DA2"/>
    <w:rsid w:val="0096772C"/>
    <w:rsid w:val="009737EC"/>
    <w:rsid w:val="00980FFC"/>
    <w:rsid w:val="0098214E"/>
    <w:rsid w:val="00990149"/>
    <w:rsid w:val="00993606"/>
    <w:rsid w:val="00994447"/>
    <w:rsid w:val="00994CC1"/>
    <w:rsid w:val="00995F95"/>
    <w:rsid w:val="0099699B"/>
    <w:rsid w:val="0099781D"/>
    <w:rsid w:val="009A1664"/>
    <w:rsid w:val="009A1727"/>
    <w:rsid w:val="009A18A5"/>
    <w:rsid w:val="009A388B"/>
    <w:rsid w:val="009A51DA"/>
    <w:rsid w:val="009A5DF9"/>
    <w:rsid w:val="009A7AC5"/>
    <w:rsid w:val="009B0400"/>
    <w:rsid w:val="009B21CE"/>
    <w:rsid w:val="009B7CC5"/>
    <w:rsid w:val="009C04CA"/>
    <w:rsid w:val="009C0BBB"/>
    <w:rsid w:val="009C2ED6"/>
    <w:rsid w:val="009C4D93"/>
    <w:rsid w:val="009D09FE"/>
    <w:rsid w:val="009D2F02"/>
    <w:rsid w:val="009D511C"/>
    <w:rsid w:val="009E0819"/>
    <w:rsid w:val="009E0C0A"/>
    <w:rsid w:val="009E1A1C"/>
    <w:rsid w:val="009E1DEC"/>
    <w:rsid w:val="009E2FB8"/>
    <w:rsid w:val="009E3833"/>
    <w:rsid w:val="009E500F"/>
    <w:rsid w:val="009F1EFA"/>
    <w:rsid w:val="009F2CFB"/>
    <w:rsid w:val="009F35A0"/>
    <w:rsid w:val="009F457C"/>
    <w:rsid w:val="009F457E"/>
    <w:rsid w:val="009F67EB"/>
    <w:rsid w:val="00A00399"/>
    <w:rsid w:val="00A00D13"/>
    <w:rsid w:val="00A02B6B"/>
    <w:rsid w:val="00A04665"/>
    <w:rsid w:val="00A07975"/>
    <w:rsid w:val="00A07CA6"/>
    <w:rsid w:val="00A07FB5"/>
    <w:rsid w:val="00A11275"/>
    <w:rsid w:val="00A17C07"/>
    <w:rsid w:val="00A17DC3"/>
    <w:rsid w:val="00A2135A"/>
    <w:rsid w:val="00A3159A"/>
    <w:rsid w:val="00A33B0F"/>
    <w:rsid w:val="00A439FF"/>
    <w:rsid w:val="00A44B4C"/>
    <w:rsid w:val="00A45CCA"/>
    <w:rsid w:val="00A47E29"/>
    <w:rsid w:val="00A501C5"/>
    <w:rsid w:val="00A51D09"/>
    <w:rsid w:val="00A5452B"/>
    <w:rsid w:val="00A5460B"/>
    <w:rsid w:val="00A54DAD"/>
    <w:rsid w:val="00A55B3B"/>
    <w:rsid w:val="00A567E8"/>
    <w:rsid w:val="00A57192"/>
    <w:rsid w:val="00A60DED"/>
    <w:rsid w:val="00A60E5C"/>
    <w:rsid w:val="00A64A0B"/>
    <w:rsid w:val="00A663BA"/>
    <w:rsid w:val="00A73121"/>
    <w:rsid w:val="00A767E2"/>
    <w:rsid w:val="00A80E56"/>
    <w:rsid w:val="00A815DB"/>
    <w:rsid w:val="00A816F3"/>
    <w:rsid w:val="00A81F10"/>
    <w:rsid w:val="00A81FC8"/>
    <w:rsid w:val="00A82597"/>
    <w:rsid w:val="00A91AC5"/>
    <w:rsid w:val="00A93C05"/>
    <w:rsid w:val="00A94EDB"/>
    <w:rsid w:val="00A95D05"/>
    <w:rsid w:val="00AA07A9"/>
    <w:rsid w:val="00AA2123"/>
    <w:rsid w:val="00AA32CF"/>
    <w:rsid w:val="00AA4DC4"/>
    <w:rsid w:val="00AA5188"/>
    <w:rsid w:val="00AA69D3"/>
    <w:rsid w:val="00AB03D2"/>
    <w:rsid w:val="00AB2C17"/>
    <w:rsid w:val="00AB6111"/>
    <w:rsid w:val="00AC51E4"/>
    <w:rsid w:val="00AE2428"/>
    <w:rsid w:val="00AE2506"/>
    <w:rsid w:val="00AE48D4"/>
    <w:rsid w:val="00AE4AC7"/>
    <w:rsid w:val="00AE4E48"/>
    <w:rsid w:val="00AE53D6"/>
    <w:rsid w:val="00AE59E0"/>
    <w:rsid w:val="00AE6DC2"/>
    <w:rsid w:val="00AF2FFC"/>
    <w:rsid w:val="00AF720B"/>
    <w:rsid w:val="00AF7805"/>
    <w:rsid w:val="00B01C8D"/>
    <w:rsid w:val="00B026F1"/>
    <w:rsid w:val="00B041B1"/>
    <w:rsid w:val="00B07669"/>
    <w:rsid w:val="00B07898"/>
    <w:rsid w:val="00B1090B"/>
    <w:rsid w:val="00B122A4"/>
    <w:rsid w:val="00B14244"/>
    <w:rsid w:val="00B157DB"/>
    <w:rsid w:val="00B157E2"/>
    <w:rsid w:val="00B15E2C"/>
    <w:rsid w:val="00B21AFD"/>
    <w:rsid w:val="00B260C1"/>
    <w:rsid w:val="00B30432"/>
    <w:rsid w:val="00B30DAB"/>
    <w:rsid w:val="00B35CE8"/>
    <w:rsid w:val="00B37DFF"/>
    <w:rsid w:val="00B41936"/>
    <w:rsid w:val="00B4387F"/>
    <w:rsid w:val="00B45575"/>
    <w:rsid w:val="00B50CBE"/>
    <w:rsid w:val="00B60DDE"/>
    <w:rsid w:val="00B63E25"/>
    <w:rsid w:val="00B65404"/>
    <w:rsid w:val="00B7645B"/>
    <w:rsid w:val="00B77868"/>
    <w:rsid w:val="00B8040F"/>
    <w:rsid w:val="00B81D23"/>
    <w:rsid w:val="00B83D0B"/>
    <w:rsid w:val="00B83F9F"/>
    <w:rsid w:val="00B8468E"/>
    <w:rsid w:val="00B87D6D"/>
    <w:rsid w:val="00B91499"/>
    <w:rsid w:val="00B919AE"/>
    <w:rsid w:val="00B91F36"/>
    <w:rsid w:val="00B9416F"/>
    <w:rsid w:val="00BA4049"/>
    <w:rsid w:val="00BA629D"/>
    <w:rsid w:val="00BB0C15"/>
    <w:rsid w:val="00BB2CFE"/>
    <w:rsid w:val="00BB35A9"/>
    <w:rsid w:val="00BB394D"/>
    <w:rsid w:val="00BB6296"/>
    <w:rsid w:val="00BB7CC5"/>
    <w:rsid w:val="00BC1756"/>
    <w:rsid w:val="00BC2C6D"/>
    <w:rsid w:val="00BD0B6D"/>
    <w:rsid w:val="00BD12CC"/>
    <w:rsid w:val="00BD1D60"/>
    <w:rsid w:val="00BD1DFA"/>
    <w:rsid w:val="00BD3B1B"/>
    <w:rsid w:val="00BD4B4C"/>
    <w:rsid w:val="00BD5C8C"/>
    <w:rsid w:val="00BE0A01"/>
    <w:rsid w:val="00BE0F3E"/>
    <w:rsid w:val="00BE1458"/>
    <w:rsid w:val="00BE53AE"/>
    <w:rsid w:val="00BE5B5C"/>
    <w:rsid w:val="00BF5923"/>
    <w:rsid w:val="00BF65BE"/>
    <w:rsid w:val="00BF67C1"/>
    <w:rsid w:val="00C002E3"/>
    <w:rsid w:val="00C10975"/>
    <w:rsid w:val="00C117E9"/>
    <w:rsid w:val="00C119A9"/>
    <w:rsid w:val="00C13905"/>
    <w:rsid w:val="00C156CE"/>
    <w:rsid w:val="00C1650B"/>
    <w:rsid w:val="00C174F3"/>
    <w:rsid w:val="00C25887"/>
    <w:rsid w:val="00C25CD4"/>
    <w:rsid w:val="00C3393E"/>
    <w:rsid w:val="00C342FD"/>
    <w:rsid w:val="00C364A7"/>
    <w:rsid w:val="00C37A35"/>
    <w:rsid w:val="00C410DD"/>
    <w:rsid w:val="00C43053"/>
    <w:rsid w:val="00C44CEC"/>
    <w:rsid w:val="00C47F29"/>
    <w:rsid w:val="00C56F80"/>
    <w:rsid w:val="00C57734"/>
    <w:rsid w:val="00C57D38"/>
    <w:rsid w:val="00C60457"/>
    <w:rsid w:val="00C60909"/>
    <w:rsid w:val="00C616C2"/>
    <w:rsid w:val="00C727EA"/>
    <w:rsid w:val="00C73217"/>
    <w:rsid w:val="00C746CD"/>
    <w:rsid w:val="00C74DE3"/>
    <w:rsid w:val="00C7503B"/>
    <w:rsid w:val="00C81E1D"/>
    <w:rsid w:val="00C84457"/>
    <w:rsid w:val="00C845B7"/>
    <w:rsid w:val="00C8559D"/>
    <w:rsid w:val="00C9008F"/>
    <w:rsid w:val="00C91AD3"/>
    <w:rsid w:val="00C91F44"/>
    <w:rsid w:val="00C93169"/>
    <w:rsid w:val="00CA0389"/>
    <w:rsid w:val="00CA1D75"/>
    <w:rsid w:val="00CA60C0"/>
    <w:rsid w:val="00CB14CC"/>
    <w:rsid w:val="00CB3641"/>
    <w:rsid w:val="00CC03FD"/>
    <w:rsid w:val="00CC44EE"/>
    <w:rsid w:val="00CC5101"/>
    <w:rsid w:val="00CC5AFE"/>
    <w:rsid w:val="00CC5D46"/>
    <w:rsid w:val="00CC7786"/>
    <w:rsid w:val="00CD1F92"/>
    <w:rsid w:val="00CD27D7"/>
    <w:rsid w:val="00CD3193"/>
    <w:rsid w:val="00CD68A9"/>
    <w:rsid w:val="00CD6AB7"/>
    <w:rsid w:val="00CE19D2"/>
    <w:rsid w:val="00CE25CA"/>
    <w:rsid w:val="00CE5FD4"/>
    <w:rsid w:val="00CE79F1"/>
    <w:rsid w:val="00CF06F4"/>
    <w:rsid w:val="00CF1102"/>
    <w:rsid w:val="00CF496F"/>
    <w:rsid w:val="00CF4DA3"/>
    <w:rsid w:val="00CF61B3"/>
    <w:rsid w:val="00D01A9B"/>
    <w:rsid w:val="00D02C9F"/>
    <w:rsid w:val="00D076DD"/>
    <w:rsid w:val="00D104E2"/>
    <w:rsid w:val="00D10D16"/>
    <w:rsid w:val="00D1291B"/>
    <w:rsid w:val="00D144FD"/>
    <w:rsid w:val="00D16B72"/>
    <w:rsid w:val="00D16F38"/>
    <w:rsid w:val="00D2320F"/>
    <w:rsid w:val="00D30297"/>
    <w:rsid w:val="00D307B1"/>
    <w:rsid w:val="00D312AB"/>
    <w:rsid w:val="00D317CC"/>
    <w:rsid w:val="00D331FE"/>
    <w:rsid w:val="00D379A1"/>
    <w:rsid w:val="00D42F8D"/>
    <w:rsid w:val="00D4364D"/>
    <w:rsid w:val="00D5237E"/>
    <w:rsid w:val="00D53AF3"/>
    <w:rsid w:val="00D565A1"/>
    <w:rsid w:val="00D63433"/>
    <w:rsid w:val="00D63A61"/>
    <w:rsid w:val="00D63E68"/>
    <w:rsid w:val="00D71483"/>
    <w:rsid w:val="00D75FA9"/>
    <w:rsid w:val="00D81041"/>
    <w:rsid w:val="00D87607"/>
    <w:rsid w:val="00D902B9"/>
    <w:rsid w:val="00D93293"/>
    <w:rsid w:val="00D95F59"/>
    <w:rsid w:val="00DA2C36"/>
    <w:rsid w:val="00DA62A9"/>
    <w:rsid w:val="00DB01D6"/>
    <w:rsid w:val="00DB27AC"/>
    <w:rsid w:val="00DB283C"/>
    <w:rsid w:val="00DC15D1"/>
    <w:rsid w:val="00DC49A1"/>
    <w:rsid w:val="00DD18A5"/>
    <w:rsid w:val="00DD3B2C"/>
    <w:rsid w:val="00DE1D92"/>
    <w:rsid w:val="00DE4ADD"/>
    <w:rsid w:val="00DE4C0F"/>
    <w:rsid w:val="00DF054E"/>
    <w:rsid w:val="00DF15DA"/>
    <w:rsid w:val="00DF2FFD"/>
    <w:rsid w:val="00DF7FA4"/>
    <w:rsid w:val="00E02157"/>
    <w:rsid w:val="00E04CAC"/>
    <w:rsid w:val="00E05B32"/>
    <w:rsid w:val="00E07831"/>
    <w:rsid w:val="00E10617"/>
    <w:rsid w:val="00E13CC8"/>
    <w:rsid w:val="00E23DDB"/>
    <w:rsid w:val="00E24E83"/>
    <w:rsid w:val="00E27A18"/>
    <w:rsid w:val="00E27AFA"/>
    <w:rsid w:val="00E30966"/>
    <w:rsid w:val="00E328DC"/>
    <w:rsid w:val="00E36342"/>
    <w:rsid w:val="00E36ECC"/>
    <w:rsid w:val="00E4130A"/>
    <w:rsid w:val="00E415ED"/>
    <w:rsid w:val="00E455A1"/>
    <w:rsid w:val="00E45882"/>
    <w:rsid w:val="00E4633F"/>
    <w:rsid w:val="00E5120A"/>
    <w:rsid w:val="00E513EF"/>
    <w:rsid w:val="00E51C26"/>
    <w:rsid w:val="00E51CD8"/>
    <w:rsid w:val="00E54E94"/>
    <w:rsid w:val="00E56F21"/>
    <w:rsid w:val="00E60C25"/>
    <w:rsid w:val="00E60FAF"/>
    <w:rsid w:val="00E616BB"/>
    <w:rsid w:val="00E63EF6"/>
    <w:rsid w:val="00E64F86"/>
    <w:rsid w:val="00E65D2E"/>
    <w:rsid w:val="00E74146"/>
    <w:rsid w:val="00E75672"/>
    <w:rsid w:val="00E762FB"/>
    <w:rsid w:val="00E82807"/>
    <w:rsid w:val="00E87805"/>
    <w:rsid w:val="00E87CAF"/>
    <w:rsid w:val="00E95C55"/>
    <w:rsid w:val="00E96259"/>
    <w:rsid w:val="00E962C2"/>
    <w:rsid w:val="00EA1319"/>
    <w:rsid w:val="00EA261B"/>
    <w:rsid w:val="00EA60E9"/>
    <w:rsid w:val="00EA7E25"/>
    <w:rsid w:val="00EB2298"/>
    <w:rsid w:val="00EB4377"/>
    <w:rsid w:val="00EB4A0D"/>
    <w:rsid w:val="00EB58C5"/>
    <w:rsid w:val="00EC0314"/>
    <w:rsid w:val="00EC63CE"/>
    <w:rsid w:val="00EC6846"/>
    <w:rsid w:val="00ED6CC7"/>
    <w:rsid w:val="00EE28C2"/>
    <w:rsid w:val="00EE571D"/>
    <w:rsid w:val="00EE5C00"/>
    <w:rsid w:val="00EE7886"/>
    <w:rsid w:val="00EF025A"/>
    <w:rsid w:val="00EF1A07"/>
    <w:rsid w:val="00EF2AF9"/>
    <w:rsid w:val="00F0308D"/>
    <w:rsid w:val="00F059B2"/>
    <w:rsid w:val="00F1034C"/>
    <w:rsid w:val="00F1185A"/>
    <w:rsid w:val="00F1565C"/>
    <w:rsid w:val="00F201CC"/>
    <w:rsid w:val="00F20ECB"/>
    <w:rsid w:val="00F22826"/>
    <w:rsid w:val="00F24E15"/>
    <w:rsid w:val="00F25E3D"/>
    <w:rsid w:val="00F30DA9"/>
    <w:rsid w:val="00F31519"/>
    <w:rsid w:val="00F4561D"/>
    <w:rsid w:val="00F50449"/>
    <w:rsid w:val="00F52375"/>
    <w:rsid w:val="00F53D02"/>
    <w:rsid w:val="00F544DC"/>
    <w:rsid w:val="00F55648"/>
    <w:rsid w:val="00F57065"/>
    <w:rsid w:val="00F602FC"/>
    <w:rsid w:val="00F62C05"/>
    <w:rsid w:val="00F64C9F"/>
    <w:rsid w:val="00F65B3C"/>
    <w:rsid w:val="00F70943"/>
    <w:rsid w:val="00F72745"/>
    <w:rsid w:val="00F7612F"/>
    <w:rsid w:val="00F767E6"/>
    <w:rsid w:val="00F76F97"/>
    <w:rsid w:val="00F8286B"/>
    <w:rsid w:val="00F942B8"/>
    <w:rsid w:val="00F958B9"/>
    <w:rsid w:val="00FA0149"/>
    <w:rsid w:val="00FA284B"/>
    <w:rsid w:val="00FA48D5"/>
    <w:rsid w:val="00FA5751"/>
    <w:rsid w:val="00FA5DC9"/>
    <w:rsid w:val="00FA63CB"/>
    <w:rsid w:val="00FA7DB5"/>
    <w:rsid w:val="00FB2DEA"/>
    <w:rsid w:val="00FB46FC"/>
    <w:rsid w:val="00FC001B"/>
    <w:rsid w:val="00FC0EFF"/>
    <w:rsid w:val="00FC3050"/>
    <w:rsid w:val="00FC7BF1"/>
    <w:rsid w:val="00FD18AC"/>
    <w:rsid w:val="00FD3AAA"/>
    <w:rsid w:val="00FD432A"/>
    <w:rsid w:val="00FD4C17"/>
    <w:rsid w:val="00FD5C3C"/>
    <w:rsid w:val="00FE6097"/>
    <w:rsid w:val="00FE61E1"/>
    <w:rsid w:val="00FF263E"/>
    <w:rsid w:val="00FF4CFA"/>
    <w:rsid w:val="00FF6FF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C032DAE"/>
  <w15:chartTrackingRefBased/>
  <w15:docId w15:val="{E4397DAA-4DA3-44EA-9013-782800764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Heading1">
    <w:name w:val="heading 1"/>
    <w:basedOn w:val="Normal"/>
    <w:next w:val="Heading2"/>
    <w:link w:val="Heading1Char"/>
    <w:uiPriority w:val="9"/>
    <w:qFormat/>
    <w:rsid w:val="006B6D3E"/>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B6D3E"/>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D3E"/>
    <w:rPr>
      <w:rFonts w:ascii="Times New Roman" w:eastAsiaTheme="majorEastAsia" w:hAnsi="Times New Roman" w:cstheme="majorBidi"/>
      <w:b/>
      <w:bCs/>
      <w:sz w:val="28"/>
      <w:szCs w:val="32"/>
      <w:lang w:val="es-ES"/>
    </w:rPr>
  </w:style>
  <w:style w:type="character" w:customStyle="1" w:styleId="Heading2Char">
    <w:name w:val="Heading 2 Char"/>
    <w:basedOn w:val="DefaultParagraphFont"/>
    <w:link w:val="Heading2"/>
    <w:uiPriority w:val="9"/>
    <w:rsid w:val="006B6D3E"/>
    <w:rPr>
      <w:rFonts w:ascii="Times New Roman Bold" w:eastAsiaTheme="majorEastAsia" w:hAnsi="Times New Roman Bold" w:cstheme="majorBidi"/>
      <w:b/>
      <w:kern w:val="0"/>
      <w:szCs w:val="26"/>
      <w:lang w:val="es-ES"/>
      <w14:ligatures w14:val="none"/>
    </w:rPr>
  </w:style>
  <w:style w:type="character" w:customStyle="1" w:styleId="Heading3Char">
    <w:name w:val="Heading 3 Char"/>
    <w:basedOn w:val="DefaultParagraphFont"/>
    <w:link w:val="Heading3"/>
    <w:uiPriority w:val="9"/>
    <w:rsid w:val="006B6D3E"/>
    <w:rPr>
      <w:rFonts w:ascii="Times New Roman" w:eastAsiaTheme="majorEastAsia" w:hAnsi="Times New Roman" w:cs="Times New Roman"/>
      <w:b/>
      <w:bCs/>
      <w:kern w:val="0"/>
      <w:sz w:val="22"/>
      <w:szCs w:val="22"/>
      <w:lang w:val="es-ES"/>
      <w14:ligatures w14:val="none"/>
    </w:rPr>
  </w:style>
  <w:style w:type="character" w:customStyle="1" w:styleId="Heading4Char">
    <w:name w:val="Heading 4 Char"/>
    <w:basedOn w:val="DefaultParagraphFont"/>
    <w:link w:val="Heading4"/>
    <w:uiPriority w:val="9"/>
    <w:rsid w:val="006B6D3E"/>
    <w:rPr>
      <w:rFonts w:ascii="Times New Roman" w:eastAsiaTheme="majorEastAsia" w:hAnsi="Times New Roman" w:cs="Times New Roman"/>
      <w:b/>
      <w:bCs/>
      <w:kern w:val="0"/>
      <w:sz w:val="22"/>
      <w:szCs w:val="22"/>
      <w:lang w:val="es-ES"/>
      <w14:ligatures w14:val="none"/>
    </w:rPr>
  </w:style>
  <w:style w:type="character" w:customStyle="1" w:styleId="Heading5Char">
    <w:name w:val="Heading 5 Char"/>
    <w:basedOn w:val="DefaultParagraphFont"/>
    <w:link w:val="Heading5"/>
    <w:uiPriority w:val="9"/>
    <w:rsid w:val="006B6D3E"/>
    <w:rPr>
      <w:rFonts w:ascii="Times New Roman" w:eastAsiaTheme="majorEastAsia" w:hAnsi="Times New Roman" w:cs="Times New Roman"/>
      <w:i/>
      <w:iCs/>
      <w:kern w:val="0"/>
      <w:sz w:val="22"/>
      <w:szCs w:val="22"/>
      <w:lang w:val="es-ES"/>
      <w14:ligatures w14:val="none"/>
    </w:rPr>
  </w:style>
  <w:style w:type="character" w:customStyle="1" w:styleId="Heading6Char">
    <w:name w:val="Heading 6 Char"/>
    <w:basedOn w:val="DefaultParagraphFont"/>
    <w:link w:val="Heading6"/>
    <w:semiHidden/>
    <w:rsid w:val="006B6D3E"/>
    <w:rPr>
      <w:rFonts w:ascii="Times New Roman" w:eastAsia="SimSun" w:hAnsi="Times New Roman" w:cs="Times New Roman"/>
      <w:bCs/>
      <w:kern w:val="0"/>
      <w:szCs w:val="22"/>
      <w:lang w:val="es-ES"/>
      <w14:ligatures w14:val="none"/>
    </w:rPr>
  </w:style>
  <w:style w:type="character" w:customStyle="1" w:styleId="Heading7Char">
    <w:name w:val="Heading 7 Char"/>
    <w:basedOn w:val="DefaultParagraphFont"/>
    <w:link w:val="Heading7"/>
    <w:semiHidden/>
    <w:rsid w:val="006B6D3E"/>
    <w:rPr>
      <w:rFonts w:ascii="Times New Roman" w:eastAsia="SimSun" w:hAnsi="Times New Roman" w:cs="Times New Roman"/>
      <w:b/>
      <w:snapToGrid w:val="0"/>
      <w:kern w:val="0"/>
      <w:sz w:val="22"/>
      <w:szCs w:val="22"/>
      <w:u w:val="single"/>
      <w:lang w:val="es-ES"/>
      <w14:ligatures w14:val="none"/>
    </w:rPr>
  </w:style>
  <w:style w:type="character" w:customStyle="1" w:styleId="Heading8Char">
    <w:name w:val="Heading 8 Char"/>
    <w:basedOn w:val="DefaultParagraphFont"/>
    <w:link w:val="Heading8"/>
    <w:semiHidden/>
    <w:rsid w:val="006B6D3E"/>
    <w:rPr>
      <w:rFonts w:ascii="Times New Roman" w:eastAsia="SimSun" w:hAnsi="Times New Roman" w:cs="Times New Roman"/>
      <w:b/>
      <w:snapToGrid w:val="0"/>
      <w:kern w:val="0"/>
      <w:sz w:val="22"/>
      <w:szCs w:val="22"/>
      <w:u w:val="single"/>
      <w:lang w:val="es-ES"/>
      <w14:ligatures w14:val="none"/>
    </w:rPr>
  </w:style>
  <w:style w:type="character" w:customStyle="1" w:styleId="Heading9Char">
    <w:name w:val="Heading 9 Char"/>
    <w:basedOn w:val="DefaultParagraphFont"/>
    <w:link w:val="Heading9"/>
    <w:semiHidden/>
    <w:rsid w:val="006B6D3E"/>
    <w:rPr>
      <w:rFonts w:ascii="Times New Roman" w:eastAsia="SimSun" w:hAnsi="Times New Roman" w:cs="Times New Roman"/>
      <w:snapToGrid w:val="0"/>
      <w:kern w:val="0"/>
      <w:sz w:val="22"/>
      <w:szCs w:val="22"/>
      <w:u w:val="single"/>
      <w:lang w:val="es-ES"/>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s-ES"/>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s-ES"/>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s-ES"/>
      <w14:ligatures w14:val="none"/>
    </w:rPr>
  </w:style>
  <w:style w:type="paragraph" w:styleId="ListParagraph">
    <w:name w:val="List Paragraph"/>
    <w:basedOn w:val="Normal"/>
    <w:uiPriority w:val="34"/>
    <w:qFormat/>
    <w:rsid w:val="006B6D3E"/>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s-ES"/>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s-ES"/>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s-ES"/>
    </w:rPr>
  </w:style>
  <w:style w:type="paragraph" w:styleId="Revision">
    <w:name w:val="Revision"/>
    <w:hidden/>
    <w:uiPriority w:val="99"/>
    <w:semiHidden/>
    <w:rsid w:val="006B6D3E"/>
    <w:pPr>
      <w:spacing w:after="0" w:line="240" w:lineRule="auto"/>
    </w:pPr>
    <w:rPr>
      <w:rFonts w:ascii="Simplified Arabic" w:eastAsia="Times New Roman" w:hAnsi="Simplified Arabic" w:cs="Simplified Arabic"/>
      <w:noProof/>
      <w:kern w:val="0"/>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eastAsia="en-GB"/>
      <w14:ligatures w14:val="none"/>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6B6D3E"/>
    <w:rPr>
      <w:vertAlign w:val="superscript"/>
      <w:lang w:val="es-ES"/>
    </w:rPr>
  </w:style>
  <w:style w:type="paragraph" w:customStyle="1" w:styleId="Footnote">
    <w:name w:val="Footnote"/>
    <w:basedOn w:val="FootnoteText"/>
    <w:semiHidden/>
    <w:qFormat/>
    <w:rsid w:val="006B6D3E"/>
    <w:rPr>
      <w:szCs w:val="18"/>
    </w:rPr>
  </w:style>
  <w:style w:type="paragraph" w:styleId="Header">
    <w:name w:val="header"/>
    <w:basedOn w:val="Normal"/>
    <w:link w:val="HeaderChar"/>
    <w:semiHidden/>
    <w:rsid w:val="006B6D3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6B6D3E"/>
    <w:rPr>
      <w:rFonts w:ascii="Times New Roman" w:eastAsia="SimSun" w:hAnsi="Times New Roman" w:cs="Times New Roman"/>
      <w:kern w:val="0"/>
      <w:sz w:val="20"/>
      <w:szCs w:val="22"/>
      <w:lang w:val="es-ES"/>
      <w14:ligatures w14:val="none"/>
    </w:rPr>
  </w:style>
  <w:style w:type="paragraph" w:styleId="Footer">
    <w:name w:val="footer"/>
    <w:basedOn w:val="Normal"/>
    <w:link w:val="FooterChar"/>
    <w:uiPriority w:val="99"/>
    <w:rsid w:val="006B6D3E"/>
    <w:pPr>
      <w:tabs>
        <w:tab w:val="center" w:pos="4680"/>
        <w:tab w:val="right" w:pos="9360"/>
      </w:tabs>
    </w:pPr>
    <w:rPr>
      <w:sz w:val="20"/>
    </w:rPr>
  </w:style>
  <w:style w:type="character" w:customStyle="1" w:styleId="FooterChar">
    <w:name w:val="Footer Char"/>
    <w:basedOn w:val="DefaultParagraphFont"/>
    <w:link w:val="Footer"/>
    <w:uiPriority w:val="99"/>
    <w:rsid w:val="006B6D3E"/>
    <w:rPr>
      <w:rFonts w:ascii="Times New Roman" w:eastAsia="SimSun" w:hAnsi="Times New Roman" w:cs="Times New Roman"/>
      <w:kern w:val="0"/>
      <w:sz w:val="20"/>
      <w:szCs w:val="22"/>
      <w:lang w:val="es-ES"/>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6B6D3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6B6D3E"/>
    <w:rPr>
      <w:rFonts w:ascii="Times New Roman" w:eastAsia="SimSun" w:hAnsi="Times New Roman" w:cs="Times New Roman"/>
      <w:kern w:val="0"/>
      <w:sz w:val="18"/>
      <w:szCs w:val="20"/>
      <w:lang w:val="es-ES"/>
      <w14:ligatures w14:val="none"/>
    </w:rPr>
  </w:style>
  <w:style w:type="paragraph" w:styleId="BodyText">
    <w:name w:val="Body Text"/>
    <w:basedOn w:val="Normal"/>
    <w:link w:val="BodyTextCh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B6D3E"/>
    <w:rPr>
      <w:sz w:val="22"/>
      <w:szCs w:val="22"/>
      <w:lang w:val="es-ES"/>
    </w:rPr>
  </w:style>
  <w:style w:type="character" w:styleId="CommentReference">
    <w:name w:val="annotation reference"/>
    <w:basedOn w:val="DefaultParagraphFont"/>
    <w:uiPriority w:val="99"/>
    <w:semiHidden/>
    <w:unhideWhenUsed/>
    <w:rsid w:val="006B6D3E"/>
    <w:rPr>
      <w:sz w:val="16"/>
      <w:szCs w:val="16"/>
      <w:lang w:val="es-ES"/>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basedOn w:val="DefaultParagraphFont"/>
    <w:link w:val="CommentText"/>
    <w:uiPriority w:val="99"/>
    <w:semiHidden/>
    <w:rsid w:val="006B6D3E"/>
    <w:rPr>
      <w:rFonts w:ascii="Times New Roman" w:eastAsia="SimSun" w:hAnsi="Times New Roman" w:cs="Times New Roman"/>
      <w:kern w:val="0"/>
      <w:sz w:val="20"/>
      <w:szCs w:val="20"/>
      <w:lang w:val="es-ES"/>
      <w14:ligatures w14:val="none"/>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basedOn w:val="CommentTextChar"/>
    <w:link w:val="CommentSubject"/>
    <w:uiPriority w:val="99"/>
    <w:semiHidden/>
    <w:rsid w:val="006B6D3E"/>
    <w:rPr>
      <w:rFonts w:ascii="Times New Roman" w:eastAsia="SimSun" w:hAnsi="Times New Roman" w:cs="Times New Roman"/>
      <w:b/>
      <w:bCs/>
      <w:kern w:val="0"/>
      <w:sz w:val="20"/>
      <w:szCs w:val="20"/>
      <w:lang w:val="es-ES"/>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14:ligatures w14:val="none"/>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6B6D3E"/>
    <w:rPr>
      <w:rFonts w:ascii="Times New Roman" w:hAnsi="Times New Roman"/>
      <w:color w:val="467886" w:themeColor="hyperlink"/>
      <w:u w:val="single"/>
      <w:lang w:val="es-ES"/>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s-ES"/>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s-ES"/>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s-ES"/>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s-ES"/>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s-ES"/>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s-ES"/>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s-ES"/>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s-ES"/>
      <w14:ligatures w14:val="none"/>
    </w:rPr>
  </w:style>
  <w:style w:type="character" w:styleId="BookTitle">
    <w:name w:val="Book Title"/>
    <w:basedOn w:val="DefaultParagraphFont"/>
    <w:uiPriority w:val="33"/>
    <w:qFormat/>
    <w:rsid w:val="006B6D3E"/>
    <w:rPr>
      <w:b/>
      <w:bCs/>
      <w:i/>
      <w:iCs/>
      <w:spacing w:val="5"/>
      <w:lang w:val="es-ES"/>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s-ES"/>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s-ES"/>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s-ES"/>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s-ES"/>
      <w14:ligatures w14:val="none"/>
    </w:rPr>
  </w:style>
  <w:style w:type="character" w:styleId="Emphasis">
    <w:name w:val="Emphasis"/>
    <w:basedOn w:val="DefaultParagraphFont"/>
    <w:uiPriority w:val="20"/>
    <w:qFormat/>
    <w:rsid w:val="006B6D3E"/>
    <w:rPr>
      <w:i/>
      <w:iCs/>
      <w:lang w:val="es-ES"/>
    </w:rPr>
  </w:style>
  <w:style w:type="character" w:styleId="EndnoteReference">
    <w:name w:val="endnote reference"/>
    <w:basedOn w:val="DefaultParagraphFont"/>
    <w:uiPriority w:val="99"/>
    <w:semiHidden/>
    <w:unhideWhenUsed/>
    <w:rsid w:val="006B6D3E"/>
    <w:rPr>
      <w:vertAlign w:val="superscript"/>
      <w:lang w:val="es-ES"/>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s-ES"/>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s-ES"/>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s-ES"/>
    </w:rPr>
  </w:style>
  <w:style w:type="character" w:styleId="HTMLAcronym">
    <w:name w:val="HTML Acronym"/>
    <w:basedOn w:val="DefaultParagraphFont"/>
    <w:uiPriority w:val="99"/>
    <w:semiHidden/>
    <w:unhideWhenUsed/>
    <w:rsid w:val="006B6D3E"/>
    <w:rPr>
      <w:lang w:val="es-ES"/>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s-ES"/>
      <w14:ligatures w14:val="none"/>
    </w:rPr>
  </w:style>
  <w:style w:type="character" w:styleId="HTMLCite">
    <w:name w:val="HTML Cite"/>
    <w:basedOn w:val="DefaultParagraphFont"/>
    <w:uiPriority w:val="99"/>
    <w:semiHidden/>
    <w:unhideWhenUsed/>
    <w:rsid w:val="006B6D3E"/>
    <w:rPr>
      <w:i/>
      <w:iCs/>
      <w:lang w:val="es-ES"/>
    </w:rPr>
  </w:style>
  <w:style w:type="character" w:styleId="HTMLCode">
    <w:name w:val="HTML Code"/>
    <w:basedOn w:val="DefaultParagraphFont"/>
    <w:uiPriority w:val="99"/>
    <w:semiHidden/>
    <w:unhideWhenUsed/>
    <w:rsid w:val="006B6D3E"/>
    <w:rPr>
      <w:rFonts w:ascii="Consolas" w:hAnsi="Consolas"/>
      <w:sz w:val="20"/>
      <w:szCs w:val="20"/>
      <w:lang w:val="es-ES"/>
    </w:rPr>
  </w:style>
  <w:style w:type="character" w:styleId="HTMLDefinition">
    <w:name w:val="HTML Definition"/>
    <w:basedOn w:val="DefaultParagraphFont"/>
    <w:uiPriority w:val="99"/>
    <w:semiHidden/>
    <w:unhideWhenUsed/>
    <w:rsid w:val="006B6D3E"/>
    <w:rPr>
      <w:i/>
      <w:iCs/>
      <w:lang w:val="es-ES"/>
    </w:rPr>
  </w:style>
  <w:style w:type="character" w:styleId="HTMLKeyboard">
    <w:name w:val="HTML Keyboard"/>
    <w:basedOn w:val="DefaultParagraphFont"/>
    <w:uiPriority w:val="99"/>
    <w:semiHidden/>
    <w:unhideWhenUsed/>
    <w:rsid w:val="006B6D3E"/>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s-ES"/>
      <w14:ligatures w14:val="none"/>
    </w:rPr>
  </w:style>
  <w:style w:type="character" w:styleId="HTMLSample">
    <w:name w:val="HTML Sample"/>
    <w:basedOn w:val="DefaultParagraphFont"/>
    <w:uiPriority w:val="99"/>
    <w:semiHidden/>
    <w:unhideWhenUsed/>
    <w:rsid w:val="006B6D3E"/>
    <w:rPr>
      <w:rFonts w:ascii="Consolas" w:hAnsi="Consolas"/>
      <w:sz w:val="24"/>
      <w:szCs w:val="24"/>
      <w:lang w:val="es-ES"/>
    </w:rPr>
  </w:style>
  <w:style w:type="character" w:styleId="HTMLTypewriter">
    <w:name w:val="HTML Typewriter"/>
    <w:basedOn w:val="DefaultParagraphFont"/>
    <w:uiPriority w:val="99"/>
    <w:semiHidden/>
    <w:unhideWhenUsed/>
    <w:rsid w:val="006B6D3E"/>
    <w:rPr>
      <w:rFonts w:ascii="Consolas" w:hAnsi="Consolas"/>
      <w:sz w:val="20"/>
      <w:szCs w:val="20"/>
      <w:lang w:val="es-ES"/>
    </w:rPr>
  </w:style>
  <w:style w:type="character" w:styleId="HTMLVariable">
    <w:name w:val="HTML Variable"/>
    <w:basedOn w:val="DefaultParagraphFont"/>
    <w:uiPriority w:val="99"/>
    <w:semiHidden/>
    <w:unhideWhenUsed/>
    <w:rsid w:val="006B6D3E"/>
    <w:rPr>
      <w:i/>
      <w:iCs/>
      <w:lang w:val="es-ES"/>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s-ES"/>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s-ES"/>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s-ES"/>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s-ES"/>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s-ES"/>
      <w14:ligatures w14:val="none"/>
    </w:rPr>
  </w:style>
  <w:style w:type="character" w:styleId="PageNumber">
    <w:name w:val="page number"/>
    <w:basedOn w:val="DefaultParagraphFont"/>
    <w:uiPriority w:val="99"/>
    <w:semiHidden/>
    <w:unhideWhenUsed/>
    <w:rsid w:val="006B6D3E"/>
    <w:rPr>
      <w:lang w:val="es-ES"/>
    </w:rPr>
  </w:style>
  <w:style w:type="character" w:styleId="PlaceholderText">
    <w:name w:val="Placeholder Text"/>
    <w:basedOn w:val="DefaultParagraphFont"/>
    <w:uiPriority w:val="99"/>
    <w:semiHidden/>
    <w:rsid w:val="006B6D3E"/>
    <w:rPr>
      <w:color w:val="666666"/>
      <w:lang w:val="es-ES"/>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s-ES"/>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s-ES"/>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s-ES"/>
      <w14:ligatures w14:val="none"/>
    </w:rPr>
  </w:style>
  <w:style w:type="character" w:customStyle="1" w:styleId="SmartHyperlink1">
    <w:name w:val="Smart Hyperlink1"/>
    <w:basedOn w:val="DefaultParagraphFont"/>
    <w:uiPriority w:val="99"/>
    <w:semiHidden/>
    <w:unhideWhenUsed/>
    <w:rsid w:val="006B6D3E"/>
    <w:rPr>
      <w:u w:val="dotted"/>
      <w:lang w:val="es-ES"/>
    </w:rPr>
  </w:style>
  <w:style w:type="character" w:customStyle="1" w:styleId="SmartLink1">
    <w:name w:val="SmartLink1"/>
    <w:basedOn w:val="DefaultParagraphFont"/>
    <w:uiPriority w:val="99"/>
    <w:semiHidden/>
    <w:unhideWhenUsed/>
    <w:rsid w:val="006B6D3E"/>
    <w:rPr>
      <w:color w:val="0000FF"/>
      <w:u w:val="single"/>
      <w:shd w:val="clear" w:color="auto" w:fill="F3F2F1"/>
      <w:lang w:val="es-ES"/>
    </w:rPr>
  </w:style>
  <w:style w:type="character" w:styleId="Strong">
    <w:name w:val="Strong"/>
    <w:basedOn w:val="DefaultParagraphFont"/>
    <w:uiPriority w:val="22"/>
    <w:qFormat/>
    <w:rsid w:val="006B6D3E"/>
    <w:rPr>
      <w:b/>
      <w:bCs/>
      <w:lang w:val="es-ES"/>
    </w:rPr>
  </w:style>
  <w:style w:type="character" w:styleId="SubtleEmphasis">
    <w:name w:val="Subtle Emphasis"/>
    <w:basedOn w:val="DefaultParagraphFont"/>
    <w:uiPriority w:val="19"/>
    <w:qFormat/>
    <w:rsid w:val="006B6D3E"/>
    <w:rPr>
      <w:i/>
      <w:iCs/>
      <w:color w:val="404040" w:themeColor="text1" w:themeTint="BF"/>
      <w:lang w:val="es-ES"/>
    </w:rPr>
  </w:style>
  <w:style w:type="character" w:styleId="SubtleReference">
    <w:name w:val="Subtle Reference"/>
    <w:basedOn w:val="DefaultParagraphFont"/>
    <w:uiPriority w:val="31"/>
    <w:qFormat/>
    <w:rsid w:val="006B6D3E"/>
    <w:rPr>
      <w:smallCaps/>
      <w:color w:val="5A5A5A" w:themeColor="text1" w:themeTint="A5"/>
      <w:lang w:val="es-ES"/>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s-ES"/>
    </w:rPr>
  </w:style>
  <w:style w:type="character" w:customStyle="1" w:styleId="UnresolvedMention">
    <w:name w:val="Unresolved Mention"/>
    <w:basedOn w:val="DefaultParagraphFont"/>
    <w:uiPriority w:val="99"/>
    <w:semiHidden/>
    <w:unhideWhenUsed/>
    <w:rsid w:val="001A79FF"/>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861CAD"/>
    <w:pPr>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p-mop-09/cp-mop-09-dec-13-es.pdf" TargetMode="External"/><Relationship Id="rId26" Type="http://schemas.openxmlformats.org/officeDocument/2006/relationships/hyperlink" Target="https://www.cbd.int/documents/CBD/CP/RA/AHTEG/2020/1/5" TargetMode="External"/><Relationship Id="rId39" Type="http://schemas.openxmlformats.org/officeDocument/2006/relationships/hyperlink" Target="https://www.cbd.int/documents/CBD/CP/RA/AHTEG/2025/1/INF/2" TargetMode="External"/><Relationship Id="rId21" Type="http://schemas.openxmlformats.org/officeDocument/2006/relationships/hyperlink" Target="https://www.cbd.int/notifications/2025-017" TargetMode="External"/><Relationship Id="rId34" Type="http://schemas.openxmlformats.org/officeDocument/2006/relationships/hyperlink" Target="https://www.cbd.int/doc/decisions/cp-mop-09/cp-mop-09-dec-13-es.pdf" TargetMode="External"/><Relationship Id="rId42" Type="http://schemas.openxmlformats.org/officeDocument/2006/relationships/hyperlink" Target="https://www.cbd.int/documents/UNEP/CBD/BS/COP-MOP/8/8/ADD1" TargetMode="External"/><Relationship Id="rId47" Type="http://schemas.openxmlformats.org/officeDocument/2006/relationships/hyperlink" Target="https://www.cbd.int/documents/UNEP/CBD/BS/COP-MOP/8/8/ADD1" TargetMode="External"/><Relationship Id="rId50" Type="http://schemas.openxmlformats.org/officeDocument/2006/relationships/hyperlink" Target="https://www.cbd.int/documents/UNEP/CBD/BS/COP-MOP/8/8/ADD1" TargetMode="External"/><Relationship Id="rId55" Type="http://schemas.openxmlformats.org/officeDocument/2006/relationships/hyperlink" Target="https://www.cbd.int/documents/CBD/CP/MOP/11/9"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oc/decisions/cp-mop-11/cp-mop-11-dec-07-es.pdf" TargetMode="External"/><Relationship Id="rId29" Type="http://schemas.openxmlformats.org/officeDocument/2006/relationships/header" Target="header1.xml"/><Relationship Id="rId11" Type="http://schemas.openxmlformats.org/officeDocument/2006/relationships/image" Target="media/image1.png"/><Relationship Id="rId24" Type="http://schemas.openxmlformats.org/officeDocument/2006/relationships/hyperlink" Target="https://www.cbd.int/documents/CBD/CP/RA/AHTEG/2025/1/INF/2" TargetMode="External"/><Relationship Id="rId32" Type="http://schemas.openxmlformats.org/officeDocument/2006/relationships/footer" Target="footer2.xml"/><Relationship Id="rId37" Type="http://schemas.openxmlformats.org/officeDocument/2006/relationships/hyperlink" Target="https://www.cbd.int/decisions/?id=13668" TargetMode="External"/><Relationship Id="rId40" Type="http://schemas.openxmlformats.org/officeDocument/2006/relationships/hyperlink" Target="https://www.cbd.int/documents/UNEP/CBD/BS/COP-MOP/8/8/ADD1" TargetMode="External"/><Relationship Id="rId45" Type="http://schemas.openxmlformats.org/officeDocument/2006/relationships/hyperlink" Target="https://www.cbd.int/documents/CBD/CP/MOP/11/9" TargetMode="External"/><Relationship Id="rId53" Type="http://schemas.openxmlformats.org/officeDocument/2006/relationships/hyperlink" Target="https://www.cbd.int/documents/CBD/CP/MOP/11/9" TargetMode="External"/><Relationship Id="rId58" Type="http://schemas.openxmlformats.org/officeDocument/2006/relationships/hyperlink" Target="https://www.cbd.int/documents/UNEP/CBD/BS/COP-MOP/8/8/ADD1" TargetMode="External"/><Relationship Id="rId5" Type="http://schemas.openxmlformats.org/officeDocument/2006/relationships/numbering" Target="numbering.xml"/><Relationship Id="rId61" Type="http://schemas.openxmlformats.org/officeDocument/2006/relationships/glossaryDocument" Target="glossary/document.xml"/><Relationship Id="rId19" Type="http://schemas.openxmlformats.org/officeDocument/2006/relationships/hyperlink" Target="https://www.cbd.int/doc/decisions/cp-mop-11/cp-mop-11-dec-07-es.pdf" TargetMode="External"/><Relationship Id="rId14" Type="http://schemas.openxmlformats.org/officeDocument/2006/relationships/hyperlink" Target="https://www.cbd.int/doc/decisions/cp-mop-11/cp-mop-11-dec-07-es.pdf" TargetMode="External"/><Relationship Id="rId22" Type="http://schemas.openxmlformats.org/officeDocument/2006/relationships/hyperlink" Target="https://www.cbd.int/doc/decisions/cp-mop-09/cp-mop-09-dec-13-es.pdf" TargetMode="External"/><Relationship Id="rId27" Type="http://schemas.openxmlformats.org/officeDocument/2006/relationships/hyperlink" Target="https://www.cbd.int/doc/decisions/cp-mop-10/cp-mop-10-dec-10-es.pdf" TargetMode="External"/><Relationship Id="rId30" Type="http://schemas.openxmlformats.org/officeDocument/2006/relationships/header" Target="header2.xml"/><Relationship Id="rId35" Type="http://schemas.openxmlformats.org/officeDocument/2006/relationships/hyperlink" Target="https://www.cbd.int/doc/decisions/cp-mop-11/cp-mop-11-dec-07-es.pdf" TargetMode="External"/><Relationship Id="rId43" Type="http://schemas.openxmlformats.org/officeDocument/2006/relationships/hyperlink" Target="https://www.cbd.int/documents/CBD/CP/MOP/11/9" TargetMode="External"/><Relationship Id="rId48" Type="http://schemas.openxmlformats.org/officeDocument/2006/relationships/hyperlink" Target="https://www.cbd.int/documents/CBD/CP/MOP/11/9" TargetMode="External"/><Relationship Id="rId56" Type="http://schemas.openxmlformats.org/officeDocument/2006/relationships/hyperlink" Target="https://www.cbd.int/documents/UNEP/CBD/BS/COP-MOP/8/8/ADD1" TargetMode="External"/><Relationship Id="rId8" Type="http://schemas.openxmlformats.org/officeDocument/2006/relationships/webSettings" Target="webSettings.xml"/><Relationship Id="rId51" Type="http://schemas.openxmlformats.org/officeDocument/2006/relationships/hyperlink" Target="https://www.cbd.int/documents/CBD/CP/MOP/11/9"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oc/decisions/cp-mop-09/cp-mop-09-dec-13-es.pdf" TargetMode="External"/><Relationship Id="rId25" Type="http://schemas.openxmlformats.org/officeDocument/2006/relationships/hyperlink" Target="https://www.cbd.int/doc/decisions/cp-mop-09/cp-mop-09-dec-13-es.pdf" TargetMode="External"/><Relationship Id="rId33" Type="http://schemas.openxmlformats.org/officeDocument/2006/relationships/hyperlink" Target="https://www.cbd.int/doc/decisions/cp-mop-11/cp-mop-11-dec-07-es.pdf" TargetMode="External"/><Relationship Id="rId38" Type="http://schemas.openxmlformats.org/officeDocument/2006/relationships/hyperlink" Target="https://www.cbd.int/decisions/mop/?m=cp-mop-11" TargetMode="External"/><Relationship Id="rId46" Type="http://schemas.openxmlformats.org/officeDocument/2006/relationships/hyperlink" Target="https://www.cbd.int/documents/CBD/CP/RA/AHTEG/2020/1/3" TargetMode="External"/><Relationship Id="rId59" Type="http://schemas.openxmlformats.org/officeDocument/2006/relationships/hyperlink" Target="https://www.cbd.int/documents/CBD/CP/MOP/11/9" TargetMode="External"/><Relationship Id="rId20" Type="http://schemas.openxmlformats.org/officeDocument/2006/relationships/hyperlink" Target="https://www.cbd.int/doc/decisions/cp-mop-11/cp-mop-11-dec-07-es.pdf" TargetMode="External"/><Relationship Id="rId41" Type="http://schemas.openxmlformats.org/officeDocument/2006/relationships/hyperlink" Target="https://www.cbd.int/documents/CBD/CP/MOP/11/9" TargetMode="External"/><Relationship Id="rId54" Type="http://schemas.openxmlformats.org/officeDocument/2006/relationships/hyperlink" Target="https://www.cbd.int/documents/UNEP/CBD/BS/COP-MOP/8/8/ADD1"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bd.int/doc/decisions/cp-mop-09/cp-mop-09-dec-13-es.pdf" TargetMode="External"/><Relationship Id="rId23" Type="http://schemas.openxmlformats.org/officeDocument/2006/relationships/hyperlink" Target="https://www.cbd.int/documents/CBD/CP/RA/AHTEG/2025/1/INF/1" TargetMode="External"/><Relationship Id="rId28" Type="http://schemas.openxmlformats.org/officeDocument/2006/relationships/hyperlink" Target="https://www.cbd.int/doc/decisions/cp-mop-11/cp-mop-11-dec-07-es.pdf" TargetMode="External"/><Relationship Id="rId36" Type="http://schemas.openxmlformats.org/officeDocument/2006/relationships/hyperlink" Target="https://www.cbd.int/doc/decisions/cp-mop-09/cp-mop-09-dec-13-es.pdf" TargetMode="External"/><Relationship Id="rId49" Type="http://schemas.openxmlformats.org/officeDocument/2006/relationships/hyperlink" Target="https://www.cbd.int/documents/CBD/CP/RA/AHTEG/2025/1/INF/2" TargetMode="External"/><Relationship Id="rId57" Type="http://schemas.openxmlformats.org/officeDocument/2006/relationships/hyperlink" Target="https://www.cbd.int/documents/CBD/CP/MOP/11/9" TargetMode="External"/><Relationship Id="rId10" Type="http://schemas.openxmlformats.org/officeDocument/2006/relationships/endnotes" Target="endnotes.xml"/><Relationship Id="rId31" Type="http://schemas.openxmlformats.org/officeDocument/2006/relationships/footer" Target="footer1.xml"/><Relationship Id="rId44" Type="http://schemas.openxmlformats.org/officeDocument/2006/relationships/hyperlink" Target="https://www.cbd.int/documents/CBD/CP/RA/AHTEG/2025/1/INF/2" TargetMode="External"/><Relationship Id="rId52" Type="http://schemas.openxmlformats.org/officeDocument/2006/relationships/hyperlink" Target="https://www.cbd.int/documents/CBD/CP/RA/AHTEG/2025/1/INF/2" TargetMode="Externa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P/RA/AHTEG/2025/1/INF/1" TargetMode="External"/><Relationship Id="rId3" Type="http://schemas.openxmlformats.org/officeDocument/2006/relationships/hyperlink" Target="https://www.cbd.int/documents/UNEP/CBD/BS/COP-MOP/7/INF/6" TargetMode="External"/><Relationship Id="rId7" Type="http://schemas.openxmlformats.org/officeDocument/2006/relationships/hyperlink" Target="https://www.cbd.int/documents/CBD/CP/RA/AHTEG/2025/1/INF/2" TargetMode="External"/><Relationship Id="rId2" Type="http://schemas.openxmlformats.org/officeDocument/2006/relationships/hyperlink" Target="https://www.cbd.int/documents/CBD/CP/MOP/11/9" TargetMode="External"/><Relationship Id="rId1" Type="http://schemas.openxmlformats.org/officeDocument/2006/relationships/hyperlink" Target="https://www.cbd.int/documents/UNEP/CBD/BS/COP-MOP/8/8/ADD1" TargetMode="External"/><Relationship Id="rId6" Type="http://schemas.openxmlformats.org/officeDocument/2006/relationships/hyperlink" Target="https://www.cbd.int/documents/CBD/CP/RA/AHTEG/2025/1/INF/2" TargetMode="External"/><Relationship Id="rId5" Type="http://schemas.openxmlformats.org/officeDocument/2006/relationships/hyperlink" Target="https://www.cbd.int/documents/CBD/CP/RA/AHTEG/2025/1/INF/1" TargetMode="External"/><Relationship Id="rId4" Type="http://schemas.openxmlformats.org/officeDocument/2006/relationships/hyperlink" Target="https://www.cbd.int/decisions/?id=1102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CLOUGHLI\OneDrive%20-%20United%20Nations\Desktop\Working%20on%20plane%20(AHTEG%20+%20SBSTTA)\sbstta-27-template-en%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176974CAE7F4C98B024CDADEBC38C0E"/>
        <w:category>
          <w:name w:val="General"/>
          <w:gallery w:val="placeholder"/>
        </w:category>
        <w:types>
          <w:type w:val="bbPlcHdr"/>
        </w:types>
        <w:behaviors>
          <w:behavior w:val="content"/>
        </w:behaviors>
        <w:guid w:val="{82759513-02C4-4D40-AC7B-DB3CD5F9F212}"/>
      </w:docPartPr>
      <w:docPartBody>
        <w:p w:rsidR="00E245DA" w:rsidRDefault="00E245DA">
          <w:pPr>
            <w:pStyle w:val="D176974CAE7F4C98B024CDADEBC38C0E"/>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ptos">
    <w:altName w:val="Times New Roman"/>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altName w:val="Times New Roman"/>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TimesNewRomanPSMT">
    <w:altName w:val="MS Gothic"/>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45DA"/>
    <w:rsid w:val="000106FF"/>
    <w:rsid w:val="00057B13"/>
    <w:rsid w:val="00097729"/>
    <w:rsid w:val="000C22EA"/>
    <w:rsid w:val="000E1726"/>
    <w:rsid w:val="0010015F"/>
    <w:rsid w:val="002075D7"/>
    <w:rsid w:val="002E4A52"/>
    <w:rsid w:val="003F3A67"/>
    <w:rsid w:val="004B2DBC"/>
    <w:rsid w:val="004E1AF9"/>
    <w:rsid w:val="0057380B"/>
    <w:rsid w:val="00612F58"/>
    <w:rsid w:val="00616B46"/>
    <w:rsid w:val="006500F3"/>
    <w:rsid w:val="00694870"/>
    <w:rsid w:val="0087688E"/>
    <w:rsid w:val="009313F0"/>
    <w:rsid w:val="00962316"/>
    <w:rsid w:val="0096687C"/>
    <w:rsid w:val="009737FE"/>
    <w:rsid w:val="00975B20"/>
    <w:rsid w:val="0098214E"/>
    <w:rsid w:val="009A7AC5"/>
    <w:rsid w:val="009F457E"/>
    <w:rsid w:val="00AA32CF"/>
    <w:rsid w:val="00AE2428"/>
    <w:rsid w:val="00AE4E48"/>
    <w:rsid w:val="00AE4EC5"/>
    <w:rsid w:val="00B122A4"/>
    <w:rsid w:val="00B522A8"/>
    <w:rsid w:val="00B77868"/>
    <w:rsid w:val="00C21376"/>
    <w:rsid w:val="00CB6D6E"/>
    <w:rsid w:val="00CD2364"/>
    <w:rsid w:val="00CD68A9"/>
    <w:rsid w:val="00D01A9B"/>
    <w:rsid w:val="00D100CD"/>
    <w:rsid w:val="00E04DA3"/>
    <w:rsid w:val="00E245DA"/>
    <w:rsid w:val="00F65B3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D176974CAE7F4C98B024CDADEBC38C0E">
    <w:name w:val="D176974CAE7F4C98B024CDADEBC38C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90A403-606A-40E0-936D-2D1932979D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4.xml><?xml version="1.0" encoding="utf-8"?>
<ds:datastoreItem xmlns:ds="http://schemas.openxmlformats.org/officeDocument/2006/customXml" ds:itemID="{D5111336-E055-4585-B065-7494E7EFDEA9}">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sbstta-27-template-en (1).dotm</Template>
  <TotalTime>674</TotalTime>
  <Pages>12</Pages>
  <Words>5340</Words>
  <Characters>30441</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Evaluación del riesgo y gestión del riesgo de organismos vivos modificados</vt:lpstr>
    </vt:vector>
  </TitlesOfParts>
  <Company/>
  <LinksUpToDate>false</LinksUpToDate>
  <CharactersWithSpaces>35710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Evaluación del riesgo y gestión del riesgo de organismos vivos modificados</dc:title>
  <dc:subject/>
  <dc:creator>Secretariat of the Convention on Biological Diversity</dc:creator>
  <cp:keywords>Subsidiary Body on Scientific, Technical and Technological Advice, twenty-seventh meeting</cp:keywords>
  <dc:description/>
  <cp:lastModifiedBy>Laura Perez</cp:lastModifiedBy>
  <cp:revision>47</cp:revision>
  <cp:lastPrinted>2025-08-08T17:38:00Z</cp:lastPrinted>
  <dcterms:created xsi:type="dcterms:W3CDTF">2025-08-08T17:21:00Z</dcterms:created>
  <dcterms:modified xsi:type="dcterms:W3CDTF">2025-08-12T22:21:00Z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