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9F4D84" w:rsidTr="00934E97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9F4D84" w:rsidRDefault="00207A6E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9F4D84">
              <w:rPr>
                <w:noProof/>
                <w:snapToGrid w:val="0"/>
                <w:kern w:val="22"/>
                <w:lang w:val="fr-FR" w:eastAsia="fr-FR"/>
              </w:rPr>
              <w:drawing>
                <wp:inline distT="0" distB="0" distL="0" distR="0" wp14:anchorId="302C0408" wp14:editId="23A3809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07A6E" w:rsidRPr="009F4D84" w:rsidRDefault="00207A6E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9F4D84">
              <w:rPr>
                <w:noProof/>
                <w:snapToGrid w:val="0"/>
                <w:kern w:val="22"/>
                <w:lang w:val="fr-FR" w:eastAsia="fr-FR"/>
              </w:rPr>
              <w:drawing>
                <wp:inline distT="0" distB="0" distL="0" distR="0" wp14:anchorId="4FC856ED" wp14:editId="53BB94E4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9F4D84" w:rsidRDefault="00207A6E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9F4D84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9F4D84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DE5DC4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:rsidR="00F16F02" w:rsidRPr="00DE5DC4" w:rsidRDefault="00B37FAA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4217E5">
              <w:rPr>
                <w:bCs/>
                <w:noProof/>
                <w:szCs w:val="22"/>
                <w:lang w:val="fr-FR" w:eastAsia="fr-FR"/>
              </w:rPr>
              <w:drawing>
                <wp:inline distT="0" distB="0" distL="0" distR="0" wp14:anchorId="12E85B61" wp14:editId="77064245">
                  <wp:extent cx="2855595" cy="1080135"/>
                  <wp:effectExtent l="0" t="0" r="1905" b="5715"/>
                  <wp:docPr id="3" name="Picture 3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02" w:rsidRPr="00DE5DC4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49005C" w:rsidRDefault="00F16F02" w:rsidP="009F4D84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C3300B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C3300B">
              <w:rPr>
                <w:snapToGrid w:val="0"/>
                <w:kern w:val="22"/>
                <w:szCs w:val="22"/>
                <w:lang w:val="fr-FR"/>
              </w:rPr>
              <w:t>Distr.</w:t>
            </w:r>
          </w:p>
          <w:p w:rsidR="00F16F02" w:rsidRPr="00C3300B" w:rsidRDefault="00A01DA3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C3300B">
              <w:rPr>
                <w:snapToGrid w:val="0"/>
                <w:kern w:val="22"/>
                <w:szCs w:val="22"/>
                <w:lang w:val="fr-FR"/>
              </w:rPr>
              <w:t>GÉNÉ</w:t>
            </w:r>
            <w:r w:rsidR="00F16F02" w:rsidRPr="00C3300B">
              <w:rPr>
                <w:snapToGrid w:val="0"/>
                <w:kern w:val="22"/>
                <w:szCs w:val="22"/>
                <w:lang w:val="fr-FR"/>
              </w:rPr>
              <w:t>RAL</w:t>
            </w:r>
            <w:r w:rsidRPr="00C3300B">
              <w:rPr>
                <w:snapToGrid w:val="0"/>
                <w:kern w:val="22"/>
                <w:szCs w:val="22"/>
                <w:lang w:val="fr-FR"/>
              </w:rPr>
              <w:t>E</w:t>
            </w:r>
          </w:p>
          <w:p w:rsidR="00F16F02" w:rsidRPr="00C3300B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sdt>
            <w:sdtPr>
              <w:rPr>
                <w:snapToGrid w:val="0"/>
                <w:kern w:val="22"/>
                <w:szCs w:val="22"/>
                <w:lang w:val="fr-FR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16F02" w:rsidRPr="00C3300B" w:rsidRDefault="00301CD4" w:rsidP="009F4D84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snapToGrid w:val="0"/>
                    <w:kern w:val="22"/>
                    <w:szCs w:val="22"/>
                    <w:lang w:val="fr-FR"/>
                  </w:rPr>
                </w:pPr>
                <w:r w:rsidRPr="00C3300B">
                  <w:rPr>
                    <w:snapToGrid w:val="0"/>
                    <w:kern w:val="22"/>
                    <w:szCs w:val="22"/>
                    <w:lang w:val="fr-FR"/>
                  </w:rPr>
                  <w:t>CBD/SBI/2/6</w:t>
                </w:r>
              </w:p>
            </w:sdtContent>
          </w:sdt>
          <w:p w:rsidR="00F16F02" w:rsidRPr="00C3300B" w:rsidRDefault="00D15589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C3300B">
              <w:rPr>
                <w:snapToGrid w:val="0"/>
                <w:kern w:val="22"/>
                <w:szCs w:val="22"/>
                <w:lang w:val="fr-FR"/>
              </w:rPr>
              <w:t>1</w:t>
            </w:r>
            <w:r w:rsidR="00651B3B" w:rsidRPr="00C3300B">
              <w:rPr>
                <w:snapToGrid w:val="0"/>
                <w:kern w:val="22"/>
                <w:szCs w:val="22"/>
                <w:lang w:val="fr-FR"/>
              </w:rPr>
              <w:t>4</w:t>
            </w:r>
            <w:r w:rsidR="00A01DA3" w:rsidRPr="00C3300B">
              <w:rPr>
                <w:snapToGrid w:val="0"/>
                <w:kern w:val="22"/>
                <w:szCs w:val="22"/>
                <w:lang w:val="fr-FR"/>
              </w:rPr>
              <w:t xml:space="preserve"> mai </w:t>
            </w:r>
            <w:r w:rsidRPr="00C3300B">
              <w:rPr>
                <w:snapToGrid w:val="0"/>
                <w:kern w:val="22"/>
                <w:szCs w:val="22"/>
                <w:lang w:val="fr-FR"/>
              </w:rPr>
              <w:t>2018</w:t>
            </w:r>
          </w:p>
          <w:p w:rsidR="00F16F02" w:rsidRPr="00C3300B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p w:rsidR="00A01DA3" w:rsidRPr="00C3300B" w:rsidRDefault="00A01DA3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p w:rsidR="00A01DA3" w:rsidRDefault="00A01DA3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FRANÇAIS</w:t>
            </w:r>
          </w:p>
          <w:p w:rsidR="00F16F02" w:rsidRPr="009F4D84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u w:val="single"/>
              </w:rPr>
            </w:pPr>
            <w:r w:rsidRPr="0049005C">
              <w:rPr>
                <w:snapToGrid w:val="0"/>
                <w:kern w:val="22"/>
                <w:szCs w:val="22"/>
              </w:rPr>
              <w:t>ORIGINAL</w:t>
            </w:r>
            <w:r w:rsidR="00A01DA3">
              <w:rPr>
                <w:snapToGrid w:val="0"/>
                <w:kern w:val="22"/>
                <w:szCs w:val="22"/>
              </w:rPr>
              <w:t xml:space="preserve"> : A</w:t>
            </w:r>
            <w:r w:rsidRPr="0049005C">
              <w:rPr>
                <w:snapToGrid w:val="0"/>
                <w:kern w:val="22"/>
                <w:szCs w:val="22"/>
              </w:rPr>
              <w:t>NGL</w:t>
            </w:r>
            <w:r w:rsidR="00A01DA3">
              <w:rPr>
                <w:snapToGrid w:val="0"/>
                <w:kern w:val="22"/>
                <w:szCs w:val="22"/>
                <w:lang w:val="fr-FR"/>
              </w:rPr>
              <w:t>A</w:t>
            </w:r>
            <w:r w:rsidRPr="0049005C">
              <w:rPr>
                <w:snapToGrid w:val="0"/>
                <w:kern w:val="22"/>
                <w:szCs w:val="22"/>
              </w:rPr>
              <w:t>IS</w:t>
            </w:r>
          </w:p>
        </w:tc>
      </w:tr>
    </w:tbl>
    <w:bookmarkStart w:id="0" w:name="Meeting"/>
    <w:p w:rsidR="00CA6B87" w:rsidRPr="00A01DA3" w:rsidRDefault="00C327EE" w:rsidP="00721FCC">
      <w:pPr>
        <w:pStyle w:val="meetingname"/>
        <w:ind w:right="4398"/>
        <w:rPr>
          <w:kern w:val="22"/>
          <w:szCs w:val="22"/>
          <w:lang w:val="fr-FR"/>
        </w:rPr>
      </w:pPr>
      <w:sdt>
        <w:sdtPr>
          <w:rPr>
            <w:kern w:val="22"/>
            <w:lang w:val="fr-FR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>
          <w:r w:rsidR="00A01DA3" w:rsidRPr="00A01DA3">
            <w:rPr>
              <w:kern w:val="22"/>
              <w:lang w:val="fr-FR"/>
            </w:rPr>
            <w:t>ORGANE SUBSIDIAIRE CHARGÉ DE L’APPLICATION</w:t>
          </w:r>
        </w:sdtContent>
      </w:sdt>
      <w:bookmarkEnd w:id="0"/>
    </w:p>
    <w:p w:rsidR="00D51069" w:rsidRPr="00A01DA3" w:rsidRDefault="00A01DA3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fr-FR" w:eastAsia="nb-NO"/>
        </w:rPr>
      </w:pPr>
      <w:r w:rsidRPr="00A01DA3">
        <w:rPr>
          <w:snapToGrid w:val="0"/>
          <w:kern w:val="22"/>
          <w:szCs w:val="22"/>
          <w:lang w:val="fr-FR" w:eastAsia="nb-NO"/>
        </w:rPr>
        <w:t>Deuxième réunion</w:t>
      </w:r>
    </w:p>
    <w:p w:rsidR="00CA6B87" w:rsidRPr="00A01DA3" w:rsidRDefault="00A01DA3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fr-FR" w:eastAsia="nb-NO"/>
        </w:rPr>
      </w:pPr>
      <w:r w:rsidRPr="00A01DA3">
        <w:rPr>
          <w:snapToGrid w:val="0"/>
          <w:kern w:val="22"/>
          <w:szCs w:val="22"/>
          <w:lang w:val="fr-FR" w:eastAsia="nb-NO"/>
        </w:rPr>
        <w:t>Montré</w:t>
      </w:r>
      <w:r w:rsidR="00D51069" w:rsidRPr="00A01DA3">
        <w:rPr>
          <w:snapToGrid w:val="0"/>
          <w:kern w:val="22"/>
          <w:szCs w:val="22"/>
          <w:lang w:val="fr-FR" w:eastAsia="nb-NO"/>
        </w:rPr>
        <w:t>al</w:t>
      </w:r>
      <w:r w:rsidR="00CA6B87" w:rsidRPr="00A01DA3">
        <w:rPr>
          <w:snapToGrid w:val="0"/>
          <w:kern w:val="22"/>
          <w:szCs w:val="22"/>
          <w:lang w:val="fr-FR" w:eastAsia="nb-NO"/>
        </w:rPr>
        <w:t xml:space="preserve">, </w:t>
      </w:r>
      <w:r w:rsidR="00D51069" w:rsidRPr="00A01DA3">
        <w:rPr>
          <w:snapToGrid w:val="0"/>
          <w:kern w:val="22"/>
          <w:szCs w:val="22"/>
          <w:lang w:val="fr-FR" w:eastAsia="nb-NO"/>
        </w:rPr>
        <w:t xml:space="preserve">Canada, </w:t>
      </w:r>
      <w:r w:rsidR="002E0627" w:rsidRPr="00A01DA3">
        <w:rPr>
          <w:snapToGrid w:val="0"/>
          <w:kern w:val="22"/>
          <w:szCs w:val="22"/>
          <w:lang w:val="fr-FR" w:eastAsia="nb-NO"/>
        </w:rPr>
        <w:t>9-13</w:t>
      </w:r>
      <w:r w:rsidRPr="00A01DA3">
        <w:rPr>
          <w:snapToGrid w:val="0"/>
          <w:kern w:val="22"/>
          <w:szCs w:val="22"/>
          <w:lang w:val="fr-FR" w:eastAsia="nb-NO"/>
        </w:rPr>
        <w:t xml:space="preserve"> juillet 20</w:t>
      </w:r>
      <w:r w:rsidR="00D15589" w:rsidRPr="00A01DA3">
        <w:rPr>
          <w:snapToGrid w:val="0"/>
          <w:kern w:val="22"/>
          <w:szCs w:val="22"/>
          <w:lang w:val="fr-FR" w:eastAsia="nb-NO"/>
        </w:rPr>
        <w:t>18</w:t>
      </w:r>
    </w:p>
    <w:p w:rsidR="00CA6B87" w:rsidRPr="00A01DA3" w:rsidRDefault="00A01DA3" w:rsidP="00651C5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snapToGrid w:val="0"/>
          <w:kern w:val="22"/>
          <w:szCs w:val="22"/>
          <w:lang w:val="fr-FR" w:eastAsia="nb-NO"/>
        </w:rPr>
      </w:pPr>
      <w:r w:rsidRPr="00A01DA3">
        <w:rPr>
          <w:snapToGrid w:val="0"/>
          <w:kern w:val="22"/>
          <w:szCs w:val="22"/>
          <w:lang w:val="fr-FR" w:eastAsia="nb-NO"/>
        </w:rPr>
        <w:t>Point</w:t>
      </w:r>
      <w:r w:rsidR="00CA6B87" w:rsidRPr="00A01DA3">
        <w:rPr>
          <w:snapToGrid w:val="0"/>
          <w:kern w:val="22"/>
          <w:szCs w:val="22"/>
          <w:lang w:val="fr-FR" w:eastAsia="nb-NO"/>
        </w:rPr>
        <w:t xml:space="preserve"> </w:t>
      </w:r>
      <w:r w:rsidR="00AF5D39" w:rsidRPr="00A01DA3">
        <w:rPr>
          <w:snapToGrid w:val="0"/>
          <w:kern w:val="22"/>
          <w:szCs w:val="22"/>
          <w:lang w:val="fr-FR" w:eastAsia="nb-NO"/>
        </w:rPr>
        <w:t>7</w:t>
      </w:r>
      <w:r w:rsidRPr="00A01DA3">
        <w:rPr>
          <w:snapToGrid w:val="0"/>
          <w:kern w:val="22"/>
          <w:szCs w:val="22"/>
          <w:lang w:val="fr-FR" w:eastAsia="nb-NO"/>
        </w:rPr>
        <w:t xml:space="preserve"> de l’ordre du jour provisoire</w:t>
      </w:r>
      <w:r w:rsidR="00D51069" w:rsidRPr="00A01DA3">
        <w:rPr>
          <w:rStyle w:val="FootnoteReference"/>
          <w:snapToGrid w:val="0"/>
          <w:kern w:val="22"/>
          <w:sz w:val="22"/>
          <w:szCs w:val="22"/>
          <w:u w:val="none"/>
          <w:lang w:val="fr-FR" w:eastAsia="nb-NO"/>
        </w:rPr>
        <w:footnoteReference w:customMarkFollows="1" w:id="1"/>
        <w:t>*</w:t>
      </w:r>
    </w:p>
    <w:p w:rsidR="00406BC6" w:rsidRPr="00A01DA3" w:rsidRDefault="00C327EE" w:rsidP="00651C5D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26"/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</w:pPr>
      <w:sdt>
        <w:sdtPr>
          <w:rPr>
            <w:snapToGrid w:val="0"/>
            <w:kern w:val="22"/>
            <w:szCs w:val="22"/>
            <w:lang w:val="fr-FR" w:eastAsia="nb-NO"/>
          </w:rPr>
          <w:alias w:val="Title"/>
          <w:tag w:val=""/>
          <w:id w:val="1706287378"/>
          <w:placeholder>
            <w:docPart w:val="9055457EAF9D477A93FD183372AAB2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51C5D" w:rsidRPr="00651C5D">
            <w:rPr>
              <w:snapToGrid w:val="0"/>
              <w:kern w:val="22"/>
              <w:szCs w:val="22"/>
              <w:lang w:val="fr-FR" w:eastAsia="nb-NO"/>
            </w:rPr>
            <w:t>Instruments internationaux spÉciaux</w:t>
          </w:r>
          <w:r w:rsidR="00651C5D">
            <w:rPr>
              <w:snapToGrid w:val="0"/>
              <w:kern w:val="22"/>
              <w:szCs w:val="22"/>
              <w:lang w:val="fr-FR" w:eastAsia="nb-NO"/>
            </w:rPr>
            <w:t xml:space="preserve"> sur l’acc</w:t>
          </w:r>
          <w:r w:rsidR="00651C5D" w:rsidRPr="00651C5D">
            <w:rPr>
              <w:snapToGrid w:val="0"/>
              <w:kern w:val="22"/>
              <w:szCs w:val="22"/>
              <w:lang w:val="fr-FR" w:eastAsia="nb-NO"/>
            </w:rPr>
            <w:t>Ès et le partage des avantages dans le contexte du Paragraphe 4 de l’article 4 du Protocole de Nagoya</w:t>
          </w:r>
        </w:sdtContent>
      </w:sdt>
    </w:p>
    <w:p w:rsidR="00A01DA3" w:rsidRPr="00651C5D" w:rsidRDefault="00A01DA3" w:rsidP="009F4D84">
      <w:pPr>
        <w:pStyle w:val="Heading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 w:val="16"/>
          <w:szCs w:val="16"/>
          <w:lang w:val="fr-FR"/>
        </w:rPr>
      </w:pPr>
    </w:p>
    <w:p w:rsidR="00C85EA4" w:rsidRPr="00A01DA3" w:rsidRDefault="00A01DA3" w:rsidP="00427C52">
      <w:pPr>
        <w:pStyle w:val="Heading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b w:val="0"/>
          <w:i/>
          <w:snapToGrid w:val="0"/>
          <w:kern w:val="22"/>
          <w:szCs w:val="22"/>
          <w:lang w:val="fr-FR"/>
        </w:rPr>
      </w:pPr>
      <w:r w:rsidRPr="00A01DA3">
        <w:rPr>
          <w:b w:val="0"/>
          <w:i/>
          <w:snapToGrid w:val="0"/>
          <w:kern w:val="22"/>
          <w:szCs w:val="22"/>
          <w:lang w:val="fr-FR"/>
        </w:rPr>
        <w:t>Note de la</w:t>
      </w:r>
      <w:r w:rsidR="00C85EA4" w:rsidRPr="00A01DA3">
        <w:rPr>
          <w:b w:val="0"/>
          <w:i/>
          <w:snapToGrid w:val="0"/>
          <w:kern w:val="22"/>
          <w:szCs w:val="22"/>
          <w:lang w:val="fr-FR"/>
        </w:rPr>
        <w:t xml:space="preserve"> </w:t>
      </w:r>
      <w:r w:rsidRPr="00A01DA3">
        <w:rPr>
          <w:b w:val="0"/>
          <w:i/>
          <w:snapToGrid w:val="0"/>
          <w:kern w:val="22"/>
          <w:szCs w:val="22"/>
          <w:lang w:val="fr-FR"/>
        </w:rPr>
        <w:t>Secrétaire exécutive</w:t>
      </w:r>
    </w:p>
    <w:p w:rsidR="001F2EA9" w:rsidRPr="00C3300B" w:rsidRDefault="001F2EA9" w:rsidP="00651C5D">
      <w:pPr>
        <w:spacing w:after="240"/>
        <w:jc w:val="center"/>
        <w:rPr>
          <w:rFonts w:ascii="Times New Roman Bold" w:hAnsi="Times New Roman Bold" w:cs="Times New Roman Bold"/>
          <w:b/>
          <w:bCs/>
          <w:caps/>
          <w:lang w:val="fr-FR"/>
        </w:rPr>
      </w:pPr>
      <w:r w:rsidRPr="00C3300B">
        <w:rPr>
          <w:rFonts w:ascii="Times New Roman Bold" w:hAnsi="Times New Roman Bold" w:cs="Times New Roman Bold"/>
          <w:b/>
          <w:bCs/>
          <w:caps/>
          <w:lang w:val="fr-FR"/>
        </w:rPr>
        <w:t>Introduction</w:t>
      </w:r>
    </w:p>
    <w:p w:rsidR="00297FD8" w:rsidRPr="0045647A" w:rsidRDefault="00A01DA3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A01DA3">
        <w:rPr>
          <w:kern w:val="22"/>
          <w:szCs w:val="22"/>
          <w:lang w:val="fr-FR"/>
        </w:rPr>
        <w:t>A sa</w:t>
      </w:r>
      <w:r w:rsidR="00297FD8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deuxième réunion, la Conférence des Parties siégeant en tant que</w:t>
      </w:r>
      <w:r w:rsidR="00297FD8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 xml:space="preserve">réunion des </w:t>
      </w:r>
      <w:r w:rsidR="00297FD8" w:rsidRPr="00A01DA3">
        <w:rPr>
          <w:kern w:val="22"/>
          <w:szCs w:val="22"/>
          <w:lang w:val="fr-FR"/>
        </w:rPr>
        <w:t xml:space="preserve">Parties </w:t>
      </w:r>
      <w:r w:rsidRPr="00A01DA3">
        <w:rPr>
          <w:kern w:val="22"/>
          <w:szCs w:val="22"/>
          <w:lang w:val="fr-FR"/>
        </w:rPr>
        <w:t>au Protocole de Nagoya</w:t>
      </w:r>
      <w:r w:rsidR="00297FD8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a demandé à la</w:t>
      </w:r>
      <w:r w:rsidR="00082C5E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Secrétaire exécutive</w:t>
      </w:r>
      <w:r w:rsidR="00082C5E" w:rsidRPr="00A01DA3">
        <w:rPr>
          <w:kern w:val="22"/>
          <w:szCs w:val="22"/>
          <w:lang w:val="fr-FR"/>
        </w:rPr>
        <w:t xml:space="preserve">, </w:t>
      </w:r>
      <w:r w:rsidRPr="00A01DA3">
        <w:rPr>
          <w:kern w:val="22"/>
          <w:szCs w:val="22"/>
          <w:lang w:val="fr-FR"/>
        </w:rPr>
        <w:t>dans le contexte du paragraphe 4 de l’</w:t>
      </w:r>
      <w:hyperlink r:id="rId11" w:history="1">
        <w:r w:rsidRPr="00A01DA3">
          <w:rPr>
            <w:rStyle w:val="Hyperlink"/>
            <w:kern w:val="22"/>
            <w:szCs w:val="22"/>
            <w:lang w:val="fr-FR"/>
          </w:rPr>
          <w:t>a</w:t>
        </w:r>
        <w:r w:rsidR="00082C5E" w:rsidRPr="00A01DA3">
          <w:rPr>
            <w:rStyle w:val="Hyperlink"/>
            <w:kern w:val="22"/>
            <w:szCs w:val="22"/>
            <w:lang w:val="fr-FR"/>
          </w:rPr>
          <w:t>rticle 4</w:t>
        </w:r>
      </w:hyperlink>
      <w:r w:rsidRPr="00A01DA3">
        <w:rPr>
          <w:kern w:val="22"/>
          <w:szCs w:val="22"/>
          <w:lang w:val="fr-FR"/>
        </w:rPr>
        <w:t xml:space="preserve"> du</w:t>
      </w:r>
      <w:r w:rsidR="00082C5E" w:rsidRPr="00A01DA3">
        <w:rPr>
          <w:kern w:val="22"/>
          <w:szCs w:val="22"/>
          <w:lang w:val="fr-FR"/>
        </w:rPr>
        <w:t xml:space="preserve"> Protocol</w:t>
      </w:r>
      <w:r w:rsidRPr="00A01DA3">
        <w:rPr>
          <w:kern w:val="22"/>
          <w:szCs w:val="22"/>
          <w:lang w:val="fr-FR"/>
        </w:rPr>
        <w:t>e</w:t>
      </w:r>
      <w:r>
        <w:rPr>
          <w:kern w:val="22"/>
          <w:szCs w:val="22"/>
          <w:lang w:val="fr-FR"/>
        </w:rPr>
        <w:t>, de réaliser une</w:t>
      </w:r>
      <w:r w:rsidR="00082C5E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étude</w:t>
      </w:r>
      <w:r>
        <w:rPr>
          <w:kern w:val="22"/>
          <w:szCs w:val="22"/>
          <w:lang w:val="fr-FR"/>
        </w:rPr>
        <w:t xml:space="preserve"> sur</w:t>
      </w:r>
      <w:r w:rsidR="00082C5E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les critères</w:t>
      </w:r>
      <w:r w:rsidR="00082C5E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qui pourraient être utilisés</w:t>
      </w:r>
      <w:r>
        <w:rPr>
          <w:kern w:val="22"/>
          <w:szCs w:val="22"/>
          <w:lang w:val="fr-FR"/>
        </w:rPr>
        <w:t xml:space="preserve"> pour</w:t>
      </w:r>
      <w:r w:rsidR="00082C5E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identifier</w:t>
      </w:r>
      <w:r w:rsidR="00082C5E" w:rsidRPr="00A01DA3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ce qui constitue</w:t>
      </w:r>
      <w:r w:rsidR="0045647A">
        <w:rPr>
          <w:kern w:val="22"/>
          <w:szCs w:val="22"/>
          <w:lang w:val="fr-FR"/>
        </w:rPr>
        <w:t xml:space="preserve"> un</w:t>
      </w:r>
      <w:r w:rsidR="00082C5E" w:rsidRPr="00A01DA3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instrument international </w:t>
      </w:r>
      <w:r w:rsidR="0026155E">
        <w:rPr>
          <w:kern w:val="22"/>
          <w:szCs w:val="22"/>
          <w:lang w:val="fr-FR"/>
        </w:rPr>
        <w:t>spécial</w:t>
      </w:r>
      <w:r>
        <w:rPr>
          <w:kern w:val="22"/>
          <w:szCs w:val="22"/>
          <w:lang w:val="fr-FR"/>
        </w:rPr>
        <w:t xml:space="preserve"> sur l’accès et le partage des avantages</w:t>
      </w:r>
      <w:bookmarkStart w:id="1" w:name="_GoBack"/>
      <w:bookmarkEnd w:id="1"/>
      <w:r w:rsidR="00082C5E" w:rsidRPr="00A01DA3">
        <w:rPr>
          <w:kern w:val="22"/>
          <w:szCs w:val="22"/>
          <w:lang w:val="fr-FR"/>
        </w:rPr>
        <w:t xml:space="preserve">, </w:t>
      </w:r>
      <w:r w:rsidR="00651C5D">
        <w:rPr>
          <w:kern w:val="22"/>
          <w:szCs w:val="22"/>
          <w:lang w:val="fr-FR"/>
        </w:rPr>
        <w:t>et ce que pourrait être un</w:t>
      </w:r>
      <w:r w:rsidR="0045647A">
        <w:rPr>
          <w:kern w:val="22"/>
          <w:szCs w:val="22"/>
          <w:lang w:val="fr-FR"/>
        </w:rPr>
        <w:t xml:space="preserve"> </w:t>
      </w:r>
      <w:r w:rsidR="00651C5D">
        <w:rPr>
          <w:kern w:val="22"/>
          <w:szCs w:val="22"/>
          <w:lang w:val="fr-FR"/>
        </w:rPr>
        <w:t>processus éventuel pour</w:t>
      </w:r>
      <w:r w:rsidR="0045647A">
        <w:rPr>
          <w:kern w:val="22"/>
          <w:szCs w:val="22"/>
          <w:lang w:val="fr-FR"/>
        </w:rPr>
        <w:t xml:space="preserve"> reconnaître un tel </w:t>
      </w:r>
      <w:r w:rsidR="00082C5E" w:rsidRPr="00A01DA3">
        <w:rPr>
          <w:kern w:val="22"/>
          <w:szCs w:val="22"/>
          <w:lang w:val="fr-FR"/>
        </w:rPr>
        <w:t xml:space="preserve">instrument, </w:t>
      </w:r>
      <w:r w:rsidR="0045647A">
        <w:rPr>
          <w:kern w:val="22"/>
          <w:szCs w:val="22"/>
          <w:lang w:val="fr-FR"/>
        </w:rPr>
        <w:t>et de remettre cette</w:t>
      </w:r>
      <w:r w:rsidR="00082C5E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étude</w:t>
      </w:r>
      <w:r w:rsidR="00651C5D">
        <w:rPr>
          <w:kern w:val="22"/>
          <w:szCs w:val="22"/>
          <w:lang w:val="fr-FR"/>
        </w:rPr>
        <w:t xml:space="preserve"> </w:t>
      </w:r>
      <w:r w:rsidR="00671C01">
        <w:rPr>
          <w:kern w:val="22"/>
          <w:szCs w:val="22"/>
          <w:lang w:val="fr-FR"/>
        </w:rPr>
        <w:t xml:space="preserve">à </w:t>
      </w:r>
      <w:r w:rsidR="0045647A">
        <w:rPr>
          <w:kern w:val="22"/>
          <w:szCs w:val="22"/>
          <w:lang w:val="fr-FR"/>
        </w:rPr>
        <w:t>l’</w:t>
      </w:r>
      <w:r w:rsidRPr="00A01DA3">
        <w:rPr>
          <w:kern w:val="22"/>
          <w:szCs w:val="22"/>
          <w:lang w:val="fr-FR"/>
        </w:rPr>
        <w:t>Organe subsidiaire chargé de l’application</w:t>
      </w:r>
      <w:r w:rsidR="00671C01">
        <w:rPr>
          <w:kern w:val="22"/>
          <w:szCs w:val="22"/>
          <w:lang w:val="fr-FR"/>
        </w:rPr>
        <w:t xml:space="preserve"> pour un examen plus approfondi, avant un</w:t>
      </w:r>
      <w:r w:rsidR="0045647A">
        <w:rPr>
          <w:kern w:val="22"/>
          <w:szCs w:val="22"/>
          <w:lang w:val="fr-FR"/>
        </w:rPr>
        <w:t xml:space="preserve"> examen par l</w:t>
      </w:r>
      <w:r w:rsidRPr="00A01DA3">
        <w:rPr>
          <w:kern w:val="22"/>
          <w:szCs w:val="22"/>
          <w:lang w:val="fr-FR"/>
        </w:rPr>
        <w:t>a Conférence des Parties siégeant en tant que</w:t>
      </w:r>
      <w:r w:rsidR="00082C5E" w:rsidRPr="00A01DA3">
        <w:rPr>
          <w:kern w:val="22"/>
          <w:szCs w:val="22"/>
          <w:lang w:val="fr-FR"/>
        </w:rPr>
        <w:t xml:space="preserve"> </w:t>
      </w:r>
      <w:r w:rsidRPr="00A01DA3">
        <w:rPr>
          <w:kern w:val="22"/>
          <w:szCs w:val="22"/>
          <w:lang w:val="fr-FR"/>
        </w:rPr>
        <w:t>réunion</w:t>
      </w:r>
      <w:r w:rsidR="00082C5E" w:rsidRPr="00A01DA3">
        <w:rPr>
          <w:kern w:val="22"/>
          <w:szCs w:val="22"/>
          <w:lang w:val="fr-FR"/>
        </w:rPr>
        <w:t xml:space="preserve"> </w:t>
      </w:r>
      <w:r w:rsidR="0045647A">
        <w:rPr>
          <w:kern w:val="22"/>
          <w:szCs w:val="22"/>
          <w:lang w:val="fr-FR"/>
        </w:rPr>
        <w:t>des Par</w:t>
      </w:r>
      <w:r w:rsidR="00082C5E" w:rsidRPr="00A01DA3">
        <w:rPr>
          <w:kern w:val="22"/>
          <w:szCs w:val="22"/>
          <w:lang w:val="fr-FR"/>
        </w:rPr>
        <w:t xml:space="preserve">ties </w:t>
      </w:r>
      <w:r w:rsidR="0045647A">
        <w:rPr>
          <w:kern w:val="22"/>
          <w:szCs w:val="22"/>
          <w:lang w:val="fr-FR"/>
        </w:rPr>
        <w:t>à sa</w:t>
      </w:r>
      <w:r w:rsidR="00082C5E" w:rsidRPr="00A01DA3">
        <w:rPr>
          <w:kern w:val="22"/>
          <w:szCs w:val="22"/>
          <w:lang w:val="fr-FR"/>
        </w:rPr>
        <w:t xml:space="preserve"> </w:t>
      </w:r>
      <w:r w:rsidR="0045647A">
        <w:rPr>
          <w:kern w:val="22"/>
          <w:szCs w:val="22"/>
          <w:lang w:val="fr-FR"/>
        </w:rPr>
        <w:t xml:space="preserve">troisième </w:t>
      </w:r>
      <w:r w:rsidRPr="00A01DA3">
        <w:rPr>
          <w:kern w:val="22"/>
          <w:szCs w:val="22"/>
          <w:lang w:val="fr-FR"/>
        </w:rPr>
        <w:t>réunion</w:t>
      </w:r>
      <w:r w:rsidR="00AF1E58" w:rsidRPr="00A01DA3">
        <w:rPr>
          <w:kern w:val="22"/>
          <w:szCs w:val="22"/>
          <w:lang w:val="fr-FR"/>
        </w:rPr>
        <w:t xml:space="preserve"> (</w:t>
      </w:r>
      <w:r w:rsidR="0045647A">
        <w:rPr>
          <w:kern w:val="22"/>
          <w:szCs w:val="22"/>
          <w:lang w:val="fr-FR"/>
        </w:rPr>
        <w:t>paragraphe 3 de la décision NP-2/5</w:t>
      </w:r>
      <w:r w:rsidR="00AF1E58" w:rsidRPr="0045647A">
        <w:rPr>
          <w:kern w:val="22"/>
          <w:szCs w:val="22"/>
          <w:lang w:val="fr-FR"/>
        </w:rPr>
        <w:t>)</w:t>
      </w:r>
      <w:r w:rsidR="00082C5E" w:rsidRPr="0045647A">
        <w:rPr>
          <w:kern w:val="22"/>
          <w:szCs w:val="22"/>
          <w:lang w:val="fr-FR"/>
        </w:rPr>
        <w:t>.</w:t>
      </w:r>
    </w:p>
    <w:p w:rsidR="00082C5E" w:rsidRPr="0045647A" w:rsidRDefault="00671C01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Pour donner suite à cette demande</w:t>
      </w:r>
      <w:r w:rsidR="0045647A" w:rsidRPr="0045647A">
        <w:rPr>
          <w:kern w:val="22"/>
          <w:szCs w:val="22"/>
          <w:lang w:val="fr-FR"/>
        </w:rPr>
        <w:t>, et grâce à l’appui financier de l’Union européenne</w:t>
      </w:r>
      <w:r w:rsidR="0045647A">
        <w:rPr>
          <w:kern w:val="22"/>
          <w:szCs w:val="22"/>
          <w:lang w:val="fr-FR"/>
        </w:rPr>
        <w:t>, la</w:t>
      </w:r>
      <w:r w:rsidR="00082C5E" w:rsidRPr="0045647A">
        <w:rPr>
          <w:kern w:val="22"/>
          <w:szCs w:val="22"/>
          <w:lang w:val="fr-FR"/>
        </w:rPr>
        <w:t xml:space="preserve"> </w:t>
      </w:r>
      <w:r w:rsidR="00A01DA3" w:rsidRPr="0045647A">
        <w:rPr>
          <w:kern w:val="22"/>
          <w:szCs w:val="22"/>
          <w:lang w:val="fr-FR"/>
        </w:rPr>
        <w:t>Secrétaire exécutive</w:t>
      </w:r>
      <w:r w:rsidR="0045647A">
        <w:rPr>
          <w:kern w:val="22"/>
          <w:szCs w:val="22"/>
          <w:lang w:val="fr-FR"/>
        </w:rPr>
        <w:t xml:space="preserve"> a recruté une équipe de </w:t>
      </w:r>
      <w:r w:rsidR="005A7CB3">
        <w:rPr>
          <w:kern w:val="22"/>
          <w:szCs w:val="22"/>
          <w:lang w:val="fr-FR"/>
        </w:rPr>
        <w:t>chercheurs du Centre de droit de</w:t>
      </w:r>
      <w:r w:rsidR="0045647A">
        <w:rPr>
          <w:kern w:val="22"/>
          <w:szCs w:val="22"/>
          <w:lang w:val="fr-FR"/>
        </w:rPr>
        <w:t xml:space="preserve"> l’environnement et de gouvernance environnementale de l’Université de</w:t>
      </w:r>
      <w:r w:rsidR="00082C5E" w:rsidRPr="0045647A">
        <w:rPr>
          <w:kern w:val="22"/>
          <w:szCs w:val="22"/>
          <w:lang w:val="fr-FR"/>
        </w:rPr>
        <w:t xml:space="preserve"> Strathclyde</w:t>
      </w:r>
      <w:r>
        <w:rPr>
          <w:kern w:val="22"/>
          <w:szCs w:val="22"/>
          <w:lang w:val="fr-FR"/>
        </w:rPr>
        <w:t>, chargés de</w:t>
      </w:r>
      <w:r w:rsidR="0045647A">
        <w:rPr>
          <w:kern w:val="22"/>
          <w:szCs w:val="22"/>
          <w:lang w:val="fr-FR"/>
        </w:rPr>
        <w:t xml:space="preserve"> mener à bien cette </w:t>
      </w:r>
      <w:r w:rsidR="00A01DA3" w:rsidRPr="0045647A">
        <w:rPr>
          <w:kern w:val="22"/>
          <w:szCs w:val="22"/>
          <w:lang w:val="fr-FR"/>
        </w:rPr>
        <w:t>étude</w:t>
      </w:r>
      <w:r w:rsidR="00082C5E" w:rsidRPr="0045647A">
        <w:rPr>
          <w:kern w:val="22"/>
          <w:szCs w:val="22"/>
          <w:lang w:val="fr-FR"/>
        </w:rPr>
        <w:t>.</w:t>
      </w:r>
    </w:p>
    <w:p w:rsidR="008D5BFE" w:rsidRPr="00623402" w:rsidRDefault="0045647A" w:rsidP="00427C5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szCs w:val="22"/>
          <w:lang w:val="fr-FR"/>
        </w:rPr>
      </w:pPr>
      <w:r w:rsidRPr="0045647A">
        <w:rPr>
          <w:kern w:val="22"/>
          <w:szCs w:val="22"/>
          <w:lang w:val="fr-FR"/>
        </w:rPr>
        <w:t xml:space="preserve">La </w:t>
      </w:r>
      <w:r>
        <w:rPr>
          <w:kern w:val="22"/>
          <w:szCs w:val="22"/>
          <w:lang w:val="fr-FR"/>
        </w:rPr>
        <w:t>p</w:t>
      </w:r>
      <w:r w:rsidRPr="0045647A">
        <w:rPr>
          <w:kern w:val="22"/>
          <w:szCs w:val="22"/>
          <w:lang w:val="fr-FR"/>
        </w:rPr>
        <w:t>artie I du</w:t>
      </w:r>
      <w:r w:rsidR="008D5BFE" w:rsidRPr="0045647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pré</w:t>
      </w:r>
      <w:r w:rsidR="004A4C07" w:rsidRPr="0045647A">
        <w:rPr>
          <w:kern w:val="22"/>
          <w:szCs w:val="22"/>
          <w:lang w:val="fr-FR"/>
        </w:rPr>
        <w:t xml:space="preserve">sent </w:t>
      </w:r>
      <w:r w:rsidR="008D5BFE" w:rsidRPr="0045647A">
        <w:rPr>
          <w:kern w:val="22"/>
          <w:szCs w:val="22"/>
          <w:lang w:val="fr-FR"/>
        </w:rPr>
        <w:t xml:space="preserve">document </w:t>
      </w:r>
      <w:r w:rsidR="00671C01">
        <w:rPr>
          <w:kern w:val="22"/>
          <w:szCs w:val="22"/>
          <w:lang w:val="fr-FR"/>
        </w:rPr>
        <w:t>fournit un aperçu</w:t>
      </w:r>
      <w:r>
        <w:rPr>
          <w:kern w:val="22"/>
          <w:szCs w:val="22"/>
          <w:lang w:val="fr-FR"/>
        </w:rPr>
        <w:t xml:space="preserve"> de l’</w:t>
      </w:r>
      <w:r w:rsidR="00A01DA3" w:rsidRPr="0045647A">
        <w:rPr>
          <w:kern w:val="22"/>
          <w:szCs w:val="22"/>
          <w:lang w:val="fr-FR"/>
        </w:rPr>
        <w:t>étude</w:t>
      </w:r>
      <w:r w:rsidR="00023AE4" w:rsidRPr="0045647A">
        <w:rPr>
          <w:kern w:val="22"/>
          <w:szCs w:val="22"/>
          <w:lang w:val="fr-FR"/>
        </w:rPr>
        <w:t>,</w:t>
      </w:r>
      <w:r w:rsidR="00671C01">
        <w:rPr>
          <w:kern w:val="22"/>
          <w:szCs w:val="22"/>
          <w:lang w:val="fr-FR"/>
        </w:rPr>
        <w:t xml:space="preserve"> tandis que</w:t>
      </w:r>
      <w:r>
        <w:rPr>
          <w:kern w:val="22"/>
          <w:szCs w:val="22"/>
          <w:lang w:val="fr-FR"/>
        </w:rPr>
        <w:t xml:space="preserve"> la</w:t>
      </w:r>
      <w:r w:rsidR="008D5BFE" w:rsidRPr="0045647A">
        <w:rPr>
          <w:kern w:val="22"/>
          <w:szCs w:val="22"/>
          <w:lang w:val="fr-FR"/>
        </w:rPr>
        <w:t xml:space="preserve"> </w:t>
      </w:r>
      <w:r w:rsidRPr="0045647A">
        <w:rPr>
          <w:kern w:val="22"/>
          <w:szCs w:val="22"/>
          <w:lang w:val="fr-FR"/>
        </w:rPr>
        <w:t>partie</w:t>
      </w:r>
      <w:r w:rsidR="00671C01">
        <w:rPr>
          <w:kern w:val="22"/>
          <w:szCs w:val="22"/>
          <w:lang w:val="fr-FR"/>
        </w:rPr>
        <w:t xml:space="preserve"> II contient</w:t>
      </w:r>
      <w:r>
        <w:rPr>
          <w:kern w:val="22"/>
          <w:szCs w:val="22"/>
          <w:lang w:val="fr-FR"/>
        </w:rPr>
        <w:t xml:space="preserve"> des</w:t>
      </w:r>
      <w:r w:rsidR="008D5BFE" w:rsidRPr="0045647A">
        <w:rPr>
          <w:kern w:val="22"/>
          <w:szCs w:val="22"/>
          <w:lang w:val="fr-FR"/>
        </w:rPr>
        <w:t xml:space="preserve"> </w:t>
      </w:r>
      <w:r w:rsidR="00671C01">
        <w:rPr>
          <w:kern w:val="22"/>
          <w:szCs w:val="22"/>
          <w:lang w:val="fr-FR"/>
        </w:rPr>
        <w:t xml:space="preserve">suggestions d’éléments </w:t>
      </w:r>
      <w:r w:rsidR="00623402">
        <w:rPr>
          <w:kern w:val="22"/>
          <w:szCs w:val="22"/>
          <w:lang w:val="fr-FR"/>
        </w:rPr>
        <w:t>pour un</w:t>
      </w:r>
      <w:r w:rsidR="009C5FB7" w:rsidRPr="0045647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projet de recommandation</w:t>
      </w:r>
      <w:r w:rsidR="009C5FB7" w:rsidRPr="0045647A">
        <w:rPr>
          <w:kern w:val="22"/>
          <w:szCs w:val="22"/>
          <w:lang w:val="fr-FR"/>
        </w:rPr>
        <w:t xml:space="preserve">. </w:t>
      </w:r>
      <w:r w:rsidR="00671C01">
        <w:rPr>
          <w:kern w:val="22"/>
          <w:szCs w:val="22"/>
          <w:lang w:val="fr-FR"/>
        </w:rPr>
        <w:t>Le texte intégral de l’</w:t>
      </w:r>
      <w:r w:rsidR="00A01DA3" w:rsidRPr="00623402">
        <w:rPr>
          <w:kern w:val="22"/>
          <w:szCs w:val="22"/>
          <w:lang w:val="fr-FR"/>
        </w:rPr>
        <w:t>étude</w:t>
      </w:r>
      <w:r w:rsidR="00623402" w:rsidRPr="00623402">
        <w:rPr>
          <w:kern w:val="22"/>
          <w:szCs w:val="22"/>
          <w:lang w:val="fr-FR"/>
        </w:rPr>
        <w:t xml:space="preserve"> </w:t>
      </w:r>
      <w:r w:rsidR="00671C01">
        <w:rPr>
          <w:kern w:val="22"/>
          <w:szCs w:val="22"/>
          <w:lang w:val="fr-FR"/>
        </w:rPr>
        <w:t>figure</w:t>
      </w:r>
      <w:r w:rsidR="00623402" w:rsidRPr="00623402">
        <w:rPr>
          <w:kern w:val="22"/>
          <w:szCs w:val="22"/>
          <w:lang w:val="fr-FR"/>
        </w:rPr>
        <w:t xml:space="preserve"> dans un</w:t>
      </w:r>
      <w:r w:rsidR="00C2564D" w:rsidRPr="00623402">
        <w:rPr>
          <w:kern w:val="22"/>
          <w:szCs w:val="22"/>
          <w:lang w:val="fr-FR"/>
        </w:rPr>
        <w:t xml:space="preserve"> </w:t>
      </w:r>
      <w:r w:rsidR="00623402">
        <w:rPr>
          <w:kern w:val="22"/>
          <w:szCs w:val="22"/>
          <w:lang w:val="fr-FR"/>
        </w:rPr>
        <w:t>document d’information</w:t>
      </w:r>
      <w:r w:rsidR="002C56EB" w:rsidRPr="00623402">
        <w:rPr>
          <w:kern w:val="22"/>
          <w:szCs w:val="22"/>
          <w:lang w:val="fr-FR"/>
        </w:rPr>
        <w:t xml:space="preserve"> (</w:t>
      </w:r>
      <w:hyperlink r:id="rId12" w:history="1">
        <w:r w:rsidR="002C56EB" w:rsidRPr="00623402">
          <w:rPr>
            <w:rStyle w:val="Hyperlink"/>
            <w:kern w:val="22"/>
            <w:szCs w:val="22"/>
            <w:lang w:val="fr-FR"/>
          </w:rPr>
          <w:t>CBD/SBI/2/INF/</w:t>
        </w:r>
        <w:r w:rsidR="00301ED8" w:rsidRPr="00623402">
          <w:rPr>
            <w:rStyle w:val="Hyperlink"/>
            <w:kern w:val="22"/>
            <w:szCs w:val="22"/>
            <w:lang w:val="fr-FR"/>
          </w:rPr>
          <w:t>17</w:t>
        </w:r>
      </w:hyperlink>
      <w:r w:rsidR="002C56EB" w:rsidRPr="00623402">
        <w:rPr>
          <w:kern w:val="22"/>
          <w:szCs w:val="22"/>
          <w:lang w:val="fr-FR"/>
        </w:rPr>
        <w:t>)</w:t>
      </w:r>
      <w:r w:rsidR="009C5FB7" w:rsidRPr="00623402">
        <w:rPr>
          <w:kern w:val="22"/>
          <w:szCs w:val="22"/>
          <w:lang w:val="fr-FR"/>
        </w:rPr>
        <w:t>.</w:t>
      </w:r>
    </w:p>
    <w:p w:rsidR="00AF5D39" w:rsidRPr="00623402" w:rsidRDefault="00623402" w:rsidP="00671C01">
      <w:pPr>
        <w:pStyle w:val="Heading1"/>
        <w:numPr>
          <w:ilvl w:val="0"/>
          <w:numId w:val="3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418" w:hanging="567"/>
        <w:jc w:val="left"/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</w:pP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grandes lignes de l’</w:t>
      </w:r>
      <w:r w:rsidR="00671C0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É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tude</w:t>
      </w:r>
      <w:r w:rsidR="00671C0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sur les critÈ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res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permettant d’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identifier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un</w:t>
      </w:r>
      <w:r w:rsidR="00AF5D39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instrument international </w:t>
      </w:r>
      <w:r w:rsidR="00671C0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spÉ</w:t>
      </w:r>
      <w:r w:rsidR="0026155E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cial</w:t>
      </w:r>
      <w:r w:rsidR="00671C0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sur l’accÈ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s et le partage des avantages</w:t>
      </w:r>
      <w:r w:rsidR="000F4C96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</w:t>
      </w:r>
      <w:r w:rsidR="003F6B97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et </w:t>
      </w:r>
      <w:r w:rsidR="00671C0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un processus Éventuel pour reconnaÎ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tre un tel </w:t>
      </w:r>
      <w:r w:rsidR="000F4C96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instrument</w:t>
      </w:r>
    </w:p>
    <w:p w:rsidR="00F957CA" w:rsidRPr="00623402" w:rsidRDefault="00671C01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 but de</w:t>
      </w:r>
      <w:r w:rsidR="00623402">
        <w:rPr>
          <w:kern w:val="22"/>
          <w:szCs w:val="22"/>
          <w:lang w:val="fr-FR"/>
        </w:rPr>
        <w:t xml:space="preserve"> l’</w:t>
      </w:r>
      <w:r w:rsidR="00A01DA3" w:rsidRPr="00623402">
        <w:rPr>
          <w:kern w:val="22"/>
          <w:szCs w:val="22"/>
          <w:lang w:val="fr-FR"/>
        </w:rPr>
        <w:t>étude</w:t>
      </w:r>
      <w:r w:rsidR="00F957CA" w:rsidRPr="00623402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était</w:t>
      </w:r>
      <w:r w:rsidR="00623402">
        <w:rPr>
          <w:kern w:val="22"/>
          <w:szCs w:val="22"/>
          <w:lang w:val="fr-FR"/>
        </w:rPr>
        <w:t xml:space="preserve"> d’étudier l</w:t>
      </w:r>
      <w:r w:rsidR="00A01DA3" w:rsidRPr="00623402">
        <w:rPr>
          <w:kern w:val="22"/>
          <w:szCs w:val="22"/>
          <w:lang w:val="fr-FR"/>
        </w:rPr>
        <w:t>es critères</w:t>
      </w:r>
      <w:r w:rsidR="00F957CA"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>qui pourraient être utilisés</w:t>
      </w:r>
      <w:r w:rsidR="00623402">
        <w:rPr>
          <w:kern w:val="22"/>
          <w:szCs w:val="22"/>
          <w:lang w:val="fr-FR"/>
        </w:rPr>
        <w:t xml:space="preserve"> pour</w:t>
      </w:r>
      <w:r w:rsidR="00F957CA"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>identifier</w:t>
      </w:r>
      <w:r w:rsidR="00623402">
        <w:rPr>
          <w:kern w:val="22"/>
          <w:szCs w:val="22"/>
          <w:lang w:val="fr-FR"/>
        </w:rPr>
        <w:t xml:space="preserve"> ce qui constitue un instrument </w:t>
      </w:r>
      <w:r w:rsidR="00F957CA" w:rsidRPr="00623402">
        <w:rPr>
          <w:kern w:val="22"/>
          <w:szCs w:val="22"/>
          <w:lang w:val="fr-FR"/>
        </w:rPr>
        <w:t xml:space="preserve">international </w:t>
      </w:r>
      <w:r w:rsidR="0026155E">
        <w:rPr>
          <w:kern w:val="22"/>
          <w:szCs w:val="22"/>
          <w:lang w:val="fr-FR"/>
        </w:rPr>
        <w:t>spécial</w:t>
      </w:r>
      <w:r w:rsidR="00623402">
        <w:rPr>
          <w:kern w:val="22"/>
          <w:szCs w:val="22"/>
          <w:lang w:val="fr-FR"/>
        </w:rPr>
        <w:t xml:space="preserve"> sur </w:t>
      </w:r>
      <w:r w:rsidR="00A01DA3" w:rsidRPr="00623402">
        <w:rPr>
          <w:kern w:val="22"/>
          <w:szCs w:val="22"/>
          <w:lang w:val="fr-FR"/>
        </w:rPr>
        <w:t>l’accès et le partage des avantages</w:t>
      </w:r>
      <w:r w:rsidR="00F957CA" w:rsidRPr="00623402">
        <w:rPr>
          <w:kern w:val="22"/>
          <w:szCs w:val="22"/>
          <w:lang w:val="fr-FR"/>
        </w:rPr>
        <w:t xml:space="preserve"> </w:t>
      </w:r>
      <w:r w:rsidR="00623402">
        <w:rPr>
          <w:kern w:val="22"/>
          <w:szCs w:val="22"/>
          <w:lang w:val="fr-FR"/>
        </w:rPr>
        <w:t>dans le contexte du paragraphe 4 de l’article 4 du</w:t>
      </w:r>
      <w:r w:rsidR="00F957CA"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>Protocole de Nagoya</w:t>
      </w:r>
      <w:r w:rsidR="00F957CA" w:rsidRPr="00623402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et ce que pourrait être </w:t>
      </w:r>
      <w:r w:rsidR="00623402">
        <w:rPr>
          <w:kern w:val="22"/>
          <w:szCs w:val="22"/>
          <w:lang w:val="fr-FR"/>
        </w:rPr>
        <w:t xml:space="preserve">un </w:t>
      </w:r>
      <w:r w:rsidR="00623402" w:rsidRPr="00623402">
        <w:rPr>
          <w:kern w:val="22"/>
          <w:szCs w:val="22"/>
          <w:lang w:val="fr-FR"/>
        </w:rPr>
        <w:t>processus éventuel</w:t>
      </w:r>
      <w:r w:rsidR="00F957CA" w:rsidRPr="00623402">
        <w:rPr>
          <w:kern w:val="22"/>
          <w:szCs w:val="22"/>
          <w:lang w:val="fr-FR"/>
        </w:rPr>
        <w:t xml:space="preserve"> </w:t>
      </w:r>
      <w:r w:rsidR="00623402">
        <w:rPr>
          <w:kern w:val="22"/>
          <w:szCs w:val="22"/>
          <w:lang w:val="fr-FR"/>
        </w:rPr>
        <w:t>pour reconnaître</w:t>
      </w:r>
      <w:r w:rsidR="00F957CA" w:rsidRPr="00623402">
        <w:rPr>
          <w:kern w:val="22"/>
          <w:szCs w:val="22"/>
          <w:lang w:val="fr-FR"/>
        </w:rPr>
        <w:t xml:space="preserve"> </w:t>
      </w:r>
      <w:r w:rsidR="00623402">
        <w:rPr>
          <w:kern w:val="22"/>
          <w:szCs w:val="22"/>
          <w:lang w:val="fr-FR"/>
        </w:rPr>
        <w:t xml:space="preserve">un tel </w:t>
      </w:r>
      <w:r w:rsidR="00F957CA" w:rsidRPr="00623402">
        <w:rPr>
          <w:kern w:val="22"/>
          <w:szCs w:val="22"/>
          <w:lang w:val="fr-FR"/>
        </w:rPr>
        <w:t>instrument.</w:t>
      </w:r>
    </w:p>
    <w:p w:rsidR="00F957CA" w:rsidRPr="005D3CDB" w:rsidRDefault="00623402" w:rsidP="00CC374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szCs w:val="22"/>
          <w:lang w:val="fr-FR"/>
        </w:rPr>
      </w:pPr>
      <w:r w:rsidRPr="00623402">
        <w:rPr>
          <w:kern w:val="22"/>
          <w:szCs w:val="22"/>
          <w:lang w:val="fr-FR"/>
        </w:rPr>
        <w:t>L’</w:t>
      </w:r>
      <w:r w:rsidR="00A01DA3" w:rsidRPr="00623402">
        <w:rPr>
          <w:kern w:val="22"/>
          <w:szCs w:val="22"/>
          <w:lang w:val="fr-FR"/>
        </w:rPr>
        <w:t>étude</w:t>
      </w:r>
      <w:r w:rsidR="00F957CA" w:rsidRPr="00623402">
        <w:rPr>
          <w:kern w:val="22"/>
          <w:szCs w:val="22"/>
          <w:lang w:val="fr-FR"/>
        </w:rPr>
        <w:t xml:space="preserve"> analy</w:t>
      </w:r>
      <w:r w:rsidR="001F2EA9" w:rsidRPr="00623402">
        <w:rPr>
          <w:kern w:val="22"/>
          <w:szCs w:val="22"/>
          <w:lang w:val="fr-FR"/>
        </w:rPr>
        <w:t>s</w:t>
      </w:r>
      <w:r w:rsidRPr="00623402">
        <w:rPr>
          <w:kern w:val="22"/>
          <w:szCs w:val="22"/>
          <w:lang w:val="fr-FR"/>
        </w:rPr>
        <w:t>e</w:t>
      </w:r>
      <w:r w:rsidR="00F957CA" w:rsidRPr="00623402">
        <w:rPr>
          <w:kern w:val="22"/>
          <w:szCs w:val="22"/>
          <w:lang w:val="fr-FR"/>
        </w:rPr>
        <w:t xml:space="preserve"> </w:t>
      </w:r>
      <w:r w:rsidRPr="00623402">
        <w:rPr>
          <w:kern w:val="22"/>
          <w:szCs w:val="22"/>
          <w:lang w:val="fr-FR"/>
        </w:rPr>
        <w:t>le paragraphe 4 de l’article 4</w:t>
      </w:r>
      <w:r w:rsidR="00F957CA" w:rsidRPr="00623402">
        <w:rPr>
          <w:kern w:val="22"/>
          <w:szCs w:val="22"/>
          <w:lang w:val="fr-FR"/>
        </w:rPr>
        <w:t xml:space="preserve"> </w:t>
      </w:r>
      <w:r w:rsidR="00671C01">
        <w:rPr>
          <w:kern w:val="22"/>
          <w:szCs w:val="22"/>
          <w:lang w:val="fr-FR"/>
        </w:rPr>
        <w:t xml:space="preserve">du Protocole de Nagoya </w:t>
      </w:r>
      <w:r w:rsidRPr="00623402">
        <w:rPr>
          <w:kern w:val="22"/>
          <w:szCs w:val="22"/>
          <w:lang w:val="fr-FR"/>
        </w:rPr>
        <w:t>d’un point de vue textuel, contextue</w:t>
      </w:r>
      <w:r w:rsidR="00F957CA" w:rsidRPr="00623402">
        <w:rPr>
          <w:kern w:val="22"/>
          <w:szCs w:val="22"/>
          <w:lang w:val="fr-FR"/>
        </w:rPr>
        <w:t>l (</w:t>
      </w:r>
      <w:r w:rsidR="00A01DA3" w:rsidRPr="00623402">
        <w:rPr>
          <w:kern w:val="22"/>
          <w:szCs w:val="22"/>
          <w:lang w:val="fr-FR"/>
        </w:rPr>
        <w:t>dans le contexte de</w:t>
      </w:r>
      <w:r w:rsidRPr="00623402">
        <w:rPr>
          <w:kern w:val="22"/>
          <w:szCs w:val="22"/>
          <w:lang w:val="fr-FR"/>
        </w:rPr>
        <w:t>s dispositions pertinentes du</w:t>
      </w:r>
      <w:r>
        <w:rPr>
          <w:kern w:val="22"/>
          <w:szCs w:val="22"/>
          <w:lang w:val="fr-FR"/>
        </w:rPr>
        <w:t xml:space="preserve"> </w:t>
      </w:r>
      <w:r w:rsidR="00F957CA" w:rsidRPr="00623402">
        <w:rPr>
          <w:kern w:val="22"/>
          <w:szCs w:val="22"/>
          <w:lang w:val="fr-FR"/>
        </w:rPr>
        <w:t>Protocol</w:t>
      </w:r>
      <w:r>
        <w:rPr>
          <w:kern w:val="22"/>
          <w:szCs w:val="22"/>
          <w:lang w:val="fr-FR"/>
        </w:rPr>
        <w:t>e</w:t>
      </w:r>
      <w:r w:rsidR="00E31836" w:rsidRPr="00623402">
        <w:rPr>
          <w:kern w:val="22"/>
          <w:szCs w:val="22"/>
          <w:lang w:val="fr-FR"/>
        </w:rPr>
        <w:t>,</w:t>
      </w:r>
      <w:r w:rsidR="00F957CA" w:rsidRPr="00623402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en particulier les autres </w:t>
      </w:r>
      <w:r>
        <w:rPr>
          <w:kern w:val="22"/>
          <w:szCs w:val="22"/>
          <w:lang w:val="fr-FR"/>
        </w:rPr>
        <w:lastRenderedPageBreak/>
        <w:t>dispositions de l’article 4) et téléologique</w:t>
      </w:r>
      <w:r w:rsidR="00F957CA" w:rsidRPr="00623402">
        <w:rPr>
          <w:kern w:val="22"/>
          <w:szCs w:val="22"/>
          <w:lang w:val="fr-FR"/>
        </w:rPr>
        <w:t xml:space="preserve"> (</w:t>
      </w:r>
      <w:r w:rsidR="00D9635A">
        <w:rPr>
          <w:kern w:val="22"/>
          <w:szCs w:val="22"/>
          <w:lang w:val="fr-FR"/>
        </w:rPr>
        <w:t>dans le contexte du but et objectif</w:t>
      </w:r>
      <w:r>
        <w:rPr>
          <w:kern w:val="22"/>
          <w:szCs w:val="22"/>
          <w:lang w:val="fr-FR"/>
        </w:rPr>
        <w:t xml:space="preserve"> du</w:t>
      </w:r>
      <w:r w:rsidR="00F957CA" w:rsidRPr="00623402">
        <w:rPr>
          <w:kern w:val="22"/>
          <w:szCs w:val="22"/>
          <w:lang w:val="fr-FR"/>
        </w:rPr>
        <w:t xml:space="preserve"> Protocol</w:t>
      </w:r>
      <w:r>
        <w:rPr>
          <w:kern w:val="22"/>
          <w:szCs w:val="22"/>
          <w:lang w:val="fr-FR"/>
        </w:rPr>
        <w:t>e)</w:t>
      </w:r>
      <w:r w:rsidR="00F957CA" w:rsidRPr="00623402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conformément aux règles générales d’interpré</w:t>
      </w:r>
      <w:r w:rsidR="00F957CA" w:rsidRPr="00623402">
        <w:rPr>
          <w:kern w:val="22"/>
          <w:szCs w:val="22"/>
          <w:lang w:val="fr-FR"/>
        </w:rPr>
        <w:t>tation</w:t>
      </w:r>
      <w:r w:rsidR="00D9635A">
        <w:rPr>
          <w:kern w:val="22"/>
          <w:szCs w:val="22"/>
          <w:lang w:val="fr-FR"/>
        </w:rPr>
        <w:t xml:space="preserve"> des traités prévues par</w:t>
      </w:r>
      <w:r>
        <w:rPr>
          <w:kern w:val="22"/>
          <w:szCs w:val="22"/>
          <w:lang w:val="fr-FR"/>
        </w:rPr>
        <w:t xml:space="preserve"> la Convention de Vienne sur le droit des traités</w:t>
      </w:r>
      <w:r w:rsidR="00A45096" w:rsidRPr="009F4D84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2"/>
      </w:r>
      <w:r>
        <w:rPr>
          <w:kern w:val="22"/>
          <w:szCs w:val="22"/>
          <w:lang w:val="fr-FR"/>
        </w:rPr>
        <w:t>.</w:t>
      </w:r>
      <w:r w:rsidR="00D9635A">
        <w:rPr>
          <w:kern w:val="22"/>
          <w:szCs w:val="22"/>
          <w:lang w:val="fr-FR"/>
        </w:rPr>
        <w:t xml:space="preserve"> Elle examine ensuite le caractère pertinent</w:t>
      </w:r>
      <w:r w:rsidR="000B2362">
        <w:rPr>
          <w:kern w:val="22"/>
          <w:szCs w:val="22"/>
          <w:lang w:val="fr-FR"/>
        </w:rPr>
        <w:t xml:space="preserve"> du concept de </w:t>
      </w:r>
      <w:r w:rsidR="003F6B97">
        <w:rPr>
          <w:kern w:val="22"/>
          <w:szCs w:val="22"/>
          <w:lang w:val="fr-FR"/>
        </w:rPr>
        <w:t>« </w:t>
      </w:r>
      <w:r w:rsidR="00F957CA" w:rsidRPr="009F4D84">
        <w:rPr>
          <w:i/>
          <w:kern w:val="22"/>
          <w:szCs w:val="22"/>
          <w:lang w:val="la-Latn"/>
        </w:rPr>
        <w:t>lex specialis</w:t>
      </w:r>
      <w:r w:rsidR="003F6B97">
        <w:rPr>
          <w:i/>
          <w:kern w:val="22"/>
          <w:szCs w:val="22"/>
          <w:lang w:val="fr-FR"/>
        </w:rPr>
        <w:t> »</w:t>
      </w:r>
      <w:r w:rsidR="000B2362">
        <w:rPr>
          <w:kern w:val="22"/>
          <w:szCs w:val="22"/>
          <w:lang w:val="fr-FR"/>
        </w:rPr>
        <w:t xml:space="preserve"> e</w:t>
      </w:r>
      <w:r>
        <w:rPr>
          <w:kern w:val="22"/>
          <w:szCs w:val="22"/>
          <w:lang w:val="fr-FR"/>
        </w:rPr>
        <w:t>n</w:t>
      </w:r>
      <w:r w:rsidRPr="00623402">
        <w:rPr>
          <w:kern w:val="22"/>
          <w:szCs w:val="22"/>
          <w:lang w:val="fr-FR"/>
        </w:rPr>
        <w:t xml:space="preserve"> droit international</w:t>
      </w:r>
      <w:r>
        <w:rPr>
          <w:kern w:val="22"/>
          <w:szCs w:val="22"/>
          <w:lang w:val="fr-FR"/>
        </w:rPr>
        <w:t xml:space="preserve"> général et</w:t>
      </w:r>
      <w:r w:rsidRPr="00623402">
        <w:rPr>
          <w:kern w:val="22"/>
          <w:szCs w:val="22"/>
          <w:lang w:val="fr-FR"/>
        </w:rPr>
        <w:t xml:space="preserve"> des travaux de la </w:t>
      </w:r>
      <w:r w:rsidR="00F957CA" w:rsidRPr="00623402">
        <w:rPr>
          <w:kern w:val="22"/>
          <w:szCs w:val="22"/>
          <w:lang w:val="fr-FR"/>
        </w:rPr>
        <w:t xml:space="preserve">Commission </w:t>
      </w:r>
      <w:r w:rsidRPr="00623402">
        <w:rPr>
          <w:kern w:val="22"/>
          <w:szCs w:val="22"/>
          <w:lang w:val="fr-FR"/>
        </w:rPr>
        <w:t xml:space="preserve">du droit international </w:t>
      </w:r>
      <w:r w:rsidR="00D9635A">
        <w:rPr>
          <w:kern w:val="22"/>
          <w:szCs w:val="22"/>
          <w:lang w:val="fr-FR"/>
        </w:rPr>
        <w:t xml:space="preserve">portant </w:t>
      </w:r>
      <w:r w:rsidRPr="00623402">
        <w:rPr>
          <w:kern w:val="22"/>
          <w:szCs w:val="22"/>
          <w:lang w:val="fr-FR"/>
        </w:rPr>
        <w:t xml:space="preserve">sur la </w:t>
      </w:r>
      <w:r w:rsidR="000B2362">
        <w:rPr>
          <w:kern w:val="22"/>
          <w:szCs w:val="22"/>
          <w:lang w:val="fr-FR"/>
        </w:rPr>
        <w:t>fragmentation du</w:t>
      </w:r>
      <w:r w:rsidR="00F957CA" w:rsidRPr="00623402">
        <w:rPr>
          <w:kern w:val="22"/>
          <w:szCs w:val="22"/>
          <w:lang w:val="fr-FR"/>
        </w:rPr>
        <w:t xml:space="preserve"> </w:t>
      </w:r>
      <w:r w:rsidRPr="00623402">
        <w:rPr>
          <w:kern w:val="22"/>
          <w:szCs w:val="22"/>
          <w:lang w:val="fr-FR"/>
        </w:rPr>
        <w:t>droit international</w:t>
      </w:r>
      <w:r w:rsidR="00F957CA" w:rsidRPr="00623402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et </w:t>
      </w:r>
      <w:r w:rsidR="00D9635A">
        <w:rPr>
          <w:kern w:val="22"/>
          <w:szCs w:val="22"/>
          <w:lang w:val="fr-FR"/>
        </w:rPr>
        <w:t>du concept de renforcement mutuel en tant que</w:t>
      </w:r>
      <w:r>
        <w:rPr>
          <w:kern w:val="22"/>
          <w:szCs w:val="22"/>
          <w:lang w:val="fr-FR"/>
        </w:rPr>
        <w:t xml:space="preserve"> </w:t>
      </w:r>
      <w:r w:rsidR="00F957CA" w:rsidRPr="00623402">
        <w:rPr>
          <w:kern w:val="22"/>
          <w:szCs w:val="22"/>
          <w:lang w:val="fr-FR"/>
        </w:rPr>
        <w:t>concept</w:t>
      </w:r>
      <w:r w:rsidR="00D9635A">
        <w:rPr>
          <w:kern w:val="22"/>
          <w:szCs w:val="22"/>
          <w:lang w:val="fr-FR"/>
        </w:rPr>
        <w:t xml:space="preserve"> plus large</w:t>
      </w:r>
      <w:r>
        <w:rPr>
          <w:kern w:val="22"/>
          <w:szCs w:val="22"/>
          <w:lang w:val="fr-FR"/>
        </w:rPr>
        <w:t xml:space="preserve"> qui s’applique au-delà des </w:t>
      </w:r>
      <w:r w:rsidRPr="00623402">
        <w:rPr>
          <w:kern w:val="22"/>
          <w:szCs w:val="22"/>
          <w:lang w:val="fr-FR"/>
        </w:rPr>
        <w:t>traités internationaux</w:t>
      </w:r>
      <w:r w:rsidR="00C20376">
        <w:rPr>
          <w:kern w:val="22"/>
          <w:szCs w:val="22"/>
          <w:lang w:val="fr-FR"/>
        </w:rPr>
        <w:t>. Ces considé</w:t>
      </w:r>
      <w:r w:rsidR="00F957CA" w:rsidRPr="00623402">
        <w:rPr>
          <w:kern w:val="22"/>
          <w:szCs w:val="22"/>
          <w:lang w:val="fr-FR"/>
        </w:rPr>
        <w:t>rations</w:t>
      </w:r>
      <w:r w:rsidR="001D4737">
        <w:rPr>
          <w:kern w:val="22"/>
          <w:szCs w:val="22"/>
          <w:lang w:val="fr-FR"/>
        </w:rPr>
        <w:t xml:space="preserve"> corroborent</w:t>
      </w:r>
      <w:r w:rsidR="00C20376">
        <w:rPr>
          <w:kern w:val="22"/>
          <w:szCs w:val="22"/>
          <w:lang w:val="fr-FR"/>
        </w:rPr>
        <w:t xml:space="preserve"> une série de </w:t>
      </w:r>
      <w:r w:rsidR="00A01DA3" w:rsidRPr="00623402">
        <w:rPr>
          <w:iCs/>
          <w:kern w:val="22"/>
          <w:szCs w:val="22"/>
          <w:lang w:val="fr-FR"/>
        </w:rPr>
        <w:t>critères</w:t>
      </w:r>
      <w:r w:rsidR="00C20376">
        <w:rPr>
          <w:iCs/>
          <w:kern w:val="22"/>
          <w:szCs w:val="22"/>
          <w:lang w:val="fr-FR"/>
        </w:rPr>
        <w:t xml:space="preserve"> éventuels permettant d’</w:t>
      </w:r>
      <w:r w:rsidR="00A01DA3" w:rsidRPr="00623402">
        <w:rPr>
          <w:kern w:val="22"/>
          <w:szCs w:val="22"/>
          <w:lang w:val="fr-FR"/>
        </w:rPr>
        <w:t>identifier</w:t>
      </w:r>
      <w:r w:rsidR="00C20376">
        <w:rPr>
          <w:kern w:val="22"/>
          <w:szCs w:val="22"/>
          <w:lang w:val="fr-FR"/>
        </w:rPr>
        <w:t xml:space="preserve"> un</w:t>
      </w:r>
      <w:r w:rsidRPr="00623402">
        <w:rPr>
          <w:kern w:val="22"/>
          <w:szCs w:val="22"/>
          <w:lang w:val="fr-FR"/>
        </w:rPr>
        <w:t xml:space="preserve"> instrument international </w:t>
      </w:r>
      <w:r w:rsidR="0026155E">
        <w:rPr>
          <w:kern w:val="22"/>
          <w:szCs w:val="22"/>
          <w:lang w:val="fr-FR"/>
        </w:rPr>
        <w:t>spécial</w:t>
      </w:r>
      <w:r w:rsidRPr="00623402">
        <w:rPr>
          <w:kern w:val="22"/>
          <w:szCs w:val="22"/>
          <w:lang w:val="fr-FR"/>
        </w:rPr>
        <w:t xml:space="preserve"> sur l’accès et le partage des avantages</w:t>
      </w:r>
      <w:r w:rsidR="00F957CA" w:rsidRPr="00623402">
        <w:rPr>
          <w:kern w:val="22"/>
          <w:szCs w:val="22"/>
          <w:lang w:val="fr-FR"/>
        </w:rPr>
        <w:t xml:space="preserve">. </w:t>
      </w:r>
      <w:r w:rsidR="00C20376">
        <w:rPr>
          <w:kern w:val="22"/>
          <w:szCs w:val="22"/>
          <w:lang w:val="fr-FR"/>
        </w:rPr>
        <w:t>L’</w:t>
      </w:r>
      <w:r w:rsidR="00A01DA3" w:rsidRPr="00023064">
        <w:rPr>
          <w:kern w:val="22"/>
          <w:szCs w:val="22"/>
          <w:lang w:val="fr-FR"/>
        </w:rPr>
        <w:t>étude</w:t>
      </w:r>
      <w:r w:rsidR="00F957CA" w:rsidRPr="00023064">
        <w:rPr>
          <w:kern w:val="22"/>
          <w:szCs w:val="22"/>
          <w:lang w:val="fr-FR"/>
        </w:rPr>
        <w:t xml:space="preserve"> </w:t>
      </w:r>
      <w:r w:rsidR="00C20376">
        <w:rPr>
          <w:kern w:val="22"/>
          <w:szCs w:val="22"/>
          <w:lang w:val="fr-FR"/>
        </w:rPr>
        <w:t>examine ensuite les pratiques</w:t>
      </w:r>
      <w:r w:rsidR="00F957CA" w:rsidRPr="00023064">
        <w:rPr>
          <w:kern w:val="22"/>
          <w:szCs w:val="22"/>
          <w:lang w:val="fr-FR"/>
        </w:rPr>
        <w:t xml:space="preserve"> international</w:t>
      </w:r>
      <w:r w:rsidR="00D9635A">
        <w:rPr>
          <w:kern w:val="22"/>
          <w:szCs w:val="22"/>
          <w:lang w:val="fr-FR"/>
        </w:rPr>
        <w:t>es et les théories académiques pertinentes concernant</w:t>
      </w:r>
      <w:r w:rsidR="00CC374A">
        <w:rPr>
          <w:kern w:val="22"/>
          <w:szCs w:val="22"/>
          <w:lang w:val="fr-FR"/>
        </w:rPr>
        <w:t xml:space="preserve"> les </w:t>
      </w:r>
      <w:r w:rsidR="00D75378">
        <w:rPr>
          <w:kern w:val="22"/>
          <w:szCs w:val="22"/>
          <w:lang w:val="fr-FR"/>
        </w:rPr>
        <w:t>interaction</w:t>
      </w:r>
      <w:r w:rsidR="00CC374A">
        <w:rPr>
          <w:kern w:val="22"/>
          <w:szCs w:val="22"/>
          <w:lang w:val="fr-FR"/>
        </w:rPr>
        <w:t>s</w:t>
      </w:r>
      <w:r w:rsidR="00D75378">
        <w:rPr>
          <w:kern w:val="22"/>
          <w:szCs w:val="22"/>
          <w:lang w:val="fr-FR"/>
        </w:rPr>
        <w:t xml:space="preserve"> entre </w:t>
      </w:r>
      <w:r w:rsidR="00CC374A">
        <w:rPr>
          <w:kern w:val="22"/>
          <w:szCs w:val="22"/>
          <w:lang w:val="fr-FR"/>
        </w:rPr>
        <w:t xml:space="preserve">différents </w:t>
      </w:r>
      <w:r w:rsidR="00C20376">
        <w:rPr>
          <w:kern w:val="22"/>
          <w:szCs w:val="22"/>
          <w:lang w:val="fr-FR"/>
        </w:rPr>
        <w:t>régimes</w:t>
      </w:r>
      <w:r w:rsidR="00CC374A">
        <w:rPr>
          <w:kern w:val="22"/>
          <w:szCs w:val="22"/>
          <w:lang w:val="fr-FR"/>
        </w:rPr>
        <w:t xml:space="preserve"> internationaux</w:t>
      </w:r>
      <w:r w:rsidR="00023064" w:rsidRPr="00023064">
        <w:rPr>
          <w:kern w:val="22"/>
          <w:szCs w:val="22"/>
          <w:lang w:val="fr-FR"/>
        </w:rPr>
        <w:t xml:space="preserve">, en </w:t>
      </w:r>
      <w:r w:rsidR="00023064">
        <w:rPr>
          <w:kern w:val="22"/>
          <w:szCs w:val="22"/>
          <w:lang w:val="fr-FR"/>
        </w:rPr>
        <w:t>vue de fournir des</w:t>
      </w:r>
      <w:r w:rsidR="00D9635A">
        <w:rPr>
          <w:kern w:val="22"/>
          <w:szCs w:val="22"/>
          <w:lang w:val="fr-FR"/>
        </w:rPr>
        <w:t xml:space="preserve"> </w:t>
      </w:r>
      <w:r w:rsidR="00231CD8" w:rsidRPr="00023064">
        <w:rPr>
          <w:kern w:val="22"/>
          <w:szCs w:val="22"/>
          <w:lang w:val="fr-FR"/>
        </w:rPr>
        <w:t>élément</w:t>
      </w:r>
      <w:r w:rsidR="00023064">
        <w:rPr>
          <w:kern w:val="22"/>
          <w:szCs w:val="22"/>
          <w:lang w:val="fr-FR"/>
        </w:rPr>
        <w:t xml:space="preserve">s </w:t>
      </w:r>
      <w:r w:rsidR="00D9635A">
        <w:rPr>
          <w:kern w:val="22"/>
          <w:szCs w:val="22"/>
          <w:lang w:val="fr-FR"/>
        </w:rPr>
        <w:t xml:space="preserve">pour </w:t>
      </w:r>
      <w:r w:rsidR="00023064">
        <w:rPr>
          <w:kern w:val="22"/>
          <w:szCs w:val="22"/>
          <w:lang w:val="fr-FR"/>
        </w:rPr>
        <w:t>un</w:t>
      </w:r>
      <w:r w:rsidR="00F957CA" w:rsidRPr="00023064">
        <w:rPr>
          <w:kern w:val="22"/>
          <w:szCs w:val="22"/>
          <w:lang w:val="fr-FR"/>
        </w:rPr>
        <w:t xml:space="preserve"> </w:t>
      </w:r>
      <w:r w:rsidR="00D9635A">
        <w:rPr>
          <w:kern w:val="22"/>
          <w:szCs w:val="22"/>
          <w:lang w:val="fr-FR"/>
        </w:rPr>
        <w:t>processus</w:t>
      </w:r>
      <w:r w:rsidR="00CC374A">
        <w:rPr>
          <w:kern w:val="22"/>
          <w:szCs w:val="22"/>
          <w:lang w:val="fr-FR"/>
        </w:rPr>
        <w:t xml:space="preserve"> éventuel</w:t>
      </w:r>
      <w:r w:rsidR="00D9635A">
        <w:rPr>
          <w:kern w:val="22"/>
          <w:szCs w:val="22"/>
          <w:lang w:val="fr-FR"/>
        </w:rPr>
        <w:t xml:space="preserve"> permettant de</w:t>
      </w:r>
      <w:r w:rsidR="00F957CA" w:rsidRPr="00023064">
        <w:rPr>
          <w:kern w:val="22"/>
          <w:szCs w:val="22"/>
          <w:lang w:val="fr-FR"/>
        </w:rPr>
        <w:t xml:space="preserve"> </w:t>
      </w:r>
      <w:r w:rsidRPr="00023064">
        <w:rPr>
          <w:kern w:val="22"/>
          <w:szCs w:val="22"/>
          <w:lang w:val="fr-FR"/>
        </w:rPr>
        <w:t>reconnaître</w:t>
      </w:r>
      <w:r w:rsidR="00D9635A">
        <w:rPr>
          <w:kern w:val="22"/>
          <w:szCs w:val="22"/>
          <w:lang w:val="fr-FR"/>
        </w:rPr>
        <w:t xml:space="preserve"> ce</w:t>
      </w:r>
      <w:r w:rsidR="00023064">
        <w:rPr>
          <w:kern w:val="22"/>
          <w:szCs w:val="22"/>
          <w:lang w:val="fr-FR"/>
        </w:rPr>
        <w:t>s</w:t>
      </w:r>
      <w:r w:rsidR="005D3CDB" w:rsidRPr="00023064">
        <w:rPr>
          <w:kern w:val="22"/>
          <w:szCs w:val="22"/>
          <w:lang w:val="fr-FR"/>
        </w:rPr>
        <w:t xml:space="preserve"> instruments. </w:t>
      </w:r>
      <w:r w:rsidR="005D3CDB" w:rsidRPr="005D3CDB">
        <w:rPr>
          <w:kern w:val="22"/>
          <w:szCs w:val="22"/>
          <w:lang w:val="fr-FR"/>
        </w:rPr>
        <w:t>Enfin</w:t>
      </w:r>
      <w:r w:rsidR="00F957CA" w:rsidRPr="005D3CDB">
        <w:rPr>
          <w:kern w:val="22"/>
          <w:szCs w:val="22"/>
          <w:lang w:val="fr-FR"/>
        </w:rPr>
        <w:t>,</w:t>
      </w:r>
      <w:r w:rsidR="00D9635A">
        <w:rPr>
          <w:kern w:val="22"/>
          <w:szCs w:val="22"/>
          <w:lang w:val="fr-FR"/>
        </w:rPr>
        <w:t xml:space="preserve"> l’étude se penche sur</w:t>
      </w:r>
      <w:r w:rsidR="005D3CDB" w:rsidRPr="005D3CDB">
        <w:rPr>
          <w:kern w:val="22"/>
          <w:szCs w:val="22"/>
          <w:lang w:val="fr-FR"/>
        </w:rPr>
        <w:t xml:space="preserve"> trois</w:t>
      </w:r>
      <w:r w:rsidR="00CC374A">
        <w:rPr>
          <w:kern w:val="22"/>
          <w:szCs w:val="22"/>
          <w:lang w:val="fr-FR"/>
        </w:rPr>
        <w:t xml:space="preserve"> scénarios pour</w:t>
      </w:r>
      <w:r w:rsidR="00F957CA" w:rsidRPr="005D3CDB">
        <w:rPr>
          <w:kern w:val="22"/>
          <w:szCs w:val="22"/>
          <w:lang w:val="fr-FR"/>
        </w:rPr>
        <w:t xml:space="preserve"> </w:t>
      </w:r>
      <w:r w:rsidR="00CC374A">
        <w:rPr>
          <w:kern w:val="22"/>
          <w:szCs w:val="22"/>
          <w:lang w:val="fr-FR"/>
        </w:rPr>
        <w:t xml:space="preserve">reconnaître </w:t>
      </w:r>
      <w:r w:rsidR="005D3CDB">
        <w:rPr>
          <w:kern w:val="22"/>
          <w:szCs w:val="22"/>
          <w:lang w:val="fr-FR"/>
        </w:rPr>
        <w:t>un</w:t>
      </w:r>
      <w:r w:rsidRPr="005D3CDB">
        <w:rPr>
          <w:kern w:val="22"/>
          <w:szCs w:val="22"/>
          <w:lang w:val="fr-FR"/>
        </w:rPr>
        <w:t xml:space="preserve"> instrument international </w:t>
      </w:r>
      <w:r w:rsidR="0026155E">
        <w:rPr>
          <w:kern w:val="22"/>
          <w:szCs w:val="22"/>
          <w:lang w:val="fr-FR"/>
        </w:rPr>
        <w:t>spécial</w:t>
      </w:r>
      <w:r w:rsidRPr="005D3CDB">
        <w:rPr>
          <w:kern w:val="22"/>
          <w:szCs w:val="22"/>
          <w:lang w:val="fr-FR"/>
        </w:rPr>
        <w:t xml:space="preserve"> sur l’accès et le partage des avantages</w:t>
      </w:r>
      <w:r w:rsidR="005D3CDB">
        <w:rPr>
          <w:kern w:val="22"/>
          <w:szCs w:val="22"/>
          <w:lang w:val="fr-FR"/>
        </w:rPr>
        <w:t>,</w:t>
      </w:r>
      <w:r w:rsidRPr="005D3CDB">
        <w:rPr>
          <w:kern w:val="22"/>
          <w:szCs w:val="22"/>
          <w:lang w:val="fr-FR"/>
        </w:rPr>
        <w:t xml:space="preserve"> et </w:t>
      </w:r>
      <w:r w:rsidR="005D3CDB">
        <w:rPr>
          <w:kern w:val="22"/>
          <w:szCs w:val="22"/>
          <w:lang w:val="fr-FR"/>
        </w:rPr>
        <w:t>propose un processus</w:t>
      </w:r>
      <w:r w:rsidR="001133EF" w:rsidRPr="005D3CDB">
        <w:rPr>
          <w:kern w:val="22"/>
          <w:szCs w:val="22"/>
          <w:lang w:val="fr-FR"/>
        </w:rPr>
        <w:t xml:space="preserve"> </w:t>
      </w:r>
      <w:r w:rsidR="00810BC1" w:rsidRPr="005D3CDB">
        <w:rPr>
          <w:kern w:val="22"/>
          <w:szCs w:val="22"/>
          <w:lang w:val="fr-FR"/>
        </w:rPr>
        <w:t>optimal</w:t>
      </w:r>
      <w:r w:rsidR="001133EF" w:rsidRPr="005D3CDB">
        <w:rPr>
          <w:kern w:val="22"/>
          <w:szCs w:val="22"/>
          <w:lang w:val="fr-FR"/>
        </w:rPr>
        <w:t xml:space="preserve"> </w:t>
      </w:r>
      <w:r w:rsidR="00CC374A">
        <w:rPr>
          <w:kern w:val="22"/>
          <w:szCs w:val="22"/>
          <w:lang w:val="fr-FR"/>
        </w:rPr>
        <w:t>à cet égard</w:t>
      </w:r>
      <w:r w:rsidR="00F957CA" w:rsidRPr="005D3CDB">
        <w:rPr>
          <w:kern w:val="22"/>
          <w:szCs w:val="22"/>
          <w:lang w:val="fr-FR"/>
        </w:rPr>
        <w:t xml:space="preserve">. </w:t>
      </w:r>
      <w:r w:rsidR="005D3CDB" w:rsidRPr="005D3CDB">
        <w:rPr>
          <w:kern w:val="22"/>
          <w:szCs w:val="22"/>
          <w:lang w:val="fr-FR"/>
        </w:rPr>
        <w:t>L’</w:t>
      </w:r>
      <w:r w:rsidR="00A01DA3" w:rsidRPr="005D3CDB">
        <w:rPr>
          <w:kern w:val="22"/>
          <w:szCs w:val="22"/>
          <w:lang w:val="fr-FR"/>
        </w:rPr>
        <w:t>étude</w:t>
      </w:r>
      <w:r w:rsidR="00F957CA" w:rsidRPr="005D3CDB">
        <w:rPr>
          <w:kern w:val="22"/>
          <w:szCs w:val="22"/>
          <w:lang w:val="fr-FR"/>
        </w:rPr>
        <w:t xml:space="preserve"> </w:t>
      </w:r>
      <w:r w:rsidR="005D3CDB" w:rsidRPr="005D3CDB">
        <w:rPr>
          <w:kern w:val="22"/>
          <w:szCs w:val="22"/>
          <w:lang w:val="fr-FR"/>
        </w:rPr>
        <w:t xml:space="preserve">se fonde sur le </w:t>
      </w:r>
      <w:r w:rsidRPr="005D3CDB">
        <w:rPr>
          <w:kern w:val="22"/>
          <w:szCs w:val="22"/>
          <w:lang w:val="fr-FR"/>
        </w:rPr>
        <w:t>droit international</w:t>
      </w:r>
      <w:r w:rsidR="005D3CDB">
        <w:rPr>
          <w:kern w:val="22"/>
          <w:szCs w:val="22"/>
          <w:lang w:val="fr-FR"/>
        </w:rPr>
        <w:t xml:space="preserve"> général</w:t>
      </w:r>
      <w:r w:rsidR="00F957CA" w:rsidRPr="005D3CDB">
        <w:rPr>
          <w:kern w:val="22"/>
          <w:szCs w:val="22"/>
          <w:lang w:val="fr-FR"/>
        </w:rPr>
        <w:t xml:space="preserve">, </w:t>
      </w:r>
      <w:r w:rsidR="005D3CDB">
        <w:rPr>
          <w:kern w:val="22"/>
          <w:szCs w:val="22"/>
          <w:lang w:val="fr-FR"/>
        </w:rPr>
        <w:t>y compris</w:t>
      </w:r>
      <w:r w:rsidR="00D9635A">
        <w:rPr>
          <w:kern w:val="22"/>
          <w:szCs w:val="22"/>
          <w:lang w:val="fr-FR"/>
        </w:rPr>
        <w:t xml:space="preserve"> </w:t>
      </w:r>
      <w:r w:rsidR="005D3CDB">
        <w:rPr>
          <w:kern w:val="22"/>
          <w:szCs w:val="22"/>
          <w:lang w:val="fr-FR"/>
        </w:rPr>
        <w:t>le droit des traités, les princip</w:t>
      </w:r>
      <w:r w:rsidR="00F957CA" w:rsidRPr="005D3CDB">
        <w:rPr>
          <w:kern w:val="22"/>
          <w:szCs w:val="22"/>
          <w:lang w:val="fr-FR"/>
        </w:rPr>
        <w:t>es</w:t>
      </w:r>
      <w:r w:rsidR="005D3CDB">
        <w:rPr>
          <w:kern w:val="22"/>
          <w:szCs w:val="22"/>
          <w:lang w:val="fr-FR"/>
        </w:rPr>
        <w:t xml:space="preserve"> généraux du </w:t>
      </w:r>
      <w:r w:rsidRPr="005D3CDB">
        <w:rPr>
          <w:kern w:val="22"/>
          <w:szCs w:val="22"/>
          <w:lang w:val="fr-FR"/>
        </w:rPr>
        <w:t>droit international</w:t>
      </w:r>
      <w:r w:rsidR="00F957CA" w:rsidRPr="005D3CDB">
        <w:rPr>
          <w:kern w:val="22"/>
          <w:szCs w:val="22"/>
          <w:lang w:val="fr-FR"/>
        </w:rPr>
        <w:t>,</w:t>
      </w:r>
      <w:r w:rsidRPr="005D3CDB">
        <w:rPr>
          <w:kern w:val="22"/>
          <w:szCs w:val="22"/>
          <w:lang w:val="fr-FR"/>
        </w:rPr>
        <w:t xml:space="preserve"> et </w:t>
      </w:r>
      <w:r w:rsidR="00D9635A">
        <w:rPr>
          <w:kern w:val="22"/>
          <w:szCs w:val="22"/>
          <w:lang w:val="fr-FR"/>
        </w:rPr>
        <w:t>les théories relatives à la</w:t>
      </w:r>
      <w:r w:rsidR="005D3CDB">
        <w:rPr>
          <w:kern w:val="22"/>
          <w:szCs w:val="22"/>
          <w:lang w:val="fr-FR"/>
        </w:rPr>
        <w:t xml:space="preserve"> création du</w:t>
      </w:r>
      <w:r w:rsidR="00F957CA" w:rsidRPr="005D3CDB">
        <w:rPr>
          <w:kern w:val="22"/>
          <w:szCs w:val="22"/>
          <w:lang w:val="fr-FR"/>
        </w:rPr>
        <w:t xml:space="preserve"> </w:t>
      </w:r>
      <w:r w:rsidR="00D9635A">
        <w:rPr>
          <w:kern w:val="22"/>
          <w:szCs w:val="22"/>
          <w:lang w:val="fr-FR"/>
        </w:rPr>
        <w:t>droit</w:t>
      </w:r>
      <w:r w:rsidR="00CC374A">
        <w:rPr>
          <w:kern w:val="22"/>
          <w:szCs w:val="22"/>
          <w:lang w:val="fr-FR"/>
        </w:rPr>
        <w:t xml:space="preserve"> international</w:t>
      </w:r>
      <w:r w:rsidR="00D9635A">
        <w:rPr>
          <w:kern w:val="22"/>
          <w:szCs w:val="22"/>
          <w:lang w:val="fr-FR"/>
        </w:rPr>
        <w:t xml:space="preserve"> </w:t>
      </w:r>
      <w:r w:rsidRPr="005D3CDB">
        <w:rPr>
          <w:kern w:val="22"/>
          <w:szCs w:val="22"/>
          <w:lang w:val="fr-FR"/>
        </w:rPr>
        <w:t xml:space="preserve">et </w:t>
      </w:r>
      <w:r w:rsidR="00CC374A">
        <w:rPr>
          <w:kern w:val="22"/>
          <w:szCs w:val="22"/>
          <w:lang w:val="fr-FR"/>
        </w:rPr>
        <w:t xml:space="preserve">aux </w:t>
      </w:r>
      <w:r w:rsidR="00D9635A">
        <w:rPr>
          <w:kern w:val="22"/>
          <w:szCs w:val="22"/>
          <w:lang w:val="fr-FR"/>
        </w:rPr>
        <w:t>interaction</w:t>
      </w:r>
      <w:r w:rsidR="00CC374A">
        <w:rPr>
          <w:kern w:val="22"/>
          <w:szCs w:val="22"/>
          <w:lang w:val="fr-FR"/>
        </w:rPr>
        <w:t>s</w:t>
      </w:r>
      <w:r w:rsidR="00D9635A">
        <w:rPr>
          <w:kern w:val="22"/>
          <w:szCs w:val="22"/>
          <w:lang w:val="fr-FR"/>
        </w:rPr>
        <w:t xml:space="preserve"> entre régimes</w:t>
      </w:r>
      <w:r w:rsidR="00CC374A">
        <w:rPr>
          <w:kern w:val="22"/>
          <w:szCs w:val="22"/>
          <w:lang w:val="fr-FR"/>
        </w:rPr>
        <w:t xml:space="preserve"> internationaux</w:t>
      </w:r>
      <w:r w:rsidR="003F6B97">
        <w:rPr>
          <w:kern w:val="22"/>
          <w:szCs w:val="22"/>
          <w:lang w:val="fr-FR"/>
        </w:rPr>
        <w:t>.</w:t>
      </w:r>
    </w:p>
    <w:p w:rsidR="00082280" w:rsidRPr="00623402" w:rsidRDefault="00787708" w:rsidP="009F4D84">
      <w:pPr>
        <w:pStyle w:val="Para1"/>
        <w:keepNext/>
        <w:numPr>
          <w:ilvl w:val="0"/>
          <w:numId w:val="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  <w:iCs/>
          <w:kern w:val="22"/>
          <w:szCs w:val="22"/>
          <w:lang w:val="fr-FR"/>
        </w:rPr>
      </w:pPr>
      <w:r w:rsidRPr="00623402">
        <w:rPr>
          <w:b/>
          <w:bCs/>
          <w:iCs/>
          <w:kern w:val="22"/>
          <w:szCs w:val="22"/>
          <w:lang w:val="fr-FR"/>
        </w:rPr>
        <w:t>A.</w:t>
      </w:r>
      <w:r w:rsidRPr="00623402">
        <w:rPr>
          <w:b/>
          <w:bCs/>
          <w:iCs/>
          <w:kern w:val="22"/>
          <w:szCs w:val="22"/>
          <w:lang w:val="fr-FR"/>
        </w:rPr>
        <w:tab/>
      </w:r>
      <w:r w:rsidR="005D3CDB">
        <w:rPr>
          <w:b/>
          <w:bCs/>
          <w:iCs/>
          <w:kern w:val="22"/>
          <w:szCs w:val="22"/>
          <w:lang w:val="fr-FR"/>
        </w:rPr>
        <w:t xml:space="preserve">Analyse du </w:t>
      </w:r>
      <w:r w:rsidR="00623402" w:rsidRPr="00623402">
        <w:rPr>
          <w:b/>
          <w:bCs/>
          <w:iCs/>
          <w:kern w:val="22"/>
          <w:szCs w:val="22"/>
          <w:lang w:val="fr-FR"/>
        </w:rPr>
        <w:t>paragraphe 4 de l’article 4</w:t>
      </w:r>
      <w:r w:rsidR="003F6B97">
        <w:rPr>
          <w:b/>
          <w:bCs/>
          <w:iCs/>
          <w:kern w:val="22"/>
          <w:szCs w:val="22"/>
          <w:lang w:val="fr-FR"/>
        </w:rPr>
        <w:t xml:space="preserve"> et identification </w:t>
      </w:r>
      <w:r w:rsidR="005D3CDB">
        <w:rPr>
          <w:b/>
          <w:bCs/>
          <w:iCs/>
          <w:kern w:val="22"/>
          <w:szCs w:val="22"/>
          <w:lang w:val="fr-FR"/>
        </w:rPr>
        <w:t>d</w:t>
      </w:r>
      <w:r w:rsidR="00CC374A">
        <w:rPr>
          <w:b/>
          <w:bCs/>
          <w:iCs/>
          <w:kern w:val="22"/>
          <w:szCs w:val="22"/>
          <w:lang w:val="fr-FR"/>
        </w:rPr>
        <w:t>e</w:t>
      </w:r>
      <w:r w:rsidR="003F6B97">
        <w:rPr>
          <w:b/>
          <w:bCs/>
          <w:iCs/>
          <w:kern w:val="22"/>
          <w:szCs w:val="22"/>
          <w:lang w:val="fr-FR"/>
        </w:rPr>
        <w:t>s</w:t>
      </w:r>
      <w:r w:rsidR="00A01DA3" w:rsidRPr="00623402">
        <w:rPr>
          <w:b/>
          <w:bCs/>
          <w:iCs/>
          <w:kern w:val="22"/>
          <w:szCs w:val="22"/>
          <w:lang w:val="fr-FR"/>
        </w:rPr>
        <w:t xml:space="preserve"> critères</w:t>
      </w:r>
    </w:p>
    <w:p w:rsidR="00F957CA" w:rsidRPr="005D3CDB" w:rsidRDefault="005D3CDB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5D3CDB">
        <w:rPr>
          <w:kern w:val="22"/>
          <w:szCs w:val="22"/>
          <w:lang w:val="fr-FR"/>
        </w:rPr>
        <w:t>L’a</w:t>
      </w:r>
      <w:r w:rsidR="00F957CA" w:rsidRPr="005D3CDB">
        <w:rPr>
          <w:kern w:val="22"/>
          <w:szCs w:val="22"/>
          <w:lang w:val="fr-FR"/>
        </w:rPr>
        <w:t xml:space="preserve">rticle 4 </w:t>
      </w:r>
      <w:r w:rsidRPr="005D3CDB">
        <w:rPr>
          <w:kern w:val="22"/>
          <w:szCs w:val="22"/>
          <w:lang w:val="fr-FR"/>
        </w:rPr>
        <w:t>du Pro</w:t>
      </w:r>
      <w:r w:rsidR="00A01DA3" w:rsidRPr="005D3CDB">
        <w:rPr>
          <w:kern w:val="22"/>
          <w:szCs w:val="22"/>
          <w:lang w:val="fr-FR"/>
        </w:rPr>
        <w:t>tocole de Nagoya</w:t>
      </w:r>
      <w:r w:rsidR="00CC374A">
        <w:rPr>
          <w:kern w:val="22"/>
          <w:szCs w:val="22"/>
          <w:lang w:val="fr-FR"/>
        </w:rPr>
        <w:t xml:space="preserve"> aborde la relation</w:t>
      </w:r>
      <w:r>
        <w:rPr>
          <w:kern w:val="22"/>
          <w:szCs w:val="22"/>
          <w:lang w:val="fr-FR"/>
        </w:rPr>
        <w:t xml:space="preserve"> entre le</w:t>
      </w:r>
      <w:r w:rsidRPr="005D3CDB">
        <w:rPr>
          <w:kern w:val="22"/>
          <w:szCs w:val="22"/>
          <w:lang w:val="fr-FR"/>
        </w:rPr>
        <w:t xml:space="preserve"> Pro</w:t>
      </w:r>
      <w:r w:rsidR="00F957CA" w:rsidRPr="005D3CDB">
        <w:rPr>
          <w:kern w:val="22"/>
          <w:szCs w:val="22"/>
          <w:lang w:val="fr-FR"/>
        </w:rPr>
        <w:t>tocol</w:t>
      </w:r>
      <w:r w:rsidR="00CC374A">
        <w:rPr>
          <w:kern w:val="22"/>
          <w:szCs w:val="22"/>
          <w:lang w:val="fr-FR"/>
        </w:rPr>
        <w:t>e et d’</w:t>
      </w:r>
      <w:r>
        <w:rPr>
          <w:kern w:val="22"/>
          <w:szCs w:val="22"/>
          <w:lang w:val="fr-FR"/>
        </w:rPr>
        <w:t>autres</w:t>
      </w:r>
      <w:r w:rsidR="00F957CA" w:rsidRPr="005D3CDB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accords</w:t>
      </w:r>
      <w:r w:rsidR="00623402" w:rsidRPr="005D3CDB">
        <w:rPr>
          <w:kern w:val="22"/>
          <w:szCs w:val="22"/>
          <w:lang w:val="fr-FR"/>
        </w:rPr>
        <w:t xml:space="preserve"> et </w:t>
      </w:r>
      <w:r w:rsidR="00F957CA" w:rsidRPr="005D3CDB">
        <w:rPr>
          <w:kern w:val="22"/>
          <w:szCs w:val="22"/>
          <w:lang w:val="fr-FR"/>
        </w:rPr>
        <w:t>instruments</w:t>
      </w:r>
      <w:r>
        <w:rPr>
          <w:kern w:val="22"/>
          <w:szCs w:val="22"/>
          <w:lang w:val="fr-FR"/>
        </w:rPr>
        <w:t xml:space="preserve"> internationaux</w:t>
      </w:r>
      <w:r w:rsidR="00F957CA" w:rsidRPr="005D3CDB">
        <w:rPr>
          <w:kern w:val="22"/>
          <w:szCs w:val="22"/>
          <w:lang w:val="fr-FR"/>
        </w:rPr>
        <w:t xml:space="preserve">. </w:t>
      </w:r>
      <w:r w:rsidRPr="005D3CDB">
        <w:rPr>
          <w:kern w:val="22"/>
          <w:szCs w:val="22"/>
          <w:lang w:val="fr-FR"/>
        </w:rPr>
        <w:t>L</w:t>
      </w:r>
      <w:r>
        <w:rPr>
          <w:kern w:val="22"/>
          <w:szCs w:val="22"/>
          <w:lang w:val="fr-FR"/>
        </w:rPr>
        <w:t>e p</w:t>
      </w:r>
      <w:r w:rsidR="00F957CA" w:rsidRPr="005D3CDB">
        <w:rPr>
          <w:kern w:val="22"/>
          <w:szCs w:val="22"/>
          <w:lang w:val="fr-FR"/>
        </w:rPr>
        <w:t>aragraph</w:t>
      </w:r>
      <w:r>
        <w:rPr>
          <w:kern w:val="22"/>
          <w:szCs w:val="22"/>
          <w:lang w:val="fr-FR"/>
        </w:rPr>
        <w:t>e 4 de l’a</w:t>
      </w:r>
      <w:r w:rsidR="00F957CA" w:rsidRPr="005D3CDB">
        <w:rPr>
          <w:kern w:val="22"/>
          <w:szCs w:val="22"/>
          <w:lang w:val="fr-FR"/>
        </w:rPr>
        <w:t>rticle</w:t>
      </w:r>
      <w:r>
        <w:rPr>
          <w:kern w:val="22"/>
          <w:szCs w:val="22"/>
          <w:lang w:val="fr-FR"/>
        </w:rPr>
        <w:t xml:space="preserve"> 4 dispose que </w:t>
      </w:r>
      <w:r w:rsidR="00787708" w:rsidRPr="005D3CDB">
        <w:rPr>
          <w:kern w:val="22"/>
          <w:szCs w:val="22"/>
          <w:lang w:val="fr-FR"/>
        </w:rPr>
        <w:t>:</w:t>
      </w:r>
    </w:p>
    <w:p w:rsidR="00F957CA" w:rsidRPr="005E0454" w:rsidRDefault="005E0454" w:rsidP="009F4D8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« </w:t>
      </w:r>
      <w:r w:rsidRPr="005E0454">
        <w:rPr>
          <w:lang w:val="fr-FR"/>
        </w:rPr>
        <w:t xml:space="preserve"> Le présent Protocole est l’instrument d’application des dispositions de la Convention relatives à l’accès et au partage des avantages. Lorsqu’un instrument international </w:t>
      </w:r>
      <w:r w:rsidR="00D64ED8">
        <w:rPr>
          <w:lang w:val="fr-FR"/>
        </w:rPr>
        <w:t>spécial</w:t>
      </w:r>
      <w:r w:rsidR="00CC374A">
        <w:rPr>
          <w:lang w:val="fr-FR"/>
        </w:rPr>
        <w:t xml:space="preserve"> en matière d’accès et d</w:t>
      </w:r>
      <w:r w:rsidRPr="005E0454">
        <w:rPr>
          <w:lang w:val="fr-FR"/>
        </w:rPr>
        <w:t>e partag</w:t>
      </w:r>
      <w:r>
        <w:rPr>
          <w:lang w:val="fr-FR"/>
        </w:rPr>
        <w:t xml:space="preserve">e des avantages s’applique, est </w:t>
      </w:r>
      <w:r w:rsidRPr="005E0454">
        <w:rPr>
          <w:lang w:val="fr-FR"/>
        </w:rPr>
        <w:t>conform</w:t>
      </w:r>
      <w:r>
        <w:rPr>
          <w:lang w:val="fr-FR"/>
        </w:rPr>
        <w:t>e</w:t>
      </w:r>
      <w:r w:rsidRPr="005E0454">
        <w:rPr>
          <w:lang w:val="fr-FR"/>
        </w:rPr>
        <w:t xml:space="preserve"> aux objectifs de la Convention et du présent Protocole et ne va pas à l’encontre de ces objectifs, le présent Protocole ne s’applique pas pour la ou les Partie(s) à cet instrument </w:t>
      </w:r>
      <w:r w:rsidR="00D64ED8">
        <w:rPr>
          <w:lang w:val="fr-FR"/>
        </w:rPr>
        <w:t>spécial</w:t>
      </w:r>
      <w:r w:rsidRPr="005E0454">
        <w:rPr>
          <w:lang w:val="fr-FR"/>
        </w:rPr>
        <w:t xml:space="preserve"> en ce qui concerne la ressource génétique spécifique couverte par ledit instrument et pour les besoins de celui-ci</w:t>
      </w:r>
      <w:r>
        <w:rPr>
          <w:kern w:val="22"/>
          <w:szCs w:val="22"/>
          <w:lang w:val="fr-FR"/>
        </w:rPr>
        <w:t>. »</w:t>
      </w:r>
    </w:p>
    <w:p w:rsidR="00F957CA" w:rsidRPr="005D3CDB" w:rsidRDefault="005D3CDB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bookmarkStart w:id="2" w:name="_Hlk499756247"/>
      <w:r w:rsidRPr="005D3CDB">
        <w:rPr>
          <w:kern w:val="22"/>
          <w:szCs w:val="22"/>
          <w:lang w:val="fr-FR"/>
        </w:rPr>
        <w:t xml:space="preserve">La première phrase du </w:t>
      </w:r>
      <w:r w:rsidR="00623402" w:rsidRPr="005D3CDB">
        <w:rPr>
          <w:kern w:val="22"/>
          <w:szCs w:val="22"/>
          <w:lang w:val="fr-FR"/>
        </w:rPr>
        <w:t>paragraphe 4 de l’article 4</w:t>
      </w:r>
      <w:r w:rsidRPr="005D3CDB">
        <w:rPr>
          <w:kern w:val="22"/>
          <w:szCs w:val="22"/>
          <w:lang w:val="fr-FR"/>
        </w:rPr>
        <w:t xml:space="preserve"> indique que le </w:t>
      </w:r>
      <w:r w:rsidR="00A01DA3" w:rsidRPr="005D3CDB">
        <w:rPr>
          <w:kern w:val="22"/>
          <w:szCs w:val="22"/>
          <w:lang w:val="fr-FR"/>
        </w:rPr>
        <w:t>Protocole de Nagoya</w:t>
      </w:r>
      <w:r w:rsidR="00F957CA" w:rsidRPr="005D3CDB">
        <w:rPr>
          <w:kern w:val="22"/>
          <w:szCs w:val="22"/>
          <w:lang w:val="fr-FR"/>
        </w:rPr>
        <w:t xml:space="preserve"> </w:t>
      </w:r>
      <w:r w:rsidRPr="005D3CDB">
        <w:rPr>
          <w:kern w:val="22"/>
          <w:szCs w:val="22"/>
          <w:lang w:val="fr-FR"/>
        </w:rPr>
        <w:t xml:space="preserve">fournit un cadre </w:t>
      </w:r>
      <w:r>
        <w:rPr>
          <w:iCs/>
          <w:kern w:val="22"/>
          <w:szCs w:val="22"/>
          <w:lang w:val="fr-FR"/>
        </w:rPr>
        <w:t>géné</w:t>
      </w:r>
      <w:r w:rsidR="00F957CA" w:rsidRPr="005D3CDB">
        <w:rPr>
          <w:iCs/>
          <w:kern w:val="22"/>
          <w:szCs w:val="22"/>
          <w:lang w:val="fr-FR"/>
        </w:rPr>
        <w:t>ral</w:t>
      </w:r>
      <w:r w:rsidR="008621CF">
        <w:rPr>
          <w:iCs/>
          <w:kern w:val="22"/>
          <w:szCs w:val="22"/>
          <w:lang w:val="fr-FR"/>
        </w:rPr>
        <w:t xml:space="preserve"> qui traite d</w:t>
      </w:r>
      <w:r>
        <w:rPr>
          <w:iCs/>
          <w:kern w:val="22"/>
          <w:szCs w:val="22"/>
          <w:lang w:val="fr-FR"/>
        </w:rPr>
        <w:t>es questions relatives à l</w:t>
      </w:r>
      <w:r>
        <w:rPr>
          <w:kern w:val="22"/>
          <w:szCs w:val="22"/>
          <w:lang w:val="fr-FR"/>
        </w:rPr>
        <w:t>’accès et au partage des avantages</w:t>
      </w:r>
      <w:r w:rsidR="00F957CA" w:rsidRPr="005D3CDB">
        <w:rPr>
          <w:kern w:val="22"/>
          <w:szCs w:val="22"/>
          <w:lang w:val="fr-FR"/>
        </w:rPr>
        <w:t xml:space="preserve"> </w:t>
      </w:r>
      <w:r w:rsidR="008621CF">
        <w:rPr>
          <w:kern w:val="22"/>
          <w:szCs w:val="22"/>
          <w:lang w:val="fr-FR"/>
        </w:rPr>
        <w:t xml:space="preserve">au titre </w:t>
      </w:r>
      <w:r>
        <w:rPr>
          <w:kern w:val="22"/>
          <w:szCs w:val="22"/>
          <w:lang w:val="fr-FR"/>
        </w:rPr>
        <w:t xml:space="preserve">de la </w:t>
      </w:r>
      <w:r w:rsidR="00CC47BF" w:rsidRPr="005D3CDB">
        <w:rPr>
          <w:kern w:val="22"/>
          <w:szCs w:val="22"/>
          <w:lang w:val="fr-FR"/>
        </w:rPr>
        <w:t>Convention</w:t>
      </w:r>
      <w:r w:rsidR="008621CF">
        <w:rPr>
          <w:kern w:val="22"/>
          <w:szCs w:val="22"/>
          <w:lang w:val="fr-FR"/>
        </w:rPr>
        <w:t xml:space="preserve"> sur la diversité biologique. La deuxième phrase énonc</w:t>
      </w:r>
      <w:r>
        <w:rPr>
          <w:kern w:val="22"/>
          <w:szCs w:val="22"/>
          <w:lang w:val="fr-FR"/>
        </w:rPr>
        <w:t xml:space="preserve">e que le </w:t>
      </w:r>
      <w:r w:rsidR="00A01DA3" w:rsidRPr="005D3CDB">
        <w:rPr>
          <w:kern w:val="22"/>
          <w:szCs w:val="22"/>
          <w:lang w:val="fr-FR"/>
        </w:rPr>
        <w:t>Protocole de Nagoya</w:t>
      </w:r>
      <w:r w:rsidR="008621CF">
        <w:rPr>
          <w:kern w:val="22"/>
          <w:szCs w:val="22"/>
          <w:lang w:val="fr-FR"/>
        </w:rPr>
        <w:t xml:space="preserve"> ne remplace pas</w:t>
      </w:r>
      <w:r w:rsidR="00C20376">
        <w:rPr>
          <w:kern w:val="22"/>
          <w:szCs w:val="22"/>
          <w:lang w:val="fr-FR"/>
        </w:rPr>
        <w:t xml:space="preserve"> les</w:t>
      </w:r>
      <w:r w:rsidR="00623402" w:rsidRPr="005D3CDB">
        <w:rPr>
          <w:kern w:val="22"/>
          <w:szCs w:val="22"/>
          <w:lang w:val="fr-FR"/>
        </w:rPr>
        <w:t xml:space="preserve"> autres </w:t>
      </w:r>
      <w:r w:rsidR="008621CF">
        <w:rPr>
          <w:kern w:val="22"/>
          <w:szCs w:val="22"/>
          <w:lang w:val="fr-FR"/>
        </w:rPr>
        <w:t>accords relatifs</w:t>
      </w:r>
      <w:r w:rsidR="00C20376">
        <w:rPr>
          <w:kern w:val="22"/>
          <w:szCs w:val="22"/>
          <w:lang w:val="fr-FR"/>
        </w:rPr>
        <w:t xml:space="preserve"> à l’accès et au</w:t>
      </w:r>
      <w:r w:rsidRPr="005D3CDB">
        <w:rPr>
          <w:kern w:val="22"/>
          <w:szCs w:val="22"/>
          <w:lang w:val="fr-FR"/>
        </w:rPr>
        <w:t xml:space="preserve"> partage des avantages</w:t>
      </w:r>
      <w:r w:rsidR="00F957CA" w:rsidRPr="005D3CDB">
        <w:rPr>
          <w:kern w:val="22"/>
          <w:szCs w:val="22"/>
          <w:lang w:val="fr-FR"/>
        </w:rPr>
        <w:t xml:space="preserve"> </w:t>
      </w:r>
      <w:r w:rsidRPr="005D3CDB">
        <w:rPr>
          <w:kern w:val="22"/>
          <w:szCs w:val="22"/>
          <w:lang w:val="fr-FR"/>
        </w:rPr>
        <w:t>accords</w:t>
      </w:r>
      <w:r w:rsidR="008621CF">
        <w:rPr>
          <w:kern w:val="22"/>
          <w:szCs w:val="22"/>
          <w:lang w:val="fr-FR"/>
        </w:rPr>
        <w:t>, mais qu’il a plutôt une fonction</w:t>
      </w:r>
      <w:r w:rsidR="00C20376">
        <w:rPr>
          <w:kern w:val="22"/>
          <w:szCs w:val="22"/>
          <w:lang w:val="fr-FR"/>
        </w:rPr>
        <w:t xml:space="preserve"> de régime résiduel </w:t>
      </w:r>
      <w:r w:rsidR="008621CF">
        <w:rPr>
          <w:kern w:val="22"/>
          <w:szCs w:val="22"/>
          <w:lang w:val="fr-FR"/>
        </w:rPr>
        <w:t xml:space="preserve">s’appliquant </w:t>
      </w:r>
      <w:r w:rsidR="00C20376">
        <w:rPr>
          <w:kern w:val="22"/>
          <w:szCs w:val="22"/>
          <w:lang w:val="fr-FR"/>
        </w:rPr>
        <w:t>en l’absence d’</w:t>
      </w:r>
      <w:r>
        <w:rPr>
          <w:kern w:val="22"/>
          <w:szCs w:val="22"/>
          <w:lang w:val="fr-FR"/>
        </w:rPr>
        <w:t xml:space="preserve">instruments </w:t>
      </w:r>
      <w:r w:rsidR="00C3300B">
        <w:rPr>
          <w:kern w:val="22"/>
          <w:szCs w:val="22"/>
          <w:lang w:val="fr-FR"/>
        </w:rPr>
        <w:t>spéciaux</w:t>
      </w:r>
      <w:r>
        <w:rPr>
          <w:kern w:val="22"/>
          <w:szCs w:val="22"/>
          <w:lang w:val="fr-FR"/>
        </w:rPr>
        <w:t xml:space="preserve"> sur l’accès et le partage des avantages</w:t>
      </w:r>
      <w:r w:rsidR="00F957CA" w:rsidRPr="005D3CDB">
        <w:rPr>
          <w:kern w:val="22"/>
          <w:szCs w:val="22"/>
          <w:lang w:val="fr-FR"/>
        </w:rPr>
        <w:t xml:space="preserve"> </w:t>
      </w:r>
      <w:r w:rsidR="008621CF">
        <w:rPr>
          <w:kern w:val="22"/>
          <w:szCs w:val="22"/>
          <w:lang w:val="fr-FR"/>
        </w:rPr>
        <w:t>qui remplissent</w:t>
      </w:r>
      <w:r w:rsidR="00C20376">
        <w:rPr>
          <w:kern w:val="22"/>
          <w:szCs w:val="22"/>
          <w:lang w:val="fr-FR"/>
        </w:rPr>
        <w:t xml:space="preserve"> </w:t>
      </w:r>
      <w:r w:rsidR="00F957CA" w:rsidRPr="005D3CDB">
        <w:rPr>
          <w:kern w:val="22"/>
          <w:szCs w:val="22"/>
          <w:lang w:val="fr-FR"/>
        </w:rPr>
        <w:t>certain</w:t>
      </w:r>
      <w:r w:rsidR="00C20376">
        <w:rPr>
          <w:kern w:val="22"/>
          <w:szCs w:val="22"/>
          <w:lang w:val="fr-FR"/>
        </w:rPr>
        <w:t>es</w:t>
      </w:r>
      <w:r w:rsidR="00F957CA" w:rsidRPr="005D3CDB">
        <w:rPr>
          <w:kern w:val="22"/>
          <w:szCs w:val="22"/>
          <w:lang w:val="fr-FR"/>
        </w:rPr>
        <w:t xml:space="preserve"> conditions. </w:t>
      </w:r>
      <w:r>
        <w:rPr>
          <w:kern w:val="22"/>
          <w:szCs w:val="22"/>
          <w:lang w:val="fr-FR"/>
        </w:rPr>
        <w:t>L</w:t>
      </w:r>
      <w:r w:rsidR="00ED737F" w:rsidRPr="005D3CDB">
        <w:rPr>
          <w:kern w:val="22"/>
          <w:szCs w:val="22"/>
          <w:lang w:val="fr-FR"/>
        </w:rPr>
        <w:t>e</w:t>
      </w:r>
      <w:r>
        <w:rPr>
          <w:kern w:val="22"/>
          <w:szCs w:val="22"/>
          <w:lang w:val="fr-FR"/>
        </w:rPr>
        <w:t>s objectifs de la</w:t>
      </w:r>
      <w:r w:rsidR="00ED737F" w:rsidRPr="005D3CDB">
        <w:rPr>
          <w:kern w:val="22"/>
          <w:szCs w:val="22"/>
          <w:lang w:val="fr-FR"/>
        </w:rPr>
        <w:t xml:space="preserve"> </w:t>
      </w:r>
      <w:r w:rsidR="00301ED8" w:rsidRPr="005D3CDB">
        <w:rPr>
          <w:kern w:val="22"/>
          <w:szCs w:val="22"/>
          <w:lang w:val="fr-FR"/>
        </w:rPr>
        <w:t xml:space="preserve">Convention </w:t>
      </w:r>
      <w:r>
        <w:rPr>
          <w:kern w:val="22"/>
          <w:szCs w:val="22"/>
          <w:lang w:val="fr-FR"/>
        </w:rPr>
        <w:t>sur la diversité biologique</w:t>
      </w:r>
      <w:r w:rsidR="00623402" w:rsidRPr="005D3CDB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du</w:t>
      </w:r>
      <w:r w:rsidR="00ED737F" w:rsidRPr="005D3CDB">
        <w:rPr>
          <w:kern w:val="22"/>
          <w:szCs w:val="22"/>
          <w:lang w:val="fr-FR"/>
        </w:rPr>
        <w:t xml:space="preserve"> </w:t>
      </w:r>
      <w:r w:rsidR="00A01DA3" w:rsidRPr="005D3CDB">
        <w:rPr>
          <w:kern w:val="22"/>
          <w:szCs w:val="22"/>
          <w:lang w:val="fr-FR"/>
        </w:rPr>
        <w:t>Protocole de Nagoya</w:t>
      </w:r>
      <w:r w:rsidR="00ED737F" w:rsidRPr="005D3CDB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peuvent donc fournir une base pour l’élaboration de </w:t>
      </w:r>
      <w:r w:rsidR="00A01DA3" w:rsidRPr="005D3CDB">
        <w:rPr>
          <w:kern w:val="22"/>
          <w:szCs w:val="22"/>
          <w:lang w:val="fr-FR"/>
        </w:rPr>
        <w:t>critères</w:t>
      </w:r>
      <w:r>
        <w:rPr>
          <w:kern w:val="22"/>
          <w:szCs w:val="22"/>
          <w:lang w:val="fr-FR"/>
        </w:rPr>
        <w:t xml:space="preserve"> permettant d’identifier les</w:t>
      </w:r>
      <w:r w:rsidR="00ED737F" w:rsidRPr="005D3CDB">
        <w:rPr>
          <w:kern w:val="22"/>
          <w:szCs w:val="22"/>
          <w:lang w:val="fr-FR"/>
        </w:rPr>
        <w:t xml:space="preserve"> </w:t>
      </w:r>
      <w:r w:rsidRPr="005D3CDB">
        <w:rPr>
          <w:kern w:val="22"/>
          <w:szCs w:val="22"/>
          <w:lang w:val="fr-FR"/>
        </w:rPr>
        <w:t xml:space="preserve">instruments </w:t>
      </w:r>
      <w:r w:rsidR="00C3300B">
        <w:rPr>
          <w:kern w:val="22"/>
          <w:szCs w:val="22"/>
          <w:lang w:val="fr-FR"/>
        </w:rPr>
        <w:t>spéciaux</w:t>
      </w:r>
      <w:r w:rsidRPr="005D3CDB">
        <w:rPr>
          <w:kern w:val="22"/>
          <w:szCs w:val="22"/>
          <w:lang w:val="fr-FR"/>
        </w:rPr>
        <w:t xml:space="preserve"> sur l’accès et le partage des avantages</w:t>
      </w:r>
      <w:r w:rsidR="00ED737F" w:rsidRPr="005D3CDB">
        <w:rPr>
          <w:kern w:val="22"/>
          <w:szCs w:val="22"/>
          <w:lang w:val="fr-FR"/>
        </w:rPr>
        <w:t>.</w:t>
      </w:r>
    </w:p>
    <w:p w:rsidR="00F957CA" w:rsidRPr="00CA0357" w:rsidRDefault="005D3CDB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Ainsi</w:t>
      </w:r>
      <w:r w:rsidR="00F957CA" w:rsidRPr="005D3CDB">
        <w:rPr>
          <w:kern w:val="22"/>
          <w:szCs w:val="22"/>
          <w:lang w:val="fr-FR"/>
        </w:rPr>
        <w:t xml:space="preserve">, </w:t>
      </w:r>
      <w:r w:rsidR="008621CF">
        <w:rPr>
          <w:kern w:val="22"/>
          <w:szCs w:val="22"/>
          <w:lang w:val="fr-FR"/>
        </w:rPr>
        <w:t>un</w:t>
      </w:r>
      <w:r>
        <w:rPr>
          <w:kern w:val="22"/>
          <w:szCs w:val="22"/>
          <w:lang w:val="fr-FR"/>
        </w:rPr>
        <w:t xml:space="preserve"> </w:t>
      </w:r>
      <w:r w:rsidR="008621CF">
        <w:rPr>
          <w:kern w:val="22"/>
          <w:szCs w:val="22"/>
          <w:lang w:val="fr-FR"/>
        </w:rPr>
        <w:t>instrument</w:t>
      </w:r>
      <w:r w:rsidRPr="005D3CDB">
        <w:rPr>
          <w:kern w:val="22"/>
          <w:szCs w:val="22"/>
          <w:lang w:val="fr-FR"/>
        </w:rPr>
        <w:t xml:space="preserve"> </w:t>
      </w:r>
      <w:r w:rsidR="008621CF">
        <w:rPr>
          <w:kern w:val="22"/>
          <w:szCs w:val="22"/>
          <w:lang w:val="fr-FR"/>
        </w:rPr>
        <w:t>spécial</w:t>
      </w:r>
      <w:r w:rsidRPr="005D3CDB">
        <w:rPr>
          <w:kern w:val="22"/>
          <w:szCs w:val="22"/>
          <w:lang w:val="fr-FR"/>
        </w:rPr>
        <w:t xml:space="preserve"> sur l’accès et le partage des avantages</w:t>
      </w:r>
      <w:r w:rsidR="00F957CA" w:rsidRPr="005D3CDB">
        <w:rPr>
          <w:kern w:val="22"/>
          <w:szCs w:val="22"/>
          <w:lang w:val="fr-FR"/>
        </w:rPr>
        <w:t xml:space="preserve"> </w:t>
      </w:r>
      <w:r w:rsidR="008621CF">
        <w:rPr>
          <w:kern w:val="22"/>
          <w:szCs w:val="22"/>
          <w:lang w:val="fr-FR"/>
        </w:rPr>
        <w:t>qui est compatible avec les</w:t>
      </w:r>
      <w:r>
        <w:rPr>
          <w:kern w:val="22"/>
          <w:szCs w:val="22"/>
          <w:lang w:val="fr-FR"/>
        </w:rPr>
        <w:t xml:space="preserve"> objectifs</w:t>
      </w:r>
      <w:r w:rsidR="00F957CA" w:rsidRPr="005D3CDB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de la</w:t>
      </w:r>
      <w:r w:rsidR="007D0BB6" w:rsidRPr="005D3CDB">
        <w:rPr>
          <w:kern w:val="22"/>
          <w:szCs w:val="22"/>
          <w:lang w:val="fr-FR"/>
        </w:rPr>
        <w:t xml:space="preserve"> Convention</w:t>
      </w:r>
      <w:r w:rsidR="00623402" w:rsidRPr="005D3CDB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du</w:t>
      </w:r>
      <w:r w:rsidR="007D0BB6" w:rsidRPr="005D3CDB">
        <w:rPr>
          <w:kern w:val="22"/>
          <w:szCs w:val="22"/>
          <w:lang w:val="fr-FR"/>
        </w:rPr>
        <w:t xml:space="preserve"> </w:t>
      </w:r>
      <w:r w:rsidR="0001030F">
        <w:rPr>
          <w:kern w:val="22"/>
          <w:szCs w:val="22"/>
          <w:lang w:val="fr-FR"/>
        </w:rPr>
        <w:t xml:space="preserve">Protocole </w:t>
      </w:r>
      <w:r w:rsidR="008621CF">
        <w:rPr>
          <w:kern w:val="22"/>
          <w:szCs w:val="22"/>
          <w:lang w:val="fr-FR"/>
        </w:rPr>
        <w:t>sera considéré</w:t>
      </w:r>
      <w:r>
        <w:rPr>
          <w:kern w:val="22"/>
          <w:szCs w:val="22"/>
          <w:lang w:val="fr-FR"/>
        </w:rPr>
        <w:t xml:space="preserve"> comme</w:t>
      </w:r>
      <w:r w:rsidR="00F957CA" w:rsidRPr="005D3CDB">
        <w:rPr>
          <w:kern w:val="22"/>
          <w:szCs w:val="22"/>
          <w:lang w:val="fr-FR"/>
        </w:rPr>
        <w:t xml:space="preserve"> </w:t>
      </w:r>
      <w:r w:rsidR="00F957CA" w:rsidRPr="009F4D84">
        <w:rPr>
          <w:i/>
          <w:iCs/>
          <w:kern w:val="22"/>
          <w:szCs w:val="22"/>
          <w:lang w:val="la-Latn"/>
        </w:rPr>
        <w:t>lex specialis</w:t>
      </w:r>
      <w:r>
        <w:rPr>
          <w:kern w:val="22"/>
          <w:szCs w:val="22"/>
          <w:lang w:val="fr-FR"/>
        </w:rPr>
        <w:t xml:space="preserve"> vis-à-vis du</w:t>
      </w:r>
      <w:r w:rsidR="00F957CA" w:rsidRPr="005D3CDB">
        <w:rPr>
          <w:kern w:val="22"/>
          <w:szCs w:val="22"/>
          <w:lang w:val="fr-FR"/>
        </w:rPr>
        <w:t xml:space="preserve"> Protocol</w:t>
      </w:r>
      <w:r w:rsidR="008621CF">
        <w:rPr>
          <w:kern w:val="22"/>
          <w:szCs w:val="22"/>
          <w:lang w:val="fr-FR"/>
        </w:rPr>
        <w:t>e,</w:t>
      </w:r>
      <w:r>
        <w:rPr>
          <w:kern w:val="22"/>
          <w:szCs w:val="22"/>
          <w:lang w:val="fr-FR"/>
        </w:rPr>
        <w:t xml:space="preserve"> pour les Parties aux deux </w:t>
      </w:r>
      <w:r w:rsidR="00F957CA" w:rsidRPr="005D3CDB">
        <w:rPr>
          <w:kern w:val="22"/>
          <w:szCs w:val="22"/>
          <w:lang w:val="fr-FR"/>
        </w:rPr>
        <w:t xml:space="preserve">instruments. </w:t>
      </w:r>
      <w:r w:rsidR="00C20376">
        <w:rPr>
          <w:kern w:val="22"/>
          <w:szCs w:val="22"/>
          <w:lang w:val="fr-FR"/>
        </w:rPr>
        <w:t xml:space="preserve">Dans un tel cas, les </w:t>
      </w:r>
      <w:r w:rsidR="00623402" w:rsidRPr="00F83893">
        <w:rPr>
          <w:kern w:val="22"/>
          <w:szCs w:val="22"/>
          <w:lang w:val="fr-FR"/>
        </w:rPr>
        <w:t>dispositions</w:t>
      </w:r>
      <w:r w:rsidR="008621CF">
        <w:rPr>
          <w:kern w:val="22"/>
          <w:szCs w:val="22"/>
          <w:lang w:val="fr-FR"/>
        </w:rPr>
        <w:t xml:space="preserve"> de l’instrument</w:t>
      </w:r>
      <w:r w:rsidRPr="00F83893">
        <w:rPr>
          <w:kern w:val="22"/>
          <w:szCs w:val="22"/>
          <w:lang w:val="fr-FR"/>
        </w:rPr>
        <w:t xml:space="preserve"> </w:t>
      </w:r>
      <w:r w:rsidR="008621CF">
        <w:rPr>
          <w:kern w:val="22"/>
          <w:szCs w:val="22"/>
          <w:lang w:val="fr-FR"/>
        </w:rPr>
        <w:t>spécial</w:t>
      </w:r>
      <w:r w:rsidRPr="00F83893">
        <w:rPr>
          <w:kern w:val="22"/>
          <w:szCs w:val="22"/>
          <w:lang w:val="fr-FR"/>
        </w:rPr>
        <w:t xml:space="preserve"> sur l’accès et le partage des avantages</w:t>
      </w:r>
      <w:r w:rsidR="00C20376">
        <w:rPr>
          <w:kern w:val="22"/>
          <w:szCs w:val="22"/>
          <w:lang w:val="fr-FR"/>
        </w:rPr>
        <w:t xml:space="preserve"> s’appliqueront</w:t>
      </w:r>
      <w:r w:rsidR="00F957CA" w:rsidRPr="00F83893">
        <w:rPr>
          <w:kern w:val="22"/>
          <w:szCs w:val="22"/>
          <w:lang w:val="fr-FR"/>
        </w:rPr>
        <w:t xml:space="preserve">, </w:t>
      </w:r>
      <w:r w:rsidR="00C20376">
        <w:rPr>
          <w:kern w:val="22"/>
          <w:szCs w:val="22"/>
          <w:lang w:val="fr-FR"/>
        </w:rPr>
        <w:t xml:space="preserve">plutôt que les dispositions plus générales </w:t>
      </w:r>
      <w:r w:rsidRPr="00F83893">
        <w:rPr>
          <w:kern w:val="22"/>
          <w:szCs w:val="22"/>
          <w:lang w:val="fr-FR"/>
        </w:rPr>
        <w:t>du Pro</w:t>
      </w:r>
      <w:r w:rsidR="00A01DA3" w:rsidRPr="00F83893">
        <w:rPr>
          <w:kern w:val="22"/>
          <w:szCs w:val="22"/>
          <w:lang w:val="fr-FR"/>
        </w:rPr>
        <w:t>tocole de Nagoya</w:t>
      </w:r>
      <w:r w:rsidR="008621CF">
        <w:rPr>
          <w:kern w:val="22"/>
          <w:szCs w:val="22"/>
          <w:lang w:val="fr-FR"/>
        </w:rPr>
        <w:t>, aux r</w:t>
      </w:r>
      <w:r w:rsidR="0001030F" w:rsidRPr="00F83893">
        <w:rPr>
          <w:kern w:val="22"/>
          <w:szCs w:val="22"/>
          <w:lang w:val="fr-FR"/>
        </w:rPr>
        <w:t>essources génétiques</w:t>
      </w:r>
      <w:r w:rsidR="008621CF">
        <w:rPr>
          <w:kern w:val="22"/>
          <w:szCs w:val="22"/>
          <w:lang w:val="fr-FR"/>
        </w:rPr>
        <w:t xml:space="preserve"> visée</w:t>
      </w:r>
      <w:r w:rsidR="00C20376">
        <w:rPr>
          <w:kern w:val="22"/>
          <w:szCs w:val="22"/>
          <w:lang w:val="fr-FR"/>
        </w:rPr>
        <w:t xml:space="preserve">s par l’instrument spécial, et </w:t>
      </w:r>
      <w:r w:rsidR="005E0454">
        <w:rPr>
          <w:kern w:val="22"/>
          <w:szCs w:val="22"/>
          <w:lang w:val="fr-FR"/>
        </w:rPr>
        <w:t>pour les besoins de</w:t>
      </w:r>
      <w:r w:rsidR="00C20376">
        <w:rPr>
          <w:kern w:val="22"/>
          <w:szCs w:val="22"/>
          <w:lang w:val="fr-FR"/>
        </w:rPr>
        <w:t xml:space="preserve"> celui-ci</w:t>
      </w:r>
      <w:r w:rsidR="00F957CA" w:rsidRPr="00F83893">
        <w:rPr>
          <w:kern w:val="22"/>
          <w:szCs w:val="22"/>
          <w:lang w:val="fr-FR"/>
        </w:rPr>
        <w:t xml:space="preserve">. </w:t>
      </w:r>
      <w:r w:rsidR="00CA0357" w:rsidRPr="00CA0357">
        <w:rPr>
          <w:kern w:val="22"/>
          <w:szCs w:val="22"/>
          <w:lang w:val="fr-FR"/>
        </w:rPr>
        <w:t>L</w:t>
      </w:r>
      <w:r w:rsidR="00CA0357">
        <w:rPr>
          <w:kern w:val="22"/>
          <w:szCs w:val="22"/>
          <w:lang w:val="fr-FR"/>
        </w:rPr>
        <w:t xml:space="preserve">a doctrine </w:t>
      </w:r>
      <w:r w:rsidR="00CA0357" w:rsidRPr="00CA0357">
        <w:rPr>
          <w:i/>
          <w:kern w:val="22"/>
          <w:szCs w:val="22"/>
          <w:lang w:val="fr-FR"/>
        </w:rPr>
        <w:t>lex specialis derogat generali</w:t>
      </w:r>
      <w:r w:rsidR="00CA0357" w:rsidRPr="00CA0357">
        <w:rPr>
          <w:kern w:val="22"/>
          <w:szCs w:val="22"/>
          <w:lang w:val="fr-FR"/>
        </w:rPr>
        <w:t xml:space="preserve"> </w:t>
      </w:r>
      <w:r w:rsidR="008621CF">
        <w:rPr>
          <w:kern w:val="22"/>
          <w:szCs w:val="22"/>
          <w:lang w:val="fr-FR"/>
        </w:rPr>
        <w:t>prévoit</w:t>
      </w:r>
      <w:r w:rsidR="00CA0357">
        <w:rPr>
          <w:kern w:val="22"/>
          <w:szCs w:val="22"/>
          <w:lang w:val="fr-FR"/>
        </w:rPr>
        <w:t xml:space="preserve"> </w:t>
      </w:r>
      <w:r w:rsidR="00CA0357" w:rsidRPr="00CA0357">
        <w:rPr>
          <w:kern w:val="22"/>
          <w:szCs w:val="22"/>
          <w:lang w:val="fr-FR"/>
        </w:rPr>
        <w:t>qu’une loi spéciale prime sur une règle générale</w:t>
      </w:r>
      <w:r w:rsidR="00F957CA" w:rsidRPr="00CA0357">
        <w:rPr>
          <w:kern w:val="22"/>
          <w:szCs w:val="22"/>
          <w:lang w:val="fr-FR"/>
        </w:rPr>
        <w:t xml:space="preserve">. </w:t>
      </w:r>
      <w:r w:rsidR="00CA0357" w:rsidRPr="00CA0357">
        <w:rPr>
          <w:kern w:val="22"/>
          <w:szCs w:val="22"/>
          <w:lang w:val="fr-FR"/>
        </w:rPr>
        <w:t>C</w:t>
      </w:r>
      <w:r w:rsidR="00F957CA" w:rsidRPr="00CA0357">
        <w:rPr>
          <w:kern w:val="22"/>
          <w:szCs w:val="22"/>
          <w:lang w:val="fr-FR"/>
        </w:rPr>
        <w:t>e</w:t>
      </w:r>
      <w:r w:rsidR="008621CF">
        <w:rPr>
          <w:kern w:val="22"/>
          <w:szCs w:val="22"/>
          <w:lang w:val="fr-FR"/>
        </w:rPr>
        <w:t>tte doctrine est largement accepté</w:t>
      </w:r>
      <w:r w:rsidR="00CA0357" w:rsidRPr="00CA0357">
        <w:rPr>
          <w:kern w:val="22"/>
          <w:szCs w:val="22"/>
          <w:lang w:val="fr-FR"/>
        </w:rPr>
        <w:t xml:space="preserve">e, puisqu’une règle spéciale peut </w:t>
      </w:r>
      <w:r w:rsidR="00CA0357">
        <w:rPr>
          <w:kern w:val="22"/>
          <w:szCs w:val="22"/>
          <w:lang w:val="fr-FR"/>
        </w:rPr>
        <w:t>être considé</w:t>
      </w:r>
      <w:r w:rsidR="00F957CA" w:rsidRPr="00CA0357">
        <w:rPr>
          <w:kern w:val="22"/>
          <w:szCs w:val="22"/>
          <w:lang w:val="fr-FR"/>
        </w:rPr>
        <w:t>r</w:t>
      </w:r>
      <w:r w:rsidR="00CA0357">
        <w:rPr>
          <w:kern w:val="22"/>
          <w:szCs w:val="22"/>
          <w:lang w:val="fr-FR"/>
        </w:rPr>
        <w:t>ée com</w:t>
      </w:r>
      <w:r w:rsidR="00EC5B2F">
        <w:rPr>
          <w:kern w:val="22"/>
          <w:szCs w:val="22"/>
          <w:lang w:val="fr-FR"/>
        </w:rPr>
        <w:t>me réglementant plus efficacement une question particulière</w:t>
      </w:r>
      <w:r w:rsidR="00F957CA" w:rsidRPr="00CA0357">
        <w:rPr>
          <w:kern w:val="22"/>
          <w:szCs w:val="22"/>
          <w:lang w:val="fr-FR"/>
        </w:rPr>
        <w:t>.</w:t>
      </w:r>
    </w:p>
    <w:p w:rsidR="00F957CA" w:rsidRPr="0001030F" w:rsidRDefault="005D3CDB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5D3CDB">
        <w:rPr>
          <w:kern w:val="22"/>
          <w:szCs w:val="22"/>
          <w:lang w:val="fr-FR"/>
        </w:rPr>
        <w:t>L</w:t>
      </w:r>
      <w:r w:rsidR="00623402" w:rsidRPr="005D3CDB">
        <w:rPr>
          <w:kern w:val="22"/>
          <w:szCs w:val="22"/>
          <w:lang w:val="fr-FR"/>
        </w:rPr>
        <w:t>e paragraphe 4 de l’article 4</w:t>
      </w:r>
      <w:r w:rsidR="00EC5B2F">
        <w:rPr>
          <w:kern w:val="22"/>
          <w:szCs w:val="22"/>
          <w:lang w:val="fr-FR"/>
        </w:rPr>
        <w:t xml:space="preserve"> se rapporte aux</w:t>
      </w:r>
      <w:r w:rsidR="003F6B97">
        <w:rPr>
          <w:kern w:val="22"/>
          <w:szCs w:val="22"/>
          <w:lang w:val="fr-FR"/>
        </w:rPr>
        <w:t xml:space="preserve"> « instruments »</w:t>
      </w:r>
      <w:r w:rsidR="00831253" w:rsidRPr="005D3CDB">
        <w:rPr>
          <w:kern w:val="22"/>
          <w:szCs w:val="22"/>
          <w:lang w:val="fr-FR"/>
        </w:rPr>
        <w:t>,</w:t>
      </w:r>
      <w:r w:rsidR="00F957CA" w:rsidRPr="005D3CDB">
        <w:rPr>
          <w:kern w:val="22"/>
          <w:szCs w:val="22"/>
          <w:lang w:val="fr-FR"/>
        </w:rPr>
        <w:t xml:space="preserve"> </w:t>
      </w:r>
      <w:r w:rsidR="00EC5B2F">
        <w:rPr>
          <w:kern w:val="22"/>
          <w:szCs w:val="22"/>
          <w:lang w:val="fr-FR"/>
        </w:rPr>
        <w:t>comprenant</w:t>
      </w:r>
      <w:r w:rsidRPr="005D3CDB">
        <w:rPr>
          <w:kern w:val="22"/>
          <w:szCs w:val="22"/>
          <w:lang w:val="fr-FR"/>
        </w:rPr>
        <w:t xml:space="preserve"> ainsi les traités </w:t>
      </w:r>
      <w:r w:rsidR="00F957CA" w:rsidRPr="005D3CDB">
        <w:rPr>
          <w:kern w:val="22"/>
          <w:szCs w:val="22"/>
          <w:lang w:val="fr-FR"/>
        </w:rPr>
        <w:t>(</w:t>
      </w:r>
      <w:r w:rsidRPr="005D3CDB">
        <w:rPr>
          <w:kern w:val="22"/>
          <w:szCs w:val="22"/>
          <w:lang w:val="fr-FR"/>
        </w:rPr>
        <w:t>juridiquement contraignants),</w:t>
      </w:r>
      <w:r w:rsidR="00F957CA" w:rsidRPr="005D3CDB">
        <w:rPr>
          <w:kern w:val="22"/>
          <w:szCs w:val="22"/>
          <w:lang w:val="fr-FR"/>
        </w:rPr>
        <w:t xml:space="preserve"> </w:t>
      </w:r>
      <w:r w:rsidR="00EC5B2F">
        <w:rPr>
          <w:kern w:val="22"/>
          <w:szCs w:val="22"/>
          <w:lang w:val="fr-FR"/>
        </w:rPr>
        <w:t xml:space="preserve">mais aussi </w:t>
      </w:r>
      <w:r w:rsidRPr="005D3CDB">
        <w:rPr>
          <w:kern w:val="22"/>
          <w:szCs w:val="22"/>
          <w:lang w:val="fr-FR"/>
        </w:rPr>
        <w:t>d’autres accords internationaux non juridiquement contraignants qui ont été approuvé</w:t>
      </w:r>
      <w:r>
        <w:rPr>
          <w:kern w:val="22"/>
          <w:szCs w:val="22"/>
          <w:lang w:val="fr-FR"/>
        </w:rPr>
        <w:t>s sur une base</w:t>
      </w:r>
      <w:r w:rsidR="00F957CA" w:rsidRPr="005D3CDB">
        <w:rPr>
          <w:kern w:val="22"/>
          <w:szCs w:val="22"/>
          <w:lang w:val="fr-FR"/>
        </w:rPr>
        <w:t xml:space="preserve"> intergo</w:t>
      </w:r>
      <w:r>
        <w:rPr>
          <w:kern w:val="22"/>
          <w:szCs w:val="22"/>
          <w:lang w:val="fr-FR"/>
        </w:rPr>
        <w:t>u</w:t>
      </w:r>
      <w:r w:rsidR="00F957CA" w:rsidRPr="005D3CDB">
        <w:rPr>
          <w:kern w:val="22"/>
          <w:szCs w:val="22"/>
          <w:lang w:val="fr-FR"/>
        </w:rPr>
        <w:t>vern</w:t>
      </w:r>
      <w:r>
        <w:rPr>
          <w:kern w:val="22"/>
          <w:szCs w:val="22"/>
          <w:lang w:val="fr-FR"/>
        </w:rPr>
        <w:t>ementale</w:t>
      </w:r>
      <w:r w:rsidR="00F957CA" w:rsidRPr="005D3CDB">
        <w:rPr>
          <w:kern w:val="22"/>
          <w:szCs w:val="22"/>
          <w:lang w:val="fr-FR"/>
        </w:rPr>
        <w:t xml:space="preserve"> </w:t>
      </w:r>
      <w:r w:rsidR="00EC5B2F">
        <w:rPr>
          <w:kern w:val="22"/>
          <w:szCs w:val="22"/>
          <w:lang w:val="fr-FR"/>
        </w:rPr>
        <w:t>dans le cadr</w:t>
      </w:r>
      <w:r>
        <w:rPr>
          <w:kern w:val="22"/>
          <w:szCs w:val="22"/>
          <w:lang w:val="fr-FR"/>
        </w:rPr>
        <w:t xml:space="preserve">e d’un </w:t>
      </w:r>
      <w:r w:rsidR="0001030F">
        <w:rPr>
          <w:kern w:val="22"/>
          <w:szCs w:val="22"/>
          <w:lang w:val="fr-FR"/>
        </w:rPr>
        <w:t>traité</w:t>
      </w:r>
      <w:r w:rsidR="00F957CA" w:rsidRPr="005D3CDB">
        <w:rPr>
          <w:kern w:val="22"/>
          <w:szCs w:val="22"/>
          <w:lang w:val="fr-FR"/>
        </w:rPr>
        <w:t xml:space="preserve"> (</w:t>
      </w:r>
      <w:r w:rsidR="00C20376">
        <w:rPr>
          <w:kern w:val="22"/>
          <w:szCs w:val="22"/>
          <w:lang w:val="fr-FR"/>
        </w:rPr>
        <w:t xml:space="preserve">par exemple, </w:t>
      </w:r>
      <w:r w:rsidR="00C2347F">
        <w:rPr>
          <w:kern w:val="22"/>
          <w:szCs w:val="22"/>
          <w:lang w:val="fr-FR"/>
        </w:rPr>
        <w:t xml:space="preserve">sous les auspices d’une </w:t>
      </w:r>
      <w:r w:rsidR="00C20376">
        <w:rPr>
          <w:kern w:val="22"/>
          <w:szCs w:val="22"/>
          <w:lang w:val="fr-FR"/>
        </w:rPr>
        <w:t>organisation internationale</w:t>
      </w:r>
      <w:r w:rsidR="00C2347F">
        <w:rPr>
          <w:kern w:val="22"/>
          <w:szCs w:val="22"/>
          <w:lang w:val="fr-FR"/>
        </w:rPr>
        <w:t xml:space="preserve"> créée par un</w:t>
      </w:r>
      <w:r w:rsidR="00F957CA" w:rsidRPr="005D3CDB">
        <w:rPr>
          <w:kern w:val="22"/>
          <w:szCs w:val="22"/>
          <w:lang w:val="fr-FR"/>
        </w:rPr>
        <w:t xml:space="preserve"> </w:t>
      </w:r>
      <w:r w:rsidR="0001030F">
        <w:rPr>
          <w:kern w:val="22"/>
          <w:szCs w:val="22"/>
          <w:lang w:val="fr-FR"/>
        </w:rPr>
        <w:t>traité</w:t>
      </w:r>
      <w:r w:rsidR="00F957CA" w:rsidRPr="005D3CDB">
        <w:rPr>
          <w:kern w:val="22"/>
          <w:szCs w:val="22"/>
          <w:lang w:val="fr-FR"/>
        </w:rPr>
        <w:t>).</w:t>
      </w:r>
      <w:r w:rsidR="00192A28" w:rsidRPr="005D3CDB">
        <w:rPr>
          <w:kern w:val="22"/>
          <w:szCs w:val="22"/>
          <w:lang w:val="fr-FR"/>
        </w:rPr>
        <w:t xml:space="preserve"> </w:t>
      </w:r>
      <w:r w:rsidR="0001030F" w:rsidRPr="00C32630">
        <w:rPr>
          <w:kern w:val="22"/>
          <w:szCs w:val="22"/>
          <w:lang w:val="fr-FR"/>
        </w:rPr>
        <w:t>L</w:t>
      </w:r>
      <w:r w:rsidR="00192A28" w:rsidRPr="00C32630">
        <w:rPr>
          <w:kern w:val="22"/>
          <w:szCs w:val="22"/>
          <w:lang w:val="fr-FR"/>
        </w:rPr>
        <w:t>e term</w:t>
      </w:r>
      <w:r w:rsidR="0001030F" w:rsidRPr="00C32630">
        <w:rPr>
          <w:kern w:val="22"/>
          <w:szCs w:val="22"/>
          <w:lang w:val="fr-FR"/>
        </w:rPr>
        <w:t>e</w:t>
      </w:r>
      <w:r w:rsidR="00192A28" w:rsidRPr="00C32630">
        <w:rPr>
          <w:kern w:val="22"/>
          <w:szCs w:val="22"/>
          <w:lang w:val="fr-FR"/>
        </w:rPr>
        <w:t xml:space="preserve"> </w:t>
      </w:r>
      <w:r w:rsidR="003F6B97">
        <w:rPr>
          <w:kern w:val="22"/>
          <w:szCs w:val="22"/>
          <w:lang w:val="fr-FR"/>
        </w:rPr>
        <w:t>« </w:t>
      </w:r>
      <w:r w:rsidR="00192A28" w:rsidRPr="00C32630">
        <w:rPr>
          <w:kern w:val="22"/>
          <w:szCs w:val="22"/>
          <w:lang w:val="fr-FR"/>
        </w:rPr>
        <w:t>instrument</w:t>
      </w:r>
      <w:r w:rsidR="003F6B97">
        <w:rPr>
          <w:kern w:val="22"/>
          <w:szCs w:val="22"/>
          <w:lang w:val="fr-FR"/>
        </w:rPr>
        <w:t> »</w:t>
      </w:r>
      <w:r w:rsidR="00EC5B2F">
        <w:rPr>
          <w:kern w:val="22"/>
          <w:szCs w:val="22"/>
          <w:lang w:val="fr-FR"/>
        </w:rPr>
        <w:t xml:space="preserve"> n’est pas un terme usuel</w:t>
      </w:r>
      <w:r w:rsidR="00C32630" w:rsidRPr="00C32630">
        <w:rPr>
          <w:kern w:val="22"/>
          <w:szCs w:val="22"/>
          <w:lang w:val="fr-FR"/>
        </w:rPr>
        <w:t xml:space="preserve"> en </w:t>
      </w:r>
      <w:r w:rsidR="00623402" w:rsidRPr="00C32630">
        <w:rPr>
          <w:kern w:val="22"/>
          <w:szCs w:val="22"/>
          <w:lang w:val="fr-FR"/>
        </w:rPr>
        <w:t>droit international</w:t>
      </w:r>
      <w:r w:rsidR="00192A28" w:rsidRPr="00C32630">
        <w:rPr>
          <w:kern w:val="22"/>
          <w:szCs w:val="22"/>
          <w:lang w:val="fr-FR"/>
        </w:rPr>
        <w:t xml:space="preserve">, </w:t>
      </w:r>
      <w:r w:rsidR="00EC5B2F">
        <w:rPr>
          <w:kern w:val="22"/>
          <w:szCs w:val="22"/>
          <w:lang w:val="fr-FR"/>
        </w:rPr>
        <w:t>mais on peut arguer que ce terme couvre à la fois d</w:t>
      </w:r>
      <w:r w:rsidR="00C32630">
        <w:rPr>
          <w:kern w:val="22"/>
          <w:szCs w:val="22"/>
          <w:lang w:val="fr-FR"/>
        </w:rPr>
        <w:t>es instruments</w:t>
      </w:r>
      <w:r w:rsidR="00192A28" w:rsidRPr="00C32630">
        <w:rPr>
          <w:kern w:val="22"/>
          <w:szCs w:val="22"/>
          <w:lang w:val="fr-FR"/>
        </w:rPr>
        <w:t xml:space="preserve"> </w:t>
      </w:r>
      <w:r w:rsidR="00C32630">
        <w:rPr>
          <w:kern w:val="22"/>
          <w:szCs w:val="22"/>
          <w:lang w:val="fr-FR"/>
        </w:rPr>
        <w:t>juridiquement contraignants</w:t>
      </w:r>
      <w:r w:rsidR="00623402" w:rsidRPr="00C32630">
        <w:rPr>
          <w:kern w:val="22"/>
          <w:szCs w:val="22"/>
          <w:lang w:val="fr-FR"/>
        </w:rPr>
        <w:t xml:space="preserve"> et </w:t>
      </w:r>
      <w:r w:rsidR="00EC5B2F">
        <w:rPr>
          <w:kern w:val="22"/>
          <w:szCs w:val="22"/>
          <w:lang w:val="fr-FR"/>
        </w:rPr>
        <w:t>non contraignants de</w:t>
      </w:r>
      <w:r w:rsidR="00C32630">
        <w:rPr>
          <w:kern w:val="22"/>
          <w:szCs w:val="22"/>
          <w:lang w:val="fr-FR"/>
        </w:rPr>
        <w:t xml:space="preserve"> nature </w:t>
      </w:r>
      <w:r w:rsidR="00231CD8" w:rsidRPr="00C32630">
        <w:rPr>
          <w:kern w:val="22"/>
          <w:szCs w:val="22"/>
          <w:lang w:val="fr-FR"/>
        </w:rPr>
        <w:t>intergouvernemental</w:t>
      </w:r>
      <w:r w:rsidR="00192A28" w:rsidRPr="00C32630">
        <w:rPr>
          <w:kern w:val="22"/>
          <w:szCs w:val="22"/>
          <w:lang w:val="fr-FR"/>
        </w:rPr>
        <w:t>e.</w:t>
      </w:r>
      <w:r w:rsidR="0001030F" w:rsidRPr="00C32630">
        <w:rPr>
          <w:kern w:val="22"/>
          <w:szCs w:val="22"/>
          <w:lang w:val="fr-FR"/>
        </w:rPr>
        <w:t xml:space="preserve"> </w:t>
      </w:r>
      <w:r w:rsidR="0001030F" w:rsidRPr="00231CD8">
        <w:rPr>
          <w:kern w:val="22"/>
          <w:szCs w:val="22"/>
          <w:lang w:val="fr-FR"/>
        </w:rPr>
        <w:t>Les références faites aux</w:t>
      </w:r>
      <w:r w:rsidR="003F6B97">
        <w:rPr>
          <w:kern w:val="22"/>
          <w:szCs w:val="22"/>
          <w:lang w:val="fr-FR"/>
        </w:rPr>
        <w:t xml:space="preserve"> « </w:t>
      </w:r>
      <w:r w:rsidR="00F957CA" w:rsidRPr="00231CD8">
        <w:rPr>
          <w:kern w:val="22"/>
          <w:szCs w:val="22"/>
          <w:lang w:val="fr-FR"/>
        </w:rPr>
        <w:t>Pa</w:t>
      </w:r>
      <w:r w:rsidR="003F6B97">
        <w:rPr>
          <w:kern w:val="22"/>
          <w:szCs w:val="22"/>
          <w:lang w:val="fr-FR"/>
        </w:rPr>
        <w:t>rties »</w:t>
      </w:r>
      <w:r w:rsidR="0001030F" w:rsidRPr="00231CD8">
        <w:rPr>
          <w:kern w:val="22"/>
          <w:szCs w:val="22"/>
          <w:lang w:val="fr-FR"/>
        </w:rPr>
        <w:t xml:space="preserve"> à un</w:t>
      </w:r>
      <w:r w:rsidR="00F957CA" w:rsidRPr="00231CD8">
        <w:rPr>
          <w:kern w:val="22"/>
          <w:szCs w:val="22"/>
          <w:lang w:val="fr-FR"/>
        </w:rPr>
        <w:t xml:space="preserve"> instrument</w:t>
      </w:r>
      <w:r w:rsidR="00623402" w:rsidRPr="00231CD8">
        <w:rPr>
          <w:kern w:val="22"/>
          <w:szCs w:val="22"/>
          <w:lang w:val="fr-FR"/>
        </w:rPr>
        <w:t xml:space="preserve"> et </w:t>
      </w:r>
      <w:r w:rsidR="00C20376">
        <w:rPr>
          <w:kern w:val="22"/>
          <w:szCs w:val="22"/>
          <w:lang w:val="fr-FR"/>
        </w:rPr>
        <w:t>aux</w:t>
      </w:r>
      <w:r w:rsidR="003F6B97">
        <w:rPr>
          <w:kern w:val="22"/>
          <w:szCs w:val="22"/>
          <w:lang w:val="fr-FR"/>
        </w:rPr>
        <w:t xml:space="preserve"> instruments « appliqués »</w:t>
      </w:r>
      <w:r w:rsidR="00EC5B2F">
        <w:rPr>
          <w:kern w:val="22"/>
          <w:szCs w:val="22"/>
          <w:lang w:val="fr-FR"/>
        </w:rPr>
        <w:t xml:space="preserve"> semblent corroborer</w:t>
      </w:r>
      <w:r w:rsidR="00C32630">
        <w:rPr>
          <w:kern w:val="22"/>
          <w:szCs w:val="22"/>
          <w:lang w:val="fr-FR"/>
        </w:rPr>
        <w:t xml:space="preserve"> </w:t>
      </w:r>
      <w:r w:rsidR="00EC5B2F">
        <w:rPr>
          <w:kern w:val="22"/>
          <w:szCs w:val="22"/>
          <w:lang w:val="fr-FR"/>
        </w:rPr>
        <w:lastRenderedPageBreak/>
        <w:t>l’argument en faveur d’une adoption</w:t>
      </w:r>
      <w:r w:rsidR="00F957CA" w:rsidRPr="00231CD8">
        <w:rPr>
          <w:kern w:val="22"/>
          <w:szCs w:val="22"/>
          <w:lang w:val="fr-FR"/>
        </w:rPr>
        <w:t xml:space="preserve"> </w:t>
      </w:r>
      <w:r w:rsidR="00231CD8" w:rsidRPr="00231CD8">
        <w:rPr>
          <w:kern w:val="22"/>
          <w:szCs w:val="22"/>
          <w:lang w:val="fr-FR"/>
        </w:rPr>
        <w:t>intergouvernemental</w:t>
      </w:r>
      <w:bookmarkEnd w:id="2"/>
      <w:r w:rsidR="00C32630">
        <w:rPr>
          <w:kern w:val="22"/>
          <w:szCs w:val="22"/>
          <w:lang w:val="fr-FR"/>
        </w:rPr>
        <w:t>e</w:t>
      </w:r>
      <w:r w:rsidR="00F957CA" w:rsidRPr="00231CD8">
        <w:rPr>
          <w:kern w:val="22"/>
          <w:szCs w:val="22"/>
          <w:lang w:val="fr-FR"/>
        </w:rPr>
        <w:t>.</w:t>
      </w:r>
      <w:r w:rsidR="00192A28" w:rsidRPr="00231CD8">
        <w:rPr>
          <w:kern w:val="22"/>
          <w:szCs w:val="22"/>
          <w:lang w:val="fr-FR"/>
        </w:rPr>
        <w:t xml:space="preserve"> </w:t>
      </w:r>
      <w:r w:rsidR="0001030F" w:rsidRPr="0001030F">
        <w:rPr>
          <w:kern w:val="22"/>
          <w:szCs w:val="22"/>
          <w:lang w:val="fr-FR"/>
        </w:rPr>
        <w:t>Ceci est conforté par le fait que le</w:t>
      </w:r>
      <w:r w:rsidR="00192A28" w:rsidRPr="0001030F">
        <w:rPr>
          <w:kern w:val="22"/>
          <w:szCs w:val="22"/>
          <w:lang w:val="fr-FR"/>
        </w:rPr>
        <w:t xml:space="preserve"> </w:t>
      </w:r>
      <w:r w:rsidR="00A01DA3" w:rsidRPr="0001030F">
        <w:rPr>
          <w:kern w:val="22"/>
          <w:szCs w:val="22"/>
          <w:lang w:val="fr-FR"/>
        </w:rPr>
        <w:t>Protocole de Nagoya</w:t>
      </w:r>
      <w:r w:rsidR="00EC5B2F">
        <w:rPr>
          <w:kern w:val="22"/>
          <w:szCs w:val="22"/>
          <w:lang w:val="fr-FR"/>
        </w:rPr>
        <w:t xml:space="preserve"> traite d</w:t>
      </w:r>
      <w:r w:rsidR="00C20376">
        <w:rPr>
          <w:kern w:val="22"/>
          <w:szCs w:val="22"/>
          <w:lang w:val="fr-FR"/>
        </w:rPr>
        <w:t>es instruments des parties prenantes dans ses</w:t>
      </w:r>
      <w:r w:rsidR="00D4257C" w:rsidRPr="0001030F">
        <w:rPr>
          <w:kern w:val="22"/>
          <w:szCs w:val="22"/>
          <w:lang w:val="fr-FR"/>
        </w:rPr>
        <w:t xml:space="preserve"> </w:t>
      </w:r>
      <w:r w:rsidR="00C20376">
        <w:rPr>
          <w:kern w:val="22"/>
          <w:szCs w:val="22"/>
          <w:lang w:val="fr-FR"/>
        </w:rPr>
        <w:t>a</w:t>
      </w:r>
      <w:r w:rsidR="00192A28" w:rsidRPr="0001030F">
        <w:rPr>
          <w:kern w:val="22"/>
          <w:szCs w:val="22"/>
          <w:lang w:val="fr-FR"/>
        </w:rPr>
        <w:t>rticles 19</w:t>
      </w:r>
      <w:r w:rsidR="00623402" w:rsidRPr="0001030F">
        <w:rPr>
          <w:kern w:val="22"/>
          <w:szCs w:val="22"/>
          <w:lang w:val="fr-FR"/>
        </w:rPr>
        <w:t xml:space="preserve"> et </w:t>
      </w:r>
      <w:r w:rsidR="00192A28" w:rsidRPr="0001030F">
        <w:rPr>
          <w:kern w:val="22"/>
          <w:szCs w:val="22"/>
          <w:lang w:val="fr-FR"/>
        </w:rPr>
        <w:t>20.</w:t>
      </w:r>
    </w:p>
    <w:p w:rsidR="00C205FF" w:rsidRPr="00D76FBF" w:rsidRDefault="0001030F" w:rsidP="00C205FF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01030F">
        <w:rPr>
          <w:kern w:val="22"/>
          <w:szCs w:val="22"/>
          <w:lang w:val="fr-FR"/>
        </w:rPr>
        <w:t>Le</w:t>
      </w:r>
      <w:r w:rsidR="00F957CA" w:rsidRPr="0001030F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pré</w:t>
      </w:r>
      <w:r w:rsidR="003C15BC" w:rsidRPr="0001030F">
        <w:rPr>
          <w:kern w:val="22"/>
          <w:szCs w:val="22"/>
          <w:lang w:val="fr-FR"/>
        </w:rPr>
        <w:t>amb</w:t>
      </w:r>
      <w:r w:rsidRPr="0001030F">
        <w:rPr>
          <w:kern w:val="22"/>
          <w:szCs w:val="22"/>
          <w:lang w:val="fr-FR"/>
        </w:rPr>
        <w:t>u</w:t>
      </w:r>
      <w:r w:rsidR="003C15BC" w:rsidRPr="0001030F">
        <w:rPr>
          <w:kern w:val="22"/>
          <w:szCs w:val="22"/>
          <w:lang w:val="fr-FR"/>
        </w:rPr>
        <w:t xml:space="preserve">le </w:t>
      </w:r>
      <w:r w:rsidRPr="0001030F">
        <w:rPr>
          <w:kern w:val="22"/>
          <w:szCs w:val="22"/>
          <w:lang w:val="fr-FR"/>
        </w:rPr>
        <w:t>d</w:t>
      </w:r>
      <w:r w:rsidR="00A01DA3" w:rsidRPr="0001030F">
        <w:rPr>
          <w:kern w:val="22"/>
          <w:szCs w:val="22"/>
          <w:lang w:val="fr-FR"/>
        </w:rPr>
        <w:t>u Pro</w:t>
      </w:r>
      <w:r w:rsidR="00F957CA" w:rsidRPr="0001030F">
        <w:rPr>
          <w:kern w:val="22"/>
          <w:szCs w:val="22"/>
          <w:lang w:val="fr-FR"/>
        </w:rPr>
        <w:t>tocol</w:t>
      </w:r>
      <w:r w:rsidRPr="0001030F">
        <w:rPr>
          <w:kern w:val="22"/>
          <w:szCs w:val="22"/>
          <w:lang w:val="fr-FR"/>
        </w:rPr>
        <w:t xml:space="preserve">e fournit quelques indications </w:t>
      </w:r>
      <w:r w:rsidR="002D610F">
        <w:rPr>
          <w:kern w:val="22"/>
          <w:szCs w:val="22"/>
          <w:lang w:val="fr-FR"/>
        </w:rPr>
        <w:t>sur l</w:t>
      </w:r>
      <w:r w:rsidRPr="0001030F">
        <w:rPr>
          <w:kern w:val="22"/>
          <w:szCs w:val="22"/>
          <w:lang w:val="fr-FR"/>
        </w:rPr>
        <w:t>es domain</w:t>
      </w:r>
      <w:r>
        <w:rPr>
          <w:kern w:val="22"/>
          <w:szCs w:val="22"/>
          <w:lang w:val="fr-FR"/>
        </w:rPr>
        <w:t>e</w:t>
      </w:r>
      <w:r w:rsidRPr="0001030F">
        <w:rPr>
          <w:kern w:val="22"/>
          <w:szCs w:val="22"/>
          <w:lang w:val="fr-FR"/>
        </w:rPr>
        <w:t xml:space="preserve">s qui pourraient </w:t>
      </w:r>
      <w:r>
        <w:rPr>
          <w:kern w:val="22"/>
          <w:szCs w:val="22"/>
          <w:lang w:val="fr-FR"/>
        </w:rPr>
        <w:t xml:space="preserve">être pertinents pour les besoins du </w:t>
      </w:r>
      <w:r w:rsidR="00623402" w:rsidRPr="0001030F">
        <w:rPr>
          <w:kern w:val="22"/>
          <w:szCs w:val="22"/>
          <w:lang w:val="fr-FR"/>
        </w:rPr>
        <w:t>paragraphe 4 de l’article 4</w:t>
      </w:r>
      <w:r w:rsidR="00F957CA" w:rsidRPr="0001030F">
        <w:rPr>
          <w:kern w:val="22"/>
          <w:szCs w:val="22"/>
          <w:lang w:val="fr-FR"/>
        </w:rPr>
        <w:t xml:space="preserve">, </w:t>
      </w:r>
      <w:r w:rsidR="002D610F">
        <w:rPr>
          <w:kern w:val="22"/>
          <w:szCs w:val="22"/>
          <w:lang w:val="fr-FR"/>
        </w:rPr>
        <w:t xml:space="preserve">bien que ceci ne doive pas être considéré comme </w:t>
      </w:r>
      <w:r w:rsidR="00D76FBF">
        <w:rPr>
          <w:kern w:val="22"/>
          <w:szCs w:val="22"/>
          <w:lang w:val="fr-FR"/>
        </w:rPr>
        <w:t>une liste exhaustive</w:t>
      </w:r>
      <w:r w:rsidR="00F957CA" w:rsidRPr="0001030F">
        <w:rPr>
          <w:kern w:val="22"/>
          <w:szCs w:val="22"/>
          <w:lang w:val="fr-FR"/>
        </w:rPr>
        <w:t xml:space="preserve">. </w:t>
      </w:r>
      <w:r w:rsidRPr="004851EA">
        <w:rPr>
          <w:kern w:val="22"/>
          <w:szCs w:val="22"/>
          <w:lang w:val="fr-FR"/>
        </w:rPr>
        <w:t>Le préambule</w:t>
      </w:r>
      <w:r w:rsidR="00F957CA" w:rsidRPr="004851EA">
        <w:rPr>
          <w:kern w:val="22"/>
          <w:szCs w:val="22"/>
          <w:lang w:val="fr-FR"/>
        </w:rPr>
        <w:t xml:space="preserve"> </w:t>
      </w:r>
      <w:r w:rsidR="004851EA" w:rsidRPr="004851EA">
        <w:rPr>
          <w:kern w:val="22"/>
          <w:szCs w:val="22"/>
          <w:lang w:val="fr-FR"/>
        </w:rPr>
        <w:t xml:space="preserve">reconnaît </w:t>
      </w:r>
      <w:r w:rsidR="002D610F">
        <w:rPr>
          <w:kern w:val="22"/>
          <w:szCs w:val="22"/>
          <w:lang w:val="fr-FR"/>
        </w:rPr>
        <w:t xml:space="preserve">ainsi </w:t>
      </w:r>
      <w:r w:rsidR="004851EA" w:rsidRPr="004851EA">
        <w:rPr>
          <w:kern w:val="22"/>
          <w:szCs w:val="22"/>
          <w:lang w:val="fr-FR"/>
        </w:rPr>
        <w:t>la</w:t>
      </w:r>
      <w:r w:rsidR="00F957CA" w:rsidRPr="004851EA">
        <w:rPr>
          <w:kern w:val="22"/>
          <w:szCs w:val="22"/>
          <w:lang w:val="fr-FR"/>
        </w:rPr>
        <w:t xml:space="preserve"> nature</w:t>
      </w:r>
      <w:r w:rsidR="004851EA">
        <w:rPr>
          <w:kern w:val="22"/>
          <w:szCs w:val="22"/>
          <w:lang w:val="fr-FR"/>
        </w:rPr>
        <w:t xml:space="preserve"> spéciale de la diversité biologique agricole</w:t>
      </w:r>
      <w:r w:rsidR="002D610F">
        <w:rPr>
          <w:kern w:val="22"/>
          <w:szCs w:val="22"/>
          <w:lang w:val="fr-FR"/>
        </w:rPr>
        <w:t>, ses trait</w:t>
      </w:r>
      <w:r w:rsidR="00D76FBF">
        <w:rPr>
          <w:kern w:val="22"/>
          <w:szCs w:val="22"/>
          <w:lang w:val="fr-FR"/>
        </w:rPr>
        <w:t xml:space="preserve">s </w:t>
      </w:r>
      <w:r w:rsidR="002D610F">
        <w:rPr>
          <w:kern w:val="22"/>
          <w:szCs w:val="22"/>
          <w:lang w:val="fr-FR"/>
        </w:rPr>
        <w:t>distinctif</w:t>
      </w:r>
      <w:r w:rsidR="00F957CA" w:rsidRPr="004851EA">
        <w:rPr>
          <w:kern w:val="22"/>
          <w:szCs w:val="22"/>
          <w:lang w:val="fr-FR"/>
        </w:rPr>
        <w:t>s</w:t>
      </w:r>
      <w:r w:rsidR="00623402" w:rsidRPr="004851EA">
        <w:rPr>
          <w:kern w:val="22"/>
          <w:szCs w:val="22"/>
          <w:lang w:val="fr-FR"/>
        </w:rPr>
        <w:t xml:space="preserve"> et </w:t>
      </w:r>
      <w:r w:rsidR="002D610F">
        <w:rPr>
          <w:kern w:val="22"/>
          <w:szCs w:val="22"/>
          <w:lang w:val="fr-FR"/>
        </w:rPr>
        <w:t>ses problèmes nécessitant des</w:t>
      </w:r>
      <w:r w:rsidR="00D76FBF">
        <w:rPr>
          <w:kern w:val="22"/>
          <w:szCs w:val="22"/>
          <w:lang w:val="fr-FR"/>
        </w:rPr>
        <w:t xml:space="preserve"> </w:t>
      </w:r>
      <w:r w:rsidR="00F957CA" w:rsidRPr="004851EA">
        <w:rPr>
          <w:kern w:val="22"/>
          <w:szCs w:val="22"/>
          <w:lang w:val="fr-FR"/>
        </w:rPr>
        <w:t>solutions</w:t>
      </w:r>
      <w:r w:rsidR="002D610F">
        <w:rPr>
          <w:kern w:val="22"/>
          <w:szCs w:val="22"/>
          <w:lang w:val="fr-FR"/>
        </w:rPr>
        <w:t xml:space="preserve"> particulières</w:t>
      </w:r>
      <w:r w:rsidR="00F957CA" w:rsidRPr="004851EA">
        <w:rPr>
          <w:kern w:val="22"/>
          <w:szCs w:val="22"/>
          <w:lang w:val="fr-FR"/>
        </w:rPr>
        <w:t xml:space="preserve">, </w:t>
      </w:r>
      <w:r w:rsidR="00D76FBF">
        <w:rPr>
          <w:kern w:val="22"/>
          <w:szCs w:val="22"/>
          <w:lang w:val="fr-FR"/>
        </w:rPr>
        <w:t>il re</w:t>
      </w:r>
      <w:r w:rsidR="002D610F">
        <w:rPr>
          <w:kern w:val="22"/>
          <w:szCs w:val="22"/>
          <w:lang w:val="fr-FR"/>
        </w:rPr>
        <w:t>connaît le rôle fondamental du T</w:t>
      </w:r>
      <w:r w:rsidR="00D76FBF">
        <w:rPr>
          <w:kern w:val="22"/>
          <w:szCs w:val="22"/>
          <w:lang w:val="fr-FR"/>
        </w:rPr>
        <w:t>raité i</w:t>
      </w:r>
      <w:r w:rsidR="00F957CA" w:rsidRPr="004851EA">
        <w:rPr>
          <w:kern w:val="22"/>
          <w:szCs w:val="22"/>
          <w:lang w:val="fr-FR"/>
        </w:rPr>
        <w:t xml:space="preserve">nternational </w:t>
      </w:r>
      <w:r w:rsidR="00D76FBF">
        <w:rPr>
          <w:kern w:val="22"/>
          <w:szCs w:val="22"/>
          <w:lang w:val="fr-FR"/>
        </w:rPr>
        <w:t>sur les r</w:t>
      </w:r>
      <w:r w:rsidR="00F83893" w:rsidRPr="004851EA">
        <w:rPr>
          <w:kern w:val="22"/>
          <w:szCs w:val="22"/>
          <w:lang w:val="fr-FR"/>
        </w:rPr>
        <w:t>essources phytogénétiques</w:t>
      </w:r>
      <w:r w:rsidR="00D76FBF">
        <w:rPr>
          <w:kern w:val="22"/>
          <w:szCs w:val="22"/>
          <w:lang w:val="fr-FR"/>
        </w:rPr>
        <w:t xml:space="preserve"> pour l’alimentation et l’a</w:t>
      </w:r>
      <w:r w:rsidR="00F957CA" w:rsidRPr="004851EA">
        <w:rPr>
          <w:kern w:val="22"/>
          <w:szCs w:val="22"/>
          <w:lang w:val="fr-FR"/>
        </w:rPr>
        <w:t>griculture</w:t>
      </w:r>
      <w:r w:rsidR="00D76FBF">
        <w:rPr>
          <w:kern w:val="22"/>
          <w:szCs w:val="22"/>
          <w:lang w:val="fr-FR"/>
        </w:rPr>
        <w:t>,</w:t>
      </w:r>
      <w:r w:rsidR="00623402" w:rsidRPr="004851EA">
        <w:rPr>
          <w:kern w:val="22"/>
          <w:szCs w:val="22"/>
          <w:lang w:val="fr-FR"/>
        </w:rPr>
        <w:t xml:space="preserve"> et </w:t>
      </w:r>
      <w:r w:rsidR="00D76FBF">
        <w:rPr>
          <w:kern w:val="22"/>
          <w:szCs w:val="22"/>
          <w:lang w:val="fr-FR"/>
        </w:rPr>
        <w:t xml:space="preserve">rappelle que </w:t>
      </w:r>
      <w:r w:rsidR="002D610F">
        <w:rPr>
          <w:kern w:val="22"/>
          <w:szCs w:val="22"/>
          <w:lang w:val="fr-FR"/>
        </w:rPr>
        <w:t xml:space="preserve">son Système multilatéral </w:t>
      </w:r>
      <w:r w:rsidR="00D76FBF">
        <w:rPr>
          <w:kern w:val="22"/>
          <w:szCs w:val="22"/>
          <w:lang w:val="fr-FR"/>
        </w:rPr>
        <w:t xml:space="preserve">s’est développé en harmonie avec la </w:t>
      </w:r>
      <w:r w:rsidR="00301ED8" w:rsidRPr="004851EA">
        <w:rPr>
          <w:kern w:val="22"/>
          <w:szCs w:val="22"/>
          <w:lang w:val="fr-FR"/>
        </w:rPr>
        <w:t xml:space="preserve">Convention </w:t>
      </w:r>
      <w:r w:rsidR="005D3CDB" w:rsidRPr="004851EA">
        <w:rPr>
          <w:kern w:val="22"/>
          <w:szCs w:val="22"/>
          <w:lang w:val="fr-FR"/>
        </w:rPr>
        <w:t>sur la diversité biologique</w:t>
      </w:r>
      <w:r w:rsidR="00F957CA" w:rsidRPr="004851EA">
        <w:rPr>
          <w:kern w:val="22"/>
          <w:szCs w:val="22"/>
          <w:lang w:val="fr-FR"/>
        </w:rPr>
        <w:t xml:space="preserve">. </w:t>
      </w:r>
      <w:r w:rsidR="00D76FBF">
        <w:rPr>
          <w:kern w:val="22"/>
          <w:szCs w:val="22"/>
          <w:lang w:val="fr-FR"/>
        </w:rPr>
        <w:t>La d</w:t>
      </w:r>
      <w:r w:rsidR="0045647A" w:rsidRPr="000B2362">
        <w:rPr>
          <w:kern w:val="22"/>
          <w:szCs w:val="22"/>
          <w:lang w:val="fr-FR"/>
        </w:rPr>
        <w:t>écision</w:t>
      </w:r>
      <w:r w:rsidR="00F957CA" w:rsidRPr="000B2362">
        <w:rPr>
          <w:kern w:val="22"/>
          <w:szCs w:val="22"/>
          <w:lang w:val="fr-FR"/>
        </w:rPr>
        <w:t xml:space="preserve"> </w:t>
      </w:r>
      <w:hyperlink r:id="rId13" w:history="1">
        <w:r w:rsidR="00F957CA" w:rsidRPr="000B2362">
          <w:rPr>
            <w:rStyle w:val="Hyperlink"/>
            <w:kern w:val="22"/>
            <w:szCs w:val="22"/>
            <w:lang w:val="fr-FR"/>
          </w:rPr>
          <w:t>X/1</w:t>
        </w:r>
      </w:hyperlink>
      <w:r w:rsidR="002D610F">
        <w:rPr>
          <w:kern w:val="22"/>
          <w:szCs w:val="22"/>
          <w:lang w:val="fr-FR"/>
        </w:rPr>
        <w:t>, par</w:t>
      </w:r>
      <w:r w:rsidR="00D76FBF">
        <w:rPr>
          <w:kern w:val="22"/>
          <w:szCs w:val="22"/>
          <w:lang w:val="fr-FR"/>
        </w:rPr>
        <w:t xml:space="preserve"> laquelle le</w:t>
      </w:r>
      <w:r w:rsidR="00741678" w:rsidRPr="000B2362">
        <w:rPr>
          <w:kern w:val="22"/>
          <w:szCs w:val="22"/>
          <w:lang w:val="fr-FR"/>
        </w:rPr>
        <w:t xml:space="preserve"> </w:t>
      </w:r>
      <w:r w:rsidR="00A01DA3" w:rsidRPr="000B2362">
        <w:rPr>
          <w:kern w:val="22"/>
          <w:szCs w:val="22"/>
          <w:lang w:val="fr-FR"/>
        </w:rPr>
        <w:t>Protocole de Nagoya</w:t>
      </w:r>
      <w:r w:rsidR="00D76FBF">
        <w:rPr>
          <w:kern w:val="22"/>
          <w:szCs w:val="22"/>
          <w:lang w:val="fr-FR"/>
        </w:rPr>
        <w:t xml:space="preserve"> a été adopté</w:t>
      </w:r>
      <w:r w:rsidR="00F957CA" w:rsidRPr="000B2362">
        <w:rPr>
          <w:kern w:val="22"/>
          <w:szCs w:val="22"/>
          <w:lang w:val="fr-FR"/>
        </w:rPr>
        <w:t xml:space="preserve">, </w:t>
      </w:r>
      <w:r w:rsidR="002D610F">
        <w:rPr>
          <w:kern w:val="22"/>
          <w:szCs w:val="22"/>
          <w:lang w:val="fr-FR"/>
        </w:rPr>
        <w:t>reconnaît en outre que le traité fai</w:t>
      </w:r>
      <w:r w:rsidR="00D76FBF">
        <w:rPr>
          <w:kern w:val="22"/>
          <w:szCs w:val="22"/>
          <w:lang w:val="fr-FR"/>
        </w:rPr>
        <w:t>t partie intégrante d</w:t>
      </w:r>
      <w:r w:rsidR="002D610F">
        <w:rPr>
          <w:kern w:val="22"/>
          <w:szCs w:val="22"/>
          <w:lang w:val="fr-FR"/>
        </w:rPr>
        <w:t>u régime international sur l’accès et le</w:t>
      </w:r>
      <w:r w:rsidR="005D3CDB" w:rsidRPr="000B2362">
        <w:rPr>
          <w:kern w:val="22"/>
          <w:szCs w:val="22"/>
          <w:lang w:val="fr-FR"/>
        </w:rPr>
        <w:t xml:space="preserve"> partage des avantages</w:t>
      </w:r>
      <w:r w:rsidR="00F957CA" w:rsidRPr="000B2362">
        <w:rPr>
          <w:kern w:val="22"/>
          <w:szCs w:val="22"/>
          <w:lang w:val="fr-FR"/>
        </w:rPr>
        <w:t xml:space="preserve">. </w:t>
      </w:r>
      <w:r w:rsidR="002D610F">
        <w:rPr>
          <w:kern w:val="22"/>
          <w:szCs w:val="22"/>
          <w:lang w:val="fr-FR"/>
        </w:rPr>
        <w:t>De plus, le</w:t>
      </w:r>
      <w:r w:rsidR="00D76FBF" w:rsidRPr="00D76FBF">
        <w:rPr>
          <w:kern w:val="22"/>
          <w:szCs w:val="22"/>
          <w:lang w:val="fr-FR"/>
        </w:rPr>
        <w:t xml:space="preserve"> </w:t>
      </w:r>
      <w:r w:rsidRPr="00D76FBF">
        <w:rPr>
          <w:kern w:val="22"/>
          <w:szCs w:val="22"/>
          <w:lang w:val="fr-FR"/>
        </w:rPr>
        <w:t>préambule</w:t>
      </w:r>
      <w:r w:rsidR="00F957CA" w:rsidRPr="00D76FBF">
        <w:rPr>
          <w:kern w:val="22"/>
          <w:szCs w:val="22"/>
          <w:lang w:val="fr-FR"/>
        </w:rPr>
        <w:t xml:space="preserve"> </w:t>
      </w:r>
      <w:r w:rsidR="007351DB">
        <w:rPr>
          <w:kern w:val="22"/>
          <w:szCs w:val="22"/>
          <w:lang w:val="fr-FR"/>
        </w:rPr>
        <w:t>reconnaît le</w:t>
      </w:r>
      <w:r w:rsidR="00D76FBF" w:rsidRPr="00D76FBF">
        <w:rPr>
          <w:kern w:val="22"/>
          <w:szCs w:val="22"/>
          <w:lang w:val="fr-FR"/>
        </w:rPr>
        <w:t xml:space="preserve"> rôle </w:t>
      </w:r>
      <w:r w:rsidR="00D76FBF">
        <w:rPr>
          <w:kern w:val="22"/>
          <w:szCs w:val="22"/>
          <w:lang w:val="fr-FR"/>
        </w:rPr>
        <w:t xml:space="preserve">fondamental </w:t>
      </w:r>
      <w:r w:rsidRPr="00D76FBF">
        <w:rPr>
          <w:kern w:val="22"/>
          <w:szCs w:val="22"/>
          <w:lang w:val="fr-FR"/>
        </w:rPr>
        <w:t>de la Co</w:t>
      </w:r>
      <w:r w:rsidR="00D76FBF">
        <w:rPr>
          <w:kern w:val="22"/>
          <w:szCs w:val="22"/>
          <w:lang w:val="fr-FR"/>
        </w:rPr>
        <w:t>mmission des r</w:t>
      </w:r>
      <w:r w:rsidR="00F957CA" w:rsidRPr="00D76FBF">
        <w:rPr>
          <w:kern w:val="22"/>
          <w:szCs w:val="22"/>
          <w:lang w:val="fr-FR"/>
        </w:rPr>
        <w:t>es</w:t>
      </w:r>
      <w:r w:rsidR="00D76FBF">
        <w:rPr>
          <w:kern w:val="22"/>
          <w:szCs w:val="22"/>
          <w:lang w:val="fr-FR"/>
        </w:rPr>
        <w:t>s</w:t>
      </w:r>
      <w:r w:rsidR="00F957CA" w:rsidRPr="00D76FBF">
        <w:rPr>
          <w:kern w:val="22"/>
          <w:szCs w:val="22"/>
          <w:lang w:val="fr-FR"/>
        </w:rPr>
        <w:t>ources</w:t>
      </w:r>
      <w:r w:rsidR="00D76FBF">
        <w:rPr>
          <w:kern w:val="22"/>
          <w:szCs w:val="22"/>
          <w:lang w:val="fr-FR"/>
        </w:rPr>
        <w:t xml:space="preserve"> génétiques pour l’alimentation et l’a</w:t>
      </w:r>
      <w:r w:rsidR="00F957CA" w:rsidRPr="00D76FBF">
        <w:rPr>
          <w:kern w:val="22"/>
          <w:szCs w:val="22"/>
          <w:lang w:val="fr-FR"/>
        </w:rPr>
        <w:t>griculture</w:t>
      </w:r>
      <w:r w:rsidR="00301ED8" w:rsidRPr="00D76FBF">
        <w:rPr>
          <w:kern w:val="22"/>
          <w:szCs w:val="22"/>
          <w:lang w:val="fr-FR"/>
        </w:rPr>
        <w:t xml:space="preserve"> </w:t>
      </w:r>
      <w:r w:rsidR="007351DB">
        <w:rPr>
          <w:kern w:val="22"/>
          <w:szCs w:val="22"/>
          <w:lang w:val="fr-FR"/>
        </w:rPr>
        <w:t xml:space="preserve">au sein </w:t>
      </w:r>
      <w:r w:rsidR="00D76FBF">
        <w:rPr>
          <w:kern w:val="22"/>
          <w:szCs w:val="22"/>
          <w:lang w:val="fr-FR"/>
        </w:rPr>
        <w:t>de l’Organisation des Nations Unies pour l’alimentation et l’a</w:t>
      </w:r>
      <w:r w:rsidR="00301ED8" w:rsidRPr="00D76FBF">
        <w:rPr>
          <w:kern w:val="22"/>
          <w:szCs w:val="22"/>
          <w:lang w:val="fr-FR"/>
        </w:rPr>
        <w:t>gricu</w:t>
      </w:r>
      <w:r w:rsidR="00D76FBF">
        <w:rPr>
          <w:kern w:val="22"/>
          <w:szCs w:val="22"/>
          <w:lang w:val="fr-FR"/>
        </w:rPr>
        <w:t>lture</w:t>
      </w:r>
      <w:r w:rsidR="00301ED8" w:rsidRPr="00D76FBF">
        <w:rPr>
          <w:kern w:val="22"/>
          <w:szCs w:val="22"/>
          <w:lang w:val="fr-FR"/>
        </w:rPr>
        <w:t xml:space="preserve"> (FAO)</w:t>
      </w:r>
      <w:r w:rsidR="00F957CA" w:rsidRPr="00D76FBF">
        <w:rPr>
          <w:kern w:val="22"/>
          <w:szCs w:val="22"/>
          <w:lang w:val="fr-FR"/>
        </w:rPr>
        <w:t xml:space="preserve">, </w:t>
      </w:r>
      <w:r w:rsidR="00D76FBF">
        <w:rPr>
          <w:kern w:val="22"/>
          <w:szCs w:val="22"/>
          <w:lang w:val="fr-FR"/>
        </w:rPr>
        <w:t xml:space="preserve">qui poursuit </w:t>
      </w:r>
      <w:r w:rsidR="002D610F">
        <w:rPr>
          <w:kern w:val="22"/>
          <w:szCs w:val="22"/>
          <w:lang w:val="fr-FR"/>
        </w:rPr>
        <w:t>actuellement ses travaux afin d’appuyer d</w:t>
      </w:r>
      <w:r w:rsidR="00D76FBF">
        <w:rPr>
          <w:kern w:val="22"/>
          <w:szCs w:val="22"/>
          <w:lang w:val="fr-FR"/>
        </w:rPr>
        <w:t>es act</w:t>
      </w:r>
      <w:r w:rsidR="007351DB">
        <w:rPr>
          <w:kern w:val="22"/>
          <w:szCs w:val="22"/>
          <w:lang w:val="fr-FR"/>
        </w:rPr>
        <w:t>ivités d’élaboration d’une législation nationale en matière d’</w:t>
      </w:r>
      <w:r w:rsidR="00D76FBF">
        <w:rPr>
          <w:kern w:val="22"/>
          <w:szCs w:val="22"/>
          <w:lang w:val="fr-FR"/>
        </w:rPr>
        <w:t>accès et d</w:t>
      </w:r>
      <w:r w:rsidR="007351DB">
        <w:rPr>
          <w:kern w:val="22"/>
          <w:szCs w:val="22"/>
          <w:lang w:val="fr-FR"/>
        </w:rPr>
        <w:t xml:space="preserve">e </w:t>
      </w:r>
      <w:r w:rsidR="005D3CDB" w:rsidRPr="00D76FBF">
        <w:rPr>
          <w:kern w:val="22"/>
          <w:szCs w:val="22"/>
          <w:lang w:val="fr-FR"/>
        </w:rPr>
        <w:t>partage des avantages</w:t>
      </w:r>
      <w:r w:rsidR="007351DB">
        <w:rPr>
          <w:kern w:val="22"/>
          <w:szCs w:val="22"/>
          <w:lang w:val="fr-FR"/>
        </w:rPr>
        <w:t xml:space="preserve"> dans</w:t>
      </w:r>
      <w:r w:rsidR="00D76FBF">
        <w:rPr>
          <w:kern w:val="22"/>
          <w:szCs w:val="22"/>
          <w:lang w:val="fr-FR"/>
        </w:rPr>
        <w:t xml:space="preserve"> diffé</w:t>
      </w:r>
      <w:r w:rsidR="00F957CA" w:rsidRPr="00D76FBF">
        <w:rPr>
          <w:kern w:val="22"/>
          <w:szCs w:val="22"/>
          <w:lang w:val="fr-FR"/>
        </w:rPr>
        <w:t>rent</w:t>
      </w:r>
      <w:r w:rsidR="00D76FBF">
        <w:rPr>
          <w:kern w:val="22"/>
          <w:szCs w:val="22"/>
          <w:lang w:val="fr-FR"/>
        </w:rPr>
        <w:t>s sous-secteurs de</w:t>
      </w:r>
      <w:r w:rsidR="00F957CA" w:rsidRPr="00D76FBF">
        <w:rPr>
          <w:kern w:val="22"/>
          <w:szCs w:val="22"/>
          <w:lang w:val="fr-FR"/>
        </w:rPr>
        <w:t xml:space="preserve"> </w:t>
      </w:r>
      <w:r w:rsidRPr="00D76FBF">
        <w:rPr>
          <w:kern w:val="22"/>
          <w:szCs w:val="22"/>
          <w:lang w:val="fr-FR"/>
        </w:rPr>
        <w:t>ressources génétiques</w:t>
      </w:r>
      <w:r w:rsidR="00C84E3A" w:rsidRPr="00D76FBF">
        <w:rPr>
          <w:kern w:val="22"/>
          <w:szCs w:val="22"/>
          <w:lang w:val="fr-FR"/>
        </w:rPr>
        <w:t xml:space="preserve"> </w:t>
      </w:r>
      <w:r w:rsidR="00D76FBF">
        <w:rPr>
          <w:kern w:val="22"/>
          <w:szCs w:val="22"/>
          <w:lang w:val="fr-FR"/>
        </w:rPr>
        <w:t>pour l’alimentation</w:t>
      </w:r>
      <w:r w:rsidR="00623402" w:rsidRPr="00D76FBF">
        <w:rPr>
          <w:kern w:val="22"/>
          <w:szCs w:val="22"/>
          <w:lang w:val="fr-FR"/>
        </w:rPr>
        <w:t xml:space="preserve"> et </w:t>
      </w:r>
      <w:r w:rsidR="00D76FBF">
        <w:rPr>
          <w:kern w:val="22"/>
          <w:szCs w:val="22"/>
          <w:lang w:val="fr-FR"/>
        </w:rPr>
        <w:t>l’</w:t>
      </w:r>
      <w:r w:rsidR="00C84E3A" w:rsidRPr="00D76FBF">
        <w:rPr>
          <w:kern w:val="22"/>
          <w:szCs w:val="22"/>
          <w:lang w:val="fr-FR"/>
        </w:rPr>
        <w:t>agriculture</w:t>
      </w:r>
      <w:r w:rsidR="00F957CA" w:rsidRPr="00D76FBF">
        <w:rPr>
          <w:kern w:val="22"/>
          <w:szCs w:val="22"/>
          <w:lang w:val="fr-FR"/>
        </w:rPr>
        <w:t xml:space="preserve">. </w:t>
      </w:r>
      <w:r w:rsidR="007351DB">
        <w:rPr>
          <w:kern w:val="22"/>
          <w:szCs w:val="22"/>
          <w:lang w:val="fr-FR"/>
        </w:rPr>
        <w:t>Egalement</w:t>
      </w:r>
      <w:r w:rsidR="00D76FBF" w:rsidRPr="00D76FBF">
        <w:rPr>
          <w:kern w:val="22"/>
          <w:szCs w:val="22"/>
          <w:lang w:val="fr-FR"/>
        </w:rPr>
        <w:t xml:space="preserve">, le </w:t>
      </w:r>
      <w:r w:rsidRPr="00D76FBF">
        <w:rPr>
          <w:kern w:val="22"/>
          <w:szCs w:val="22"/>
          <w:lang w:val="fr-FR"/>
        </w:rPr>
        <w:t>préambule</w:t>
      </w:r>
      <w:r w:rsidR="00F957CA" w:rsidRPr="00D76FBF">
        <w:rPr>
          <w:kern w:val="22"/>
          <w:szCs w:val="22"/>
          <w:lang w:val="fr-FR"/>
        </w:rPr>
        <w:t xml:space="preserve"> </w:t>
      </w:r>
      <w:r w:rsidR="00D76FBF" w:rsidRPr="00D76FBF">
        <w:rPr>
          <w:kern w:val="22"/>
          <w:szCs w:val="22"/>
          <w:lang w:val="fr-FR"/>
        </w:rPr>
        <w:t xml:space="preserve">mentionne le Règlement </w:t>
      </w:r>
      <w:r w:rsidR="00E52AAB">
        <w:rPr>
          <w:kern w:val="22"/>
          <w:szCs w:val="22"/>
          <w:lang w:val="fr-FR"/>
        </w:rPr>
        <w:t xml:space="preserve">sanitaire </w:t>
      </w:r>
      <w:r w:rsidR="00D76FBF" w:rsidRPr="00D76FBF">
        <w:rPr>
          <w:kern w:val="22"/>
          <w:szCs w:val="22"/>
          <w:lang w:val="fr-FR"/>
        </w:rPr>
        <w:t>i</w:t>
      </w:r>
      <w:r w:rsidR="00F957CA" w:rsidRPr="00D76FBF">
        <w:rPr>
          <w:kern w:val="22"/>
          <w:szCs w:val="22"/>
          <w:lang w:val="fr-FR"/>
        </w:rPr>
        <w:t>nt</w:t>
      </w:r>
      <w:r w:rsidR="00E52AAB">
        <w:rPr>
          <w:kern w:val="22"/>
          <w:szCs w:val="22"/>
          <w:lang w:val="fr-FR"/>
        </w:rPr>
        <w:t>ernational</w:t>
      </w:r>
      <w:r w:rsidR="00F957CA" w:rsidRPr="00D76FBF">
        <w:rPr>
          <w:kern w:val="22"/>
          <w:szCs w:val="22"/>
          <w:lang w:val="fr-FR"/>
        </w:rPr>
        <w:t xml:space="preserve"> (2005) </w:t>
      </w:r>
      <w:r w:rsidR="00D76FBF" w:rsidRPr="00D76FBF">
        <w:rPr>
          <w:kern w:val="22"/>
          <w:szCs w:val="22"/>
          <w:lang w:val="fr-FR"/>
        </w:rPr>
        <w:t>de l’</w:t>
      </w:r>
      <w:r w:rsidR="00D76FBF">
        <w:rPr>
          <w:kern w:val="22"/>
          <w:szCs w:val="22"/>
          <w:lang w:val="fr-FR"/>
        </w:rPr>
        <w:t>Organis</w:t>
      </w:r>
      <w:r w:rsidR="005B1B34" w:rsidRPr="00D76FBF">
        <w:rPr>
          <w:kern w:val="22"/>
          <w:szCs w:val="22"/>
          <w:lang w:val="fr-FR"/>
        </w:rPr>
        <w:t>ation</w:t>
      </w:r>
      <w:r w:rsidR="00D76FBF">
        <w:rPr>
          <w:kern w:val="22"/>
          <w:szCs w:val="22"/>
          <w:lang w:val="fr-FR"/>
        </w:rPr>
        <w:t xml:space="preserve"> mondiale de la santé (</w:t>
      </w:r>
      <w:r w:rsidR="005B1B34" w:rsidRPr="00D76FBF">
        <w:rPr>
          <w:kern w:val="22"/>
          <w:szCs w:val="22"/>
          <w:lang w:val="fr-FR"/>
        </w:rPr>
        <w:t>O</w:t>
      </w:r>
      <w:r w:rsidR="00D76FBF">
        <w:rPr>
          <w:kern w:val="22"/>
          <w:szCs w:val="22"/>
          <w:lang w:val="fr-FR"/>
        </w:rPr>
        <w:t>MS</w:t>
      </w:r>
      <w:r w:rsidR="005B1B34" w:rsidRPr="00D76FBF">
        <w:rPr>
          <w:kern w:val="22"/>
          <w:szCs w:val="22"/>
          <w:lang w:val="fr-FR"/>
        </w:rPr>
        <w:t>)</w:t>
      </w:r>
      <w:r w:rsidR="00623402" w:rsidRPr="00D76FBF">
        <w:rPr>
          <w:kern w:val="22"/>
          <w:szCs w:val="22"/>
          <w:lang w:val="fr-FR"/>
        </w:rPr>
        <w:t xml:space="preserve"> et </w:t>
      </w:r>
      <w:r w:rsidR="00D76FBF">
        <w:rPr>
          <w:kern w:val="22"/>
          <w:szCs w:val="22"/>
          <w:lang w:val="fr-FR"/>
        </w:rPr>
        <w:t>l’</w:t>
      </w:r>
      <w:r w:rsidR="00F957CA" w:rsidRPr="00D76FBF">
        <w:rPr>
          <w:kern w:val="22"/>
          <w:szCs w:val="22"/>
          <w:lang w:val="fr-FR"/>
        </w:rPr>
        <w:t xml:space="preserve">importance </w:t>
      </w:r>
      <w:r w:rsidR="00D76FBF">
        <w:rPr>
          <w:kern w:val="22"/>
          <w:szCs w:val="22"/>
          <w:lang w:val="fr-FR"/>
        </w:rPr>
        <w:t>d’assurer un accès aux path</w:t>
      </w:r>
      <w:r w:rsidR="007351DB">
        <w:rPr>
          <w:kern w:val="22"/>
          <w:szCs w:val="22"/>
          <w:lang w:val="fr-FR"/>
        </w:rPr>
        <w:t>ogènes humains aux fins de préparation et d’intervention pour la</w:t>
      </w:r>
      <w:r w:rsidR="00D76FBF">
        <w:rPr>
          <w:kern w:val="22"/>
          <w:szCs w:val="22"/>
          <w:lang w:val="fr-FR"/>
        </w:rPr>
        <w:t xml:space="preserve"> santé publique</w:t>
      </w:r>
      <w:r w:rsidR="00F957CA" w:rsidRPr="00D76FBF">
        <w:rPr>
          <w:kern w:val="22"/>
          <w:szCs w:val="22"/>
          <w:lang w:val="fr-FR"/>
        </w:rPr>
        <w:t>.</w:t>
      </w:r>
    </w:p>
    <w:p w:rsidR="0076008B" w:rsidRDefault="0001030F" w:rsidP="0076008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C205FF">
        <w:rPr>
          <w:kern w:val="22"/>
          <w:szCs w:val="22"/>
          <w:lang w:val="fr-FR"/>
        </w:rPr>
        <w:t>Le paragraphe 4 de l’a</w:t>
      </w:r>
      <w:r w:rsidR="004851EA" w:rsidRPr="00C205FF">
        <w:rPr>
          <w:kern w:val="22"/>
          <w:szCs w:val="22"/>
          <w:lang w:val="fr-FR"/>
        </w:rPr>
        <w:t xml:space="preserve">rticle 4 </w:t>
      </w:r>
      <w:r w:rsidR="007351DB">
        <w:rPr>
          <w:kern w:val="22"/>
          <w:szCs w:val="22"/>
          <w:lang w:val="fr-FR"/>
        </w:rPr>
        <w:t xml:space="preserve">du Protocole de Nagoya </w:t>
      </w:r>
      <w:r w:rsidR="004851EA" w:rsidRPr="00C205FF">
        <w:rPr>
          <w:kern w:val="22"/>
          <w:szCs w:val="22"/>
          <w:lang w:val="fr-FR"/>
        </w:rPr>
        <w:t xml:space="preserve">devrait être interprété </w:t>
      </w:r>
      <w:r w:rsidR="00A01DA3" w:rsidRPr="00C205FF">
        <w:rPr>
          <w:kern w:val="22"/>
          <w:szCs w:val="22"/>
          <w:lang w:val="fr-FR"/>
        </w:rPr>
        <w:t>dans le contexte de</w:t>
      </w:r>
      <w:r w:rsidR="004851EA" w:rsidRPr="00C205FF">
        <w:rPr>
          <w:kern w:val="22"/>
          <w:szCs w:val="22"/>
          <w:lang w:val="fr-FR"/>
        </w:rPr>
        <w:t>s</w:t>
      </w:r>
      <w:r w:rsidR="00623402" w:rsidRPr="00C205FF">
        <w:rPr>
          <w:kern w:val="22"/>
          <w:szCs w:val="22"/>
          <w:lang w:val="fr-FR"/>
        </w:rPr>
        <w:t xml:space="preserve"> autres dispositions</w:t>
      </w:r>
      <w:r w:rsidR="004851EA" w:rsidRPr="00C205FF">
        <w:rPr>
          <w:kern w:val="22"/>
          <w:szCs w:val="22"/>
          <w:lang w:val="fr-FR"/>
        </w:rPr>
        <w:t xml:space="preserve"> de l’a</w:t>
      </w:r>
      <w:r w:rsidR="00F957CA" w:rsidRPr="00C205FF">
        <w:rPr>
          <w:kern w:val="22"/>
          <w:szCs w:val="22"/>
          <w:lang w:val="fr-FR"/>
        </w:rPr>
        <w:t>rticle</w:t>
      </w:r>
      <w:r w:rsidR="004851EA" w:rsidRPr="00C205FF">
        <w:rPr>
          <w:kern w:val="22"/>
          <w:szCs w:val="22"/>
          <w:lang w:val="fr-FR"/>
        </w:rPr>
        <w:t> 4</w:t>
      </w:r>
      <w:r w:rsidR="00F957CA" w:rsidRPr="00C205FF">
        <w:rPr>
          <w:kern w:val="22"/>
          <w:szCs w:val="22"/>
          <w:lang w:val="fr-FR"/>
        </w:rPr>
        <w:t xml:space="preserve">. </w:t>
      </w:r>
      <w:r w:rsidR="004851EA" w:rsidRPr="00C205FF">
        <w:rPr>
          <w:kern w:val="22"/>
          <w:szCs w:val="22"/>
          <w:lang w:val="fr-FR"/>
        </w:rPr>
        <w:t>Ainsi, le</w:t>
      </w:r>
      <w:r w:rsidRPr="00C205FF">
        <w:rPr>
          <w:kern w:val="22"/>
          <w:szCs w:val="22"/>
          <w:lang w:val="fr-FR"/>
        </w:rPr>
        <w:t xml:space="preserve"> paragraphe 2 de l’article 4</w:t>
      </w:r>
      <w:r w:rsidR="004851EA" w:rsidRPr="00C205FF">
        <w:rPr>
          <w:kern w:val="22"/>
          <w:szCs w:val="22"/>
          <w:lang w:val="fr-FR"/>
        </w:rPr>
        <w:t xml:space="preserve"> dispose que les</w:t>
      </w:r>
      <w:r w:rsidR="00F957CA" w:rsidRPr="00C205FF">
        <w:rPr>
          <w:kern w:val="22"/>
          <w:szCs w:val="22"/>
          <w:lang w:val="fr-FR"/>
        </w:rPr>
        <w:t xml:space="preserve"> Parties</w:t>
      </w:r>
      <w:r w:rsidR="004851EA" w:rsidRPr="00C205FF">
        <w:rPr>
          <w:kern w:val="22"/>
          <w:szCs w:val="22"/>
          <w:lang w:val="fr-FR"/>
        </w:rPr>
        <w:t xml:space="preserve"> peuvent élaborer d’autres accords internationaux pertinents</w:t>
      </w:r>
      <w:r w:rsidR="00F957CA" w:rsidRPr="00C205FF">
        <w:rPr>
          <w:kern w:val="22"/>
          <w:szCs w:val="22"/>
          <w:lang w:val="fr-FR"/>
        </w:rPr>
        <w:t xml:space="preserve">, </w:t>
      </w:r>
      <w:r w:rsidR="005D3CDB" w:rsidRPr="00C205FF">
        <w:rPr>
          <w:kern w:val="22"/>
          <w:szCs w:val="22"/>
          <w:lang w:val="fr-FR"/>
        </w:rPr>
        <w:t>y compris</w:t>
      </w:r>
      <w:r w:rsidR="00F957CA" w:rsidRPr="00C205FF">
        <w:rPr>
          <w:kern w:val="22"/>
          <w:szCs w:val="22"/>
          <w:lang w:val="fr-FR"/>
        </w:rPr>
        <w:t xml:space="preserve"> </w:t>
      </w:r>
      <w:r w:rsidR="004851EA" w:rsidRPr="00C205FF">
        <w:rPr>
          <w:kern w:val="22"/>
          <w:szCs w:val="22"/>
          <w:lang w:val="fr-FR"/>
        </w:rPr>
        <w:t xml:space="preserve">des accords </w:t>
      </w:r>
      <w:r w:rsidR="00560491" w:rsidRPr="00C205FF">
        <w:rPr>
          <w:kern w:val="22"/>
          <w:szCs w:val="22"/>
          <w:lang w:val="fr-FR"/>
        </w:rPr>
        <w:t>spéciaux en matière d’accès et d</w:t>
      </w:r>
      <w:r w:rsidR="005D3CDB" w:rsidRPr="00C205FF">
        <w:rPr>
          <w:kern w:val="22"/>
          <w:szCs w:val="22"/>
          <w:lang w:val="fr-FR"/>
        </w:rPr>
        <w:t>e partage des avantages</w:t>
      </w:r>
      <w:r w:rsidR="00560491" w:rsidRPr="00C205FF">
        <w:rPr>
          <w:kern w:val="22"/>
          <w:szCs w:val="22"/>
          <w:lang w:val="fr-FR"/>
        </w:rPr>
        <w:t xml:space="preserve">,  « à </w:t>
      </w:r>
      <w:r w:rsidR="00560491" w:rsidRPr="00C205FF">
        <w:rPr>
          <w:szCs w:val="22"/>
          <w:lang w:val="fr-FR"/>
        </w:rPr>
        <w:t xml:space="preserve">condition qu’ils favorisent les objectifs de la Convention et du Protocole et n’aillent pas à leur encontre ». </w:t>
      </w:r>
      <w:r w:rsidR="00560491" w:rsidRPr="00C205FF">
        <w:rPr>
          <w:kern w:val="22"/>
          <w:szCs w:val="22"/>
          <w:lang w:val="fr-FR"/>
        </w:rPr>
        <w:t xml:space="preserve">En conséquence, les </w:t>
      </w:r>
      <w:r w:rsidR="00F957CA" w:rsidRPr="00C205FF">
        <w:rPr>
          <w:kern w:val="22"/>
          <w:szCs w:val="22"/>
          <w:lang w:val="fr-FR"/>
        </w:rPr>
        <w:t xml:space="preserve">Parties </w:t>
      </w:r>
      <w:r w:rsidR="00560491" w:rsidRPr="00C205FF">
        <w:rPr>
          <w:kern w:val="22"/>
          <w:szCs w:val="22"/>
          <w:lang w:val="fr-FR"/>
        </w:rPr>
        <w:t>doivent veiller à ce que</w:t>
      </w:r>
      <w:r w:rsidR="007351DB">
        <w:rPr>
          <w:kern w:val="22"/>
          <w:szCs w:val="22"/>
          <w:lang w:val="fr-FR"/>
        </w:rPr>
        <w:t>,</w:t>
      </w:r>
      <w:r w:rsidR="00560491" w:rsidRPr="00C205FF">
        <w:rPr>
          <w:kern w:val="22"/>
          <w:szCs w:val="22"/>
          <w:lang w:val="fr-FR"/>
        </w:rPr>
        <w:t xml:space="preserve"> non seulement les accords spéciaux en matière d’accès et d</w:t>
      </w:r>
      <w:r w:rsidR="005D3CDB" w:rsidRPr="00C205FF">
        <w:rPr>
          <w:kern w:val="22"/>
          <w:szCs w:val="22"/>
          <w:lang w:val="fr-FR"/>
        </w:rPr>
        <w:t>e partage des avantages</w:t>
      </w:r>
      <w:r w:rsidR="00F957CA" w:rsidRPr="00C205FF">
        <w:rPr>
          <w:kern w:val="22"/>
          <w:szCs w:val="22"/>
          <w:lang w:val="fr-FR"/>
        </w:rPr>
        <w:t xml:space="preserve"> </w:t>
      </w:r>
      <w:r w:rsidR="00560491" w:rsidRPr="00C205FF">
        <w:rPr>
          <w:kern w:val="22"/>
          <w:szCs w:val="22"/>
          <w:lang w:val="fr-FR"/>
        </w:rPr>
        <w:t xml:space="preserve">n’aillent pas à l’encontre de ces </w:t>
      </w:r>
      <w:r w:rsidR="005D3CDB" w:rsidRPr="00C205FF">
        <w:rPr>
          <w:kern w:val="22"/>
          <w:szCs w:val="22"/>
          <w:lang w:val="fr-FR"/>
        </w:rPr>
        <w:t>objectifs</w:t>
      </w:r>
      <w:r w:rsidR="00F957CA" w:rsidRPr="00C205FF">
        <w:rPr>
          <w:kern w:val="22"/>
          <w:szCs w:val="22"/>
          <w:lang w:val="fr-FR"/>
        </w:rPr>
        <w:t xml:space="preserve">, </w:t>
      </w:r>
      <w:r w:rsidR="00560491" w:rsidRPr="00C205FF">
        <w:rPr>
          <w:kern w:val="22"/>
          <w:szCs w:val="22"/>
          <w:lang w:val="fr-FR"/>
        </w:rPr>
        <w:t>mais aussi, qu’ils contribuent positivement à leur réalisation</w:t>
      </w:r>
      <w:r w:rsidR="00F957CA" w:rsidRPr="00C205FF">
        <w:rPr>
          <w:kern w:val="22"/>
          <w:szCs w:val="22"/>
          <w:lang w:val="fr-FR"/>
        </w:rPr>
        <w:t xml:space="preserve">. </w:t>
      </w:r>
      <w:r w:rsidR="00560491" w:rsidRPr="00C205FF">
        <w:rPr>
          <w:kern w:val="22"/>
          <w:szCs w:val="22"/>
          <w:lang w:val="fr-FR"/>
        </w:rPr>
        <w:t>Ceci est</w:t>
      </w:r>
      <w:r w:rsidR="00F957CA" w:rsidRPr="00C205FF">
        <w:rPr>
          <w:kern w:val="22"/>
          <w:szCs w:val="22"/>
          <w:lang w:val="fr-FR"/>
        </w:rPr>
        <w:t xml:space="preserve"> </w:t>
      </w:r>
      <w:r w:rsidR="00560491" w:rsidRPr="00C205FF">
        <w:rPr>
          <w:kern w:val="22"/>
          <w:szCs w:val="22"/>
          <w:lang w:val="fr-FR"/>
        </w:rPr>
        <w:t>con</w:t>
      </w:r>
      <w:r w:rsidR="007351DB">
        <w:rPr>
          <w:kern w:val="22"/>
          <w:szCs w:val="22"/>
          <w:lang w:val="fr-FR"/>
        </w:rPr>
        <w:t>f</w:t>
      </w:r>
      <w:r w:rsidR="00DC701B">
        <w:rPr>
          <w:kern w:val="22"/>
          <w:szCs w:val="22"/>
          <w:lang w:val="fr-FR"/>
        </w:rPr>
        <w:t>orme à l’interprétation acceptée</w:t>
      </w:r>
      <w:r w:rsidR="00560491" w:rsidRPr="00C205FF">
        <w:rPr>
          <w:kern w:val="22"/>
          <w:szCs w:val="22"/>
          <w:lang w:val="fr-FR"/>
        </w:rPr>
        <w:t xml:space="preserve"> du nouveau principe général de</w:t>
      </w:r>
      <w:r w:rsidR="00C01103" w:rsidRPr="00C205FF">
        <w:rPr>
          <w:kern w:val="22"/>
          <w:szCs w:val="22"/>
          <w:lang w:val="fr-FR"/>
        </w:rPr>
        <w:t xml:space="preserve"> renforcement mutuel</w:t>
      </w:r>
      <w:r w:rsidR="007351DB">
        <w:rPr>
          <w:kern w:val="22"/>
          <w:szCs w:val="22"/>
          <w:lang w:val="fr-FR"/>
        </w:rPr>
        <w:t xml:space="preserve">, lequel sous-tend </w:t>
      </w:r>
      <w:r w:rsidR="00DC701B">
        <w:rPr>
          <w:kern w:val="22"/>
          <w:szCs w:val="22"/>
          <w:lang w:val="fr-FR"/>
        </w:rPr>
        <w:t xml:space="preserve">de fait </w:t>
      </w:r>
      <w:r w:rsidR="00560491" w:rsidRPr="00C205FF">
        <w:rPr>
          <w:kern w:val="22"/>
          <w:szCs w:val="22"/>
          <w:lang w:val="fr-FR"/>
        </w:rPr>
        <w:t>l’application de l’ensemble de l’a</w:t>
      </w:r>
      <w:r w:rsidR="00F957CA" w:rsidRPr="00C205FF">
        <w:rPr>
          <w:kern w:val="22"/>
          <w:szCs w:val="22"/>
          <w:lang w:val="fr-FR"/>
        </w:rPr>
        <w:t>rticle</w:t>
      </w:r>
      <w:r w:rsidR="002A30BC" w:rsidRPr="00C205FF">
        <w:rPr>
          <w:kern w:val="22"/>
          <w:szCs w:val="22"/>
          <w:lang w:val="fr-FR"/>
        </w:rPr>
        <w:t> </w:t>
      </w:r>
      <w:r w:rsidR="00F957CA" w:rsidRPr="00C205FF">
        <w:rPr>
          <w:kern w:val="22"/>
          <w:szCs w:val="22"/>
          <w:lang w:val="fr-FR"/>
        </w:rPr>
        <w:t>4.</w:t>
      </w:r>
    </w:p>
    <w:p w:rsidR="00F957CA" w:rsidRPr="0076008B" w:rsidRDefault="0001030F" w:rsidP="0076008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76008B">
        <w:rPr>
          <w:kern w:val="22"/>
          <w:szCs w:val="22"/>
          <w:lang w:val="fr-FR"/>
        </w:rPr>
        <w:t>D’autre part</w:t>
      </w:r>
      <w:r w:rsidR="00F957CA" w:rsidRPr="0076008B">
        <w:rPr>
          <w:kern w:val="22"/>
          <w:szCs w:val="22"/>
          <w:lang w:val="fr-FR"/>
        </w:rPr>
        <w:t xml:space="preserve">, </w:t>
      </w:r>
      <w:r w:rsidRPr="0076008B">
        <w:rPr>
          <w:kern w:val="22"/>
          <w:szCs w:val="22"/>
          <w:lang w:val="fr-FR"/>
        </w:rPr>
        <w:t>le paragraphe 3 de l’a</w:t>
      </w:r>
      <w:r w:rsidR="00F957CA" w:rsidRPr="0076008B">
        <w:rPr>
          <w:kern w:val="22"/>
          <w:szCs w:val="22"/>
          <w:lang w:val="fr-FR"/>
        </w:rPr>
        <w:t>rticle</w:t>
      </w:r>
      <w:r w:rsidRPr="0076008B">
        <w:rPr>
          <w:kern w:val="22"/>
          <w:szCs w:val="22"/>
          <w:lang w:val="fr-FR"/>
        </w:rPr>
        <w:t xml:space="preserve"> 4 demande aux Parties d’appliquer le</w:t>
      </w:r>
      <w:r w:rsidR="00F957CA" w:rsidRPr="0076008B">
        <w:rPr>
          <w:kern w:val="22"/>
          <w:szCs w:val="22"/>
          <w:lang w:val="fr-FR"/>
        </w:rPr>
        <w:t xml:space="preserve"> </w:t>
      </w:r>
      <w:r w:rsidRPr="0076008B">
        <w:rPr>
          <w:kern w:val="22"/>
          <w:szCs w:val="22"/>
          <w:lang w:val="fr-FR"/>
        </w:rPr>
        <w:t xml:space="preserve">Protocole </w:t>
      </w:r>
      <w:r w:rsidR="00560491" w:rsidRPr="0076008B">
        <w:rPr>
          <w:kern w:val="22"/>
          <w:szCs w:val="22"/>
          <w:lang w:val="fr-FR"/>
        </w:rPr>
        <w:t>d</w:t>
      </w:r>
      <w:r w:rsidR="00DC701B">
        <w:rPr>
          <w:kern w:val="22"/>
          <w:szCs w:val="22"/>
          <w:lang w:val="fr-FR"/>
        </w:rPr>
        <w:t>’une</w:t>
      </w:r>
      <w:r w:rsidR="0068725B" w:rsidRPr="0076008B">
        <w:rPr>
          <w:kern w:val="22"/>
          <w:szCs w:val="22"/>
          <w:lang w:val="fr-FR"/>
        </w:rPr>
        <w:t xml:space="preserve"> façon complémentaire avec les </w:t>
      </w:r>
      <w:r w:rsidR="00623402" w:rsidRPr="0076008B">
        <w:rPr>
          <w:kern w:val="22"/>
          <w:szCs w:val="22"/>
          <w:lang w:val="fr-FR"/>
        </w:rPr>
        <w:t xml:space="preserve">autres </w:t>
      </w:r>
      <w:r w:rsidR="00231CD8" w:rsidRPr="0076008B">
        <w:rPr>
          <w:kern w:val="22"/>
          <w:szCs w:val="22"/>
          <w:lang w:val="fr-FR"/>
        </w:rPr>
        <w:t>instruments internationaux</w:t>
      </w:r>
      <w:r w:rsidR="00560491" w:rsidRPr="0076008B">
        <w:rPr>
          <w:kern w:val="22"/>
          <w:szCs w:val="22"/>
          <w:lang w:val="fr-FR"/>
        </w:rPr>
        <w:t xml:space="preserve"> « pertinents</w:t>
      </w:r>
      <w:r w:rsidR="00DC701B">
        <w:rPr>
          <w:kern w:val="22"/>
          <w:szCs w:val="22"/>
          <w:lang w:val="fr-FR"/>
        </w:rPr>
        <w:t> »</w:t>
      </w:r>
      <w:r w:rsidR="00F957CA" w:rsidRPr="0076008B">
        <w:rPr>
          <w:kern w:val="22"/>
          <w:szCs w:val="22"/>
          <w:lang w:val="fr-FR"/>
        </w:rPr>
        <w:t xml:space="preserve">. </w:t>
      </w:r>
      <w:r w:rsidR="00560491" w:rsidRPr="0076008B">
        <w:rPr>
          <w:kern w:val="22"/>
          <w:szCs w:val="22"/>
          <w:lang w:val="fr-FR"/>
        </w:rPr>
        <w:t>Le paragraphe 3 de l’article 4 encourage également les Parties</w:t>
      </w:r>
      <w:r w:rsidR="00DC701B">
        <w:rPr>
          <w:kern w:val="22"/>
          <w:szCs w:val="22"/>
          <w:lang w:val="fr-FR"/>
        </w:rPr>
        <w:t xml:space="preserve"> « </w:t>
      </w:r>
      <w:r w:rsidR="0076008B" w:rsidRPr="0076008B">
        <w:rPr>
          <w:kern w:val="22"/>
          <w:szCs w:val="22"/>
          <w:lang w:val="fr-FR"/>
        </w:rPr>
        <w:t>à prendre dûment en considération</w:t>
      </w:r>
      <w:r w:rsidR="0076008B">
        <w:rPr>
          <w:kern w:val="22"/>
          <w:szCs w:val="22"/>
          <w:lang w:val="fr-FR"/>
        </w:rPr>
        <w:t>…les</w:t>
      </w:r>
      <w:r w:rsidR="00F957CA" w:rsidRPr="0076008B">
        <w:rPr>
          <w:kern w:val="22"/>
          <w:szCs w:val="22"/>
          <w:lang w:val="fr-FR"/>
        </w:rPr>
        <w:t xml:space="preserve"> </w:t>
      </w:r>
      <w:r w:rsidR="0076008B" w:rsidRPr="0076008B">
        <w:rPr>
          <w:rFonts w:ascii="MinionPro-Regular" w:hAnsi="MinionPro-Regular" w:cs="MinionPro-Regular"/>
          <w:szCs w:val="22"/>
          <w:lang w:val="fr-FR"/>
        </w:rPr>
        <w:t>travaux ou pratique</w:t>
      </w:r>
      <w:r w:rsidR="0076008B">
        <w:rPr>
          <w:rFonts w:ascii="MinionPro-Regular" w:hAnsi="MinionPro-Regular" w:cs="MinionPro-Regular"/>
          <w:szCs w:val="22"/>
          <w:lang w:val="fr-FR"/>
        </w:rPr>
        <w:t xml:space="preserve">s </w:t>
      </w:r>
      <w:r w:rsidR="0076008B" w:rsidRPr="0076008B">
        <w:rPr>
          <w:rFonts w:ascii="MinionPro-Regular" w:hAnsi="MinionPro-Regular" w:cs="MinionPro-Regular"/>
          <w:szCs w:val="22"/>
          <w:lang w:val="fr-FR"/>
        </w:rPr>
        <w:t>utiles et pertinents en cours dans le cadre de ces instruments internationaux et</w:t>
      </w:r>
      <w:r w:rsidR="0076008B">
        <w:rPr>
          <w:kern w:val="22"/>
          <w:szCs w:val="22"/>
          <w:lang w:val="fr-FR"/>
        </w:rPr>
        <w:t xml:space="preserve"> </w:t>
      </w:r>
      <w:r w:rsidR="0076008B" w:rsidRPr="0076008B">
        <w:rPr>
          <w:rFonts w:ascii="MinionPro-Regular" w:hAnsi="MinionPro-Regular" w:cs="MinionPro-Regular"/>
          <w:szCs w:val="22"/>
          <w:lang w:val="fr-FR"/>
        </w:rPr>
        <w:t>organisations internationales compétente</w:t>
      </w:r>
      <w:r w:rsidR="0076008B">
        <w:rPr>
          <w:rFonts w:ascii="MinionPro-Regular" w:hAnsi="MinionPro-Regular" w:cs="MinionPro-Regular"/>
          <w:szCs w:val="22"/>
          <w:lang w:val="fr-FR"/>
        </w:rPr>
        <w:t>s</w:t>
      </w:r>
      <w:r w:rsidR="00F957CA" w:rsidRPr="0076008B">
        <w:rPr>
          <w:kern w:val="22"/>
          <w:szCs w:val="22"/>
          <w:lang w:val="fr-FR"/>
        </w:rPr>
        <w:t xml:space="preserve">, </w:t>
      </w:r>
      <w:r w:rsidR="0076008B" w:rsidRPr="0076008B">
        <w:rPr>
          <w:rFonts w:ascii="MinionPro-Regular" w:hAnsi="MinionPro-Regular" w:cs="MinionPro-Regular"/>
          <w:szCs w:val="22"/>
          <w:lang w:val="fr-FR"/>
        </w:rPr>
        <w:t xml:space="preserve">à condition qu’ils favorisent les objectifs de la Convention et du présent Protocole et n’aillent pas à leur encontre » </w:t>
      </w:r>
      <w:r w:rsidR="00DC701B">
        <w:rPr>
          <w:kern w:val="22"/>
          <w:szCs w:val="22"/>
          <w:lang w:val="fr-FR"/>
        </w:rPr>
        <w:t xml:space="preserve">dans </w:t>
      </w:r>
      <w:r w:rsidR="0076008B" w:rsidRPr="0076008B">
        <w:rPr>
          <w:kern w:val="22"/>
          <w:szCs w:val="22"/>
          <w:lang w:val="fr-FR"/>
        </w:rPr>
        <w:t xml:space="preserve">l’application du </w:t>
      </w:r>
      <w:r w:rsidR="00F957CA" w:rsidRPr="0076008B">
        <w:rPr>
          <w:kern w:val="22"/>
          <w:szCs w:val="22"/>
          <w:lang w:val="fr-FR"/>
        </w:rPr>
        <w:t>Protocol</w:t>
      </w:r>
      <w:r w:rsidR="0076008B" w:rsidRPr="0076008B">
        <w:rPr>
          <w:kern w:val="22"/>
          <w:szCs w:val="22"/>
          <w:lang w:val="fr-FR"/>
        </w:rPr>
        <w:t>e</w:t>
      </w:r>
      <w:r w:rsidR="00F957CA" w:rsidRPr="0076008B">
        <w:rPr>
          <w:kern w:val="22"/>
          <w:szCs w:val="22"/>
          <w:lang w:val="fr-FR"/>
        </w:rPr>
        <w:t>.</w:t>
      </w:r>
    </w:p>
    <w:p w:rsidR="00F957CA" w:rsidRPr="0076008B" w:rsidRDefault="0076008B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76008B">
        <w:rPr>
          <w:kern w:val="22"/>
          <w:szCs w:val="22"/>
          <w:lang w:val="fr-FR"/>
        </w:rPr>
        <w:t>Le concept de</w:t>
      </w:r>
      <w:r w:rsidR="00C01103" w:rsidRPr="0076008B">
        <w:rPr>
          <w:kern w:val="22"/>
          <w:szCs w:val="22"/>
          <w:lang w:val="fr-FR"/>
        </w:rPr>
        <w:t xml:space="preserve"> renforcement mutuel</w:t>
      </w:r>
      <w:r w:rsidR="00F957CA" w:rsidRPr="0076008B">
        <w:rPr>
          <w:kern w:val="22"/>
          <w:szCs w:val="22"/>
          <w:lang w:val="fr-FR"/>
        </w:rPr>
        <w:t xml:space="preserve"> </w:t>
      </w:r>
      <w:r w:rsidR="00DC701B">
        <w:rPr>
          <w:kern w:val="22"/>
          <w:szCs w:val="22"/>
          <w:lang w:val="fr-FR"/>
        </w:rPr>
        <w:t>se fonde sur l’idée du</w:t>
      </w:r>
      <w:r w:rsidRPr="0076008B">
        <w:rPr>
          <w:kern w:val="22"/>
          <w:szCs w:val="22"/>
          <w:lang w:val="fr-FR"/>
        </w:rPr>
        <w:t xml:space="preserve"> </w:t>
      </w:r>
      <w:r w:rsidR="00623402" w:rsidRPr="0076008B">
        <w:rPr>
          <w:kern w:val="22"/>
          <w:szCs w:val="22"/>
          <w:lang w:val="fr-FR"/>
        </w:rPr>
        <w:t>droit international</w:t>
      </w:r>
      <w:r w:rsidRPr="0076008B">
        <w:rPr>
          <w:kern w:val="22"/>
          <w:szCs w:val="22"/>
          <w:lang w:val="fr-FR"/>
        </w:rPr>
        <w:t xml:space="preserve"> comme</w:t>
      </w:r>
      <w:r w:rsidR="00F957CA" w:rsidRPr="0076008B">
        <w:rPr>
          <w:kern w:val="22"/>
          <w:szCs w:val="22"/>
          <w:lang w:val="fr-FR"/>
        </w:rPr>
        <w:t xml:space="preserve"> </w:t>
      </w:r>
      <w:r w:rsidR="00DC701B">
        <w:rPr>
          <w:kern w:val="22"/>
          <w:szCs w:val="22"/>
          <w:lang w:val="fr-FR"/>
        </w:rPr>
        <w:t>« </w:t>
      </w:r>
      <w:r w:rsidRPr="0076008B">
        <w:rPr>
          <w:kern w:val="22"/>
          <w:szCs w:val="22"/>
          <w:lang w:val="fr-FR"/>
        </w:rPr>
        <w:t>systè</w:t>
      </w:r>
      <w:r w:rsidR="00F957CA" w:rsidRPr="0076008B">
        <w:rPr>
          <w:kern w:val="22"/>
          <w:szCs w:val="22"/>
          <w:lang w:val="fr-FR"/>
        </w:rPr>
        <w:t>m</w:t>
      </w:r>
      <w:r>
        <w:rPr>
          <w:kern w:val="22"/>
          <w:szCs w:val="22"/>
          <w:lang w:val="fr-FR"/>
        </w:rPr>
        <w:t>e</w:t>
      </w:r>
      <w:r w:rsidR="00DC701B">
        <w:rPr>
          <w:kern w:val="22"/>
          <w:szCs w:val="22"/>
          <w:lang w:val="fr-FR"/>
        </w:rPr>
        <w:t> »</w:t>
      </w:r>
      <w:r>
        <w:rPr>
          <w:kern w:val="22"/>
          <w:szCs w:val="22"/>
          <w:lang w:val="fr-FR"/>
        </w:rPr>
        <w:t>,</w:t>
      </w:r>
      <w:r w:rsidRPr="0076008B">
        <w:rPr>
          <w:kern w:val="22"/>
          <w:szCs w:val="22"/>
          <w:lang w:val="fr-FR"/>
        </w:rPr>
        <w:t xml:space="preserve"> </w:t>
      </w:r>
      <w:r w:rsidR="00DC701B">
        <w:rPr>
          <w:kern w:val="22"/>
          <w:szCs w:val="22"/>
          <w:lang w:val="fr-FR"/>
        </w:rPr>
        <w:t xml:space="preserve">afin </w:t>
      </w:r>
      <w:r>
        <w:rPr>
          <w:kern w:val="22"/>
          <w:szCs w:val="22"/>
          <w:lang w:val="fr-FR"/>
        </w:rPr>
        <w:t xml:space="preserve">que les règles </w:t>
      </w:r>
      <w:r w:rsidRPr="0076008B">
        <w:rPr>
          <w:kern w:val="22"/>
          <w:szCs w:val="22"/>
          <w:lang w:val="fr-FR"/>
        </w:rPr>
        <w:t>international</w:t>
      </w:r>
      <w:r>
        <w:rPr>
          <w:kern w:val="22"/>
          <w:szCs w:val="22"/>
          <w:lang w:val="fr-FR"/>
        </w:rPr>
        <w:t>es soient appliquées</w:t>
      </w:r>
      <w:r w:rsidR="00DC701B">
        <w:rPr>
          <w:kern w:val="22"/>
          <w:szCs w:val="22"/>
          <w:lang w:val="fr-FR"/>
        </w:rPr>
        <w:t>, et plus généralement</w:t>
      </w:r>
      <w:r>
        <w:rPr>
          <w:kern w:val="22"/>
          <w:szCs w:val="22"/>
          <w:lang w:val="fr-FR"/>
        </w:rPr>
        <w:t xml:space="preserve"> interprétées, comme se renforçant mutuellement</w:t>
      </w:r>
      <w:r w:rsidR="00F957CA" w:rsidRPr="0076008B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 xml:space="preserve">Ceci a deux conséquences pour le comportement des Etats. </w:t>
      </w:r>
      <w:r w:rsidRPr="0076008B">
        <w:rPr>
          <w:kern w:val="22"/>
          <w:szCs w:val="22"/>
          <w:lang w:val="fr-FR"/>
        </w:rPr>
        <w:t>Premièrement, le concept oriente l’interpré</w:t>
      </w:r>
      <w:r w:rsidR="00F957CA" w:rsidRPr="0076008B">
        <w:rPr>
          <w:kern w:val="22"/>
          <w:szCs w:val="22"/>
          <w:lang w:val="fr-FR"/>
        </w:rPr>
        <w:t>tation</w:t>
      </w:r>
      <w:r w:rsidR="00DC701B">
        <w:rPr>
          <w:kern w:val="22"/>
          <w:szCs w:val="22"/>
          <w:lang w:val="fr-FR"/>
        </w:rPr>
        <w:t xml:space="preserve"> des Etats, de sorte que ceux-ci</w:t>
      </w:r>
      <w:r>
        <w:rPr>
          <w:kern w:val="22"/>
          <w:szCs w:val="22"/>
          <w:lang w:val="fr-FR"/>
        </w:rPr>
        <w:t xml:space="preserve"> </w:t>
      </w:r>
      <w:r w:rsidR="00DC701B">
        <w:rPr>
          <w:kern w:val="22"/>
          <w:szCs w:val="22"/>
          <w:lang w:val="fr-FR"/>
        </w:rPr>
        <w:t>« </w:t>
      </w:r>
      <w:r>
        <w:rPr>
          <w:kern w:val="22"/>
          <w:szCs w:val="22"/>
          <w:lang w:val="fr-FR"/>
        </w:rPr>
        <w:t>disqualifient</w:t>
      </w:r>
      <w:r w:rsidR="00DC701B">
        <w:rPr>
          <w:kern w:val="22"/>
          <w:szCs w:val="22"/>
          <w:lang w:val="fr-FR"/>
        </w:rPr>
        <w:t> »</w:t>
      </w:r>
      <w:r w:rsidR="00F957CA" w:rsidRPr="0076008B">
        <w:rPr>
          <w:kern w:val="22"/>
          <w:szCs w:val="22"/>
          <w:lang w:val="fr-FR"/>
        </w:rPr>
        <w:t xml:space="preserve"> </w:t>
      </w:r>
      <w:r w:rsidR="00DC701B">
        <w:rPr>
          <w:kern w:val="22"/>
          <w:szCs w:val="22"/>
          <w:lang w:val="fr-FR"/>
        </w:rPr>
        <w:t>toute solution</w:t>
      </w:r>
      <w:r>
        <w:rPr>
          <w:kern w:val="22"/>
          <w:szCs w:val="22"/>
          <w:lang w:val="fr-FR"/>
        </w:rPr>
        <w:t xml:space="preserve"> </w:t>
      </w:r>
      <w:r w:rsidR="00DC701B">
        <w:rPr>
          <w:kern w:val="22"/>
          <w:szCs w:val="22"/>
          <w:lang w:val="fr-FR"/>
        </w:rPr>
        <w:t>apportée à des</w:t>
      </w:r>
      <w:r w:rsidR="00F957CA" w:rsidRPr="0076008B">
        <w:rPr>
          <w:kern w:val="22"/>
          <w:szCs w:val="22"/>
          <w:lang w:val="fr-FR"/>
        </w:rPr>
        <w:t xml:space="preserve"> tensions </w:t>
      </w:r>
      <w:r w:rsidR="002763F1" w:rsidRPr="0076008B">
        <w:rPr>
          <w:kern w:val="22"/>
          <w:szCs w:val="22"/>
          <w:lang w:val="fr-FR"/>
        </w:rPr>
        <w:t>entre</w:t>
      </w:r>
      <w:r>
        <w:rPr>
          <w:kern w:val="22"/>
          <w:szCs w:val="22"/>
          <w:lang w:val="fr-FR"/>
        </w:rPr>
        <w:t xml:space="preserve"> ré</w:t>
      </w:r>
      <w:r w:rsidR="00DC701B">
        <w:rPr>
          <w:kern w:val="22"/>
          <w:szCs w:val="22"/>
          <w:lang w:val="fr-FR"/>
        </w:rPr>
        <w:t>gimes concurrents qui implique la</w:t>
      </w:r>
      <w:r>
        <w:rPr>
          <w:kern w:val="22"/>
          <w:szCs w:val="22"/>
          <w:lang w:val="fr-FR"/>
        </w:rPr>
        <w:t xml:space="preserve"> subordination d’un ré</w:t>
      </w:r>
      <w:r w:rsidR="00F957CA" w:rsidRPr="0076008B">
        <w:rPr>
          <w:kern w:val="22"/>
          <w:szCs w:val="22"/>
          <w:lang w:val="fr-FR"/>
        </w:rPr>
        <w:t xml:space="preserve">gime </w:t>
      </w:r>
      <w:r w:rsidR="00DC701B">
        <w:rPr>
          <w:kern w:val="22"/>
          <w:szCs w:val="22"/>
          <w:lang w:val="fr-FR"/>
        </w:rPr>
        <w:t>à un autre. Deuxièmement, le renforcement mutuel</w:t>
      </w:r>
      <w:r>
        <w:rPr>
          <w:kern w:val="22"/>
          <w:szCs w:val="22"/>
          <w:lang w:val="fr-FR"/>
        </w:rPr>
        <w:t xml:space="preserve"> nécessite que les </w:t>
      </w:r>
      <w:r w:rsidRPr="0076008B">
        <w:rPr>
          <w:kern w:val="22"/>
          <w:szCs w:val="22"/>
          <w:lang w:val="fr-FR"/>
        </w:rPr>
        <w:t>Etats</w:t>
      </w:r>
      <w:r w:rsidR="00DC701B">
        <w:rPr>
          <w:kern w:val="22"/>
          <w:szCs w:val="22"/>
          <w:lang w:val="fr-FR"/>
        </w:rPr>
        <w:t xml:space="preserve"> s’engagent à</w:t>
      </w:r>
      <w:r>
        <w:rPr>
          <w:kern w:val="22"/>
          <w:szCs w:val="22"/>
          <w:lang w:val="fr-FR"/>
        </w:rPr>
        <w:t xml:space="preserve"> négocier et </w:t>
      </w:r>
      <w:r w:rsidR="00DC701B">
        <w:rPr>
          <w:kern w:val="22"/>
          <w:szCs w:val="22"/>
          <w:lang w:val="fr-FR"/>
        </w:rPr>
        <w:t xml:space="preserve">à </w:t>
      </w:r>
      <w:r>
        <w:rPr>
          <w:kern w:val="22"/>
          <w:szCs w:val="22"/>
          <w:lang w:val="fr-FR"/>
        </w:rPr>
        <w:t>conclure des</w:t>
      </w:r>
      <w:r w:rsidR="00F957CA" w:rsidRPr="0076008B">
        <w:rPr>
          <w:kern w:val="22"/>
          <w:szCs w:val="22"/>
          <w:lang w:val="fr-FR"/>
        </w:rPr>
        <w:t xml:space="preserve"> instruments</w:t>
      </w:r>
      <w:r w:rsidR="00DC701B">
        <w:rPr>
          <w:kern w:val="22"/>
          <w:szCs w:val="22"/>
          <w:lang w:val="fr-FR"/>
        </w:rPr>
        <w:t xml:space="preserve"> de bonne foi, en fournissant</w:t>
      </w:r>
      <w:r>
        <w:rPr>
          <w:kern w:val="22"/>
          <w:szCs w:val="22"/>
          <w:lang w:val="fr-FR"/>
        </w:rPr>
        <w:t xml:space="preserve"> des éclaircisseme</w:t>
      </w:r>
      <w:r w:rsidR="002E332A">
        <w:rPr>
          <w:kern w:val="22"/>
          <w:szCs w:val="22"/>
          <w:lang w:val="fr-FR"/>
        </w:rPr>
        <w:t xml:space="preserve">nts sur la relation entre des </w:t>
      </w:r>
      <w:r>
        <w:rPr>
          <w:kern w:val="22"/>
          <w:szCs w:val="22"/>
          <w:lang w:val="fr-FR"/>
        </w:rPr>
        <w:t xml:space="preserve">régimes potentiellement concurrents. Le </w:t>
      </w:r>
      <w:r w:rsidR="00C01103" w:rsidRPr="0076008B">
        <w:rPr>
          <w:kern w:val="22"/>
          <w:szCs w:val="22"/>
          <w:lang w:val="fr-FR"/>
        </w:rPr>
        <w:t>renforcement mutuel</w:t>
      </w:r>
      <w:r>
        <w:rPr>
          <w:kern w:val="22"/>
          <w:szCs w:val="22"/>
          <w:lang w:val="fr-FR"/>
        </w:rPr>
        <w:t xml:space="preserve"> est un</w:t>
      </w:r>
      <w:r w:rsidR="00F957CA" w:rsidRPr="0076008B">
        <w:rPr>
          <w:kern w:val="22"/>
          <w:szCs w:val="22"/>
          <w:lang w:val="fr-FR"/>
        </w:rPr>
        <w:t xml:space="preserve"> concept </w:t>
      </w:r>
      <w:r w:rsidR="00DC701B">
        <w:rPr>
          <w:kern w:val="22"/>
          <w:szCs w:val="22"/>
          <w:lang w:val="fr-FR"/>
        </w:rPr>
        <w:t>large qui traite de</w:t>
      </w:r>
      <w:r>
        <w:rPr>
          <w:kern w:val="22"/>
          <w:szCs w:val="22"/>
          <w:lang w:val="fr-FR"/>
        </w:rPr>
        <w:t xml:space="preserve"> la créat</w:t>
      </w:r>
      <w:r w:rsidR="00DC701B">
        <w:rPr>
          <w:kern w:val="22"/>
          <w:szCs w:val="22"/>
          <w:lang w:val="fr-FR"/>
        </w:rPr>
        <w:t>ion du droit international et de</w:t>
      </w:r>
      <w:r w:rsidR="00F957CA" w:rsidRPr="0076008B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son </w:t>
      </w:r>
      <w:r w:rsidR="00F957CA" w:rsidRPr="0076008B">
        <w:rPr>
          <w:kern w:val="22"/>
          <w:szCs w:val="22"/>
          <w:lang w:val="fr-FR"/>
        </w:rPr>
        <w:t>i</w:t>
      </w:r>
      <w:r>
        <w:rPr>
          <w:kern w:val="22"/>
          <w:szCs w:val="22"/>
          <w:lang w:val="fr-FR"/>
        </w:rPr>
        <w:t>nterpré</w:t>
      </w:r>
      <w:r w:rsidR="00F957CA" w:rsidRPr="0076008B">
        <w:rPr>
          <w:kern w:val="22"/>
          <w:szCs w:val="22"/>
          <w:lang w:val="fr-FR"/>
        </w:rPr>
        <w:t>tation</w:t>
      </w:r>
      <w:r w:rsidR="002E332A">
        <w:rPr>
          <w:kern w:val="22"/>
          <w:szCs w:val="22"/>
          <w:lang w:val="fr-FR"/>
        </w:rPr>
        <w:t xml:space="preserve">; </w:t>
      </w:r>
      <w:r w:rsidR="00DC701B">
        <w:rPr>
          <w:kern w:val="22"/>
          <w:szCs w:val="22"/>
          <w:lang w:val="fr-FR"/>
        </w:rPr>
        <w:t xml:space="preserve">il </w:t>
      </w:r>
      <w:r>
        <w:rPr>
          <w:kern w:val="22"/>
          <w:szCs w:val="22"/>
          <w:lang w:val="fr-FR"/>
        </w:rPr>
        <w:t>ne se limite pas aux</w:t>
      </w:r>
      <w:r w:rsidR="00F957CA" w:rsidRPr="0076008B">
        <w:rPr>
          <w:kern w:val="22"/>
          <w:szCs w:val="22"/>
          <w:lang w:val="fr-FR"/>
        </w:rPr>
        <w:t xml:space="preserve"> </w:t>
      </w:r>
      <w:r w:rsidR="0001030F" w:rsidRPr="0076008B">
        <w:rPr>
          <w:kern w:val="22"/>
          <w:szCs w:val="22"/>
          <w:lang w:val="fr-FR"/>
        </w:rPr>
        <w:t>traités</w:t>
      </w:r>
      <w:r w:rsidR="00F957CA" w:rsidRPr="0076008B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mais peut </w:t>
      </w:r>
      <w:r w:rsidR="00C32630" w:rsidRPr="0076008B">
        <w:rPr>
          <w:kern w:val="22"/>
          <w:szCs w:val="22"/>
          <w:lang w:val="fr-FR"/>
        </w:rPr>
        <w:t>s’applique</w:t>
      </w:r>
      <w:r>
        <w:rPr>
          <w:kern w:val="22"/>
          <w:szCs w:val="22"/>
          <w:lang w:val="fr-FR"/>
        </w:rPr>
        <w:t>r à des « instruments » internationaux</w:t>
      </w:r>
      <w:r w:rsidR="00623402" w:rsidRPr="0076008B">
        <w:rPr>
          <w:kern w:val="22"/>
          <w:szCs w:val="22"/>
          <w:lang w:val="fr-FR"/>
        </w:rPr>
        <w:t xml:space="preserve"> autres </w:t>
      </w:r>
      <w:r>
        <w:rPr>
          <w:kern w:val="22"/>
          <w:szCs w:val="22"/>
          <w:lang w:val="fr-FR"/>
        </w:rPr>
        <w:t xml:space="preserve">que les </w:t>
      </w:r>
      <w:r w:rsidR="0001030F" w:rsidRPr="0076008B">
        <w:rPr>
          <w:kern w:val="22"/>
          <w:szCs w:val="22"/>
          <w:lang w:val="fr-FR"/>
        </w:rPr>
        <w:t>traités</w:t>
      </w:r>
      <w:r w:rsidR="00F957CA" w:rsidRPr="0076008B">
        <w:rPr>
          <w:kern w:val="22"/>
          <w:szCs w:val="22"/>
          <w:lang w:val="fr-FR"/>
        </w:rPr>
        <w:t>.</w:t>
      </w:r>
    </w:p>
    <w:p w:rsidR="00F957CA" w:rsidRPr="00C01103" w:rsidRDefault="0001030F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01030F">
        <w:rPr>
          <w:kern w:val="22"/>
          <w:szCs w:val="22"/>
          <w:lang w:val="fr-FR"/>
        </w:rPr>
        <w:t>Conformément au</w:t>
      </w:r>
      <w:r w:rsidR="00F957CA" w:rsidRPr="0001030F">
        <w:rPr>
          <w:kern w:val="22"/>
          <w:szCs w:val="22"/>
          <w:lang w:val="fr-FR"/>
        </w:rPr>
        <w:t xml:space="preserve"> </w:t>
      </w:r>
      <w:r w:rsidR="0076008B">
        <w:rPr>
          <w:kern w:val="22"/>
          <w:szCs w:val="22"/>
          <w:lang w:val="fr-FR"/>
        </w:rPr>
        <w:t>droit international général</w:t>
      </w:r>
      <w:r w:rsidRPr="0001030F">
        <w:rPr>
          <w:kern w:val="22"/>
          <w:szCs w:val="22"/>
          <w:lang w:val="fr-FR"/>
        </w:rPr>
        <w:t>, le but</w:t>
      </w:r>
      <w:r w:rsidR="002E332A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d’un</w:t>
      </w:r>
      <w:r w:rsidR="00F957CA" w:rsidRPr="0001030F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traité</w:t>
      </w:r>
      <w:r w:rsidR="00F70A27">
        <w:rPr>
          <w:kern w:val="22"/>
          <w:szCs w:val="22"/>
          <w:lang w:val="fr-FR"/>
        </w:rPr>
        <w:t xml:space="preserve"> est l’un des principaux </w:t>
      </w:r>
      <w:r w:rsidR="00A01DA3" w:rsidRPr="0001030F">
        <w:rPr>
          <w:kern w:val="22"/>
          <w:szCs w:val="22"/>
          <w:lang w:val="fr-FR"/>
        </w:rPr>
        <w:t>critères</w:t>
      </w:r>
      <w:r w:rsidR="00F70A27">
        <w:rPr>
          <w:kern w:val="22"/>
          <w:szCs w:val="22"/>
          <w:lang w:val="fr-FR"/>
        </w:rPr>
        <w:t xml:space="preserve"> d’interpré</w:t>
      </w:r>
      <w:r w:rsidR="00F957CA" w:rsidRPr="0001030F">
        <w:rPr>
          <w:kern w:val="22"/>
          <w:szCs w:val="22"/>
          <w:lang w:val="fr-FR"/>
        </w:rPr>
        <w:t>tation</w:t>
      </w:r>
      <w:r w:rsidR="002E332A">
        <w:rPr>
          <w:kern w:val="22"/>
          <w:szCs w:val="22"/>
          <w:lang w:val="fr-FR"/>
        </w:rPr>
        <w:t xml:space="preserve"> utilisé</w:t>
      </w:r>
      <w:r w:rsidR="00F957CA" w:rsidRPr="0001030F">
        <w:rPr>
          <w:kern w:val="22"/>
          <w:szCs w:val="22"/>
          <w:lang w:val="fr-FR"/>
        </w:rPr>
        <w:t xml:space="preserve">. </w:t>
      </w:r>
      <w:r w:rsidR="00F70A27" w:rsidRPr="00F70A27">
        <w:rPr>
          <w:kern w:val="22"/>
          <w:szCs w:val="22"/>
          <w:lang w:val="fr-FR"/>
        </w:rPr>
        <w:t>L’a</w:t>
      </w:r>
      <w:r w:rsidR="00F957CA" w:rsidRPr="00F70A27">
        <w:rPr>
          <w:kern w:val="22"/>
          <w:szCs w:val="22"/>
          <w:lang w:val="fr-FR"/>
        </w:rPr>
        <w:t xml:space="preserve">rticle 1 </w:t>
      </w:r>
      <w:r w:rsidR="005D3CDB" w:rsidRPr="00F70A27">
        <w:rPr>
          <w:kern w:val="22"/>
          <w:szCs w:val="22"/>
          <w:lang w:val="fr-FR"/>
        </w:rPr>
        <w:t>du Pro</w:t>
      </w:r>
      <w:r w:rsidR="00A01DA3" w:rsidRPr="00F70A27">
        <w:rPr>
          <w:kern w:val="22"/>
          <w:szCs w:val="22"/>
          <w:lang w:val="fr-FR"/>
        </w:rPr>
        <w:t>tocole de Nagoya</w:t>
      </w:r>
      <w:r w:rsidR="00F957CA" w:rsidRPr="00F70A27">
        <w:rPr>
          <w:kern w:val="22"/>
          <w:szCs w:val="22"/>
          <w:lang w:val="fr-FR"/>
        </w:rPr>
        <w:t xml:space="preserve"> </w:t>
      </w:r>
      <w:r w:rsidR="002E332A">
        <w:rPr>
          <w:kern w:val="22"/>
          <w:szCs w:val="22"/>
          <w:lang w:val="fr-FR"/>
        </w:rPr>
        <w:t>dispose</w:t>
      </w:r>
      <w:r w:rsidR="00F70A27" w:rsidRPr="00F70A27">
        <w:rPr>
          <w:kern w:val="22"/>
          <w:szCs w:val="22"/>
          <w:lang w:val="fr-FR"/>
        </w:rPr>
        <w:t xml:space="preserve"> que le </w:t>
      </w:r>
      <w:r w:rsidR="002E332A">
        <w:rPr>
          <w:kern w:val="22"/>
          <w:szCs w:val="22"/>
          <w:lang w:val="fr-FR"/>
        </w:rPr>
        <w:t>« </w:t>
      </w:r>
      <w:r w:rsidR="00F70A27">
        <w:rPr>
          <w:kern w:val="22"/>
          <w:szCs w:val="22"/>
          <w:lang w:val="fr-FR"/>
        </w:rPr>
        <w:t xml:space="preserve">partage juste </w:t>
      </w:r>
      <w:r w:rsidR="00623402" w:rsidRPr="00F70A27">
        <w:rPr>
          <w:bCs/>
          <w:iCs/>
          <w:kern w:val="22"/>
          <w:szCs w:val="22"/>
          <w:lang w:val="fr-FR"/>
        </w:rPr>
        <w:t xml:space="preserve">et </w:t>
      </w:r>
      <w:r w:rsidR="00F70A27">
        <w:rPr>
          <w:bCs/>
          <w:iCs/>
          <w:kern w:val="22"/>
          <w:szCs w:val="22"/>
          <w:lang w:val="fr-FR"/>
        </w:rPr>
        <w:t>équitable</w:t>
      </w:r>
      <w:r w:rsidR="002E332A">
        <w:rPr>
          <w:bCs/>
          <w:iCs/>
          <w:kern w:val="22"/>
          <w:szCs w:val="22"/>
          <w:lang w:val="fr-FR"/>
        </w:rPr>
        <w:t> »</w:t>
      </w:r>
      <w:r w:rsidR="00F957CA" w:rsidRPr="00F70A27">
        <w:rPr>
          <w:bCs/>
          <w:iCs/>
          <w:kern w:val="22"/>
          <w:szCs w:val="22"/>
          <w:lang w:val="fr-FR"/>
        </w:rPr>
        <w:t xml:space="preserve"> </w:t>
      </w:r>
      <w:r w:rsidR="00F70A27">
        <w:rPr>
          <w:bCs/>
          <w:iCs/>
          <w:kern w:val="22"/>
          <w:szCs w:val="22"/>
          <w:lang w:val="fr-FR"/>
        </w:rPr>
        <w:t>des avantages découlant de l’</w:t>
      </w:r>
      <w:r w:rsidR="00F70A27">
        <w:rPr>
          <w:kern w:val="22"/>
          <w:szCs w:val="22"/>
          <w:lang w:val="fr-FR"/>
        </w:rPr>
        <w:t>utilisation des</w:t>
      </w:r>
      <w:r w:rsidR="00F957CA" w:rsidRPr="00F70A27">
        <w:rPr>
          <w:kern w:val="22"/>
          <w:szCs w:val="22"/>
          <w:lang w:val="fr-FR"/>
        </w:rPr>
        <w:t xml:space="preserve"> </w:t>
      </w:r>
      <w:r w:rsidRPr="00F70A27">
        <w:rPr>
          <w:kern w:val="22"/>
          <w:szCs w:val="22"/>
          <w:lang w:val="fr-FR"/>
        </w:rPr>
        <w:t>ressources génétiques</w:t>
      </w:r>
      <w:r w:rsidR="00F70A27">
        <w:rPr>
          <w:kern w:val="22"/>
          <w:szCs w:val="22"/>
          <w:lang w:val="fr-FR"/>
        </w:rPr>
        <w:t xml:space="preserve"> constitue l’</w:t>
      </w:r>
      <w:r w:rsidRPr="00F70A27">
        <w:rPr>
          <w:kern w:val="22"/>
          <w:szCs w:val="22"/>
          <w:lang w:val="fr-FR"/>
        </w:rPr>
        <w:t>objectif</w:t>
      </w:r>
      <w:r w:rsidR="00F70A27">
        <w:rPr>
          <w:kern w:val="22"/>
          <w:szCs w:val="22"/>
          <w:lang w:val="fr-FR"/>
        </w:rPr>
        <w:t xml:space="preserve"> – le</w:t>
      </w:r>
      <w:r w:rsidR="002E332A">
        <w:rPr>
          <w:kern w:val="22"/>
          <w:szCs w:val="22"/>
          <w:lang w:val="fr-FR"/>
        </w:rPr>
        <w:t xml:space="preserve"> « </w:t>
      </w:r>
      <w:r w:rsidR="00F70A27">
        <w:rPr>
          <w:kern w:val="22"/>
          <w:szCs w:val="22"/>
          <w:lang w:val="fr-FR"/>
        </w:rPr>
        <w:t>but essentiel</w:t>
      </w:r>
      <w:r w:rsidR="002E332A">
        <w:rPr>
          <w:kern w:val="22"/>
          <w:szCs w:val="22"/>
          <w:lang w:val="fr-FR"/>
        </w:rPr>
        <w:t> »</w:t>
      </w:r>
      <w:r w:rsidR="00F957CA" w:rsidRPr="00F70A27">
        <w:rPr>
          <w:kern w:val="22"/>
          <w:szCs w:val="22"/>
          <w:lang w:val="fr-FR"/>
        </w:rPr>
        <w:t xml:space="preserve"> – </w:t>
      </w:r>
      <w:r w:rsidR="005D3CDB" w:rsidRPr="00F70A27">
        <w:rPr>
          <w:kern w:val="22"/>
          <w:szCs w:val="22"/>
          <w:lang w:val="fr-FR"/>
        </w:rPr>
        <w:t>du Pro</w:t>
      </w:r>
      <w:r w:rsidR="00F957CA" w:rsidRPr="00F70A27">
        <w:rPr>
          <w:kern w:val="22"/>
          <w:szCs w:val="22"/>
          <w:lang w:val="fr-FR"/>
        </w:rPr>
        <w:t>tocol</w:t>
      </w:r>
      <w:r w:rsidR="00F70A27">
        <w:rPr>
          <w:kern w:val="22"/>
          <w:szCs w:val="22"/>
          <w:lang w:val="fr-FR"/>
        </w:rPr>
        <w:t>e</w:t>
      </w:r>
      <w:r w:rsidR="00F957CA" w:rsidRPr="00F70A27">
        <w:rPr>
          <w:kern w:val="22"/>
          <w:szCs w:val="22"/>
          <w:lang w:val="fr-FR"/>
        </w:rPr>
        <w:t xml:space="preserve">. </w:t>
      </w:r>
      <w:r w:rsidR="00F70A27" w:rsidRPr="00F70A27">
        <w:rPr>
          <w:kern w:val="22"/>
          <w:szCs w:val="22"/>
          <w:lang w:val="fr-FR"/>
        </w:rPr>
        <w:t xml:space="preserve">Il </w:t>
      </w:r>
      <w:r w:rsidR="002E332A">
        <w:rPr>
          <w:kern w:val="22"/>
          <w:szCs w:val="22"/>
          <w:lang w:val="fr-FR"/>
        </w:rPr>
        <w:t>énonc</w:t>
      </w:r>
      <w:r w:rsidR="00F70A27" w:rsidRPr="00F70A27">
        <w:rPr>
          <w:kern w:val="22"/>
          <w:szCs w:val="22"/>
          <w:lang w:val="fr-FR"/>
        </w:rPr>
        <w:t>e également trois moyens pour parvenir à cet objectif</w:t>
      </w:r>
      <w:r w:rsidR="00F957CA" w:rsidRPr="00F70A27">
        <w:rPr>
          <w:kern w:val="22"/>
          <w:szCs w:val="22"/>
          <w:lang w:val="fr-FR"/>
        </w:rPr>
        <w:t xml:space="preserve"> – </w:t>
      </w:r>
      <w:r w:rsidRPr="00F70A27">
        <w:rPr>
          <w:kern w:val="22"/>
          <w:szCs w:val="22"/>
          <w:lang w:val="fr-FR"/>
        </w:rPr>
        <w:t>l’accès aux ressources génétiques</w:t>
      </w:r>
      <w:r w:rsidR="00F957CA" w:rsidRPr="00F70A27">
        <w:rPr>
          <w:kern w:val="22"/>
          <w:szCs w:val="22"/>
          <w:lang w:val="fr-FR"/>
        </w:rPr>
        <w:t xml:space="preserve">, </w:t>
      </w:r>
      <w:r w:rsidR="00F70A27">
        <w:rPr>
          <w:kern w:val="22"/>
          <w:szCs w:val="22"/>
          <w:lang w:val="fr-FR"/>
        </w:rPr>
        <w:t>le transfert de technologie</w:t>
      </w:r>
      <w:r w:rsidR="00623402" w:rsidRPr="00F70A27">
        <w:rPr>
          <w:kern w:val="22"/>
          <w:szCs w:val="22"/>
          <w:lang w:val="fr-FR"/>
        </w:rPr>
        <w:t xml:space="preserve"> et </w:t>
      </w:r>
      <w:r w:rsidR="00F70A27">
        <w:rPr>
          <w:kern w:val="22"/>
          <w:szCs w:val="22"/>
          <w:lang w:val="fr-FR"/>
        </w:rPr>
        <w:t>le financement</w:t>
      </w:r>
      <w:r w:rsidR="00F957CA" w:rsidRPr="00F70A27">
        <w:rPr>
          <w:kern w:val="22"/>
          <w:szCs w:val="22"/>
          <w:lang w:val="fr-FR"/>
        </w:rPr>
        <w:t xml:space="preserve">. </w:t>
      </w:r>
      <w:r w:rsidR="00F70A27">
        <w:rPr>
          <w:kern w:val="22"/>
          <w:szCs w:val="22"/>
          <w:lang w:val="fr-FR"/>
        </w:rPr>
        <w:t>L’a</w:t>
      </w:r>
      <w:r w:rsidR="00F957CA" w:rsidRPr="00C01103">
        <w:rPr>
          <w:kern w:val="22"/>
          <w:szCs w:val="22"/>
          <w:lang w:val="fr-FR"/>
        </w:rPr>
        <w:t xml:space="preserve">rticle 1 </w:t>
      </w:r>
      <w:r w:rsidR="002E332A">
        <w:rPr>
          <w:kern w:val="22"/>
          <w:szCs w:val="22"/>
          <w:lang w:val="fr-FR"/>
        </w:rPr>
        <w:t>établit aussi un</w:t>
      </w:r>
      <w:r w:rsidR="00F70A27">
        <w:rPr>
          <w:kern w:val="22"/>
          <w:szCs w:val="22"/>
          <w:lang w:val="fr-FR"/>
        </w:rPr>
        <w:t xml:space="preserve"> lien explicite en</w:t>
      </w:r>
      <w:r w:rsidR="002763F1">
        <w:rPr>
          <w:kern w:val="22"/>
          <w:szCs w:val="22"/>
          <w:lang w:val="fr-FR"/>
        </w:rPr>
        <w:t>tre</w:t>
      </w:r>
      <w:r w:rsidR="00F957CA" w:rsidRPr="00C01103">
        <w:rPr>
          <w:kern w:val="22"/>
          <w:szCs w:val="22"/>
          <w:lang w:val="fr-FR"/>
        </w:rPr>
        <w:t xml:space="preserve"> </w:t>
      </w:r>
      <w:r w:rsidR="00C01103" w:rsidRPr="00C01103">
        <w:rPr>
          <w:kern w:val="22"/>
          <w:szCs w:val="22"/>
          <w:lang w:val="fr-FR"/>
        </w:rPr>
        <w:t>le partage des avantages</w:t>
      </w:r>
      <w:r w:rsidR="00623402" w:rsidRPr="00C01103">
        <w:rPr>
          <w:kern w:val="22"/>
          <w:szCs w:val="22"/>
          <w:lang w:val="fr-FR"/>
        </w:rPr>
        <w:t xml:space="preserve"> et </w:t>
      </w:r>
      <w:r w:rsidR="00F70A27">
        <w:rPr>
          <w:kern w:val="22"/>
          <w:szCs w:val="22"/>
          <w:lang w:val="fr-FR"/>
        </w:rPr>
        <w:t xml:space="preserve">les deux autres </w:t>
      </w:r>
      <w:r w:rsidR="005D3CDB" w:rsidRPr="00C01103">
        <w:rPr>
          <w:kern w:val="22"/>
          <w:szCs w:val="22"/>
          <w:lang w:val="fr-FR"/>
        </w:rPr>
        <w:t>objectifs</w:t>
      </w:r>
      <w:r w:rsidR="00F957CA" w:rsidRPr="00C01103">
        <w:rPr>
          <w:kern w:val="22"/>
          <w:szCs w:val="22"/>
          <w:lang w:val="fr-FR"/>
        </w:rPr>
        <w:t xml:space="preserve"> </w:t>
      </w:r>
      <w:r w:rsidRPr="00C01103">
        <w:rPr>
          <w:kern w:val="22"/>
          <w:szCs w:val="22"/>
          <w:lang w:val="fr-FR"/>
        </w:rPr>
        <w:t>de la Co</w:t>
      </w:r>
      <w:r w:rsidR="005B1B34" w:rsidRPr="00C01103">
        <w:rPr>
          <w:kern w:val="22"/>
          <w:szCs w:val="22"/>
          <w:lang w:val="fr-FR"/>
        </w:rPr>
        <w:t xml:space="preserve">nvention </w:t>
      </w:r>
      <w:r w:rsidR="00F957CA" w:rsidRPr="00C01103">
        <w:rPr>
          <w:kern w:val="22"/>
          <w:szCs w:val="22"/>
          <w:lang w:val="fr-FR"/>
        </w:rPr>
        <w:t xml:space="preserve">– </w:t>
      </w:r>
      <w:r w:rsidR="00F70A27">
        <w:rPr>
          <w:kern w:val="22"/>
          <w:szCs w:val="22"/>
          <w:lang w:val="fr-FR"/>
        </w:rPr>
        <w:t xml:space="preserve">la </w:t>
      </w:r>
      <w:r w:rsidR="00F957CA" w:rsidRPr="00C01103">
        <w:rPr>
          <w:bCs/>
          <w:iCs/>
          <w:kern w:val="22"/>
          <w:szCs w:val="22"/>
          <w:lang w:val="fr-FR"/>
        </w:rPr>
        <w:t>conservation</w:t>
      </w:r>
      <w:r w:rsidR="00623402" w:rsidRPr="00C01103">
        <w:rPr>
          <w:bCs/>
          <w:iCs/>
          <w:kern w:val="22"/>
          <w:szCs w:val="22"/>
          <w:lang w:val="fr-FR"/>
        </w:rPr>
        <w:t xml:space="preserve"> et </w:t>
      </w:r>
      <w:r w:rsidR="00101345" w:rsidRPr="00C01103">
        <w:rPr>
          <w:bCs/>
          <w:iCs/>
          <w:kern w:val="22"/>
          <w:szCs w:val="22"/>
          <w:lang w:val="fr-FR"/>
        </w:rPr>
        <w:t>l’utilisation durable</w:t>
      </w:r>
      <w:r w:rsidR="002E332A">
        <w:rPr>
          <w:bCs/>
          <w:iCs/>
          <w:kern w:val="22"/>
          <w:szCs w:val="22"/>
          <w:lang w:val="fr-FR"/>
        </w:rPr>
        <w:t xml:space="preserve"> de la diversité biologique</w:t>
      </w:r>
      <w:r w:rsidR="00F957CA" w:rsidRPr="00C01103">
        <w:rPr>
          <w:bCs/>
          <w:iCs/>
          <w:kern w:val="22"/>
          <w:szCs w:val="22"/>
          <w:lang w:val="fr-FR"/>
        </w:rPr>
        <w:t>.</w:t>
      </w:r>
    </w:p>
    <w:p w:rsidR="00F957CA" w:rsidRPr="0001030F" w:rsidRDefault="0001030F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01030F">
        <w:rPr>
          <w:kern w:val="22"/>
          <w:szCs w:val="22"/>
          <w:lang w:val="fr-FR"/>
        </w:rPr>
        <w:lastRenderedPageBreak/>
        <w:t xml:space="preserve">Le préambule confirme que le Protocole vise à appliquer le </w:t>
      </w:r>
      <w:r w:rsidR="0045647A" w:rsidRPr="0001030F">
        <w:rPr>
          <w:kern w:val="22"/>
          <w:szCs w:val="22"/>
          <w:lang w:val="fr-FR"/>
        </w:rPr>
        <w:t xml:space="preserve">troisième </w:t>
      </w:r>
      <w:r w:rsidRPr="0001030F">
        <w:rPr>
          <w:kern w:val="22"/>
          <w:szCs w:val="22"/>
          <w:lang w:val="fr-FR"/>
        </w:rPr>
        <w:t>objectif</w:t>
      </w:r>
      <w:r w:rsidR="00F957CA" w:rsidRPr="0001030F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de la Co</w:t>
      </w:r>
      <w:r w:rsidR="005B1B34" w:rsidRPr="0001030F">
        <w:rPr>
          <w:kern w:val="22"/>
          <w:szCs w:val="22"/>
          <w:lang w:val="fr-FR"/>
        </w:rPr>
        <w:t>nvention</w:t>
      </w:r>
      <w:r w:rsidR="00F70A27">
        <w:rPr>
          <w:kern w:val="22"/>
          <w:szCs w:val="22"/>
          <w:lang w:val="fr-FR"/>
        </w:rPr>
        <w:t>,</w:t>
      </w:r>
      <w:r w:rsidR="002E332A">
        <w:rPr>
          <w:kern w:val="22"/>
          <w:szCs w:val="22"/>
          <w:lang w:val="fr-FR"/>
        </w:rPr>
        <w:t xml:space="preserve"> en décrivant les mesures à prendre pour appliquer</w:t>
      </w:r>
      <w:r w:rsidR="00F70A27">
        <w:rPr>
          <w:kern w:val="22"/>
          <w:szCs w:val="22"/>
          <w:lang w:val="fr-FR"/>
        </w:rPr>
        <w:t xml:space="preserve"> l’a</w:t>
      </w:r>
      <w:r w:rsidR="00F957CA" w:rsidRPr="0001030F">
        <w:rPr>
          <w:kern w:val="22"/>
          <w:szCs w:val="22"/>
          <w:lang w:val="fr-FR"/>
        </w:rPr>
        <w:t xml:space="preserve">rticle 15 </w:t>
      </w:r>
      <w:r w:rsidRPr="0001030F">
        <w:rPr>
          <w:kern w:val="22"/>
          <w:szCs w:val="22"/>
          <w:lang w:val="fr-FR"/>
        </w:rPr>
        <w:t>de la Co</w:t>
      </w:r>
      <w:r w:rsidR="00526B6A" w:rsidRPr="0001030F">
        <w:rPr>
          <w:kern w:val="22"/>
          <w:szCs w:val="22"/>
          <w:lang w:val="fr-FR"/>
        </w:rPr>
        <w:t>nvention</w:t>
      </w:r>
      <w:r w:rsidR="002E332A">
        <w:rPr>
          <w:kern w:val="22"/>
          <w:szCs w:val="22"/>
          <w:lang w:val="fr-FR"/>
        </w:rPr>
        <w:t xml:space="preserve"> portant sur </w:t>
      </w:r>
      <w:r w:rsidRPr="0001030F">
        <w:rPr>
          <w:kern w:val="22"/>
          <w:szCs w:val="22"/>
          <w:lang w:val="fr-FR"/>
        </w:rPr>
        <w:t>l’accès aux ressources génétiques</w:t>
      </w:r>
      <w:r w:rsidR="00A373EF" w:rsidRPr="0001030F">
        <w:rPr>
          <w:kern w:val="22"/>
          <w:szCs w:val="22"/>
          <w:lang w:val="fr-FR"/>
        </w:rPr>
        <w:t>,</w:t>
      </w:r>
      <w:r w:rsidR="00B55D08">
        <w:rPr>
          <w:kern w:val="22"/>
          <w:szCs w:val="22"/>
          <w:lang w:val="fr-FR"/>
        </w:rPr>
        <w:t xml:space="preserve"> </w:t>
      </w:r>
      <w:r w:rsidR="002E332A">
        <w:rPr>
          <w:kern w:val="22"/>
          <w:szCs w:val="22"/>
          <w:lang w:val="fr-FR"/>
        </w:rPr>
        <w:t>en vue d</w:t>
      </w:r>
      <w:r w:rsidR="00940CCE">
        <w:rPr>
          <w:kern w:val="22"/>
          <w:szCs w:val="22"/>
          <w:lang w:val="fr-FR"/>
        </w:rPr>
        <w:t>e faciliter</w:t>
      </w:r>
      <w:r w:rsidR="00F70A27">
        <w:rPr>
          <w:kern w:val="22"/>
          <w:szCs w:val="22"/>
          <w:lang w:val="fr-FR"/>
        </w:rPr>
        <w:t xml:space="preserve"> </w:t>
      </w:r>
      <w:r w:rsidR="00F83893">
        <w:rPr>
          <w:kern w:val="22"/>
          <w:szCs w:val="22"/>
          <w:lang w:val="fr-FR"/>
        </w:rPr>
        <w:t>l’application</w:t>
      </w:r>
      <w:r w:rsidR="00F957CA" w:rsidRPr="0001030F">
        <w:rPr>
          <w:kern w:val="22"/>
          <w:szCs w:val="22"/>
          <w:lang w:val="fr-FR"/>
        </w:rPr>
        <w:t xml:space="preserve"> </w:t>
      </w:r>
      <w:r w:rsidR="00F70A27">
        <w:rPr>
          <w:kern w:val="22"/>
          <w:szCs w:val="22"/>
          <w:lang w:val="fr-FR"/>
        </w:rPr>
        <w:t xml:space="preserve">effective des dispositions sur </w:t>
      </w:r>
      <w:r w:rsidR="005D3CDB" w:rsidRPr="0001030F">
        <w:rPr>
          <w:kern w:val="22"/>
          <w:szCs w:val="22"/>
          <w:lang w:val="fr-FR"/>
        </w:rPr>
        <w:t>l’accès et le partage des avantages</w:t>
      </w:r>
      <w:r w:rsidR="00F957CA" w:rsidRPr="0001030F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de la Co</w:t>
      </w:r>
      <w:r w:rsidR="00F957CA" w:rsidRPr="0001030F">
        <w:rPr>
          <w:kern w:val="22"/>
          <w:szCs w:val="22"/>
          <w:lang w:val="fr-FR"/>
        </w:rPr>
        <w:t xml:space="preserve">nvention. </w:t>
      </w:r>
      <w:r w:rsidRPr="0001030F">
        <w:rPr>
          <w:kern w:val="22"/>
          <w:szCs w:val="22"/>
          <w:lang w:val="fr-FR"/>
        </w:rPr>
        <w:t>Le préambule</w:t>
      </w:r>
      <w:r w:rsidR="00F957CA" w:rsidRPr="0001030F">
        <w:rPr>
          <w:kern w:val="22"/>
          <w:szCs w:val="22"/>
          <w:lang w:val="fr-FR"/>
        </w:rPr>
        <w:t xml:space="preserve"> </w:t>
      </w:r>
      <w:r w:rsidR="002E332A">
        <w:rPr>
          <w:kern w:val="22"/>
          <w:szCs w:val="22"/>
          <w:lang w:val="fr-FR"/>
        </w:rPr>
        <w:t>mentionne aussi la nécessité</w:t>
      </w:r>
      <w:r w:rsidR="00F70A27">
        <w:rPr>
          <w:kern w:val="22"/>
          <w:szCs w:val="22"/>
          <w:lang w:val="fr-FR"/>
        </w:rPr>
        <w:t xml:space="preserve"> d’assurer une </w:t>
      </w:r>
      <w:r w:rsidR="00C01103">
        <w:rPr>
          <w:bCs/>
          <w:iCs/>
          <w:kern w:val="22"/>
          <w:szCs w:val="22"/>
          <w:lang w:val="fr-FR"/>
        </w:rPr>
        <w:t>sécurité juridique</w:t>
      </w:r>
      <w:r w:rsidR="00F70A27">
        <w:rPr>
          <w:kern w:val="22"/>
          <w:szCs w:val="22"/>
          <w:lang w:val="fr-FR"/>
        </w:rPr>
        <w:t xml:space="preserve"> en matière d’accès et d</w:t>
      </w:r>
      <w:r w:rsidR="005D3CDB" w:rsidRPr="0001030F">
        <w:rPr>
          <w:kern w:val="22"/>
          <w:szCs w:val="22"/>
          <w:lang w:val="fr-FR"/>
        </w:rPr>
        <w:t>e partage des avantages</w:t>
      </w:r>
      <w:r w:rsidR="00F70A27">
        <w:rPr>
          <w:kern w:val="22"/>
          <w:szCs w:val="22"/>
          <w:lang w:val="fr-FR"/>
        </w:rPr>
        <w:t>,</w:t>
      </w:r>
      <w:r w:rsidR="00623402" w:rsidRPr="0001030F">
        <w:rPr>
          <w:kern w:val="22"/>
          <w:szCs w:val="22"/>
          <w:lang w:val="fr-FR"/>
        </w:rPr>
        <w:t xml:space="preserve"> et </w:t>
      </w:r>
      <w:r w:rsidR="00F70A27">
        <w:rPr>
          <w:kern w:val="22"/>
          <w:szCs w:val="22"/>
          <w:lang w:val="fr-FR"/>
        </w:rPr>
        <w:t xml:space="preserve">de promouvoir l’équité et la justice dans les </w:t>
      </w:r>
      <w:r w:rsidR="00D066C3">
        <w:rPr>
          <w:kern w:val="22"/>
          <w:szCs w:val="22"/>
          <w:lang w:val="fr-FR"/>
        </w:rPr>
        <w:t>négociation</w:t>
      </w:r>
      <w:r w:rsidR="00F957CA" w:rsidRPr="0001030F">
        <w:rPr>
          <w:kern w:val="22"/>
          <w:szCs w:val="22"/>
          <w:lang w:val="fr-FR"/>
        </w:rPr>
        <w:t xml:space="preserve">s </w:t>
      </w:r>
      <w:r w:rsidR="002763F1">
        <w:rPr>
          <w:kern w:val="22"/>
          <w:szCs w:val="22"/>
          <w:lang w:val="fr-FR"/>
        </w:rPr>
        <w:t>entre</w:t>
      </w:r>
      <w:r w:rsidR="002A185F">
        <w:rPr>
          <w:kern w:val="22"/>
          <w:szCs w:val="22"/>
          <w:lang w:val="fr-FR"/>
        </w:rPr>
        <w:t xml:space="preserve"> utilisateur</w:t>
      </w:r>
      <w:r w:rsidR="00F957CA" w:rsidRPr="0001030F">
        <w:rPr>
          <w:kern w:val="22"/>
          <w:szCs w:val="22"/>
          <w:lang w:val="fr-FR"/>
        </w:rPr>
        <w:t>s</w:t>
      </w:r>
      <w:r w:rsidR="00623402" w:rsidRPr="0001030F">
        <w:rPr>
          <w:kern w:val="22"/>
          <w:szCs w:val="22"/>
          <w:lang w:val="fr-FR"/>
        </w:rPr>
        <w:t xml:space="preserve"> et </w:t>
      </w:r>
      <w:r w:rsidR="002A185F">
        <w:rPr>
          <w:kern w:val="22"/>
          <w:szCs w:val="22"/>
          <w:lang w:val="fr-FR"/>
        </w:rPr>
        <w:t xml:space="preserve">fournisseurs </w:t>
      </w:r>
      <w:r w:rsidR="00F70A27">
        <w:rPr>
          <w:kern w:val="22"/>
          <w:szCs w:val="22"/>
          <w:lang w:val="fr-FR"/>
        </w:rPr>
        <w:t xml:space="preserve">de </w:t>
      </w:r>
      <w:r w:rsidRPr="0001030F">
        <w:rPr>
          <w:kern w:val="22"/>
          <w:szCs w:val="22"/>
          <w:lang w:val="fr-FR"/>
        </w:rPr>
        <w:t>ressources génétiques</w:t>
      </w:r>
      <w:r w:rsidR="002E332A">
        <w:rPr>
          <w:kern w:val="22"/>
          <w:szCs w:val="22"/>
          <w:lang w:val="fr-FR"/>
        </w:rPr>
        <w:t>. Une interprétat</w:t>
      </w:r>
      <w:r w:rsidR="002A185F">
        <w:rPr>
          <w:kern w:val="22"/>
          <w:szCs w:val="22"/>
          <w:lang w:val="fr-FR"/>
        </w:rPr>
        <w:t>ion large du</w:t>
      </w:r>
      <w:r w:rsidR="00F957CA" w:rsidRPr="0001030F">
        <w:rPr>
          <w:kern w:val="22"/>
          <w:szCs w:val="22"/>
          <w:lang w:val="fr-FR"/>
        </w:rPr>
        <w:t xml:space="preserve"> </w:t>
      </w:r>
      <w:r w:rsidR="00101345">
        <w:rPr>
          <w:bCs/>
          <w:iCs/>
          <w:kern w:val="22"/>
          <w:szCs w:val="22"/>
          <w:lang w:val="fr-FR"/>
        </w:rPr>
        <w:t>développement durable</w:t>
      </w:r>
      <w:r w:rsidR="002E332A">
        <w:rPr>
          <w:bCs/>
          <w:iCs/>
          <w:kern w:val="22"/>
          <w:szCs w:val="22"/>
          <w:lang w:val="fr-FR"/>
        </w:rPr>
        <w:t xml:space="preserve"> peut aussi être identifiée</w:t>
      </w:r>
      <w:r w:rsidR="002A185F">
        <w:rPr>
          <w:bCs/>
          <w:iCs/>
          <w:kern w:val="22"/>
          <w:szCs w:val="22"/>
          <w:lang w:val="fr-FR"/>
        </w:rPr>
        <w:t xml:space="preserve"> </w:t>
      </w:r>
      <w:r w:rsidR="002E332A">
        <w:rPr>
          <w:kern w:val="22"/>
          <w:szCs w:val="22"/>
          <w:lang w:val="fr-FR"/>
        </w:rPr>
        <w:t>comme faisant partie</w:t>
      </w:r>
      <w:r w:rsidRPr="0001030F">
        <w:rPr>
          <w:kern w:val="22"/>
          <w:szCs w:val="22"/>
          <w:lang w:val="fr-FR"/>
        </w:rPr>
        <w:t xml:space="preserve"> du but</w:t>
      </w:r>
      <w:r w:rsidR="00F957CA" w:rsidRPr="0001030F">
        <w:rPr>
          <w:kern w:val="22"/>
          <w:szCs w:val="22"/>
          <w:lang w:val="fr-FR"/>
        </w:rPr>
        <w:t xml:space="preserve"> </w:t>
      </w:r>
      <w:r w:rsidR="005D3CDB" w:rsidRPr="0001030F">
        <w:rPr>
          <w:kern w:val="22"/>
          <w:szCs w:val="22"/>
          <w:lang w:val="fr-FR"/>
        </w:rPr>
        <w:t>du Pro</w:t>
      </w:r>
      <w:r w:rsidR="00A01DA3" w:rsidRPr="0001030F">
        <w:rPr>
          <w:kern w:val="22"/>
          <w:szCs w:val="22"/>
          <w:lang w:val="fr-FR"/>
        </w:rPr>
        <w:t>tocole de Nagoya</w:t>
      </w:r>
      <w:r w:rsidR="00F957CA" w:rsidRPr="0001030F">
        <w:rPr>
          <w:kern w:val="22"/>
          <w:szCs w:val="22"/>
          <w:lang w:val="fr-FR"/>
        </w:rPr>
        <w:t>,</w:t>
      </w:r>
      <w:r w:rsidR="00B55D08">
        <w:rPr>
          <w:kern w:val="22"/>
          <w:szCs w:val="22"/>
          <w:lang w:val="fr-FR"/>
        </w:rPr>
        <w:t xml:space="preserve"> </w:t>
      </w:r>
      <w:r w:rsidR="002E332A">
        <w:rPr>
          <w:kern w:val="22"/>
          <w:szCs w:val="22"/>
          <w:lang w:val="fr-FR"/>
        </w:rPr>
        <w:t xml:space="preserve">sachant que le développement durable est </w:t>
      </w:r>
      <w:r w:rsidR="003F7742">
        <w:rPr>
          <w:kern w:val="22"/>
          <w:szCs w:val="22"/>
          <w:lang w:val="fr-FR"/>
        </w:rPr>
        <w:t xml:space="preserve">mentionné à plusieurs reprises dans </w:t>
      </w:r>
      <w:r w:rsidR="002E332A">
        <w:rPr>
          <w:kern w:val="22"/>
          <w:szCs w:val="22"/>
          <w:lang w:val="fr-FR"/>
        </w:rPr>
        <w:t>son</w:t>
      </w:r>
      <w:r w:rsidRPr="0001030F">
        <w:rPr>
          <w:kern w:val="22"/>
          <w:szCs w:val="22"/>
          <w:lang w:val="fr-FR"/>
        </w:rPr>
        <w:t xml:space="preserve"> préambule</w:t>
      </w:r>
      <w:r w:rsidR="00F957CA" w:rsidRPr="0001030F">
        <w:rPr>
          <w:kern w:val="22"/>
          <w:szCs w:val="22"/>
          <w:lang w:val="fr-FR"/>
        </w:rPr>
        <w:t>.</w:t>
      </w:r>
    </w:p>
    <w:p w:rsidR="00F957CA" w:rsidRPr="0001030F" w:rsidRDefault="0001030F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01030F">
        <w:rPr>
          <w:kern w:val="22"/>
          <w:szCs w:val="22"/>
          <w:lang w:val="fr-FR"/>
        </w:rPr>
        <w:t>Bien que les</w:t>
      </w:r>
      <w:r w:rsidR="00F957CA" w:rsidRPr="0001030F">
        <w:rPr>
          <w:kern w:val="22"/>
          <w:szCs w:val="22"/>
          <w:lang w:val="fr-FR"/>
        </w:rPr>
        <w:t xml:space="preserve"> </w:t>
      </w:r>
      <w:r w:rsidRPr="0001030F">
        <w:rPr>
          <w:bCs/>
          <w:iCs/>
          <w:kern w:val="22"/>
          <w:szCs w:val="22"/>
          <w:lang w:val="fr-FR"/>
        </w:rPr>
        <w:t>connaissances traditionnelles</w:t>
      </w:r>
      <w:r w:rsidR="00F957CA" w:rsidRPr="0001030F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ne soient pa</w:t>
      </w:r>
      <w:r>
        <w:rPr>
          <w:kern w:val="22"/>
          <w:szCs w:val="22"/>
          <w:lang w:val="fr-FR"/>
        </w:rPr>
        <w:t xml:space="preserve">s </w:t>
      </w:r>
      <w:r w:rsidR="00F957CA" w:rsidRPr="0001030F">
        <w:rPr>
          <w:kern w:val="22"/>
          <w:szCs w:val="22"/>
          <w:lang w:val="fr-FR"/>
        </w:rPr>
        <w:t>mention</w:t>
      </w:r>
      <w:r>
        <w:rPr>
          <w:kern w:val="22"/>
          <w:szCs w:val="22"/>
          <w:lang w:val="fr-FR"/>
        </w:rPr>
        <w:t>nées dans l’a</w:t>
      </w:r>
      <w:r w:rsidR="00F957CA" w:rsidRPr="0001030F">
        <w:rPr>
          <w:kern w:val="22"/>
          <w:szCs w:val="22"/>
          <w:lang w:val="fr-FR"/>
        </w:rPr>
        <w:t xml:space="preserve">rticle 1 </w:t>
      </w:r>
      <w:r w:rsidR="005D3CDB" w:rsidRPr="0001030F">
        <w:rPr>
          <w:kern w:val="22"/>
          <w:szCs w:val="22"/>
          <w:lang w:val="fr-FR"/>
        </w:rPr>
        <w:t>du Pro</w:t>
      </w:r>
      <w:r w:rsidR="00F957CA" w:rsidRPr="0001030F">
        <w:rPr>
          <w:kern w:val="22"/>
          <w:szCs w:val="22"/>
          <w:lang w:val="fr-FR"/>
        </w:rPr>
        <w:t>tocol</w:t>
      </w:r>
      <w:r>
        <w:rPr>
          <w:kern w:val="22"/>
          <w:szCs w:val="22"/>
          <w:lang w:val="fr-FR"/>
        </w:rPr>
        <w:t>e</w:t>
      </w:r>
      <w:r w:rsidR="00F957CA" w:rsidRPr="0001030F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il s’agit d’un élément central du</w:t>
      </w:r>
      <w:r w:rsidR="00940CCE">
        <w:rPr>
          <w:kern w:val="22"/>
          <w:szCs w:val="22"/>
          <w:lang w:val="fr-FR"/>
        </w:rPr>
        <w:t xml:space="preserve"> régime mis en place</w:t>
      </w:r>
      <w:r>
        <w:rPr>
          <w:kern w:val="22"/>
          <w:szCs w:val="22"/>
          <w:lang w:val="fr-FR"/>
        </w:rPr>
        <w:t xml:space="preserve"> par le</w:t>
      </w:r>
      <w:r w:rsidR="00F957CA" w:rsidRPr="0001030F">
        <w:rPr>
          <w:kern w:val="22"/>
          <w:szCs w:val="22"/>
          <w:lang w:val="fr-FR"/>
        </w:rPr>
        <w:t xml:space="preserve"> Protocol</w:t>
      </w:r>
      <w:r>
        <w:rPr>
          <w:kern w:val="22"/>
          <w:szCs w:val="22"/>
          <w:lang w:val="fr-FR"/>
        </w:rPr>
        <w:t>e</w:t>
      </w:r>
      <w:r w:rsidR="00F957CA" w:rsidRPr="0001030F">
        <w:rPr>
          <w:kern w:val="22"/>
          <w:szCs w:val="22"/>
          <w:lang w:val="fr-FR"/>
        </w:rPr>
        <w:t xml:space="preserve">. </w:t>
      </w:r>
      <w:r w:rsidRPr="0001030F">
        <w:rPr>
          <w:kern w:val="22"/>
          <w:szCs w:val="22"/>
          <w:lang w:val="fr-FR"/>
        </w:rPr>
        <w:t>Puisque le but du</w:t>
      </w:r>
      <w:r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traité</w:t>
      </w:r>
      <w:r w:rsidR="00F957CA" w:rsidRPr="0001030F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doit aussi être déduit de son </w:t>
      </w:r>
      <w:r w:rsidRPr="0001030F">
        <w:rPr>
          <w:kern w:val="22"/>
          <w:szCs w:val="22"/>
          <w:lang w:val="fr-FR"/>
        </w:rPr>
        <w:t>préambule</w:t>
      </w:r>
      <w:r w:rsidR="00623402" w:rsidRPr="0001030F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d’</w:t>
      </w:r>
      <w:r w:rsidR="00623402" w:rsidRPr="0001030F">
        <w:rPr>
          <w:kern w:val="22"/>
          <w:szCs w:val="22"/>
          <w:lang w:val="fr-FR"/>
        </w:rPr>
        <w:t xml:space="preserve">autres </w:t>
      </w:r>
      <w:r w:rsidR="00F957CA" w:rsidRPr="0001030F">
        <w:rPr>
          <w:kern w:val="22"/>
          <w:szCs w:val="22"/>
          <w:lang w:val="fr-FR"/>
        </w:rPr>
        <w:t>articles</w:t>
      </w:r>
      <w:r w:rsidR="00940CCE">
        <w:rPr>
          <w:kern w:val="22"/>
          <w:szCs w:val="22"/>
          <w:lang w:val="fr-FR"/>
        </w:rPr>
        <w:t xml:space="preserve"> programmatiques</w:t>
      </w:r>
      <w:r w:rsidR="00F957CA" w:rsidRPr="0001030F">
        <w:rPr>
          <w:kern w:val="22"/>
          <w:szCs w:val="22"/>
          <w:lang w:val="fr-FR"/>
        </w:rPr>
        <w:t xml:space="preserve">, </w:t>
      </w:r>
      <w:r w:rsidR="00F70A27">
        <w:rPr>
          <w:kern w:val="22"/>
          <w:szCs w:val="22"/>
          <w:lang w:val="fr-FR"/>
        </w:rPr>
        <w:t>il convient d’attirer l’</w:t>
      </w:r>
      <w:r w:rsidR="00F957CA" w:rsidRPr="0001030F">
        <w:rPr>
          <w:kern w:val="22"/>
          <w:szCs w:val="22"/>
          <w:lang w:val="fr-FR"/>
        </w:rPr>
        <w:t xml:space="preserve">attention </w:t>
      </w:r>
      <w:r w:rsidR="00F70A27">
        <w:rPr>
          <w:kern w:val="22"/>
          <w:szCs w:val="22"/>
          <w:lang w:val="fr-FR"/>
        </w:rPr>
        <w:t xml:space="preserve">sur plusieurs </w:t>
      </w:r>
      <w:r>
        <w:rPr>
          <w:kern w:val="22"/>
          <w:szCs w:val="22"/>
          <w:lang w:val="fr-FR"/>
        </w:rPr>
        <w:t>dispositions de fond</w:t>
      </w:r>
      <w:r w:rsidR="00F957CA" w:rsidRPr="0001030F">
        <w:rPr>
          <w:kern w:val="22"/>
          <w:szCs w:val="22"/>
          <w:lang w:val="fr-FR"/>
        </w:rPr>
        <w:t xml:space="preserve"> </w:t>
      </w:r>
      <w:r w:rsidR="005D3CDB" w:rsidRPr="0001030F">
        <w:rPr>
          <w:kern w:val="22"/>
          <w:szCs w:val="22"/>
          <w:lang w:val="fr-FR"/>
        </w:rPr>
        <w:t xml:space="preserve">du </w:t>
      </w:r>
      <w:r w:rsidRPr="0001030F">
        <w:rPr>
          <w:kern w:val="22"/>
          <w:szCs w:val="22"/>
          <w:lang w:val="fr-FR"/>
        </w:rPr>
        <w:t xml:space="preserve">Protocole </w:t>
      </w:r>
      <w:r w:rsidR="00940CCE">
        <w:rPr>
          <w:kern w:val="22"/>
          <w:szCs w:val="22"/>
          <w:lang w:val="fr-FR"/>
        </w:rPr>
        <w:t>qui sont entièrement ou largement</w:t>
      </w:r>
      <w:r w:rsidR="00F70A27">
        <w:rPr>
          <w:kern w:val="22"/>
          <w:szCs w:val="22"/>
          <w:lang w:val="fr-FR"/>
        </w:rPr>
        <w:t xml:space="preserve"> consacrées aux </w:t>
      </w:r>
      <w:r w:rsidRPr="0001030F">
        <w:rPr>
          <w:kern w:val="22"/>
          <w:szCs w:val="22"/>
          <w:lang w:val="fr-FR"/>
        </w:rPr>
        <w:t>connaissances traditionnelles</w:t>
      </w:r>
      <w:r w:rsidR="00F957CA" w:rsidRPr="0001030F">
        <w:rPr>
          <w:kern w:val="22"/>
          <w:szCs w:val="22"/>
          <w:lang w:val="fr-FR"/>
        </w:rPr>
        <w:t xml:space="preserve"> </w:t>
      </w:r>
      <w:r w:rsidR="00940CCE">
        <w:rPr>
          <w:kern w:val="22"/>
          <w:szCs w:val="22"/>
          <w:lang w:val="fr-FR"/>
        </w:rPr>
        <w:t>associ</w:t>
      </w:r>
      <w:r w:rsidR="00C32630">
        <w:rPr>
          <w:kern w:val="22"/>
          <w:szCs w:val="22"/>
          <w:lang w:val="fr-FR"/>
        </w:rPr>
        <w:t>ées aux</w:t>
      </w:r>
      <w:r w:rsidR="00B55D08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ressources génétiques</w:t>
      </w:r>
      <w:r w:rsidR="00F957CA" w:rsidRPr="0001030F">
        <w:rPr>
          <w:kern w:val="22"/>
          <w:szCs w:val="22"/>
          <w:lang w:val="fr-FR"/>
        </w:rPr>
        <w:t xml:space="preserve">, </w:t>
      </w:r>
      <w:r w:rsidR="005D3CDB" w:rsidRPr="0001030F">
        <w:rPr>
          <w:kern w:val="22"/>
          <w:szCs w:val="22"/>
          <w:lang w:val="fr-FR"/>
        </w:rPr>
        <w:t>ainsi que</w:t>
      </w:r>
      <w:r w:rsidR="00F70A27">
        <w:rPr>
          <w:kern w:val="22"/>
          <w:szCs w:val="22"/>
          <w:lang w:val="fr-FR"/>
        </w:rPr>
        <w:t xml:space="preserve"> plusieurs références faites aux </w:t>
      </w:r>
      <w:r w:rsidRPr="0001030F">
        <w:rPr>
          <w:kern w:val="22"/>
          <w:szCs w:val="22"/>
          <w:lang w:val="fr-FR"/>
        </w:rPr>
        <w:t>connaissances traditionnelles</w:t>
      </w:r>
      <w:r w:rsidR="00F70A27">
        <w:rPr>
          <w:kern w:val="22"/>
          <w:szCs w:val="22"/>
          <w:lang w:val="fr-FR"/>
        </w:rPr>
        <w:t xml:space="preserve"> dans</w:t>
      </w:r>
      <w:r w:rsidR="00F957CA" w:rsidRPr="0001030F">
        <w:rPr>
          <w:kern w:val="22"/>
          <w:szCs w:val="22"/>
          <w:lang w:val="fr-FR"/>
        </w:rPr>
        <w:t xml:space="preserve"> </w:t>
      </w:r>
      <w:r w:rsidRPr="0001030F">
        <w:rPr>
          <w:kern w:val="22"/>
          <w:szCs w:val="22"/>
          <w:lang w:val="fr-FR"/>
        </w:rPr>
        <w:t>le préambule</w:t>
      </w:r>
      <w:r w:rsidR="00F957CA" w:rsidRPr="0001030F">
        <w:rPr>
          <w:kern w:val="22"/>
          <w:szCs w:val="22"/>
          <w:lang w:val="fr-FR"/>
        </w:rPr>
        <w:t xml:space="preserve">, </w:t>
      </w:r>
      <w:r w:rsidR="005D3CDB" w:rsidRPr="0001030F">
        <w:rPr>
          <w:kern w:val="22"/>
          <w:szCs w:val="22"/>
          <w:lang w:val="fr-FR"/>
        </w:rPr>
        <w:t>y compris</w:t>
      </w:r>
      <w:r w:rsidR="00940CCE">
        <w:rPr>
          <w:kern w:val="22"/>
          <w:szCs w:val="22"/>
          <w:lang w:val="fr-FR"/>
        </w:rPr>
        <w:t xml:space="preserve"> leur</w:t>
      </w:r>
      <w:r w:rsidR="00F70A27">
        <w:rPr>
          <w:kern w:val="22"/>
          <w:szCs w:val="22"/>
          <w:lang w:val="fr-FR"/>
        </w:rPr>
        <w:t xml:space="preserve"> importance pour la</w:t>
      </w:r>
      <w:r w:rsidR="00F957CA" w:rsidRPr="0001030F">
        <w:rPr>
          <w:kern w:val="22"/>
          <w:szCs w:val="22"/>
          <w:lang w:val="fr-FR"/>
        </w:rPr>
        <w:t xml:space="preserve"> conservation</w:t>
      </w:r>
      <w:r w:rsidR="00623402" w:rsidRPr="0001030F">
        <w:rPr>
          <w:kern w:val="22"/>
          <w:szCs w:val="22"/>
          <w:lang w:val="fr-FR"/>
        </w:rPr>
        <w:t xml:space="preserve"> et </w:t>
      </w:r>
      <w:r w:rsidR="00101345">
        <w:rPr>
          <w:kern w:val="22"/>
          <w:szCs w:val="22"/>
          <w:lang w:val="fr-FR"/>
        </w:rPr>
        <w:t>l’utilisation durable</w:t>
      </w:r>
      <w:r w:rsidR="00F70A27">
        <w:rPr>
          <w:kern w:val="22"/>
          <w:szCs w:val="22"/>
          <w:lang w:val="fr-FR"/>
        </w:rPr>
        <w:t xml:space="preserve"> de la</w:t>
      </w:r>
      <w:r w:rsidR="00F957CA" w:rsidRPr="0001030F">
        <w:rPr>
          <w:kern w:val="22"/>
          <w:szCs w:val="22"/>
          <w:lang w:val="fr-FR"/>
        </w:rPr>
        <w:t xml:space="preserve"> </w:t>
      </w:r>
      <w:r w:rsidR="00D76FBF">
        <w:rPr>
          <w:kern w:val="22"/>
          <w:szCs w:val="22"/>
          <w:lang w:val="fr-FR"/>
        </w:rPr>
        <w:t>diversité biologique</w:t>
      </w:r>
      <w:r w:rsidR="00F957CA" w:rsidRPr="0001030F">
        <w:rPr>
          <w:kern w:val="22"/>
          <w:szCs w:val="22"/>
          <w:lang w:val="fr-FR"/>
        </w:rPr>
        <w:t>.</w:t>
      </w:r>
    </w:p>
    <w:p w:rsidR="00C84E3A" w:rsidRPr="005E0454" w:rsidRDefault="00F83893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01030F" w:rsidRPr="0001030F">
        <w:rPr>
          <w:kern w:val="22"/>
          <w:szCs w:val="22"/>
          <w:lang w:val="fr-FR"/>
        </w:rPr>
        <w:t>’analyse</w:t>
      </w:r>
      <w:r w:rsidR="00F957CA" w:rsidRPr="0001030F">
        <w:rPr>
          <w:kern w:val="22"/>
          <w:szCs w:val="22"/>
          <w:lang w:val="fr-FR"/>
        </w:rPr>
        <w:t xml:space="preserve"> </w:t>
      </w:r>
      <w:r w:rsidR="00C32630">
        <w:rPr>
          <w:kern w:val="22"/>
          <w:szCs w:val="22"/>
          <w:lang w:val="fr-FR"/>
        </w:rPr>
        <w:t>ci-dessus fournit</w:t>
      </w:r>
      <w:r w:rsidR="00940CCE">
        <w:rPr>
          <w:kern w:val="22"/>
          <w:szCs w:val="22"/>
          <w:lang w:val="fr-FR"/>
        </w:rPr>
        <w:t xml:space="preserve"> une base pour élaborer</w:t>
      </w:r>
      <w:r w:rsidR="00C32630">
        <w:rPr>
          <w:kern w:val="22"/>
          <w:szCs w:val="22"/>
          <w:lang w:val="fr-FR"/>
        </w:rPr>
        <w:t xml:space="preserve"> des</w:t>
      </w:r>
      <w:r w:rsidR="00A01DA3" w:rsidRPr="0001030F">
        <w:rPr>
          <w:kern w:val="22"/>
          <w:szCs w:val="22"/>
          <w:lang w:val="fr-FR"/>
        </w:rPr>
        <w:t xml:space="preserve"> critères</w:t>
      </w:r>
      <w:r w:rsidR="00940CCE">
        <w:rPr>
          <w:kern w:val="22"/>
          <w:szCs w:val="22"/>
          <w:lang w:val="fr-FR"/>
        </w:rPr>
        <w:t xml:space="preserve"> permettant d’identifier l</w:t>
      </w:r>
      <w:r w:rsidR="00C32630">
        <w:rPr>
          <w:kern w:val="22"/>
          <w:szCs w:val="22"/>
          <w:lang w:val="fr-FR"/>
        </w:rPr>
        <w:t>es</w:t>
      </w:r>
      <w:r w:rsidR="00F957CA" w:rsidRPr="0001030F">
        <w:rPr>
          <w:kern w:val="22"/>
          <w:szCs w:val="22"/>
          <w:lang w:val="fr-FR"/>
        </w:rPr>
        <w:t xml:space="preserve"> </w:t>
      </w:r>
      <w:r w:rsidR="00231CD8">
        <w:rPr>
          <w:kern w:val="22"/>
          <w:szCs w:val="22"/>
          <w:lang w:val="fr-FR"/>
        </w:rPr>
        <w:t>instruments internationaux</w:t>
      </w:r>
      <w:r w:rsidR="005D3CDB" w:rsidRPr="0001030F">
        <w:rPr>
          <w:kern w:val="22"/>
          <w:szCs w:val="22"/>
          <w:lang w:val="fr-FR"/>
        </w:rPr>
        <w:t xml:space="preserve"> </w:t>
      </w:r>
      <w:r w:rsidR="00C3300B">
        <w:rPr>
          <w:kern w:val="22"/>
          <w:szCs w:val="22"/>
          <w:lang w:val="fr-FR"/>
        </w:rPr>
        <w:t>spéciaux</w:t>
      </w:r>
      <w:r w:rsidR="005D3CDB" w:rsidRPr="0001030F">
        <w:rPr>
          <w:kern w:val="22"/>
          <w:szCs w:val="22"/>
          <w:lang w:val="fr-FR"/>
        </w:rPr>
        <w:t xml:space="preserve"> sur l’accès et le partage des avantages</w:t>
      </w:r>
      <w:r w:rsidR="00940CCE">
        <w:rPr>
          <w:kern w:val="22"/>
          <w:szCs w:val="22"/>
          <w:lang w:val="fr-FR"/>
        </w:rPr>
        <w:t xml:space="preserve"> au titre</w:t>
      </w:r>
      <w:r w:rsidR="00C32630">
        <w:rPr>
          <w:kern w:val="22"/>
          <w:szCs w:val="22"/>
          <w:lang w:val="fr-FR"/>
        </w:rPr>
        <w:t xml:space="preserve"> du</w:t>
      </w:r>
      <w:r w:rsidR="00623402" w:rsidRPr="0001030F">
        <w:rPr>
          <w:kern w:val="22"/>
          <w:szCs w:val="22"/>
          <w:lang w:val="fr-FR"/>
        </w:rPr>
        <w:t xml:space="preserve"> paragraphe 4 de l’article 4</w:t>
      </w:r>
      <w:r w:rsidR="00940CCE">
        <w:rPr>
          <w:kern w:val="22"/>
          <w:szCs w:val="22"/>
          <w:lang w:val="fr-FR"/>
        </w:rPr>
        <w:t xml:space="preserve"> du Protocole de Nagoya. D’une façon générale, pour être qualifié d’</w:t>
      </w:r>
      <w:r w:rsidR="00623402" w:rsidRPr="005E0454">
        <w:rPr>
          <w:kern w:val="22"/>
          <w:szCs w:val="22"/>
          <w:lang w:val="fr-FR"/>
        </w:rPr>
        <w:t xml:space="preserve">instrument international </w:t>
      </w:r>
      <w:r w:rsidR="0026155E">
        <w:rPr>
          <w:kern w:val="22"/>
          <w:szCs w:val="22"/>
          <w:lang w:val="fr-FR"/>
        </w:rPr>
        <w:t>spécial</w:t>
      </w:r>
      <w:r w:rsidR="00623402" w:rsidRPr="005E0454">
        <w:rPr>
          <w:kern w:val="22"/>
          <w:szCs w:val="22"/>
          <w:lang w:val="fr-FR"/>
        </w:rPr>
        <w:t xml:space="preserve"> sur l’accès et le partage des avantages</w:t>
      </w:r>
      <w:r w:rsidR="00C32630">
        <w:rPr>
          <w:kern w:val="22"/>
          <w:szCs w:val="22"/>
          <w:lang w:val="fr-FR"/>
        </w:rPr>
        <w:t>, l’</w:t>
      </w:r>
      <w:r w:rsidR="00F957CA" w:rsidRPr="005E0454">
        <w:rPr>
          <w:kern w:val="22"/>
          <w:szCs w:val="22"/>
          <w:lang w:val="fr-FR"/>
        </w:rPr>
        <w:t xml:space="preserve">instrument </w:t>
      </w:r>
      <w:r w:rsidR="00C32630">
        <w:rPr>
          <w:kern w:val="22"/>
          <w:szCs w:val="22"/>
          <w:lang w:val="fr-FR"/>
        </w:rPr>
        <w:t>considéré devrait</w:t>
      </w:r>
      <w:r w:rsidR="003D2989" w:rsidRPr="005E0454">
        <w:rPr>
          <w:kern w:val="22"/>
          <w:szCs w:val="22"/>
          <w:lang w:val="fr-FR"/>
        </w:rPr>
        <w:t>:</w:t>
      </w:r>
    </w:p>
    <w:p w:rsidR="00C84E3A" w:rsidRPr="00C32630" w:rsidRDefault="00940CCE" w:rsidP="009F4D84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Ê</w:t>
      </w:r>
      <w:r w:rsidR="00C32630">
        <w:rPr>
          <w:kern w:val="22"/>
          <w:szCs w:val="22"/>
          <w:lang w:val="fr-FR"/>
        </w:rPr>
        <w:t xml:space="preserve">tre conclu dans le cadre d’un processus </w:t>
      </w:r>
      <w:r w:rsidR="00231CD8" w:rsidRPr="00C32630">
        <w:rPr>
          <w:kern w:val="22"/>
          <w:szCs w:val="22"/>
          <w:lang w:val="fr-FR"/>
        </w:rPr>
        <w:t xml:space="preserve">intergouvernemental </w:t>
      </w:r>
      <w:r w:rsidR="00C32630">
        <w:rPr>
          <w:kern w:val="22"/>
          <w:szCs w:val="22"/>
          <w:lang w:val="fr-FR"/>
        </w:rPr>
        <w:t>(</w:t>
      </w:r>
      <w:r>
        <w:rPr>
          <w:kern w:val="22"/>
          <w:szCs w:val="22"/>
          <w:lang w:val="fr-FR"/>
        </w:rPr>
        <w:t>que l’instrument soit</w:t>
      </w:r>
      <w:r w:rsidR="00F957CA" w:rsidRPr="00C32630">
        <w:rPr>
          <w:kern w:val="22"/>
          <w:szCs w:val="22"/>
          <w:lang w:val="fr-FR"/>
        </w:rPr>
        <w:t xml:space="preserve"> </w:t>
      </w:r>
      <w:r w:rsidR="00C32630" w:rsidRPr="00C32630">
        <w:rPr>
          <w:kern w:val="22"/>
          <w:szCs w:val="22"/>
          <w:lang w:val="fr-FR"/>
        </w:rPr>
        <w:t>juridiquement contraignant</w:t>
      </w:r>
      <w:r w:rsidR="00E14372">
        <w:rPr>
          <w:kern w:val="22"/>
          <w:szCs w:val="22"/>
          <w:lang w:val="fr-FR"/>
        </w:rPr>
        <w:t xml:space="preserve"> ou </w:t>
      </w:r>
      <w:r w:rsidR="00C32630" w:rsidRPr="00C32630">
        <w:rPr>
          <w:kern w:val="22"/>
          <w:szCs w:val="22"/>
          <w:lang w:val="fr-FR"/>
        </w:rPr>
        <w:t>non contraignant</w:t>
      </w:r>
      <w:r w:rsidR="00F957CA" w:rsidRPr="00C32630">
        <w:rPr>
          <w:kern w:val="22"/>
          <w:szCs w:val="22"/>
          <w:lang w:val="fr-FR"/>
        </w:rPr>
        <w:t>)</w:t>
      </w:r>
      <w:r w:rsidR="001133EF" w:rsidRPr="00C32630">
        <w:rPr>
          <w:kern w:val="22"/>
          <w:szCs w:val="22"/>
          <w:lang w:val="fr-FR"/>
        </w:rPr>
        <w:t>;</w:t>
      </w:r>
    </w:p>
    <w:p w:rsidR="00C84E3A" w:rsidRPr="00C32630" w:rsidRDefault="00940CCE" w:rsidP="009F4D84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Ê</w:t>
      </w:r>
      <w:r w:rsidR="00C32630">
        <w:rPr>
          <w:kern w:val="22"/>
          <w:szCs w:val="22"/>
          <w:lang w:val="fr-FR"/>
        </w:rPr>
        <w:t>tre</w:t>
      </w:r>
      <w:r w:rsidR="00F957CA" w:rsidRPr="00C32630">
        <w:rPr>
          <w:kern w:val="22"/>
          <w:szCs w:val="22"/>
          <w:lang w:val="fr-FR"/>
        </w:rPr>
        <w:t xml:space="preserve"> </w:t>
      </w:r>
      <w:r w:rsidR="0026155E" w:rsidRPr="00C32630">
        <w:rPr>
          <w:kern w:val="22"/>
          <w:szCs w:val="22"/>
          <w:lang w:val="fr-FR"/>
        </w:rPr>
        <w:t>spécial</w:t>
      </w:r>
      <w:r w:rsidR="001133EF" w:rsidRPr="00C32630">
        <w:rPr>
          <w:kern w:val="22"/>
          <w:szCs w:val="22"/>
          <w:lang w:val="fr-FR"/>
        </w:rPr>
        <w:t>:</w:t>
      </w:r>
    </w:p>
    <w:p w:rsidR="001133EF" w:rsidRPr="00C32630" w:rsidRDefault="00C32630" w:rsidP="009F4D84">
      <w:pPr>
        <w:pStyle w:val="Para1"/>
        <w:numPr>
          <w:ilvl w:val="5"/>
          <w:numId w:val="6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40" w:hanging="504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L’instrument</w:t>
      </w:r>
      <w:r w:rsidR="00940CCE">
        <w:rPr>
          <w:kern w:val="22"/>
          <w:szCs w:val="22"/>
          <w:lang w:val="fr-FR"/>
        </w:rPr>
        <w:t xml:space="preserve"> s’applique à un ensemble spécifique</w:t>
      </w:r>
      <w:r>
        <w:rPr>
          <w:kern w:val="22"/>
          <w:szCs w:val="22"/>
          <w:lang w:val="fr-FR"/>
        </w:rPr>
        <w:t xml:space="preserve"> de </w:t>
      </w:r>
      <w:r w:rsidR="0001030F" w:rsidRPr="00C32630">
        <w:rPr>
          <w:kern w:val="22"/>
          <w:szCs w:val="22"/>
          <w:lang w:val="fr-FR"/>
        </w:rPr>
        <w:t>ressources génétiques</w:t>
      </w:r>
      <w:r>
        <w:rPr>
          <w:kern w:val="22"/>
          <w:szCs w:val="22"/>
          <w:lang w:val="fr-FR"/>
        </w:rPr>
        <w:t xml:space="preserve"> et/ou de</w:t>
      </w:r>
      <w:r w:rsidR="00F957CA" w:rsidRPr="00C32630">
        <w:rPr>
          <w:kern w:val="22"/>
          <w:szCs w:val="22"/>
          <w:lang w:val="fr-FR"/>
        </w:rPr>
        <w:t xml:space="preserve"> </w:t>
      </w:r>
      <w:r w:rsidR="0001030F" w:rsidRPr="00C32630">
        <w:rPr>
          <w:kern w:val="22"/>
          <w:szCs w:val="22"/>
          <w:lang w:val="fr-FR"/>
        </w:rPr>
        <w:t>connaissances traditionnelles</w:t>
      </w:r>
      <w:r>
        <w:rPr>
          <w:kern w:val="22"/>
          <w:szCs w:val="22"/>
          <w:lang w:val="fr-FR"/>
        </w:rPr>
        <w:t xml:space="preserve"> associées aux</w:t>
      </w:r>
      <w:r w:rsidR="00B55D08" w:rsidRPr="00C32630">
        <w:rPr>
          <w:kern w:val="22"/>
          <w:szCs w:val="22"/>
          <w:lang w:val="fr-FR"/>
        </w:rPr>
        <w:t xml:space="preserve"> </w:t>
      </w:r>
      <w:r w:rsidR="0001030F" w:rsidRPr="00C32630">
        <w:rPr>
          <w:kern w:val="22"/>
          <w:szCs w:val="22"/>
          <w:lang w:val="fr-FR"/>
        </w:rPr>
        <w:t>ressources génétiques</w:t>
      </w:r>
      <w:r w:rsidR="00F957CA" w:rsidRPr="00C32630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qui entrent dans le champ d’application du </w:t>
      </w:r>
      <w:r w:rsidR="005D3CDB" w:rsidRPr="00C32630">
        <w:rPr>
          <w:kern w:val="22"/>
          <w:szCs w:val="22"/>
          <w:lang w:val="fr-FR"/>
        </w:rPr>
        <w:t>Pro</w:t>
      </w:r>
      <w:r w:rsidR="00A01DA3" w:rsidRPr="00C32630">
        <w:rPr>
          <w:kern w:val="22"/>
          <w:szCs w:val="22"/>
          <w:lang w:val="fr-FR"/>
        </w:rPr>
        <w:t>tocole de Nagoya</w:t>
      </w:r>
      <w:r w:rsidR="00F957CA" w:rsidRPr="00C32630">
        <w:rPr>
          <w:kern w:val="22"/>
          <w:szCs w:val="22"/>
          <w:lang w:val="fr-FR"/>
        </w:rPr>
        <w:t>;</w:t>
      </w:r>
    </w:p>
    <w:p w:rsidR="001133EF" w:rsidRPr="00C32630" w:rsidRDefault="00C32630" w:rsidP="009F4D84">
      <w:pPr>
        <w:pStyle w:val="Para1"/>
        <w:numPr>
          <w:ilvl w:val="5"/>
          <w:numId w:val="6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40" w:hanging="504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L’</w:t>
      </w:r>
      <w:r w:rsidR="00F957CA" w:rsidRPr="00C32630">
        <w:rPr>
          <w:kern w:val="22"/>
          <w:szCs w:val="22"/>
          <w:lang w:val="fr-FR"/>
        </w:rPr>
        <w:t xml:space="preserve">instrument </w:t>
      </w:r>
      <w:r w:rsidRPr="00C32630">
        <w:rPr>
          <w:kern w:val="22"/>
          <w:szCs w:val="22"/>
          <w:lang w:val="fr-FR"/>
        </w:rPr>
        <w:t>s’applique</w:t>
      </w:r>
      <w:r w:rsidR="00940CCE">
        <w:rPr>
          <w:kern w:val="22"/>
          <w:szCs w:val="22"/>
          <w:lang w:val="fr-FR"/>
        </w:rPr>
        <w:t xml:space="preserve"> à des utilisations spécifiqu</w:t>
      </w:r>
      <w:r>
        <w:rPr>
          <w:kern w:val="22"/>
          <w:szCs w:val="22"/>
          <w:lang w:val="fr-FR"/>
        </w:rPr>
        <w:t xml:space="preserve">es des </w:t>
      </w:r>
      <w:r w:rsidR="0001030F" w:rsidRPr="00C32630">
        <w:rPr>
          <w:kern w:val="22"/>
          <w:szCs w:val="22"/>
          <w:lang w:val="fr-FR"/>
        </w:rPr>
        <w:t>ressources génétiques</w:t>
      </w:r>
      <w:r w:rsidR="00F957CA" w:rsidRPr="00C3263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et/ou</w:t>
      </w:r>
      <w:r w:rsidR="00F957CA" w:rsidRPr="00C3263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des </w:t>
      </w:r>
      <w:r w:rsidR="0001030F" w:rsidRPr="00C32630">
        <w:rPr>
          <w:kern w:val="22"/>
          <w:szCs w:val="22"/>
          <w:lang w:val="fr-FR"/>
        </w:rPr>
        <w:t>connaissances traditionnelles</w:t>
      </w:r>
      <w:r w:rsidR="00F957CA" w:rsidRPr="00C3263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associées aux</w:t>
      </w:r>
      <w:r w:rsidR="00B55D08" w:rsidRPr="00C32630">
        <w:rPr>
          <w:kern w:val="22"/>
          <w:szCs w:val="22"/>
          <w:lang w:val="fr-FR"/>
        </w:rPr>
        <w:t xml:space="preserve"> </w:t>
      </w:r>
      <w:r w:rsidR="0001030F" w:rsidRPr="00C32630">
        <w:rPr>
          <w:kern w:val="22"/>
          <w:szCs w:val="22"/>
          <w:lang w:val="fr-FR"/>
        </w:rPr>
        <w:t>ressources génétiques</w:t>
      </w:r>
      <w:r w:rsidR="001E06B7" w:rsidRPr="00C32630">
        <w:rPr>
          <w:kern w:val="22"/>
          <w:szCs w:val="22"/>
          <w:lang w:val="fr-FR"/>
        </w:rPr>
        <w:t>,</w:t>
      </w:r>
      <w:r w:rsidR="00F957CA" w:rsidRPr="00C3263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qui nécessitent une approche </w:t>
      </w:r>
      <w:r w:rsidR="005A77A6">
        <w:rPr>
          <w:kern w:val="22"/>
          <w:szCs w:val="22"/>
          <w:lang w:val="fr-FR"/>
        </w:rPr>
        <w:t>différenciée et, par conséquent,</w:t>
      </w:r>
      <w:r>
        <w:rPr>
          <w:kern w:val="22"/>
          <w:szCs w:val="22"/>
          <w:lang w:val="fr-FR"/>
        </w:rPr>
        <w:t xml:space="preserve"> spéciale</w:t>
      </w:r>
      <w:r w:rsidR="001133EF" w:rsidRPr="00C32630">
        <w:rPr>
          <w:kern w:val="22"/>
          <w:szCs w:val="22"/>
          <w:lang w:val="fr-FR"/>
        </w:rPr>
        <w:t>;</w:t>
      </w:r>
    </w:p>
    <w:p w:rsidR="00C84E3A" w:rsidRPr="00C32630" w:rsidRDefault="005A77A6" w:rsidP="009F4D84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Ê</w:t>
      </w:r>
      <w:r w:rsidR="00C32630">
        <w:rPr>
          <w:kern w:val="22"/>
          <w:szCs w:val="22"/>
          <w:lang w:val="fr-FR"/>
        </w:rPr>
        <w:t>tre</w:t>
      </w:r>
      <w:r>
        <w:rPr>
          <w:kern w:val="22"/>
          <w:szCs w:val="22"/>
          <w:lang w:val="fr-FR"/>
        </w:rPr>
        <w:t xml:space="preserve"> complémentaire de</w:t>
      </w:r>
      <w:r w:rsidR="00C01103">
        <w:rPr>
          <w:kern w:val="22"/>
          <w:szCs w:val="22"/>
          <w:lang w:val="fr-FR"/>
        </w:rPr>
        <w:t xml:space="preserve"> la</w:t>
      </w:r>
      <w:r w:rsidR="001133EF" w:rsidRPr="00C32630">
        <w:rPr>
          <w:kern w:val="22"/>
          <w:szCs w:val="22"/>
          <w:lang w:val="fr-FR"/>
        </w:rPr>
        <w:t xml:space="preserve"> Convention</w:t>
      </w:r>
      <w:r w:rsidR="00044BEE" w:rsidRPr="00C32630">
        <w:rPr>
          <w:kern w:val="22"/>
          <w:szCs w:val="22"/>
          <w:lang w:val="fr-FR"/>
        </w:rPr>
        <w:t xml:space="preserve"> </w:t>
      </w:r>
      <w:r w:rsidR="005D3CDB" w:rsidRPr="00C32630">
        <w:rPr>
          <w:kern w:val="22"/>
          <w:szCs w:val="22"/>
          <w:lang w:val="fr-FR"/>
        </w:rPr>
        <w:t>sur la diversité biologique</w:t>
      </w:r>
      <w:r w:rsidR="00623402" w:rsidRPr="00C32630">
        <w:rPr>
          <w:kern w:val="22"/>
          <w:szCs w:val="22"/>
          <w:lang w:val="fr-FR"/>
        </w:rPr>
        <w:t xml:space="preserve"> et </w:t>
      </w:r>
      <w:r w:rsidR="00C01103">
        <w:rPr>
          <w:kern w:val="22"/>
          <w:szCs w:val="22"/>
          <w:lang w:val="fr-FR"/>
        </w:rPr>
        <w:t xml:space="preserve">du </w:t>
      </w:r>
      <w:r w:rsidR="00A01DA3" w:rsidRPr="00C32630">
        <w:rPr>
          <w:kern w:val="22"/>
          <w:szCs w:val="22"/>
          <w:lang w:val="fr-FR"/>
        </w:rPr>
        <w:t>Protocole de Nagoya</w:t>
      </w:r>
      <w:r w:rsidR="00ED418E" w:rsidRPr="00C32630">
        <w:rPr>
          <w:kern w:val="22"/>
          <w:szCs w:val="22"/>
          <w:lang w:val="fr-FR"/>
        </w:rPr>
        <w:t>,</w:t>
      </w:r>
      <w:r w:rsidR="001133EF" w:rsidRPr="00C32630">
        <w:rPr>
          <w:kern w:val="22"/>
          <w:szCs w:val="22"/>
          <w:lang w:val="fr-FR"/>
        </w:rPr>
        <w:t xml:space="preserve"> </w:t>
      </w:r>
      <w:r w:rsidR="00C01103">
        <w:rPr>
          <w:kern w:val="22"/>
          <w:szCs w:val="22"/>
          <w:lang w:val="fr-FR"/>
        </w:rPr>
        <w:t>ce qui signifie que l’</w:t>
      </w:r>
      <w:r w:rsidR="00C84E3A" w:rsidRPr="00C32630">
        <w:rPr>
          <w:kern w:val="22"/>
          <w:szCs w:val="22"/>
          <w:lang w:val="fr-FR"/>
        </w:rPr>
        <w:t xml:space="preserve">instrument </w:t>
      </w:r>
      <w:r w:rsidR="00C01103">
        <w:rPr>
          <w:kern w:val="22"/>
          <w:szCs w:val="22"/>
          <w:lang w:val="fr-FR"/>
        </w:rPr>
        <w:t>est complémentaire et compatible avec les</w:t>
      </w:r>
      <w:r w:rsidR="00C84E3A" w:rsidRPr="00C32630">
        <w:rPr>
          <w:kern w:val="22"/>
          <w:szCs w:val="22"/>
          <w:lang w:val="fr-FR"/>
        </w:rPr>
        <w:t xml:space="preserve"> </w:t>
      </w:r>
      <w:r w:rsidR="005D3CDB" w:rsidRPr="00C32630">
        <w:rPr>
          <w:kern w:val="22"/>
          <w:szCs w:val="22"/>
          <w:lang w:val="fr-FR"/>
        </w:rPr>
        <w:t>objectifs</w:t>
      </w:r>
      <w:r w:rsidR="00C84E3A" w:rsidRPr="00C32630">
        <w:rPr>
          <w:kern w:val="22"/>
          <w:szCs w:val="22"/>
          <w:lang w:val="fr-FR"/>
        </w:rPr>
        <w:t xml:space="preserve"> </w:t>
      </w:r>
      <w:r w:rsidR="0001030F" w:rsidRPr="00C32630">
        <w:rPr>
          <w:kern w:val="22"/>
          <w:szCs w:val="22"/>
          <w:lang w:val="fr-FR"/>
        </w:rPr>
        <w:t>de la Co</w:t>
      </w:r>
      <w:r w:rsidR="00C84E3A" w:rsidRPr="00C32630">
        <w:rPr>
          <w:kern w:val="22"/>
          <w:szCs w:val="22"/>
          <w:lang w:val="fr-FR"/>
        </w:rPr>
        <w:t>nvention</w:t>
      </w:r>
      <w:r w:rsidR="00623402" w:rsidRPr="00C32630">
        <w:rPr>
          <w:kern w:val="22"/>
          <w:szCs w:val="22"/>
          <w:lang w:val="fr-FR"/>
        </w:rPr>
        <w:t xml:space="preserve"> et </w:t>
      </w:r>
      <w:r w:rsidR="00C01103">
        <w:rPr>
          <w:kern w:val="22"/>
          <w:szCs w:val="22"/>
          <w:lang w:val="fr-FR"/>
        </w:rPr>
        <w:t>du</w:t>
      </w:r>
      <w:r w:rsidR="00C84E3A" w:rsidRPr="00C32630">
        <w:rPr>
          <w:kern w:val="22"/>
          <w:szCs w:val="22"/>
          <w:lang w:val="fr-FR"/>
        </w:rPr>
        <w:t xml:space="preserve"> </w:t>
      </w:r>
      <w:r w:rsidR="00A01DA3" w:rsidRPr="00C32630">
        <w:rPr>
          <w:kern w:val="22"/>
          <w:szCs w:val="22"/>
          <w:lang w:val="fr-FR"/>
        </w:rPr>
        <w:t>Protocole de Nagoya</w:t>
      </w:r>
      <w:r w:rsidR="00C01103">
        <w:rPr>
          <w:kern w:val="22"/>
          <w:szCs w:val="22"/>
          <w:lang w:val="fr-FR"/>
        </w:rPr>
        <w:t>,</w:t>
      </w:r>
      <w:r w:rsidR="00623402" w:rsidRPr="00C32630">
        <w:rPr>
          <w:kern w:val="22"/>
          <w:szCs w:val="22"/>
          <w:lang w:val="fr-FR"/>
        </w:rPr>
        <w:t xml:space="preserve"> et </w:t>
      </w:r>
      <w:r w:rsidR="00C01103">
        <w:rPr>
          <w:kern w:val="22"/>
          <w:szCs w:val="22"/>
          <w:lang w:val="fr-FR"/>
        </w:rPr>
        <w:t>ne va pas à l’encontre de ces</w:t>
      </w:r>
      <w:r w:rsidR="00A669E0" w:rsidRPr="00C32630">
        <w:rPr>
          <w:kern w:val="22"/>
          <w:szCs w:val="22"/>
          <w:lang w:val="fr-FR"/>
        </w:rPr>
        <w:t xml:space="preserve"> </w:t>
      </w:r>
      <w:r w:rsidR="005D3CDB" w:rsidRPr="00C32630">
        <w:rPr>
          <w:kern w:val="22"/>
          <w:szCs w:val="22"/>
          <w:lang w:val="fr-FR"/>
        </w:rPr>
        <w:t>objectifs</w:t>
      </w:r>
      <w:r w:rsidR="00C84E3A" w:rsidRPr="00C32630">
        <w:rPr>
          <w:kern w:val="22"/>
          <w:szCs w:val="22"/>
          <w:lang w:val="fr-FR"/>
        </w:rPr>
        <w:t xml:space="preserve">, </w:t>
      </w:r>
      <w:r w:rsidR="005D3CDB" w:rsidRPr="00C32630">
        <w:rPr>
          <w:kern w:val="22"/>
          <w:szCs w:val="22"/>
          <w:lang w:val="fr-FR"/>
        </w:rPr>
        <w:t>y compris</w:t>
      </w:r>
      <w:r w:rsidR="00C01103">
        <w:rPr>
          <w:kern w:val="22"/>
          <w:szCs w:val="22"/>
          <w:lang w:val="fr-FR"/>
        </w:rPr>
        <w:t xml:space="preserve"> en ce qui concerne les éléments suivants </w:t>
      </w:r>
      <w:r w:rsidR="00C84E3A" w:rsidRPr="00C32630">
        <w:rPr>
          <w:kern w:val="22"/>
          <w:szCs w:val="22"/>
          <w:lang w:val="fr-FR"/>
        </w:rPr>
        <w:t>:</w:t>
      </w:r>
    </w:p>
    <w:p w:rsidR="00C84E3A" w:rsidRPr="00101345" w:rsidRDefault="00C32630" w:rsidP="009F4D84">
      <w:pPr>
        <w:pStyle w:val="Para1"/>
        <w:numPr>
          <w:ilvl w:val="5"/>
          <w:numId w:val="6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40" w:hanging="504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Conforme aux objectifs de</w:t>
      </w:r>
      <w:r w:rsidR="00F957CA" w:rsidRPr="00101345">
        <w:rPr>
          <w:kern w:val="22"/>
          <w:szCs w:val="22"/>
          <w:lang w:val="fr-FR"/>
        </w:rPr>
        <w:t xml:space="preserve"> conservation</w:t>
      </w:r>
      <w:r w:rsidR="00623402" w:rsidRPr="00101345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</w:t>
      </w:r>
      <w:r w:rsidR="00101345" w:rsidRPr="00101345">
        <w:rPr>
          <w:kern w:val="22"/>
          <w:szCs w:val="22"/>
          <w:lang w:val="fr-FR"/>
        </w:rPr>
        <w:t>’utilisation durable</w:t>
      </w:r>
      <w:r w:rsidR="00F957CA" w:rsidRPr="0010134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de la diversité biologique</w:t>
      </w:r>
      <w:r w:rsidR="00F957CA" w:rsidRPr="00101345">
        <w:rPr>
          <w:kern w:val="22"/>
          <w:szCs w:val="22"/>
          <w:lang w:val="fr-FR"/>
        </w:rPr>
        <w:t>;</w:t>
      </w:r>
    </w:p>
    <w:p w:rsidR="00C84E3A" w:rsidRPr="00C01103" w:rsidRDefault="00C32630" w:rsidP="009F4D84">
      <w:pPr>
        <w:pStyle w:val="Para1"/>
        <w:numPr>
          <w:ilvl w:val="5"/>
          <w:numId w:val="6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40" w:hanging="504"/>
        <w:rPr>
          <w:kern w:val="22"/>
          <w:szCs w:val="22"/>
          <w:lang w:val="fr-FR"/>
        </w:rPr>
      </w:pPr>
      <w:r w:rsidRPr="00C01103">
        <w:rPr>
          <w:kern w:val="22"/>
          <w:szCs w:val="22"/>
          <w:lang w:val="fr-FR"/>
        </w:rPr>
        <w:t>Justice</w:t>
      </w:r>
      <w:r w:rsidR="00623402" w:rsidRPr="00C01103">
        <w:rPr>
          <w:kern w:val="22"/>
          <w:szCs w:val="22"/>
          <w:lang w:val="fr-FR"/>
        </w:rPr>
        <w:t xml:space="preserve"> et </w:t>
      </w:r>
      <w:r w:rsidRPr="00C01103">
        <w:rPr>
          <w:kern w:val="22"/>
          <w:szCs w:val="22"/>
          <w:lang w:val="fr-FR"/>
        </w:rPr>
        <w:t>équité</w:t>
      </w:r>
      <w:r w:rsidR="00C01103">
        <w:rPr>
          <w:kern w:val="22"/>
          <w:szCs w:val="22"/>
          <w:lang w:val="fr-FR"/>
        </w:rPr>
        <w:t xml:space="preserve"> dans </w:t>
      </w:r>
      <w:r w:rsidRPr="00C01103">
        <w:rPr>
          <w:kern w:val="22"/>
          <w:szCs w:val="22"/>
          <w:lang w:val="fr-FR"/>
        </w:rPr>
        <w:t>le partage des avantages</w:t>
      </w:r>
      <w:r w:rsidR="00F957CA" w:rsidRPr="00C01103">
        <w:rPr>
          <w:kern w:val="22"/>
          <w:szCs w:val="22"/>
          <w:lang w:val="fr-FR"/>
        </w:rPr>
        <w:t>;</w:t>
      </w:r>
    </w:p>
    <w:p w:rsidR="00C84E3A" w:rsidRPr="00B55D08" w:rsidRDefault="00C01103" w:rsidP="009F4D84">
      <w:pPr>
        <w:pStyle w:val="Para1"/>
        <w:numPr>
          <w:ilvl w:val="5"/>
          <w:numId w:val="6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40" w:hanging="504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Sécurité juridique</w:t>
      </w:r>
      <w:r w:rsidR="00B55D08" w:rsidRPr="00B55D08">
        <w:rPr>
          <w:kern w:val="22"/>
          <w:szCs w:val="22"/>
          <w:lang w:val="fr-FR"/>
        </w:rPr>
        <w:t xml:space="preserve"> </w:t>
      </w:r>
      <w:r w:rsidR="00E14372">
        <w:rPr>
          <w:kern w:val="22"/>
          <w:szCs w:val="22"/>
          <w:lang w:val="fr-FR"/>
        </w:rPr>
        <w:t>en ce qui concerne</w:t>
      </w:r>
      <w:r w:rsidR="005A77A6">
        <w:rPr>
          <w:kern w:val="22"/>
          <w:szCs w:val="22"/>
          <w:lang w:val="fr-FR"/>
        </w:rPr>
        <w:t xml:space="preserve"> </w:t>
      </w:r>
      <w:r w:rsidR="0001030F" w:rsidRPr="00B55D08">
        <w:rPr>
          <w:kern w:val="22"/>
          <w:szCs w:val="22"/>
          <w:lang w:val="fr-FR"/>
        </w:rPr>
        <w:t>l’accès aux ressources génétiques</w:t>
      </w:r>
      <w:r w:rsidR="00E14372">
        <w:rPr>
          <w:kern w:val="22"/>
          <w:szCs w:val="22"/>
          <w:lang w:val="fr-FR"/>
        </w:rPr>
        <w:t xml:space="preserve"> ou </w:t>
      </w:r>
      <w:r w:rsidR="005A77A6">
        <w:rPr>
          <w:kern w:val="22"/>
          <w:szCs w:val="22"/>
          <w:lang w:val="fr-FR"/>
        </w:rPr>
        <w:t xml:space="preserve">aux </w:t>
      </w:r>
      <w:r w:rsidR="0001030F" w:rsidRPr="00B55D08">
        <w:rPr>
          <w:kern w:val="22"/>
          <w:szCs w:val="22"/>
          <w:lang w:val="fr-FR"/>
        </w:rPr>
        <w:t>connaissances traditionnelles</w:t>
      </w:r>
      <w:r w:rsidR="00F957CA" w:rsidRPr="00B55D08">
        <w:rPr>
          <w:kern w:val="22"/>
          <w:szCs w:val="22"/>
          <w:lang w:val="fr-FR"/>
        </w:rPr>
        <w:t xml:space="preserve"> </w:t>
      </w:r>
      <w:r w:rsidR="00C32630">
        <w:rPr>
          <w:kern w:val="22"/>
          <w:szCs w:val="22"/>
          <w:lang w:val="fr-FR"/>
        </w:rPr>
        <w:t>associées aux</w:t>
      </w:r>
      <w:r w:rsidR="00B55D08" w:rsidRPr="00B55D08">
        <w:rPr>
          <w:kern w:val="22"/>
          <w:szCs w:val="22"/>
          <w:lang w:val="fr-FR"/>
        </w:rPr>
        <w:t xml:space="preserve"> </w:t>
      </w:r>
      <w:r w:rsidR="0001030F" w:rsidRPr="00B55D08">
        <w:rPr>
          <w:kern w:val="22"/>
          <w:szCs w:val="22"/>
          <w:lang w:val="fr-FR"/>
        </w:rPr>
        <w:t>ressources génétiques</w:t>
      </w:r>
      <w:r w:rsidR="005A77A6">
        <w:rPr>
          <w:kern w:val="22"/>
          <w:szCs w:val="22"/>
          <w:lang w:val="fr-FR"/>
        </w:rPr>
        <w:t>,</w:t>
      </w:r>
      <w:r w:rsidR="00623402" w:rsidRPr="00B55D08">
        <w:rPr>
          <w:kern w:val="22"/>
          <w:szCs w:val="22"/>
          <w:lang w:val="fr-FR"/>
        </w:rPr>
        <w:t xml:space="preserve"> et</w:t>
      </w:r>
      <w:r w:rsidR="00B55D08" w:rsidRPr="00B55D08">
        <w:rPr>
          <w:kern w:val="22"/>
          <w:szCs w:val="22"/>
          <w:lang w:val="fr-FR"/>
        </w:rPr>
        <w:t xml:space="preserve"> </w:t>
      </w:r>
      <w:r w:rsidR="00E14372">
        <w:rPr>
          <w:kern w:val="22"/>
          <w:szCs w:val="22"/>
          <w:lang w:val="fr-FR"/>
        </w:rPr>
        <w:t>en ce qui concerne</w:t>
      </w:r>
      <w:r w:rsidR="00E47030" w:rsidRPr="00B55D08">
        <w:rPr>
          <w:kern w:val="22"/>
          <w:szCs w:val="22"/>
          <w:lang w:val="fr-FR"/>
        </w:rPr>
        <w:t xml:space="preserve"> </w:t>
      </w:r>
      <w:r w:rsidR="00F957CA" w:rsidRPr="00B55D08">
        <w:rPr>
          <w:kern w:val="22"/>
          <w:szCs w:val="22"/>
          <w:lang w:val="fr-FR"/>
        </w:rPr>
        <w:t xml:space="preserve">to </w:t>
      </w:r>
      <w:r>
        <w:rPr>
          <w:kern w:val="22"/>
          <w:szCs w:val="22"/>
          <w:lang w:val="fr-FR"/>
        </w:rPr>
        <w:t>le partage des avantages</w:t>
      </w:r>
      <w:r w:rsidR="001133EF" w:rsidRPr="00B55D08">
        <w:rPr>
          <w:kern w:val="22"/>
          <w:szCs w:val="22"/>
          <w:lang w:val="fr-FR"/>
        </w:rPr>
        <w:t>;</w:t>
      </w:r>
    </w:p>
    <w:p w:rsidR="00C84E3A" w:rsidRPr="00C01103" w:rsidRDefault="00C01103" w:rsidP="009F4D84">
      <w:pPr>
        <w:pStyle w:val="Para1"/>
        <w:numPr>
          <w:ilvl w:val="5"/>
          <w:numId w:val="6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40" w:hanging="504"/>
        <w:rPr>
          <w:kern w:val="22"/>
          <w:szCs w:val="22"/>
          <w:lang w:val="fr-FR"/>
        </w:rPr>
      </w:pPr>
      <w:r w:rsidRPr="00C01103">
        <w:rPr>
          <w:kern w:val="22"/>
          <w:szCs w:val="22"/>
          <w:lang w:val="fr-FR"/>
        </w:rPr>
        <w:t>Contribution au</w:t>
      </w:r>
      <w:r w:rsidR="00F957CA" w:rsidRPr="00C01103">
        <w:rPr>
          <w:kern w:val="22"/>
          <w:szCs w:val="22"/>
          <w:lang w:val="fr-FR"/>
        </w:rPr>
        <w:t xml:space="preserve"> </w:t>
      </w:r>
      <w:r w:rsidR="00101345" w:rsidRPr="00C01103">
        <w:rPr>
          <w:kern w:val="22"/>
          <w:szCs w:val="22"/>
          <w:lang w:val="fr-FR"/>
        </w:rPr>
        <w:t>développement durable</w:t>
      </w:r>
      <w:r w:rsidR="00F957CA" w:rsidRPr="00C01103">
        <w:rPr>
          <w:kern w:val="22"/>
          <w:szCs w:val="22"/>
          <w:lang w:val="fr-FR"/>
        </w:rPr>
        <w:t xml:space="preserve">, </w:t>
      </w:r>
      <w:r w:rsidR="005A77A6">
        <w:rPr>
          <w:kern w:val="22"/>
          <w:szCs w:val="22"/>
          <w:lang w:val="fr-FR"/>
        </w:rPr>
        <w:t>tel que consacré</w:t>
      </w:r>
      <w:r>
        <w:rPr>
          <w:kern w:val="22"/>
          <w:szCs w:val="22"/>
          <w:lang w:val="fr-FR"/>
        </w:rPr>
        <w:t xml:space="preserve"> dans les objectifs convenu</w:t>
      </w:r>
      <w:r w:rsidRPr="00C01103">
        <w:rPr>
          <w:kern w:val="22"/>
          <w:szCs w:val="22"/>
          <w:lang w:val="fr-FR"/>
        </w:rPr>
        <w:t xml:space="preserve">s au niveau </w:t>
      </w:r>
      <w:r>
        <w:rPr>
          <w:kern w:val="22"/>
          <w:szCs w:val="22"/>
          <w:lang w:val="fr-FR"/>
        </w:rPr>
        <w:t>international</w:t>
      </w:r>
      <w:r w:rsidR="00F957CA" w:rsidRPr="00C01103">
        <w:rPr>
          <w:kern w:val="22"/>
          <w:szCs w:val="22"/>
          <w:lang w:val="fr-FR"/>
        </w:rPr>
        <w:t>;</w:t>
      </w:r>
    </w:p>
    <w:p w:rsidR="00F957CA" w:rsidRPr="00C01103" w:rsidRDefault="00C01103" w:rsidP="009F4D84">
      <w:pPr>
        <w:pStyle w:val="Para1"/>
        <w:numPr>
          <w:ilvl w:val="5"/>
          <w:numId w:val="6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40" w:hanging="504"/>
        <w:rPr>
          <w:kern w:val="22"/>
          <w:szCs w:val="22"/>
          <w:lang w:val="fr-FR"/>
        </w:rPr>
      </w:pPr>
      <w:r w:rsidRPr="00C01103">
        <w:rPr>
          <w:kern w:val="22"/>
          <w:szCs w:val="22"/>
          <w:lang w:val="fr-FR"/>
        </w:rPr>
        <w:t xml:space="preserve">D’autres </w:t>
      </w:r>
      <w:r w:rsidR="00101345" w:rsidRPr="00C01103">
        <w:rPr>
          <w:kern w:val="22"/>
          <w:szCs w:val="22"/>
          <w:lang w:val="fr-FR"/>
        </w:rPr>
        <w:t>principes généraux</w:t>
      </w:r>
      <w:r w:rsidRPr="00C01103">
        <w:rPr>
          <w:kern w:val="22"/>
          <w:szCs w:val="22"/>
          <w:lang w:val="fr-FR"/>
        </w:rPr>
        <w:t xml:space="preserve"> du droit international</w:t>
      </w:r>
      <w:r w:rsidR="00DA19C3" w:rsidRPr="00C01103">
        <w:rPr>
          <w:kern w:val="22"/>
          <w:szCs w:val="22"/>
          <w:lang w:val="fr-FR"/>
        </w:rPr>
        <w:t>,</w:t>
      </w:r>
      <w:r w:rsidR="00F957CA" w:rsidRPr="00C01103">
        <w:rPr>
          <w:kern w:val="22"/>
          <w:szCs w:val="22"/>
          <w:lang w:val="fr-FR"/>
        </w:rPr>
        <w:t xml:space="preserve"> </w:t>
      </w:r>
      <w:r w:rsidR="005D3CDB" w:rsidRPr="00C01103">
        <w:rPr>
          <w:kern w:val="22"/>
          <w:szCs w:val="22"/>
          <w:lang w:val="fr-FR"/>
        </w:rPr>
        <w:t>y compris</w:t>
      </w:r>
      <w:r>
        <w:rPr>
          <w:kern w:val="22"/>
          <w:szCs w:val="22"/>
          <w:lang w:val="fr-FR"/>
        </w:rPr>
        <w:t xml:space="preserve"> la bonne foi, l’efficacité et les attentes légitimes</w:t>
      </w:r>
      <w:r w:rsidR="00F957CA" w:rsidRPr="00C01103">
        <w:rPr>
          <w:kern w:val="22"/>
          <w:szCs w:val="22"/>
          <w:lang w:val="fr-FR"/>
        </w:rPr>
        <w:t>.</w:t>
      </w:r>
    </w:p>
    <w:p w:rsidR="00F957CA" w:rsidRPr="00F83893" w:rsidRDefault="005A77A6" w:rsidP="00E52AA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 texte intégral de l’</w:t>
      </w:r>
      <w:r w:rsidR="00A01DA3" w:rsidRPr="00F83893">
        <w:rPr>
          <w:kern w:val="22"/>
          <w:szCs w:val="22"/>
          <w:lang w:val="fr-FR"/>
        </w:rPr>
        <w:t>étude</w:t>
      </w:r>
      <w:r>
        <w:rPr>
          <w:kern w:val="22"/>
          <w:szCs w:val="22"/>
          <w:lang w:val="fr-FR"/>
        </w:rPr>
        <w:t xml:space="preserve"> </w:t>
      </w:r>
      <w:r w:rsidR="00F83893" w:rsidRPr="00F83893">
        <w:rPr>
          <w:kern w:val="22"/>
          <w:szCs w:val="22"/>
          <w:lang w:val="fr-FR"/>
        </w:rPr>
        <w:t xml:space="preserve">fournit d’autres </w:t>
      </w:r>
      <w:r w:rsidR="00F957CA" w:rsidRPr="00F83893">
        <w:rPr>
          <w:kern w:val="22"/>
          <w:szCs w:val="22"/>
          <w:lang w:val="fr-FR"/>
        </w:rPr>
        <w:t>information</w:t>
      </w:r>
      <w:r w:rsidR="00F83893" w:rsidRPr="00F83893">
        <w:rPr>
          <w:kern w:val="22"/>
          <w:szCs w:val="22"/>
          <w:lang w:val="fr-FR"/>
        </w:rPr>
        <w:t>s sur la façon don</w:t>
      </w:r>
      <w:r w:rsidR="00F83893">
        <w:rPr>
          <w:kern w:val="22"/>
          <w:szCs w:val="22"/>
          <w:lang w:val="fr-FR"/>
        </w:rPr>
        <w:t>t c</w:t>
      </w:r>
      <w:r w:rsidR="00A01DA3" w:rsidRPr="00F83893">
        <w:rPr>
          <w:kern w:val="22"/>
          <w:szCs w:val="22"/>
          <w:lang w:val="fr-FR"/>
        </w:rPr>
        <w:t>es critères</w:t>
      </w:r>
      <w:r w:rsidR="00F957CA" w:rsidRPr="00F83893">
        <w:rPr>
          <w:kern w:val="22"/>
          <w:szCs w:val="22"/>
          <w:lang w:val="fr-FR"/>
        </w:rPr>
        <w:t xml:space="preserve"> </w:t>
      </w:r>
      <w:r w:rsidR="00F83893">
        <w:rPr>
          <w:kern w:val="22"/>
          <w:szCs w:val="22"/>
          <w:lang w:val="fr-FR"/>
        </w:rPr>
        <w:t>peuvent être interprétés et appliqués</w:t>
      </w:r>
      <w:r w:rsidR="00F957CA" w:rsidRPr="00F83893">
        <w:rPr>
          <w:kern w:val="22"/>
          <w:szCs w:val="22"/>
          <w:lang w:val="fr-FR"/>
        </w:rPr>
        <w:t>.</w:t>
      </w:r>
    </w:p>
    <w:p w:rsidR="00082280" w:rsidRPr="00F83893" w:rsidRDefault="00AA3FEB" w:rsidP="009F4D84">
      <w:pPr>
        <w:pStyle w:val="Para1"/>
        <w:keepNext/>
        <w:numPr>
          <w:ilvl w:val="0"/>
          <w:numId w:val="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  <w:iCs/>
          <w:kern w:val="22"/>
          <w:szCs w:val="22"/>
          <w:lang w:val="fr-FR"/>
        </w:rPr>
      </w:pPr>
      <w:r w:rsidRPr="00F83893">
        <w:rPr>
          <w:b/>
          <w:bCs/>
          <w:iCs/>
          <w:kern w:val="22"/>
          <w:szCs w:val="22"/>
          <w:lang w:val="fr-FR"/>
        </w:rPr>
        <w:t>B.</w:t>
      </w:r>
      <w:r w:rsidRPr="00F83893">
        <w:rPr>
          <w:b/>
          <w:bCs/>
          <w:iCs/>
          <w:kern w:val="22"/>
          <w:szCs w:val="22"/>
          <w:lang w:val="fr-FR"/>
        </w:rPr>
        <w:tab/>
      </w:r>
      <w:r w:rsidR="00E52AAB">
        <w:rPr>
          <w:b/>
          <w:bCs/>
          <w:iCs/>
          <w:kern w:val="22"/>
          <w:szCs w:val="22"/>
          <w:lang w:val="fr-FR"/>
        </w:rPr>
        <w:t>Faciliter la</w:t>
      </w:r>
      <w:r w:rsidR="00F83893" w:rsidRPr="00F83893">
        <w:rPr>
          <w:b/>
          <w:bCs/>
          <w:iCs/>
          <w:kern w:val="22"/>
          <w:szCs w:val="22"/>
          <w:lang w:val="fr-FR"/>
        </w:rPr>
        <w:t xml:space="preserve"> coopé</w:t>
      </w:r>
      <w:r w:rsidR="00082280" w:rsidRPr="00F83893">
        <w:rPr>
          <w:b/>
          <w:bCs/>
          <w:iCs/>
          <w:kern w:val="22"/>
          <w:szCs w:val="22"/>
          <w:lang w:val="fr-FR"/>
        </w:rPr>
        <w:t>ration</w:t>
      </w:r>
      <w:r w:rsidR="00623402" w:rsidRPr="00F83893">
        <w:rPr>
          <w:b/>
          <w:bCs/>
          <w:iCs/>
          <w:kern w:val="22"/>
          <w:szCs w:val="22"/>
          <w:lang w:val="fr-FR"/>
        </w:rPr>
        <w:t xml:space="preserve"> et </w:t>
      </w:r>
      <w:r w:rsidR="00E52AAB">
        <w:rPr>
          <w:b/>
          <w:bCs/>
          <w:iCs/>
          <w:kern w:val="22"/>
          <w:szCs w:val="22"/>
          <w:lang w:val="fr-FR"/>
        </w:rPr>
        <w:t xml:space="preserve">les </w:t>
      </w:r>
      <w:r w:rsidR="00F83893" w:rsidRPr="00F83893">
        <w:rPr>
          <w:b/>
          <w:bCs/>
          <w:iCs/>
          <w:kern w:val="22"/>
          <w:szCs w:val="22"/>
          <w:lang w:val="fr-FR"/>
        </w:rPr>
        <w:t>interaction</w:t>
      </w:r>
      <w:r w:rsidR="00E52AAB">
        <w:rPr>
          <w:b/>
          <w:bCs/>
          <w:iCs/>
          <w:kern w:val="22"/>
          <w:szCs w:val="22"/>
          <w:lang w:val="fr-FR"/>
        </w:rPr>
        <w:t>s</w:t>
      </w:r>
      <w:r w:rsidR="00F83893" w:rsidRPr="00F83893">
        <w:rPr>
          <w:b/>
          <w:bCs/>
          <w:iCs/>
          <w:kern w:val="22"/>
          <w:szCs w:val="22"/>
          <w:lang w:val="fr-FR"/>
        </w:rPr>
        <w:t xml:space="preserve"> entre </w:t>
      </w:r>
      <w:r w:rsidR="00082280" w:rsidRPr="00F83893">
        <w:rPr>
          <w:b/>
          <w:bCs/>
          <w:iCs/>
          <w:kern w:val="22"/>
          <w:szCs w:val="22"/>
          <w:lang w:val="fr-FR"/>
        </w:rPr>
        <w:t>instruments</w:t>
      </w:r>
    </w:p>
    <w:p w:rsidR="00F61003" w:rsidRPr="00616367" w:rsidRDefault="003F7742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En vue de fournir des</w:t>
      </w:r>
      <w:r w:rsidR="00651B3B" w:rsidRPr="00231CD8">
        <w:rPr>
          <w:kern w:val="22"/>
          <w:szCs w:val="22"/>
          <w:lang w:val="fr-FR"/>
        </w:rPr>
        <w:t xml:space="preserve"> </w:t>
      </w:r>
      <w:r w:rsidR="00231CD8" w:rsidRPr="00231CD8">
        <w:rPr>
          <w:kern w:val="22"/>
          <w:szCs w:val="22"/>
          <w:lang w:val="fr-FR"/>
        </w:rPr>
        <w:t>élément</w:t>
      </w:r>
      <w:r>
        <w:rPr>
          <w:kern w:val="22"/>
          <w:szCs w:val="22"/>
          <w:lang w:val="fr-FR"/>
        </w:rPr>
        <w:t xml:space="preserve">s pour un </w:t>
      </w:r>
      <w:r w:rsidR="00623402" w:rsidRPr="00231CD8">
        <w:rPr>
          <w:kern w:val="22"/>
          <w:szCs w:val="22"/>
          <w:lang w:val="fr-FR"/>
        </w:rPr>
        <w:t>processus éventuel</w:t>
      </w:r>
      <w:r>
        <w:rPr>
          <w:kern w:val="22"/>
          <w:szCs w:val="22"/>
          <w:lang w:val="fr-FR"/>
        </w:rPr>
        <w:t xml:space="preserve"> permettant de</w:t>
      </w:r>
      <w:r w:rsidR="00651B3B" w:rsidRPr="00231CD8">
        <w:rPr>
          <w:kern w:val="22"/>
          <w:szCs w:val="22"/>
          <w:lang w:val="fr-FR"/>
        </w:rPr>
        <w:t xml:space="preserve"> </w:t>
      </w:r>
      <w:r w:rsidR="00623402" w:rsidRPr="00231CD8">
        <w:rPr>
          <w:kern w:val="22"/>
          <w:szCs w:val="22"/>
          <w:lang w:val="fr-FR"/>
        </w:rPr>
        <w:t>reconnaître</w:t>
      </w:r>
      <w:r w:rsidR="00651B3B" w:rsidRPr="00231CD8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les </w:t>
      </w:r>
      <w:r w:rsidR="005D3CDB" w:rsidRPr="00231CD8">
        <w:rPr>
          <w:kern w:val="22"/>
          <w:szCs w:val="22"/>
          <w:lang w:val="fr-FR"/>
        </w:rPr>
        <w:t xml:space="preserve">instruments </w:t>
      </w:r>
      <w:r w:rsidR="00C3300B">
        <w:rPr>
          <w:kern w:val="22"/>
          <w:szCs w:val="22"/>
          <w:lang w:val="fr-FR"/>
        </w:rPr>
        <w:t>spéciaux</w:t>
      </w:r>
      <w:r w:rsidR="005D3CDB" w:rsidRPr="00231CD8">
        <w:rPr>
          <w:kern w:val="22"/>
          <w:szCs w:val="22"/>
          <w:lang w:val="fr-FR"/>
        </w:rPr>
        <w:t xml:space="preserve"> sur l’accès et le partage des avantages</w:t>
      </w:r>
      <w:r>
        <w:rPr>
          <w:kern w:val="22"/>
          <w:szCs w:val="22"/>
          <w:lang w:val="fr-FR"/>
        </w:rPr>
        <w:t>, l’</w:t>
      </w:r>
      <w:r w:rsidR="00A01DA3" w:rsidRPr="00231CD8">
        <w:rPr>
          <w:kern w:val="22"/>
          <w:szCs w:val="22"/>
          <w:lang w:val="fr-FR"/>
        </w:rPr>
        <w:t>étude</w:t>
      </w:r>
      <w:r w:rsidR="00651B3B" w:rsidRPr="00231CD8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examine différents aspects des </w:t>
      </w:r>
      <w:r w:rsidR="00C20376">
        <w:rPr>
          <w:kern w:val="22"/>
          <w:szCs w:val="22"/>
          <w:lang w:val="fr-FR"/>
        </w:rPr>
        <w:lastRenderedPageBreak/>
        <w:t>interaction</w:t>
      </w:r>
      <w:r>
        <w:rPr>
          <w:kern w:val="22"/>
          <w:szCs w:val="22"/>
          <w:lang w:val="fr-FR"/>
        </w:rPr>
        <w:t>s</w:t>
      </w:r>
      <w:r w:rsidR="00C20376">
        <w:rPr>
          <w:kern w:val="22"/>
          <w:szCs w:val="22"/>
          <w:lang w:val="fr-FR"/>
        </w:rPr>
        <w:t xml:space="preserve"> entre régimes</w:t>
      </w:r>
      <w:r w:rsidR="005A77A6">
        <w:rPr>
          <w:kern w:val="22"/>
          <w:szCs w:val="22"/>
          <w:lang w:val="fr-FR"/>
        </w:rPr>
        <w:t xml:space="preserve"> internationaux</w:t>
      </w:r>
      <w:r w:rsidR="00651B3B" w:rsidRPr="00231CD8">
        <w:rPr>
          <w:kern w:val="22"/>
          <w:szCs w:val="22"/>
          <w:lang w:val="fr-FR"/>
        </w:rPr>
        <w:t xml:space="preserve">. </w:t>
      </w:r>
      <w:r w:rsidRPr="00F70A27">
        <w:rPr>
          <w:kern w:val="22"/>
          <w:szCs w:val="22"/>
          <w:lang w:val="fr-FR"/>
        </w:rPr>
        <w:t>L</w:t>
      </w:r>
      <w:r w:rsidR="0001030F" w:rsidRPr="00F70A27">
        <w:rPr>
          <w:kern w:val="22"/>
          <w:szCs w:val="22"/>
          <w:lang w:val="fr-FR"/>
        </w:rPr>
        <w:t>’analyse</w:t>
      </w:r>
      <w:r w:rsidRPr="00F70A27">
        <w:rPr>
          <w:kern w:val="22"/>
          <w:szCs w:val="22"/>
          <w:lang w:val="fr-FR"/>
        </w:rPr>
        <w:t xml:space="preserve"> </w:t>
      </w:r>
      <w:r w:rsidR="00997500">
        <w:rPr>
          <w:kern w:val="22"/>
          <w:szCs w:val="22"/>
          <w:lang w:val="fr-FR"/>
        </w:rPr>
        <w:t xml:space="preserve">indique </w:t>
      </w:r>
      <w:r w:rsidRPr="00F70A27">
        <w:rPr>
          <w:kern w:val="22"/>
          <w:szCs w:val="22"/>
          <w:lang w:val="fr-FR"/>
        </w:rPr>
        <w:t>que le</w:t>
      </w:r>
      <w:r w:rsidR="00F957CA" w:rsidRPr="00F70A27">
        <w:rPr>
          <w:kern w:val="22"/>
          <w:szCs w:val="22"/>
          <w:lang w:val="fr-FR"/>
        </w:rPr>
        <w:t xml:space="preserve"> </w:t>
      </w:r>
      <w:r w:rsidR="00623402" w:rsidRPr="00F70A27">
        <w:rPr>
          <w:kern w:val="22"/>
          <w:szCs w:val="22"/>
          <w:lang w:val="fr-FR"/>
        </w:rPr>
        <w:t>droit international</w:t>
      </w:r>
      <w:r w:rsidR="00F957CA" w:rsidRPr="00F70A27">
        <w:rPr>
          <w:kern w:val="22"/>
          <w:szCs w:val="22"/>
          <w:lang w:val="fr-FR"/>
        </w:rPr>
        <w:t xml:space="preserve"> </w:t>
      </w:r>
      <w:r w:rsidR="00F70A27" w:rsidRPr="00F70A27">
        <w:rPr>
          <w:kern w:val="22"/>
          <w:szCs w:val="22"/>
          <w:lang w:val="fr-FR"/>
        </w:rPr>
        <w:t xml:space="preserve">n’offre aucune solution </w:t>
      </w:r>
      <w:r w:rsidR="0073435B">
        <w:rPr>
          <w:kern w:val="22"/>
          <w:szCs w:val="22"/>
          <w:lang w:val="fr-FR"/>
        </w:rPr>
        <w:t xml:space="preserve">nette pour gérer la relation entre différents </w:t>
      </w:r>
      <w:r w:rsidR="00F70A27">
        <w:rPr>
          <w:kern w:val="22"/>
          <w:szCs w:val="22"/>
          <w:lang w:val="fr-FR"/>
        </w:rPr>
        <w:t>accords internationaux</w:t>
      </w:r>
      <w:r w:rsidR="00F957CA" w:rsidRPr="00F70A27">
        <w:rPr>
          <w:kern w:val="22"/>
          <w:szCs w:val="22"/>
          <w:lang w:val="fr-FR"/>
        </w:rPr>
        <w:t xml:space="preserve">. </w:t>
      </w:r>
      <w:r w:rsidR="00F70A27" w:rsidRPr="00F70A27">
        <w:rPr>
          <w:kern w:val="22"/>
          <w:szCs w:val="22"/>
          <w:lang w:val="fr-FR"/>
        </w:rPr>
        <w:t>L’application des</w:t>
      </w:r>
      <w:r w:rsidR="00A01DA3" w:rsidRPr="00F70A27">
        <w:rPr>
          <w:kern w:val="22"/>
          <w:szCs w:val="22"/>
          <w:lang w:val="fr-FR"/>
        </w:rPr>
        <w:t xml:space="preserve"> critères</w:t>
      </w:r>
      <w:r w:rsidR="00F957CA" w:rsidRPr="00F70A27">
        <w:rPr>
          <w:kern w:val="22"/>
          <w:szCs w:val="22"/>
          <w:lang w:val="fr-FR"/>
        </w:rPr>
        <w:t xml:space="preserve"> </w:t>
      </w:r>
      <w:r w:rsidR="00F70A27" w:rsidRPr="00F70A27">
        <w:rPr>
          <w:kern w:val="22"/>
          <w:szCs w:val="22"/>
          <w:lang w:val="fr-FR"/>
        </w:rPr>
        <w:t>susmentionn</w:t>
      </w:r>
      <w:r w:rsidR="0073435B">
        <w:rPr>
          <w:kern w:val="22"/>
          <w:szCs w:val="22"/>
          <w:lang w:val="fr-FR"/>
        </w:rPr>
        <w:t>és nécessite un examen rationnel, dans l</w:t>
      </w:r>
      <w:r w:rsidR="00F70A27">
        <w:rPr>
          <w:kern w:val="22"/>
          <w:szCs w:val="22"/>
          <w:lang w:val="fr-FR"/>
        </w:rPr>
        <w:t>es ci</w:t>
      </w:r>
      <w:r w:rsidR="0073435B">
        <w:rPr>
          <w:kern w:val="22"/>
          <w:szCs w:val="22"/>
          <w:lang w:val="fr-FR"/>
        </w:rPr>
        <w:t>rconstances propres à chaque cas, exige</w:t>
      </w:r>
      <w:r w:rsidR="00F70A27">
        <w:rPr>
          <w:kern w:val="22"/>
          <w:szCs w:val="22"/>
          <w:lang w:val="fr-FR"/>
        </w:rPr>
        <w:t xml:space="preserve">ant des </w:t>
      </w:r>
      <w:r w:rsidR="00F957CA" w:rsidRPr="00F70A27">
        <w:rPr>
          <w:kern w:val="22"/>
          <w:szCs w:val="22"/>
          <w:lang w:val="fr-FR"/>
        </w:rPr>
        <w:t>solutions</w:t>
      </w:r>
      <w:r w:rsidR="00F70A27">
        <w:rPr>
          <w:kern w:val="22"/>
          <w:szCs w:val="22"/>
          <w:lang w:val="fr-FR"/>
        </w:rPr>
        <w:t xml:space="preserve"> pragmatiques</w:t>
      </w:r>
      <w:r w:rsidR="00F957CA" w:rsidRPr="00F70A27">
        <w:rPr>
          <w:kern w:val="22"/>
          <w:szCs w:val="22"/>
          <w:lang w:val="fr-FR"/>
        </w:rPr>
        <w:t xml:space="preserve"> </w:t>
      </w:r>
      <w:r w:rsidR="00F70A27">
        <w:rPr>
          <w:kern w:val="22"/>
          <w:szCs w:val="22"/>
          <w:lang w:val="fr-FR"/>
        </w:rPr>
        <w:t xml:space="preserve">fondées sur une plus grande </w:t>
      </w:r>
      <w:r w:rsidR="004A1AB3" w:rsidRPr="00F70A27">
        <w:rPr>
          <w:kern w:val="22"/>
          <w:szCs w:val="22"/>
          <w:lang w:val="fr-FR"/>
        </w:rPr>
        <w:t>coopération</w:t>
      </w:r>
      <w:r w:rsidR="00F957CA" w:rsidRPr="00F70A27">
        <w:rPr>
          <w:kern w:val="22"/>
          <w:szCs w:val="22"/>
          <w:lang w:val="fr-FR"/>
        </w:rPr>
        <w:t xml:space="preserve">. </w:t>
      </w:r>
      <w:r w:rsidR="0073435B">
        <w:rPr>
          <w:kern w:val="22"/>
          <w:szCs w:val="22"/>
          <w:lang w:val="fr-FR"/>
        </w:rPr>
        <w:t>D’autre part</w:t>
      </w:r>
      <w:r w:rsidR="00F70A27" w:rsidRPr="00616367">
        <w:rPr>
          <w:kern w:val="22"/>
          <w:szCs w:val="22"/>
          <w:lang w:val="fr-FR"/>
        </w:rPr>
        <w:t xml:space="preserve">, </w:t>
      </w:r>
      <w:r w:rsidR="0001030F" w:rsidRPr="00616367">
        <w:rPr>
          <w:kern w:val="22"/>
          <w:szCs w:val="22"/>
          <w:lang w:val="fr-FR"/>
        </w:rPr>
        <w:t>l’analyse</w:t>
      </w:r>
      <w:r w:rsidR="00F957CA" w:rsidRPr="00616367">
        <w:rPr>
          <w:kern w:val="22"/>
          <w:szCs w:val="22"/>
          <w:lang w:val="fr-FR"/>
        </w:rPr>
        <w:t xml:space="preserve"> </w:t>
      </w:r>
      <w:r w:rsidR="00F70A27" w:rsidRPr="00616367">
        <w:rPr>
          <w:kern w:val="22"/>
          <w:szCs w:val="22"/>
          <w:lang w:val="fr-FR"/>
        </w:rPr>
        <w:t xml:space="preserve">montre que </w:t>
      </w:r>
      <w:r w:rsidR="0073435B">
        <w:rPr>
          <w:kern w:val="22"/>
          <w:szCs w:val="22"/>
          <w:lang w:val="fr-FR"/>
        </w:rPr>
        <w:t xml:space="preserve">les </w:t>
      </w:r>
      <w:r w:rsidR="00C20376" w:rsidRPr="00616367">
        <w:rPr>
          <w:kern w:val="22"/>
          <w:szCs w:val="22"/>
          <w:lang w:val="fr-FR"/>
        </w:rPr>
        <w:t>interaction</w:t>
      </w:r>
      <w:r w:rsidR="0073435B">
        <w:rPr>
          <w:kern w:val="22"/>
          <w:szCs w:val="22"/>
          <w:lang w:val="fr-FR"/>
        </w:rPr>
        <w:t xml:space="preserve">s entre </w:t>
      </w:r>
      <w:r w:rsidR="00C20376" w:rsidRPr="00616367">
        <w:rPr>
          <w:kern w:val="22"/>
          <w:szCs w:val="22"/>
          <w:lang w:val="fr-FR"/>
        </w:rPr>
        <w:t>régimes</w:t>
      </w:r>
      <w:r w:rsidR="0073435B">
        <w:rPr>
          <w:kern w:val="22"/>
          <w:szCs w:val="22"/>
          <w:lang w:val="fr-FR"/>
        </w:rPr>
        <w:t xml:space="preserve"> internationaux</w:t>
      </w:r>
      <w:r w:rsidR="00F957CA" w:rsidRPr="00616367">
        <w:rPr>
          <w:kern w:val="22"/>
          <w:szCs w:val="22"/>
          <w:lang w:val="fr-FR"/>
        </w:rPr>
        <w:t xml:space="preserve"> </w:t>
      </w:r>
      <w:r w:rsidR="00616367" w:rsidRPr="00616367">
        <w:rPr>
          <w:kern w:val="22"/>
          <w:szCs w:val="22"/>
          <w:lang w:val="fr-FR"/>
        </w:rPr>
        <w:t>peu</w:t>
      </w:r>
      <w:r w:rsidR="0073435B">
        <w:rPr>
          <w:kern w:val="22"/>
          <w:szCs w:val="22"/>
          <w:lang w:val="fr-FR"/>
        </w:rPr>
        <w:t>ven</w:t>
      </w:r>
      <w:r w:rsidR="00616367" w:rsidRPr="00616367">
        <w:rPr>
          <w:kern w:val="22"/>
          <w:szCs w:val="22"/>
          <w:lang w:val="fr-FR"/>
        </w:rPr>
        <w:t>t fournir des occ</w:t>
      </w:r>
      <w:r w:rsidR="0073435B">
        <w:rPr>
          <w:kern w:val="22"/>
          <w:szCs w:val="22"/>
          <w:lang w:val="fr-FR"/>
        </w:rPr>
        <w:t>asions d’apprentissage continu</w:t>
      </w:r>
      <w:r w:rsidR="00616367" w:rsidRPr="00616367">
        <w:rPr>
          <w:kern w:val="22"/>
          <w:szCs w:val="22"/>
          <w:lang w:val="fr-FR"/>
        </w:rPr>
        <w:t xml:space="preserve"> et de </w:t>
      </w:r>
      <w:r w:rsidR="00F957CA" w:rsidRPr="00616367">
        <w:rPr>
          <w:kern w:val="22"/>
          <w:szCs w:val="22"/>
          <w:lang w:val="fr-FR"/>
        </w:rPr>
        <w:t>collaborations</w:t>
      </w:r>
      <w:r w:rsidR="00616367" w:rsidRPr="00616367">
        <w:rPr>
          <w:kern w:val="22"/>
          <w:szCs w:val="22"/>
          <w:lang w:val="fr-FR"/>
        </w:rPr>
        <w:t xml:space="preserve"> fructueuses qui sont</w:t>
      </w:r>
      <w:r w:rsidR="00616367">
        <w:rPr>
          <w:kern w:val="22"/>
          <w:szCs w:val="22"/>
          <w:lang w:val="fr-FR"/>
        </w:rPr>
        <w:t xml:space="preserve"> mutuellement avantageuses</w:t>
      </w:r>
      <w:r w:rsidR="00F957CA" w:rsidRPr="00616367">
        <w:rPr>
          <w:kern w:val="22"/>
          <w:szCs w:val="22"/>
          <w:lang w:val="fr-FR"/>
        </w:rPr>
        <w:t xml:space="preserve"> </w:t>
      </w:r>
      <w:r w:rsidR="00616367">
        <w:rPr>
          <w:kern w:val="22"/>
          <w:szCs w:val="22"/>
          <w:lang w:val="fr-FR"/>
        </w:rPr>
        <w:t>pour</w:t>
      </w:r>
      <w:r w:rsidR="00F957CA" w:rsidRPr="00616367">
        <w:rPr>
          <w:kern w:val="22"/>
          <w:szCs w:val="22"/>
          <w:lang w:val="fr-FR"/>
        </w:rPr>
        <w:t xml:space="preserve"> </w:t>
      </w:r>
      <w:r w:rsidR="00F83893" w:rsidRPr="00616367">
        <w:rPr>
          <w:kern w:val="22"/>
          <w:szCs w:val="22"/>
          <w:lang w:val="fr-FR"/>
        </w:rPr>
        <w:t>l’application</w:t>
      </w:r>
      <w:r w:rsidR="0073435B">
        <w:rPr>
          <w:kern w:val="22"/>
          <w:szCs w:val="22"/>
          <w:lang w:val="fr-FR"/>
        </w:rPr>
        <w:t xml:space="preserve"> de différents</w:t>
      </w:r>
      <w:r w:rsidR="00F957CA" w:rsidRPr="00616367">
        <w:rPr>
          <w:kern w:val="22"/>
          <w:szCs w:val="22"/>
          <w:lang w:val="fr-FR"/>
        </w:rPr>
        <w:t xml:space="preserve"> </w:t>
      </w:r>
      <w:r w:rsidR="00231CD8" w:rsidRPr="00616367">
        <w:rPr>
          <w:kern w:val="22"/>
          <w:szCs w:val="22"/>
          <w:lang w:val="fr-FR"/>
        </w:rPr>
        <w:t>instruments internationaux</w:t>
      </w:r>
      <w:r w:rsidR="00F957CA" w:rsidRPr="00616367">
        <w:rPr>
          <w:kern w:val="22"/>
          <w:szCs w:val="22"/>
          <w:lang w:val="fr-FR"/>
        </w:rPr>
        <w:t>.</w:t>
      </w:r>
    </w:p>
    <w:p w:rsidR="00F957CA" w:rsidRPr="00616367" w:rsidRDefault="003F7742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3F7742">
        <w:rPr>
          <w:kern w:val="22"/>
          <w:szCs w:val="22"/>
          <w:lang w:val="fr-FR"/>
        </w:rPr>
        <w:t>La</w:t>
      </w:r>
      <w:r w:rsidR="00F957CA" w:rsidRPr="003F7742">
        <w:rPr>
          <w:kern w:val="22"/>
          <w:szCs w:val="22"/>
          <w:lang w:val="fr-FR"/>
        </w:rPr>
        <w:t xml:space="preserve"> </w:t>
      </w:r>
      <w:r w:rsidRPr="003F7742">
        <w:rPr>
          <w:kern w:val="22"/>
          <w:szCs w:val="22"/>
          <w:lang w:val="fr-FR"/>
        </w:rPr>
        <w:t xml:space="preserve">reconnaissance d’un </w:t>
      </w:r>
      <w:r w:rsidR="004A1AB3" w:rsidRPr="003F7742">
        <w:rPr>
          <w:kern w:val="22"/>
          <w:szCs w:val="22"/>
          <w:lang w:val="fr-FR"/>
        </w:rPr>
        <w:t>instrument spécial</w:t>
      </w:r>
      <w:r w:rsidR="00F957CA" w:rsidRPr="003F7742">
        <w:rPr>
          <w:kern w:val="22"/>
          <w:szCs w:val="22"/>
          <w:lang w:val="fr-FR"/>
        </w:rPr>
        <w:t xml:space="preserve"> </w:t>
      </w:r>
      <w:r w:rsidRPr="003F7742">
        <w:rPr>
          <w:kern w:val="22"/>
          <w:szCs w:val="22"/>
          <w:lang w:val="fr-FR"/>
        </w:rPr>
        <w:t>au titre du</w:t>
      </w:r>
      <w:r w:rsidR="00623402" w:rsidRPr="003F7742">
        <w:rPr>
          <w:kern w:val="22"/>
          <w:szCs w:val="22"/>
          <w:lang w:val="fr-FR"/>
        </w:rPr>
        <w:t xml:space="preserve"> paragraphe 4 de l’article 4</w:t>
      </w:r>
      <w:r w:rsidR="00F957CA" w:rsidRPr="003F7742">
        <w:rPr>
          <w:kern w:val="22"/>
          <w:szCs w:val="22"/>
          <w:lang w:val="fr-FR"/>
        </w:rPr>
        <w:t xml:space="preserve"> </w:t>
      </w:r>
      <w:r w:rsidR="0073435B">
        <w:rPr>
          <w:kern w:val="22"/>
          <w:szCs w:val="22"/>
          <w:lang w:val="fr-FR"/>
        </w:rPr>
        <w:t xml:space="preserve">constitue l’une des </w:t>
      </w:r>
      <w:r w:rsidR="00616367">
        <w:rPr>
          <w:kern w:val="22"/>
          <w:szCs w:val="22"/>
          <w:lang w:val="fr-FR"/>
        </w:rPr>
        <w:t>étape</w:t>
      </w:r>
      <w:r w:rsidR="0073435B">
        <w:rPr>
          <w:kern w:val="22"/>
          <w:szCs w:val="22"/>
          <w:lang w:val="fr-FR"/>
        </w:rPr>
        <w:t xml:space="preserve">s d’un processus de gestion continu, visant à assurer un renforcement mutuel permanent entre l’instrument considéré et </w:t>
      </w:r>
      <w:r w:rsidRPr="003F7742">
        <w:rPr>
          <w:kern w:val="22"/>
          <w:szCs w:val="22"/>
          <w:lang w:val="fr-FR"/>
        </w:rPr>
        <w:t>l</w:t>
      </w:r>
      <w:r w:rsidR="00F957CA" w:rsidRPr="003F7742">
        <w:rPr>
          <w:kern w:val="22"/>
          <w:szCs w:val="22"/>
          <w:lang w:val="fr-FR"/>
        </w:rPr>
        <w:t>e</w:t>
      </w:r>
      <w:r w:rsidRPr="003F7742">
        <w:rPr>
          <w:kern w:val="22"/>
          <w:szCs w:val="22"/>
          <w:lang w:val="fr-FR"/>
        </w:rPr>
        <w:t>s objectifs de la</w:t>
      </w:r>
      <w:r w:rsidR="00F957CA" w:rsidRPr="003F7742">
        <w:rPr>
          <w:kern w:val="22"/>
          <w:szCs w:val="22"/>
          <w:lang w:val="fr-FR"/>
        </w:rPr>
        <w:t xml:space="preserve"> Convention</w:t>
      </w:r>
      <w:r w:rsidR="00623402" w:rsidRPr="003F7742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du Protocole</w:t>
      </w:r>
      <w:r w:rsidR="00F957CA" w:rsidRPr="003F7742">
        <w:rPr>
          <w:kern w:val="22"/>
          <w:szCs w:val="22"/>
          <w:lang w:val="fr-FR"/>
        </w:rPr>
        <w:t xml:space="preserve">. </w:t>
      </w:r>
      <w:r w:rsidR="0073435B">
        <w:rPr>
          <w:kern w:val="22"/>
          <w:szCs w:val="22"/>
          <w:lang w:val="fr-FR"/>
        </w:rPr>
        <w:t xml:space="preserve">Ceci nécessite également de tenir compte de la </w:t>
      </w:r>
      <w:r w:rsidR="00616367" w:rsidRPr="00616367">
        <w:rPr>
          <w:kern w:val="22"/>
          <w:szCs w:val="22"/>
          <w:lang w:val="fr-FR"/>
        </w:rPr>
        <w:t>gestion des</w:t>
      </w:r>
      <w:r w:rsidR="00616367">
        <w:rPr>
          <w:kern w:val="22"/>
          <w:szCs w:val="22"/>
          <w:lang w:val="fr-FR"/>
        </w:rPr>
        <w:t xml:space="preserve"> </w:t>
      </w:r>
      <w:r w:rsidR="00F957CA" w:rsidRPr="00616367">
        <w:rPr>
          <w:kern w:val="22"/>
          <w:szCs w:val="22"/>
          <w:lang w:val="fr-FR"/>
        </w:rPr>
        <w:t>interactions</w:t>
      </w:r>
      <w:r w:rsidR="00B55D08" w:rsidRPr="00616367">
        <w:rPr>
          <w:kern w:val="22"/>
          <w:szCs w:val="22"/>
          <w:lang w:val="fr-FR"/>
        </w:rPr>
        <w:t xml:space="preserve"> avec </w:t>
      </w:r>
      <w:r w:rsidR="00616367">
        <w:rPr>
          <w:kern w:val="22"/>
          <w:szCs w:val="22"/>
          <w:lang w:val="fr-FR"/>
        </w:rPr>
        <w:t>d’</w:t>
      </w:r>
      <w:r w:rsidR="00623402" w:rsidRPr="00616367">
        <w:rPr>
          <w:kern w:val="22"/>
          <w:szCs w:val="22"/>
          <w:lang w:val="fr-FR"/>
        </w:rPr>
        <w:t xml:space="preserve">autres </w:t>
      </w:r>
      <w:r w:rsidR="00231CD8" w:rsidRPr="00616367">
        <w:rPr>
          <w:kern w:val="22"/>
          <w:szCs w:val="22"/>
          <w:lang w:val="fr-FR"/>
        </w:rPr>
        <w:t>instruments internationaux</w:t>
      </w:r>
      <w:r w:rsidR="00881FB5">
        <w:rPr>
          <w:kern w:val="22"/>
          <w:szCs w:val="22"/>
          <w:lang w:val="fr-FR"/>
        </w:rPr>
        <w:t>, qui comprend</w:t>
      </w:r>
      <w:r w:rsidR="00616367">
        <w:rPr>
          <w:kern w:val="22"/>
          <w:szCs w:val="22"/>
          <w:lang w:val="fr-FR"/>
        </w:rPr>
        <w:t xml:space="preserve"> générale</w:t>
      </w:r>
      <w:r w:rsidR="0073435B">
        <w:rPr>
          <w:kern w:val="22"/>
          <w:szCs w:val="22"/>
          <w:lang w:val="fr-FR"/>
        </w:rPr>
        <w:t>ment des initiatives continues en matière de partage d’information</w:t>
      </w:r>
      <w:r w:rsidR="00623402" w:rsidRPr="00616367">
        <w:rPr>
          <w:kern w:val="22"/>
          <w:szCs w:val="22"/>
          <w:lang w:val="fr-FR"/>
        </w:rPr>
        <w:t xml:space="preserve"> et </w:t>
      </w:r>
      <w:r w:rsidR="00616367">
        <w:rPr>
          <w:kern w:val="22"/>
          <w:szCs w:val="22"/>
          <w:lang w:val="fr-FR"/>
        </w:rPr>
        <w:t xml:space="preserve">de </w:t>
      </w:r>
      <w:r w:rsidR="004A1AB3" w:rsidRPr="00616367">
        <w:rPr>
          <w:kern w:val="22"/>
          <w:szCs w:val="22"/>
          <w:lang w:val="fr-FR"/>
        </w:rPr>
        <w:t>coopération</w:t>
      </w:r>
      <w:r w:rsidR="00616367">
        <w:rPr>
          <w:kern w:val="22"/>
          <w:szCs w:val="22"/>
          <w:lang w:val="fr-FR"/>
        </w:rPr>
        <w:t xml:space="preserve"> pour obtenir des résultats synergiques. Il convient donc </w:t>
      </w:r>
      <w:r w:rsidR="00881FB5">
        <w:rPr>
          <w:kern w:val="22"/>
          <w:szCs w:val="22"/>
          <w:lang w:val="fr-FR"/>
        </w:rPr>
        <w:t>d’accorder une importance à l’</w:t>
      </w:r>
      <w:r w:rsidR="00616367">
        <w:rPr>
          <w:kern w:val="22"/>
          <w:szCs w:val="22"/>
          <w:lang w:val="fr-FR"/>
        </w:rPr>
        <w:t>optimisation des possibilités d’</w:t>
      </w:r>
      <w:r w:rsidR="00C01103" w:rsidRPr="00616367">
        <w:rPr>
          <w:kern w:val="22"/>
          <w:szCs w:val="22"/>
          <w:lang w:val="fr-FR"/>
        </w:rPr>
        <w:t>apprentissage mutuel</w:t>
      </w:r>
      <w:r w:rsidR="00881FB5">
        <w:rPr>
          <w:kern w:val="22"/>
          <w:szCs w:val="22"/>
          <w:lang w:val="fr-FR"/>
        </w:rPr>
        <w:t xml:space="preserve"> entre </w:t>
      </w:r>
      <w:r w:rsidRPr="00616367">
        <w:rPr>
          <w:kern w:val="22"/>
          <w:szCs w:val="22"/>
          <w:lang w:val="fr-FR"/>
        </w:rPr>
        <w:t>ré</w:t>
      </w:r>
      <w:r w:rsidR="00F957CA" w:rsidRPr="00616367">
        <w:rPr>
          <w:kern w:val="22"/>
          <w:szCs w:val="22"/>
          <w:lang w:val="fr-FR"/>
        </w:rPr>
        <w:t>gimes.</w:t>
      </w:r>
    </w:p>
    <w:p w:rsidR="00F957CA" w:rsidRPr="00F83893" w:rsidRDefault="00F83893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F83893">
        <w:rPr>
          <w:kern w:val="22"/>
          <w:szCs w:val="22"/>
          <w:lang w:val="fr-FR"/>
        </w:rPr>
        <w:t>Il existe plusieurs exe</w:t>
      </w:r>
      <w:r w:rsidR="00F957CA" w:rsidRPr="00F83893">
        <w:rPr>
          <w:kern w:val="22"/>
          <w:szCs w:val="22"/>
          <w:lang w:val="fr-FR"/>
        </w:rPr>
        <w:t>mples</w:t>
      </w:r>
      <w:r w:rsidRPr="00F83893">
        <w:rPr>
          <w:kern w:val="22"/>
          <w:szCs w:val="22"/>
          <w:lang w:val="fr-FR"/>
        </w:rPr>
        <w:t xml:space="preserve"> concrets d’interactions </w:t>
      </w:r>
      <w:r w:rsidR="00881FB5">
        <w:rPr>
          <w:kern w:val="22"/>
          <w:szCs w:val="22"/>
          <w:lang w:val="fr-FR"/>
        </w:rPr>
        <w:t>institutionnelles</w:t>
      </w:r>
      <w:r>
        <w:rPr>
          <w:kern w:val="22"/>
          <w:szCs w:val="22"/>
          <w:lang w:val="fr-FR"/>
        </w:rPr>
        <w:t xml:space="preserve"> qui peuvent</w:t>
      </w:r>
      <w:r w:rsidR="00881FB5">
        <w:rPr>
          <w:kern w:val="22"/>
          <w:szCs w:val="22"/>
          <w:lang w:val="fr-FR"/>
        </w:rPr>
        <w:t xml:space="preserve"> servir</w:t>
      </w:r>
      <w:r w:rsidR="00616367">
        <w:rPr>
          <w:kern w:val="22"/>
          <w:szCs w:val="22"/>
          <w:lang w:val="fr-FR"/>
        </w:rPr>
        <w:t xml:space="preserve"> </w:t>
      </w:r>
      <w:r w:rsidR="00881FB5">
        <w:rPr>
          <w:kern w:val="22"/>
          <w:szCs w:val="22"/>
          <w:lang w:val="fr-FR"/>
        </w:rPr>
        <w:t>d’</w:t>
      </w:r>
      <w:r w:rsidR="00616367">
        <w:rPr>
          <w:kern w:val="22"/>
          <w:szCs w:val="22"/>
          <w:lang w:val="fr-FR"/>
        </w:rPr>
        <w:t xml:space="preserve">inspiration pour </w:t>
      </w:r>
      <w:r>
        <w:rPr>
          <w:kern w:val="22"/>
          <w:szCs w:val="22"/>
          <w:lang w:val="fr-FR"/>
        </w:rPr>
        <w:t>l’application</w:t>
      </w:r>
      <w:r w:rsidR="00F957CA" w:rsidRPr="00F83893">
        <w:rPr>
          <w:kern w:val="22"/>
          <w:szCs w:val="22"/>
          <w:lang w:val="fr-FR"/>
        </w:rPr>
        <w:t xml:space="preserve"> </w:t>
      </w:r>
      <w:r w:rsidR="00616367">
        <w:rPr>
          <w:kern w:val="22"/>
          <w:szCs w:val="22"/>
          <w:lang w:val="fr-FR"/>
        </w:rPr>
        <w:t>du</w:t>
      </w:r>
      <w:r w:rsidR="00623402" w:rsidRPr="00F83893">
        <w:rPr>
          <w:kern w:val="22"/>
          <w:szCs w:val="22"/>
          <w:lang w:val="fr-FR"/>
        </w:rPr>
        <w:t xml:space="preserve"> paragraphe 4 de l’article 4</w:t>
      </w:r>
      <w:r w:rsidR="00616367" w:rsidRPr="00616367">
        <w:rPr>
          <w:kern w:val="22"/>
          <w:szCs w:val="22"/>
          <w:lang w:val="fr-FR"/>
        </w:rPr>
        <w:t xml:space="preserve"> </w:t>
      </w:r>
      <w:r w:rsidR="00616367">
        <w:rPr>
          <w:kern w:val="22"/>
          <w:szCs w:val="22"/>
          <w:lang w:val="fr-FR"/>
        </w:rPr>
        <w:t xml:space="preserve">du </w:t>
      </w:r>
      <w:r w:rsidR="00616367" w:rsidRPr="00F83893">
        <w:rPr>
          <w:kern w:val="22"/>
          <w:szCs w:val="22"/>
          <w:lang w:val="fr-FR"/>
        </w:rPr>
        <w:t>Protocole de Nagoya</w:t>
      </w:r>
      <w:r w:rsidR="00F957CA" w:rsidRPr="00F83893">
        <w:rPr>
          <w:kern w:val="22"/>
          <w:szCs w:val="22"/>
          <w:lang w:val="fr-FR"/>
        </w:rPr>
        <w:t xml:space="preserve">, </w:t>
      </w:r>
      <w:r w:rsidR="005D3CDB" w:rsidRPr="00F83893">
        <w:rPr>
          <w:kern w:val="22"/>
          <w:szCs w:val="22"/>
          <w:lang w:val="fr-FR"/>
        </w:rPr>
        <w:t>y compris</w:t>
      </w:r>
      <w:r w:rsidR="00616367">
        <w:rPr>
          <w:kern w:val="22"/>
          <w:szCs w:val="22"/>
          <w:lang w:val="fr-FR"/>
        </w:rPr>
        <w:t xml:space="preserve"> dans d’</w:t>
      </w:r>
      <w:r w:rsidR="00623402" w:rsidRPr="00F83893">
        <w:rPr>
          <w:kern w:val="22"/>
          <w:szCs w:val="22"/>
          <w:lang w:val="fr-FR"/>
        </w:rPr>
        <w:t xml:space="preserve">autres </w:t>
      </w:r>
      <w:r w:rsidR="00616367">
        <w:rPr>
          <w:kern w:val="22"/>
          <w:szCs w:val="22"/>
          <w:lang w:val="fr-FR"/>
        </w:rPr>
        <w:t xml:space="preserve">domaines du </w:t>
      </w:r>
      <w:r w:rsidR="00623402" w:rsidRPr="00F83893">
        <w:rPr>
          <w:kern w:val="22"/>
          <w:szCs w:val="22"/>
          <w:lang w:val="fr-FR"/>
        </w:rPr>
        <w:t>droit international</w:t>
      </w:r>
      <w:r w:rsidR="00F957CA" w:rsidRPr="00F83893">
        <w:rPr>
          <w:kern w:val="22"/>
          <w:szCs w:val="22"/>
          <w:lang w:val="fr-FR"/>
        </w:rPr>
        <w:t>.</w:t>
      </w:r>
    </w:p>
    <w:p w:rsidR="00F957CA" w:rsidRPr="00EA0E1C" w:rsidRDefault="003F7742" w:rsidP="009F4D84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EA0E1C">
        <w:rPr>
          <w:kern w:val="22"/>
          <w:szCs w:val="22"/>
          <w:lang w:val="fr-FR"/>
        </w:rPr>
        <w:t>Premièrement</w:t>
      </w:r>
      <w:r w:rsidR="00881FB5">
        <w:rPr>
          <w:kern w:val="22"/>
          <w:szCs w:val="22"/>
          <w:lang w:val="fr-FR"/>
        </w:rPr>
        <w:t>, la</w:t>
      </w:r>
      <w:r w:rsidR="00F957CA" w:rsidRPr="00EA0E1C">
        <w:rPr>
          <w:kern w:val="22"/>
          <w:szCs w:val="22"/>
          <w:lang w:val="fr-FR"/>
        </w:rPr>
        <w:t xml:space="preserve"> </w:t>
      </w:r>
      <w:r w:rsidR="00D066C3" w:rsidRPr="00EA0E1C">
        <w:rPr>
          <w:kern w:val="22"/>
          <w:szCs w:val="22"/>
          <w:lang w:val="fr-FR"/>
        </w:rPr>
        <w:t>négociation</w:t>
      </w:r>
      <w:r w:rsidR="00881FB5">
        <w:rPr>
          <w:kern w:val="22"/>
          <w:szCs w:val="22"/>
          <w:lang w:val="fr-FR"/>
        </w:rPr>
        <w:t xml:space="preserve"> d’</w:t>
      </w:r>
      <w:r w:rsidR="00616367" w:rsidRPr="00EA0E1C">
        <w:rPr>
          <w:kern w:val="22"/>
          <w:szCs w:val="22"/>
          <w:lang w:val="fr-FR"/>
        </w:rPr>
        <w:t>un nouvel</w:t>
      </w:r>
      <w:r w:rsidR="00F957CA" w:rsidRPr="00EA0E1C">
        <w:rPr>
          <w:kern w:val="22"/>
          <w:szCs w:val="22"/>
          <w:lang w:val="fr-FR"/>
        </w:rPr>
        <w:t xml:space="preserve"> instrument </w:t>
      </w:r>
      <w:r w:rsidR="00881FB5">
        <w:rPr>
          <w:kern w:val="22"/>
          <w:szCs w:val="22"/>
          <w:lang w:val="fr-FR"/>
        </w:rPr>
        <w:t>peu</w:t>
      </w:r>
      <w:r w:rsidR="00616367" w:rsidRPr="00EA0E1C">
        <w:rPr>
          <w:kern w:val="22"/>
          <w:szCs w:val="22"/>
          <w:lang w:val="fr-FR"/>
        </w:rPr>
        <w:t>t être gér</w:t>
      </w:r>
      <w:r w:rsidR="00881FB5">
        <w:rPr>
          <w:kern w:val="22"/>
          <w:szCs w:val="22"/>
          <w:lang w:val="fr-FR"/>
        </w:rPr>
        <w:t>ée dès le départ afin d’assurer un renforcement</w:t>
      </w:r>
      <w:r w:rsidR="00E14372" w:rsidRPr="00EA0E1C">
        <w:rPr>
          <w:kern w:val="22"/>
          <w:szCs w:val="22"/>
          <w:lang w:val="fr-FR"/>
        </w:rPr>
        <w:t xml:space="preserve"> mutuel</w:t>
      </w:r>
      <w:r w:rsidR="00881FB5">
        <w:rPr>
          <w:kern w:val="22"/>
          <w:szCs w:val="22"/>
          <w:lang w:val="fr-FR"/>
        </w:rPr>
        <w:t>, en énonçant</w:t>
      </w:r>
      <w:r w:rsidR="00EA0E1C">
        <w:rPr>
          <w:kern w:val="22"/>
          <w:szCs w:val="22"/>
          <w:lang w:val="fr-FR"/>
        </w:rPr>
        <w:t xml:space="preserve"> par </w:t>
      </w:r>
      <w:r w:rsidR="00E14372" w:rsidRPr="00EA0E1C">
        <w:rPr>
          <w:kern w:val="22"/>
          <w:szCs w:val="22"/>
          <w:lang w:val="fr-FR"/>
        </w:rPr>
        <w:t>exemple</w:t>
      </w:r>
      <w:r w:rsidR="00EA0E1C">
        <w:rPr>
          <w:kern w:val="22"/>
          <w:szCs w:val="22"/>
          <w:lang w:val="fr-FR"/>
        </w:rPr>
        <w:t xml:space="preserve"> un man</w:t>
      </w:r>
      <w:r w:rsidR="00881FB5">
        <w:rPr>
          <w:kern w:val="22"/>
          <w:szCs w:val="22"/>
          <w:lang w:val="fr-FR"/>
        </w:rPr>
        <w:t>dat de négociation qui vise</w:t>
      </w:r>
      <w:r w:rsidR="00EA0E1C">
        <w:rPr>
          <w:kern w:val="22"/>
          <w:szCs w:val="22"/>
          <w:lang w:val="fr-FR"/>
        </w:rPr>
        <w:t xml:space="preserve"> la cohé</w:t>
      </w:r>
      <w:r w:rsidR="00F957CA" w:rsidRPr="00EA0E1C">
        <w:rPr>
          <w:kern w:val="22"/>
          <w:szCs w:val="22"/>
          <w:lang w:val="fr-FR"/>
        </w:rPr>
        <w:t>rence</w:t>
      </w:r>
      <w:r w:rsidR="00B55D08" w:rsidRPr="00EA0E1C">
        <w:rPr>
          <w:kern w:val="22"/>
          <w:szCs w:val="22"/>
          <w:lang w:val="fr-FR"/>
        </w:rPr>
        <w:t xml:space="preserve"> avec </w:t>
      </w:r>
      <w:r w:rsidR="00EA0E1C">
        <w:rPr>
          <w:kern w:val="22"/>
          <w:szCs w:val="22"/>
          <w:lang w:val="fr-FR"/>
        </w:rPr>
        <w:t>un</w:t>
      </w:r>
      <w:r w:rsidR="00F957CA" w:rsidRPr="00EA0E1C">
        <w:rPr>
          <w:kern w:val="22"/>
          <w:szCs w:val="22"/>
          <w:lang w:val="fr-FR"/>
        </w:rPr>
        <w:t xml:space="preserve"> instrument</w:t>
      </w:r>
      <w:r w:rsidR="00EA0E1C">
        <w:rPr>
          <w:kern w:val="22"/>
          <w:szCs w:val="22"/>
          <w:lang w:val="fr-FR"/>
        </w:rPr>
        <w:t xml:space="preserve"> existant</w:t>
      </w:r>
      <w:r w:rsidR="00F957CA" w:rsidRPr="00EA0E1C">
        <w:rPr>
          <w:kern w:val="22"/>
          <w:szCs w:val="22"/>
          <w:lang w:val="fr-FR"/>
        </w:rPr>
        <w:t xml:space="preserve">, </w:t>
      </w:r>
      <w:r w:rsidR="00881FB5">
        <w:rPr>
          <w:kern w:val="22"/>
          <w:szCs w:val="22"/>
          <w:lang w:val="fr-FR"/>
        </w:rPr>
        <w:t>ou bien en maintenant</w:t>
      </w:r>
      <w:r w:rsidR="00EA0E1C">
        <w:rPr>
          <w:kern w:val="22"/>
          <w:szCs w:val="22"/>
          <w:lang w:val="fr-FR"/>
        </w:rPr>
        <w:t xml:space="preserve"> l’organe directeur de l’</w:t>
      </w:r>
      <w:r w:rsidR="00F957CA" w:rsidRPr="00EA0E1C">
        <w:rPr>
          <w:kern w:val="22"/>
          <w:szCs w:val="22"/>
          <w:lang w:val="fr-FR"/>
        </w:rPr>
        <w:t xml:space="preserve">instrument </w:t>
      </w:r>
      <w:r w:rsidR="00EA0E1C">
        <w:rPr>
          <w:kern w:val="22"/>
          <w:szCs w:val="22"/>
          <w:lang w:val="fr-FR"/>
        </w:rPr>
        <w:t xml:space="preserve">existant </w:t>
      </w:r>
      <w:r w:rsidR="00881FB5">
        <w:rPr>
          <w:kern w:val="22"/>
          <w:szCs w:val="22"/>
          <w:lang w:val="fr-FR"/>
        </w:rPr>
        <w:t xml:space="preserve">informé </w:t>
      </w:r>
      <w:r w:rsidR="00EA0E1C">
        <w:rPr>
          <w:kern w:val="22"/>
          <w:szCs w:val="22"/>
          <w:lang w:val="fr-FR"/>
        </w:rPr>
        <w:t xml:space="preserve">de l’avancée des </w:t>
      </w:r>
      <w:r w:rsidR="00D066C3" w:rsidRPr="00EA0E1C">
        <w:rPr>
          <w:kern w:val="22"/>
          <w:szCs w:val="22"/>
          <w:lang w:val="fr-FR"/>
        </w:rPr>
        <w:t>négociation</w:t>
      </w:r>
      <w:r w:rsidR="00EA0E1C">
        <w:rPr>
          <w:kern w:val="22"/>
          <w:szCs w:val="22"/>
          <w:lang w:val="fr-FR"/>
        </w:rPr>
        <w:t>s</w:t>
      </w:r>
      <w:r w:rsidR="00881FB5">
        <w:rPr>
          <w:kern w:val="22"/>
          <w:szCs w:val="22"/>
          <w:lang w:val="fr-FR"/>
        </w:rPr>
        <w:t>,</w:t>
      </w:r>
      <w:r w:rsidR="00F957CA" w:rsidRPr="00EA0E1C">
        <w:rPr>
          <w:kern w:val="22"/>
          <w:szCs w:val="22"/>
          <w:lang w:val="fr-FR"/>
        </w:rPr>
        <w:t xml:space="preserve"> </w:t>
      </w:r>
      <w:r w:rsidR="00C32630" w:rsidRPr="00EA0E1C">
        <w:rPr>
          <w:kern w:val="22"/>
          <w:szCs w:val="22"/>
          <w:lang w:val="fr-FR"/>
        </w:rPr>
        <w:t>et/ou</w:t>
      </w:r>
      <w:r w:rsidR="00881FB5">
        <w:rPr>
          <w:kern w:val="22"/>
          <w:szCs w:val="22"/>
          <w:lang w:val="fr-FR"/>
        </w:rPr>
        <w:t xml:space="preserve"> en rédigeant</w:t>
      </w:r>
      <w:r w:rsidR="00EA0E1C">
        <w:rPr>
          <w:kern w:val="22"/>
          <w:szCs w:val="22"/>
          <w:lang w:val="fr-FR"/>
        </w:rPr>
        <w:t xml:space="preserve"> des</w:t>
      </w:r>
      <w:r w:rsidR="00F957CA" w:rsidRPr="00EA0E1C">
        <w:rPr>
          <w:kern w:val="22"/>
          <w:szCs w:val="22"/>
          <w:lang w:val="fr-FR"/>
        </w:rPr>
        <w:t xml:space="preserve"> </w:t>
      </w:r>
      <w:r w:rsidR="00623402" w:rsidRPr="00EA0E1C">
        <w:rPr>
          <w:kern w:val="22"/>
          <w:szCs w:val="22"/>
          <w:lang w:val="fr-FR"/>
        </w:rPr>
        <w:t>dispositions</w:t>
      </w:r>
      <w:r w:rsidR="00881FB5">
        <w:rPr>
          <w:kern w:val="22"/>
          <w:szCs w:val="22"/>
          <w:lang w:val="fr-FR"/>
        </w:rPr>
        <w:t xml:space="preserve"> du</w:t>
      </w:r>
      <w:r w:rsidR="00EA0E1C">
        <w:rPr>
          <w:kern w:val="22"/>
          <w:szCs w:val="22"/>
          <w:lang w:val="fr-FR"/>
        </w:rPr>
        <w:t xml:space="preserve"> nouvel</w:t>
      </w:r>
      <w:r w:rsidR="00F957CA" w:rsidRPr="00EA0E1C">
        <w:rPr>
          <w:kern w:val="22"/>
          <w:szCs w:val="22"/>
          <w:lang w:val="fr-FR"/>
        </w:rPr>
        <w:t xml:space="preserve"> instrument</w:t>
      </w:r>
      <w:r w:rsidR="00EA0E1C">
        <w:rPr>
          <w:kern w:val="22"/>
          <w:szCs w:val="22"/>
          <w:lang w:val="fr-FR"/>
        </w:rPr>
        <w:t xml:space="preserve"> qui prévoie</w:t>
      </w:r>
      <w:r w:rsidR="00881FB5">
        <w:rPr>
          <w:kern w:val="22"/>
          <w:szCs w:val="22"/>
          <w:lang w:val="fr-FR"/>
        </w:rPr>
        <w:t>nt</w:t>
      </w:r>
      <w:r w:rsidR="00EA0E1C">
        <w:rPr>
          <w:kern w:val="22"/>
          <w:szCs w:val="22"/>
          <w:lang w:val="fr-FR"/>
        </w:rPr>
        <w:t xml:space="preserve"> expressément un</w:t>
      </w:r>
      <w:r w:rsidR="00F957CA" w:rsidRPr="00EA0E1C">
        <w:rPr>
          <w:kern w:val="22"/>
          <w:szCs w:val="22"/>
          <w:lang w:val="fr-FR"/>
        </w:rPr>
        <w:t xml:space="preserve"> </w:t>
      </w:r>
      <w:r w:rsidR="00E14372" w:rsidRPr="00EA0E1C">
        <w:rPr>
          <w:kern w:val="22"/>
          <w:szCs w:val="22"/>
          <w:lang w:val="fr-FR"/>
        </w:rPr>
        <w:t>renforcement mutuel</w:t>
      </w:r>
      <w:r w:rsidR="00F957CA" w:rsidRPr="00EA0E1C">
        <w:rPr>
          <w:kern w:val="22"/>
          <w:szCs w:val="22"/>
          <w:lang w:val="fr-FR"/>
        </w:rPr>
        <w:t xml:space="preserve">. </w:t>
      </w:r>
      <w:r w:rsidR="00881FB5">
        <w:rPr>
          <w:kern w:val="22"/>
          <w:szCs w:val="22"/>
          <w:lang w:val="fr-FR"/>
        </w:rPr>
        <w:t xml:space="preserve">Tel </w:t>
      </w:r>
      <w:r w:rsidR="00EA0E1C">
        <w:rPr>
          <w:kern w:val="22"/>
          <w:szCs w:val="22"/>
          <w:lang w:val="fr-FR"/>
        </w:rPr>
        <w:t xml:space="preserve">est le cas </w:t>
      </w:r>
      <w:r w:rsidR="00881FB5">
        <w:rPr>
          <w:kern w:val="22"/>
          <w:szCs w:val="22"/>
          <w:lang w:val="fr-FR"/>
        </w:rPr>
        <w:t xml:space="preserve">par exemple </w:t>
      </w:r>
      <w:r w:rsidR="00EA0E1C">
        <w:rPr>
          <w:kern w:val="22"/>
          <w:szCs w:val="22"/>
          <w:lang w:val="fr-FR"/>
        </w:rPr>
        <w:t>du</w:t>
      </w:r>
      <w:r w:rsidR="00F957CA" w:rsidRPr="00F83893">
        <w:rPr>
          <w:kern w:val="22"/>
          <w:szCs w:val="22"/>
          <w:lang w:val="fr-FR"/>
        </w:rPr>
        <w:t xml:space="preserve"> </w:t>
      </w:r>
      <w:r w:rsidR="0001030F" w:rsidRPr="00F83893">
        <w:rPr>
          <w:kern w:val="22"/>
          <w:szCs w:val="22"/>
          <w:lang w:val="fr-FR"/>
        </w:rPr>
        <w:t>Traité</w:t>
      </w:r>
      <w:r w:rsidR="00F83893" w:rsidRPr="00F83893">
        <w:rPr>
          <w:kern w:val="22"/>
          <w:szCs w:val="22"/>
          <w:lang w:val="fr-FR"/>
        </w:rPr>
        <w:t xml:space="preserve"> international sur les ressources phytogénétiques pour l’alimentation et l’a</w:t>
      </w:r>
      <w:r w:rsidR="00587CAC" w:rsidRPr="00F83893">
        <w:rPr>
          <w:kern w:val="22"/>
          <w:szCs w:val="22"/>
          <w:lang w:val="fr-FR"/>
        </w:rPr>
        <w:t>griculture</w:t>
      </w:r>
      <w:r w:rsidR="00F957CA" w:rsidRPr="00F83893">
        <w:rPr>
          <w:kern w:val="22"/>
          <w:szCs w:val="22"/>
          <w:lang w:val="fr-FR"/>
        </w:rPr>
        <w:t xml:space="preserve">. </w:t>
      </w:r>
      <w:r w:rsidR="00881FB5">
        <w:rPr>
          <w:kern w:val="22"/>
          <w:szCs w:val="22"/>
          <w:lang w:val="fr-FR"/>
        </w:rPr>
        <w:t>Une coopération entre l</w:t>
      </w:r>
      <w:r w:rsidR="00F83893" w:rsidRPr="00EA0E1C">
        <w:rPr>
          <w:kern w:val="22"/>
          <w:szCs w:val="22"/>
          <w:lang w:val="fr-FR"/>
        </w:rPr>
        <w:t xml:space="preserve">es deux </w:t>
      </w:r>
      <w:r w:rsidR="00F957CA" w:rsidRPr="00EA0E1C">
        <w:rPr>
          <w:kern w:val="22"/>
          <w:szCs w:val="22"/>
          <w:lang w:val="fr-FR"/>
        </w:rPr>
        <w:t xml:space="preserve">instruments </w:t>
      </w:r>
      <w:r w:rsidR="00EA0E1C" w:rsidRPr="00EA0E1C">
        <w:rPr>
          <w:kern w:val="22"/>
          <w:szCs w:val="22"/>
          <w:lang w:val="fr-FR"/>
        </w:rPr>
        <w:t xml:space="preserve">était déjà </w:t>
      </w:r>
      <w:r w:rsidR="00EA0E1C">
        <w:rPr>
          <w:kern w:val="22"/>
          <w:szCs w:val="22"/>
          <w:lang w:val="fr-FR"/>
        </w:rPr>
        <w:t>pré</w:t>
      </w:r>
      <w:r w:rsidR="00EA0E1C" w:rsidRPr="00EA0E1C">
        <w:rPr>
          <w:kern w:val="22"/>
          <w:szCs w:val="22"/>
          <w:lang w:val="fr-FR"/>
        </w:rPr>
        <w:t xml:space="preserve">vue au stade de la </w:t>
      </w:r>
      <w:r w:rsidR="00D066C3" w:rsidRPr="00EA0E1C">
        <w:rPr>
          <w:kern w:val="22"/>
          <w:szCs w:val="22"/>
          <w:lang w:val="fr-FR"/>
        </w:rPr>
        <w:t>négociation</w:t>
      </w:r>
      <w:r w:rsidR="00623402" w:rsidRPr="00EA0E1C">
        <w:rPr>
          <w:kern w:val="22"/>
          <w:szCs w:val="22"/>
          <w:lang w:val="fr-FR"/>
        </w:rPr>
        <w:t xml:space="preserve"> et </w:t>
      </w:r>
      <w:r w:rsidR="00EA0E1C">
        <w:rPr>
          <w:kern w:val="22"/>
          <w:szCs w:val="22"/>
          <w:lang w:val="fr-FR"/>
        </w:rPr>
        <w:t>la rédaction du t</w:t>
      </w:r>
      <w:r w:rsidR="0001030F" w:rsidRPr="00EA0E1C">
        <w:rPr>
          <w:kern w:val="22"/>
          <w:szCs w:val="22"/>
          <w:lang w:val="fr-FR"/>
        </w:rPr>
        <w:t>raité</w:t>
      </w:r>
      <w:r w:rsidR="00EA0E1C">
        <w:rPr>
          <w:kern w:val="22"/>
          <w:szCs w:val="22"/>
          <w:lang w:val="fr-FR"/>
        </w:rPr>
        <w:t>,</w:t>
      </w:r>
      <w:r w:rsidR="00623402" w:rsidRPr="00EA0E1C">
        <w:rPr>
          <w:kern w:val="22"/>
          <w:szCs w:val="22"/>
          <w:lang w:val="fr-FR"/>
        </w:rPr>
        <w:t xml:space="preserve"> et </w:t>
      </w:r>
      <w:r w:rsidR="00881FB5">
        <w:rPr>
          <w:kern w:val="22"/>
          <w:szCs w:val="22"/>
          <w:lang w:val="fr-FR"/>
        </w:rPr>
        <w:t>est expressément consacrée</w:t>
      </w:r>
      <w:r w:rsidR="00EA0E1C">
        <w:rPr>
          <w:kern w:val="22"/>
          <w:szCs w:val="22"/>
          <w:lang w:val="fr-FR"/>
        </w:rPr>
        <w:t xml:space="preserve"> dans ses </w:t>
      </w:r>
      <w:r w:rsidR="00623402" w:rsidRPr="00EA0E1C">
        <w:rPr>
          <w:kern w:val="22"/>
          <w:szCs w:val="22"/>
          <w:lang w:val="fr-FR"/>
        </w:rPr>
        <w:t>dispositions</w:t>
      </w:r>
      <w:r w:rsidR="00F957CA" w:rsidRPr="00EA0E1C">
        <w:rPr>
          <w:kern w:val="22"/>
          <w:szCs w:val="22"/>
          <w:lang w:val="fr-FR"/>
        </w:rPr>
        <w:t>.</w:t>
      </w:r>
      <w:r w:rsidR="00651B3B" w:rsidRPr="00EA0E1C">
        <w:rPr>
          <w:kern w:val="22"/>
          <w:szCs w:val="22"/>
          <w:lang w:val="fr-FR"/>
        </w:rPr>
        <w:t xml:space="preserve"> </w:t>
      </w:r>
      <w:r w:rsidR="00EA0E1C" w:rsidRPr="00EA0E1C">
        <w:rPr>
          <w:kern w:val="22"/>
          <w:szCs w:val="22"/>
          <w:lang w:val="fr-FR"/>
        </w:rPr>
        <w:t>En</w:t>
      </w:r>
      <w:r w:rsidR="00D76FBF" w:rsidRPr="00EA0E1C">
        <w:rPr>
          <w:kern w:val="22"/>
          <w:szCs w:val="22"/>
          <w:lang w:val="fr-FR"/>
        </w:rPr>
        <w:t xml:space="preserve"> plus</w:t>
      </w:r>
      <w:r w:rsidR="000005D6">
        <w:rPr>
          <w:kern w:val="22"/>
          <w:szCs w:val="22"/>
          <w:lang w:val="fr-FR"/>
        </w:rPr>
        <w:t xml:space="preserve"> d’une</w:t>
      </w:r>
      <w:r w:rsidR="00EA0E1C" w:rsidRPr="00EA0E1C">
        <w:rPr>
          <w:kern w:val="22"/>
          <w:szCs w:val="22"/>
          <w:lang w:val="fr-FR"/>
        </w:rPr>
        <w:t xml:space="preserve"> dimension </w:t>
      </w:r>
      <w:r w:rsidR="000005D6">
        <w:rPr>
          <w:kern w:val="22"/>
          <w:szCs w:val="22"/>
          <w:lang w:val="fr-FR"/>
        </w:rPr>
        <w:t>de création du droit propre au</w:t>
      </w:r>
      <w:r w:rsidR="00C01103" w:rsidRPr="00EA0E1C">
        <w:rPr>
          <w:kern w:val="22"/>
          <w:szCs w:val="22"/>
          <w:lang w:val="fr-FR"/>
        </w:rPr>
        <w:t xml:space="preserve"> renforcement mutuel</w:t>
      </w:r>
      <w:r w:rsidR="00651B3B" w:rsidRPr="00EA0E1C">
        <w:rPr>
          <w:kern w:val="22"/>
          <w:szCs w:val="22"/>
          <w:lang w:val="fr-FR"/>
        </w:rPr>
        <w:t xml:space="preserve">, </w:t>
      </w:r>
      <w:r w:rsidR="00EA0E1C" w:rsidRPr="00EA0E1C">
        <w:rPr>
          <w:kern w:val="22"/>
          <w:szCs w:val="22"/>
          <w:lang w:val="fr-FR"/>
        </w:rPr>
        <w:t xml:space="preserve">la </w:t>
      </w:r>
      <w:r w:rsidR="004A1AB3" w:rsidRPr="00EA0E1C">
        <w:rPr>
          <w:kern w:val="22"/>
          <w:szCs w:val="22"/>
          <w:lang w:val="fr-FR"/>
        </w:rPr>
        <w:t>coopération</w:t>
      </w:r>
      <w:r w:rsidR="00F957CA" w:rsidRPr="00EA0E1C">
        <w:rPr>
          <w:kern w:val="22"/>
          <w:szCs w:val="22"/>
          <w:lang w:val="fr-FR"/>
        </w:rPr>
        <w:t xml:space="preserve"> </w:t>
      </w:r>
      <w:r w:rsidR="000005D6">
        <w:rPr>
          <w:kern w:val="22"/>
          <w:szCs w:val="22"/>
          <w:lang w:val="fr-FR"/>
        </w:rPr>
        <w:t xml:space="preserve">a été facilitée </w:t>
      </w:r>
      <w:r w:rsidR="00EA0E1C">
        <w:rPr>
          <w:kern w:val="22"/>
          <w:szCs w:val="22"/>
          <w:lang w:val="fr-FR"/>
        </w:rPr>
        <w:t xml:space="preserve">par des arrangements administratifs </w:t>
      </w:r>
      <w:r w:rsidR="002763F1" w:rsidRPr="00EA0E1C">
        <w:rPr>
          <w:kern w:val="22"/>
          <w:szCs w:val="22"/>
          <w:lang w:val="fr-FR"/>
        </w:rPr>
        <w:t>entre</w:t>
      </w:r>
      <w:r w:rsidR="00F957CA" w:rsidRPr="00EA0E1C">
        <w:rPr>
          <w:kern w:val="22"/>
          <w:szCs w:val="22"/>
          <w:lang w:val="fr-FR"/>
        </w:rPr>
        <w:t xml:space="preserve"> </w:t>
      </w:r>
      <w:r w:rsidR="00EA0E1C">
        <w:rPr>
          <w:kern w:val="22"/>
          <w:szCs w:val="22"/>
          <w:lang w:val="fr-FR"/>
        </w:rPr>
        <w:t>secré</w:t>
      </w:r>
      <w:r w:rsidR="00F957CA" w:rsidRPr="00EA0E1C">
        <w:rPr>
          <w:kern w:val="22"/>
          <w:szCs w:val="22"/>
          <w:lang w:val="fr-FR"/>
        </w:rPr>
        <w:t>tariats</w:t>
      </w:r>
      <w:r w:rsidR="00651B3B" w:rsidRPr="00EA0E1C">
        <w:rPr>
          <w:kern w:val="22"/>
          <w:szCs w:val="22"/>
          <w:lang w:val="fr-FR"/>
        </w:rPr>
        <w:t xml:space="preserve">, </w:t>
      </w:r>
      <w:r w:rsidR="000005D6">
        <w:rPr>
          <w:kern w:val="22"/>
          <w:szCs w:val="22"/>
          <w:lang w:val="fr-FR"/>
        </w:rPr>
        <w:t>par des occasion</w:t>
      </w:r>
      <w:r w:rsidR="00EA0E1C">
        <w:rPr>
          <w:kern w:val="22"/>
          <w:szCs w:val="22"/>
          <w:lang w:val="fr-FR"/>
        </w:rPr>
        <w:t>s de partage d’</w:t>
      </w:r>
      <w:r w:rsidR="00651B3B" w:rsidRPr="00EA0E1C">
        <w:rPr>
          <w:kern w:val="22"/>
          <w:szCs w:val="22"/>
          <w:lang w:val="fr-FR"/>
        </w:rPr>
        <w:t>information</w:t>
      </w:r>
      <w:r w:rsidR="00EA0E1C">
        <w:rPr>
          <w:kern w:val="22"/>
          <w:szCs w:val="22"/>
          <w:lang w:val="fr-FR"/>
        </w:rPr>
        <w:t xml:space="preserve"> durant les </w:t>
      </w:r>
      <w:r w:rsidR="00A01DA3" w:rsidRPr="00EA0E1C">
        <w:rPr>
          <w:kern w:val="22"/>
          <w:szCs w:val="22"/>
          <w:lang w:val="fr-FR"/>
        </w:rPr>
        <w:t>réunion</w:t>
      </w:r>
      <w:r w:rsidR="00F957CA" w:rsidRPr="00EA0E1C">
        <w:rPr>
          <w:kern w:val="22"/>
          <w:szCs w:val="22"/>
          <w:lang w:val="fr-FR"/>
        </w:rPr>
        <w:t xml:space="preserve">s </w:t>
      </w:r>
      <w:r w:rsidR="00EA0E1C">
        <w:rPr>
          <w:kern w:val="22"/>
          <w:szCs w:val="22"/>
          <w:lang w:val="fr-FR"/>
        </w:rPr>
        <w:t>des organes directeurs des</w:t>
      </w:r>
      <w:r w:rsidR="00F957CA" w:rsidRPr="00EA0E1C">
        <w:rPr>
          <w:kern w:val="22"/>
          <w:szCs w:val="22"/>
          <w:lang w:val="fr-FR"/>
        </w:rPr>
        <w:t xml:space="preserve"> instruments</w:t>
      </w:r>
      <w:r w:rsidR="00EA0E1C">
        <w:rPr>
          <w:kern w:val="22"/>
          <w:szCs w:val="22"/>
          <w:lang w:val="fr-FR"/>
        </w:rPr>
        <w:t xml:space="preserve"> respectifs</w:t>
      </w:r>
      <w:r w:rsidR="00623402" w:rsidRPr="00EA0E1C">
        <w:rPr>
          <w:kern w:val="22"/>
          <w:szCs w:val="22"/>
          <w:lang w:val="fr-FR"/>
        </w:rPr>
        <w:t xml:space="preserve"> et</w:t>
      </w:r>
      <w:r w:rsidR="000005D6">
        <w:rPr>
          <w:kern w:val="22"/>
          <w:szCs w:val="22"/>
          <w:lang w:val="fr-FR"/>
        </w:rPr>
        <w:t>,</w:t>
      </w:r>
      <w:r w:rsidR="00623402" w:rsidRPr="00EA0E1C">
        <w:rPr>
          <w:kern w:val="22"/>
          <w:szCs w:val="22"/>
          <w:lang w:val="fr-FR"/>
        </w:rPr>
        <w:t xml:space="preserve"> </w:t>
      </w:r>
      <w:r w:rsidR="00EA0E1C">
        <w:rPr>
          <w:kern w:val="22"/>
          <w:szCs w:val="22"/>
          <w:lang w:val="fr-FR"/>
        </w:rPr>
        <w:t>d</w:t>
      </w:r>
      <w:r w:rsidR="000005D6">
        <w:rPr>
          <w:kern w:val="22"/>
          <w:szCs w:val="22"/>
          <w:lang w:val="fr-FR"/>
        </w:rPr>
        <w:t>ans l’application des instruments, par des initiatives conjointes</w:t>
      </w:r>
      <w:r w:rsidR="00EA0E1C">
        <w:rPr>
          <w:kern w:val="22"/>
          <w:szCs w:val="22"/>
          <w:lang w:val="fr-FR"/>
        </w:rPr>
        <w:t xml:space="preserve"> de renforcement des capacités par </w:t>
      </w:r>
      <w:r w:rsidR="00E14372" w:rsidRPr="00EA0E1C">
        <w:rPr>
          <w:kern w:val="22"/>
          <w:szCs w:val="22"/>
          <w:lang w:val="fr-FR"/>
        </w:rPr>
        <w:t>exemple</w:t>
      </w:r>
      <w:r w:rsidR="00F957CA" w:rsidRPr="00EA0E1C">
        <w:rPr>
          <w:kern w:val="22"/>
          <w:szCs w:val="22"/>
          <w:lang w:val="fr-FR"/>
        </w:rPr>
        <w:t>.</w:t>
      </w:r>
    </w:p>
    <w:p w:rsidR="00F957CA" w:rsidRPr="00D76FBF" w:rsidRDefault="00F83893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D76FBF">
        <w:rPr>
          <w:kern w:val="22"/>
          <w:szCs w:val="22"/>
          <w:lang w:val="fr-FR"/>
        </w:rPr>
        <w:t>Des exemples d’</w:t>
      </w:r>
      <w:r w:rsidR="00623402" w:rsidRPr="00D76FBF">
        <w:rPr>
          <w:kern w:val="22"/>
          <w:szCs w:val="22"/>
          <w:lang w:val="fr-FR"/>
        </w:rPr>
        <w:t xml:space="preserve">autres </w:t>
      </w:r>
      <w:r w:rsidRPr="00D76FBF">
        <w:rPr>
          <w:kern w:val="22"/>
          <w:szCs w:val="22"/>
          <w:lang w:val="fr-FR"/>
        </w:rPr>
        <w:t>ré</w:t>
      </w:r>
      <w:r w:rsidR="000005D6">
        <w:rPr>
          <w:kern w:val="22"/>
          <w:szCs w:val="22"/>
          <w:lang w:val="fr-FR"/>
        </w:rPr>
        <w:t>gimes qui coopèrent</w:t>
      </w:r>
      <w:r w:rsidR="00616367">
        <w:rPr>
          <w:kern w:val="22"/>
          <w:szCs w:val="22"/>
          <w:lang w:val="fr-FR"/>
        </w:rPr>
        <w:t xml:space="preserve"> avec la</w:t>
      </w:r>
      <w:r w:rsidR="00A01DA3" w:rsidRPr="00D76FBF">
        <w:rPr>
          <w:kern w:val="22"/>
          <w:szCs w:val="22"/>
          <w:lang w:val="fr-FR"/>
        </w:rPr>
        <w:t xml:space="preserve"> Conférence des Parties</w:t>
      </w:r>
      <w:r w:rsidR="00616367">
        <w:rPr>
          <w:kern w:val="22"/>
          <w:szCs w:val="22"/>
          <w:lang w:val="fr-FR"/>
        </w:rPr>
        <w:t xml:space="preserve"> à la</w:t>
      </w:r>
      <w:r w:rsidR="005B1B34" w:rsidRPr="00D76FBF">
        <w:rPr>
          <w:kern w:val="22"/>
          <w:szCs w:val="22"/>
          <w:lang w:val="fr-FR"/>
        </w:rPr>
        <w:t xml:space="preserve"> Convention </w:t>
      </w:r>
      <w:r w:rsidR="005D3CDB" w:rsidRPr="00D76FBF">
        <w:rPr>
          <w:kern w:val="22"/>
          <w:szCs w:val="22"/>
          <w:lang w:val="fr-FR"/>
        </w:rPr>
        <w:t>sur la diversité biologique</w:t>
      </w:r>
      <w:r w:rsidR="00F957CA" w:rsidRPr="00D76FBF">
        <w:rPr>
          <w:kern w:val="22"/>
          <w:szCs w:val="22"/>
          <w:lang w:val="fr-FR"/>
        </w:rPr>
        <w:t>,</w:t>
      </w:r>
      <w:r w:rsidR="00623402" w:rsidRPr="00D76FBF">
        <w:rPr>
          <w:kern w:val="22"/>
          <w:szCs w:val="22"/>
          <w:lang w:val="fr-FR"/>
        </w:rPr>
        <w:t xml:space="preserve"> et </w:t>
      </w:r>
      <w:r w:rsidR="00F957CA" w:rsidRPr="00D76FBF">
        <w:rPr>
          <w:iCs/>
          <w:kern w:val="22"/>
          <w:szCs w:val="22"/>
          <w:lang w:val="fr-FR"/>
        </w:rPr>
        <w:t>vice versa,</w:t>
      </w:r>
      <w:r w:rsidR="00616367">
        <w:rPr>
          <w:kern w:val="22"/>
          <w:szCs w:val="22"/>
          <w:lang w:val="fr-FR"/>
        </w:rPr>
        <w:t xml:space="preserve"> incluent l’</w:t>
      </w:r>
      <w:r w:rsidR="003D2989" w:rsidRPr="00D76FBF">
        <w:rPr>
          <w:kern w:val="22"/>
          <w:szCs w:val="22"/>
          <w:lang w:val="fr-FR"/>
        </w:rPr>
        <w:t>Organi</w:t>
      </w:r>
      <w:r w:rsidR="00616367">
        <w:rPr>
          <w:kern w:val="22"/>
          <w:szCs w:val="22"/>
          <w:lang w:val="fr-FR"/>
        </w:rPr>
        <w:t>s</w:t>
      </w:r>
      <w:r w:rsidR="003D2989" w:rsidRPr="00D76FBF">
        <w:rPr>
          <w:kern w:val="22"/>
          <w:szCs w:val="22"/>
          <w:lang w:val="fr-FR"/>
        </w:rPr>
        <w:t>ation</w:t>
      </w:r>
      <w:r w:rsidR="00616367">
        <w:rPr>
          <w:kern w:val="22"/>
          <w:szCs w:val="22"/>
          <w:lang w:val="fr-FR"/>
        </w:rPr>
        <w:t xml:space="preserve"> mondiale de la propriété intellectuelle</w:t>
      </w:r>
      <w:r w:rsidR="003D2989" w:rsidRPr="00D76FBF">
        <w:rPr>
          <w:kern w:val="22"/>
          <w:szCs w:val="22"/>
          <w:lang w:val="fr-FR"/>
        </w:rPr>
        <w:t xml:space="preserve"> </w:t>
      </w:r>
      <w:r w:rsidR="000005D6">
        <w:rPr>
          <w:kern w:val="22"/>
          <w:szCs w:val="22"/>
          <w:lang w:val="fr-FR"/>
        </w:rPr>
        <w:t>par le biais</w:t>
      </w:r>
      <w:r w:rsidR="00616367">
        <w:rPr>
          <w:kern w:val="22"/>
          <w:szCs w:val="22"/>
          <w:lang w:val="fr-FR"/>
        </w:rPr>
        <w:t xml:space="preserve"> de son Comité intergouvernemental de la</w:t>
      </w:r>
      <w:r w:rsidR="00290DD4">
        <w:rPr>
          <w:kern w:val="22"/>
          <w:szCs w:val="22"/>
          <w:lang w:val="fr-FR"/>
        </w:rPr>
        <w:t xml:space="preserve"> propriété intellectuelle relative aux</w:t>
      </w:r>
      <w:r w:rsidR="00616367">
        <w:rPr>
          <w:kern w:val="22"/>
          <w:szCs w:val="22"/>
          <w:lang w:val="fr-FR"/>
        </w:rPr>
        <w:t xml:space="preserve"> r</w:t>
      </w:r>
      <w:r w:rsidR="00D76FBF" w:rsidRPr="00D76FBF">
        <w:rPr>
          <w:kern w:val="22"/>
          <w:szCs w:val="22"/>
          <w:lang w:val="fr-FR"/>
        </w:rPr>
        <w:t>essources génétiques</w:t>
      </w:r>
      <w:r w:rsidR="00F957CA" w:rsidRPr="00D76FBF">
        <w:rPr>
          <w:kern w:val="22"/>
          <w:szCs w:val="22"/>
          <w:lang w:val="fr-FR"/>
        </w:rPr>
        <w:t xml:space="preserve">, </w:t>
      </w:r>
      <w:r w:rsidR="00290DD4">
        <w:rPr>
          <w:kern w:val="22"/>
          <w:szCs w:val="22"/>
          <w:lang w:val="fr-FR"/>
        </w:rPr>
        <w:t>aux</w:t>
      </w:r>
      <w:r w:rsidR="000005D6">
        <w:rPr>
          <w:kern w:val="22"/>
          <w:szCs w:val="22"/>
          <w:lang w:val="fr-FR"/>
        </w:rPr>
        <w:t xml:space="preserve"> savoirs traditionnel</w:t>
      </w:r>
      <w:r w:rsidR="0001030F" w:rsidRPr="00D76FBF">
        <w:rPr>
          <w:kern w:val="22"/>
          <w:szCs w:val="22"/>
          <w:lang w:val="fr-FR"/>
        </w:rPr>
        <w:t>s</w:t>
      </w:r>
      <w:r w:rsidR="00623402" w:rsidRPr="00D76FBF">
        <w:rPr>
          <w:kern w:val="22"/>
          <w:szCs w:val="22"/>
          <w:lang w:val="fr-FR"/>
        </w:rPr>
        <w:t xml:space="preserve"> et </w:t>
      </w:r>
      <w:r w:rsidR="00290DD4">
        <w:rPr>
          <w:kern w:val="22"/>
          <w:szCs w:val="22"/>
          <w:lang w:val="fr-FR"/>
        </w:rPr>
        <w:t>a</w:t>
      </w:r>
      <w:r w:rsidR="00616367">
        <w:rPr>
          <w:kern w:val="22"/>
          <w:szCs w:val="22"/>
          <w:lang w:val="fr-FR"/>
        </w:rPr>
        <w:t>u f</w:t>
      </w:r>
      <w:r w:rsidR="00F957CA" w:rsidRPr="00D76FBF">
        <w:rPr>
          <w:kern w:val="22"/>
          <w:szCs w:val="22"/>
          <w:lang w:val="fr-FR"/>
        </w:rPr>
        <w:t>olklore</w:t>
      </w:r>
      <w:r w:rsidR="00F74D8E" w:rsidRPr="00D76FBF">
        <w:rPr>
          <w:kern w:val="22"/>
          <w:szCs w:val="22"/>
          <w:lang w:val="fr-FR"/>
        </w:rPr>
        <w:t>,</w:t>
      </w:r>
      <w:r w:rsidR="00616367">
        <w:rPr>
          <w:kern w:val="22"/>
          <w:szCs w:val="22"/>
          <w:lang w:val="fr-FR"/>
        </w:rPr>
        <w:t xml:space="preserve"> ainsi que</w:t>
      </w:r>
      <w:r w:rsidR="00623402" w:rsidRPr="00D76FBF">
        <w:rPr>
          <w:kern w:val="22"/>
          <w:szCs w:val="22"/>
          <w:lang w:val="fr-FR"/>
        </w:rPr>
        <w:t xml:space="preserve"> </w:t>
      </w:r>
      <w:r w:rsidR="00616367">
        <w:rPr>
          <w:kern w:val="22"/>
          <w:szCs w:val="22"/>
          <w:lang w:val="fr-FR"/>
        </w:rPr>
        <w:t xml:space="preserve">les </w:t>
      </w:r>
      <w:r w:rsidR="00D066C3" w:rsidRPr="00D76FBF">
        <w:rPr>
          <w:kern w:val="22"/>
          <w:szCs w:val="22"/>
          <w:lang w:val="fr-FR"/>
        </w:rPr>
        <w:t>négociation</w:t>
      </w:r>
      <w:r w:rsidR="00290DD4">
        <w:rPr>
          <w:kern w:val="22"/>
          <w:szCs w:val="22"/>
          <w:lang w:val="fr-FR"/>
        </w:rPr>
        <w:t xml:space="preserve">s actuelles portant </w:t>
      </w:r>
      <w:r w:rsidR="00616367">
        <w:rPr>
          <w:kern w:val="22"/>
          <w:szCs w:val="22"/>
          <w:lang w:val="fr-FR"/>
        </w:rPr>
        <w:t>sur la</w:t>
      </w:r>
      <w:r w:rsidR="00290DD4">
        <w:rPr>
          <w:kern w:val="22"/>
          <w:szCs w:val="22"/>
          <w:lang w:val="fr-FR"/>
        </w:rPr>
        <w:t xml:space="preserve"> </w:t>
      </w:r>
      <w:r w:rsidR="00D76FBF" w:rsidRPr="00D76FBF">
        <w:rPr>
          <w:kern w:val="22"/>
          <w:szCs w:val="22"/>
          <w:lang w:val="fr-FR"/>
        </w:rPr>
        <w:t>diversité biologique</w:t>
      </w:r>
      <w:r w:rsidR="00290DD4">
        <w:rPr>
          <w:kern w:val="22"/>
          <w:szCs w:val="22"/>
          <w:lang w:val="fr-FR"/>
        </w:rPr>
        <w:t xml:space="preserve"> marines</w:t>
      </w:r>
      <w:r w:rsidR="00F957CA" w:rsidRPr="00D76FBF">
        <w:rPr>
          <w:kern w:val="22"/>
          <w:szCs w:val="22"/>
          <w:lang w:val="fr-FR"/>
        </w:rPr>
        <w:t xml:space="preserve"> </w:t>
      </w:r>
      <w:r w:rsidR="00616367">
        <w:rPr>
          <w:kern w:val="22"/>
          <w:szCs w:val="22"/>
          <w:lang w:val="fr-FR"/>
        </w:rPr>
        <w:t>dans les zones situées au-delà des limi</w:t>
      </w:r>
      <w:r w:rsidR="00290DD4">
        <w:rPr>
          <w:kern w:val="22"/>
          <w:szCs w:val="22"/>
          <w:lang w:val="fr-FR"/>
        </w:rPr>
        <w:t>tes de la juridiction nationale, menées</w:t>
      </w:r>
      <w:r w:rsidR="00616367">
        <w:rPr>
          <w:kern w:val="22"/>
          <w:szCs w:val="22"/>
          <w:lang w:val="fr-FR"/>
        </w:rPr>
        <w:t xml:space="preserve"> dans le cadre de l’Assemblée générale des Nations Unies</w:t>
      </w:r>
      <w:r w:rsidR="00F957CA" w:rsidRPr="00D76FBF">
        <w:rPr>
          <w:kern w:val="22"/>
          <w:szCs w:val="22"/>
          <w:lang w:val="fr-FR"/>
        </w:rPr>
        <w:t>.</w:t>
      </w:r>
    </w:p>
    <w:p w:rsidR="00F957CA" w:rsidRPr="00EA0E1C" w:rsidRDefault="00F83893" w:rsidP="009F4D84">
      <w:pPr>
        <w:pStyle w:val="Para1"/>
        <w:tabs>
          <w:tab w:val="clear" w:pos="360"/>
        </w:tabs>
        <w:rPr>
          <w:lang w:val="fr-FR"/>
        </w:rPr>
      </w:pPr>
      <w:r w:rsidRPr="00616367">
        <w:rPr>
          <w:lang w:val="fr-FR"/>
        </w:rPr>
        <w:t>D’autres exemples d’interactions entre régimes</w:t>
      </w:r>
      <w:r w:rsidR="008F4022" w:rsidRPr="00616367">
        <w:rPr>
          <w:lang w:val="fr-FR"/>
        </w:rPr>
        <w:t xml:space="preserve"> </w:t>
      </w:r>
      <w:r w:rsidR="00616367" w:rsidRPr="00616367">
        <w:rPr>
          <w:lang w:val="fr-FR"/>
        </w:rPr>
        <w:t xml:space="preserve">se trouvent dans les </w:t>
      </w:r>
      <w:r w:rsidR="00EA0E1C">
        <w:rPr>
          <w:lang w:val="fr-FR"/>
        </w:rPr>
        <w:t>processu</w:t>
      </w:r>
      <w:r w:rsidR="008F4022" w:rsidRPr="00616367">
        <w:rPr>
          <w:lang w:val="fr-FR"/>
        </w:rPr>
        <w:t>s</w:t>
      </w:r>
      <w:r w:rsidR="00EA0E1C">
        <w:rPr>
          <w:lang w:val="fr-FR"/>
        </w:rPr>
        <w:t xml:space="preserve"> d’inventaire ou d’ét</w:t>
      </w:r>
      <w:r w:rsidR="00290DD4">
        <w:rPr>
          <w:lang w:val="fr-FR"/>
        </w:rPr>
        <w:t>ablissement de rapports conjoints périodiques, les</w:t>
      </w:r>
      <w:r w:rsidR="00EA0E1C">
        <w:rPr>
          <w:lang w:val="fr-FR"/>
        </w:rPr>
        <w:t xml:space="preserve"> straté</w:t>
      </w:r>
      <w:r w:rsidR="008F4022" w:rsidRPr="00616367">
        <w:rPr>
          <w:lang w:val="fr-FR"/>
        </w:rPr>
        <w:t xml:space="preserve">gies </w:t>
      </w:r>
      <w:r w:rsidR="00EA0E1C">
        <w:rPr>
          <w:lang w:val="fr-FR"/>
        </w:rPr>
        <w:t>délibératives conçues pour favoriser un apprentissage et un partage d’</w:t>
      </w:r>
      <w:r w:rsidR="008F4022" w:rsidRPr="00616367">
        <w:rPr>
          <w:lang w:val="fr-FR"/>
        </w:rPr>
        <w:t>information</w:t>
      </w:r>
      <w:r w:rsidR="00EA0E1C">
        <w:rPr>
          <w:lang w:val="fr-FR"/>
        </w:rPr>
        <w:t xml:space="preserve">, </w:t>
      </w:r>
      <w:r w:rsidR="00290DD4">
        <w:rPr>
          <w:lang w:val="fr-FR"/>
        </w:rPr>
        <w:t>et</w:t>
      </w:r>
      <w:r w:rsidR="00623402" w:rsidRPr="00616367">
        <w:rPr>
          <w:lang w:val="fr-FR"/>
        </w:rPr>
        <w:t xml:space="preserve"> </w:t>
      </w:r>
      <w:r w:rsidR="00EA0E1C">
        <w:rPr>
          <w:lang w:val="fr-FR"/>
        </w:rPr>
        <w:t xml:space="preserve">la facilitation d’un </w:t>
      </w:r>
      <w:r w:rsidR="00F957CA" w:rsidRPr="00616367">
        <w:rPr>
          <w:lang w:val="fr-FR"/>
        </w:rPr>
        <w:t xml:space="preserve">dialogue </w:t>
      </w:r>
      <w:r w:rsidR="00EA0E1C">
        <w:rPr>
          <w:lang w:val="fr-FR"/>
        </w:rPr>
        <w:t xml:space="preserve">périodique </w:t>
      </w:r>
      <w:r w:rsidR="002763F1" w:rsidRPr="00616367">
        <w:rPr>
          <w:lang w:val="fr-FR"/>
        </w:rPr>
        <w:t>entre</w:t>
      </w:r>
      <w:r w:rsidR="00290DD4">
        <w:rPr>
          <w:lang w:val="fr-FR"/>
        </w:rPr>
        <w:t xml:space="preserve"> différents</w:t>
      </w:r>
      <w:r w:rsidR="00EA0E1C">
        <w:rPr>
          <w:lang w:val="fr-FR"/>
        </w:rPr>
        <w:t xml:space="preserve"> régimes</w:t>
      </w:r>
      <w:r w:rsidR="00F957CA" w:rsidRPr="00616367">
        <w:rPr>
          <w:lang w:val="fr-FR"/>
        </w:rPr>
        <w:t xml:space="preserve"> </w:t>
      </w:r>
      <w:r w:rsidR="00EA0E1C">
        <w:rPr>
          <w:lang w:val="fr-FR"/>
        </w:rPr>
        <w:t>intergouvernementaux</w:t>
      </w:r>
      <w:r w:rsidR="008F4022" w:rsidRPr="00616367">
        <w:rPr>
          <w:lang w:val="fr-FR"/>
        </w:rPr>
        <w:t xml:space="preserve">. </w:t>
      </w:r>
      <w:r w:rsidR="00EA0E1C" w:rsidRPr="00EA0E1C">
        <w:rPr>
          <w:lang w:val="fr-FR"/>
        </w:rPr>
        <w:t>U</w:t>
      </w:r>
      <w:r w:rsidR="008F4022" w:rsidRPr="00EA0E1C">
        <w:rPr>
          <w:lang w:val="fr-FR"/>
        </w:rPr>
        <w:t xml:space="preserve">n </w:t>
      </w:r>
      <w:r w:rsidR="00E14372" w:rsidRPr="00EA0E1C">
        <w:rPr>
          <w:lang w:val="fr-FR"/>
        </w:rPr>
        <w:t>exemple</w:t>
      </w:r>
      <w:r w:rsidR="00290DD4">
        <w:rPr>
          <w:lang w:val="fr-FR"/>
        </w:rPr>
        <w:t xml:space="preserve"> est celui du</w:t>
      </w:r>
      <w:r w:rsidR="00F957CA" w:rsidRPr="00EA0E1C">
        <w:rPr>
          <w:lang w:val="fr-FR"/>
        </w:rPr>
        <w:t xml:space="preserve"> </w:t>
      </w:r>
      <w:hyperlink r:id="rId14" w:history="1">
        <w:r w:rsidR="00EA0E1C">
          <w:rPr>
            <w:rStyle w:val="Hyperlink"/>
            <w:kern w:val="22"/>
            <w:szCs w:val="22"/>
            <w:lang w:val="fr-FR"/>
          </w:rPr>
          <w:t>Groupe de liaison interinstitutions sur les espèces exotiques envahissant</w:t>
        </w:r>
        <w:r w:rsidR="00F957CA" w:rsidRPr="00EA0E1C">
          <w:rPr>
            <w:rStyle w:val="Hyperlink"/>
            <w:kern w:val="22"/>
            <w:szCs w:val="22"/>
            <w:lang w:val="fr-FR"/>
          </w:rPr>
          <w:t>es</w:t>
        </w:r>
      </w:hyperlink>
      <w:r w:rsidR="00EA0E1C">
        <w:rPr>
          <w:lang w:val="fr-FR"/>
        </w:rPr>
        <w:t>, une initiative du Secré</w:t>
      </w:r>
      <w:r w:rsidR="00F957CA" w:rsidRPr="00EA0E1C">
        <w:rPr>
          <w:lang w:val="fr-FR"/>
        </w:rPr>
        <w:t xml:space="preserve">tariat </w:t>
      </w:r>
      <w:r w:rsidR="0001030F" w:rsidRPr="00EA0E1C">
        <w:rPr>
          <w:lang w:val="fr-FR"/>
        </w:rPr>
        <w:t>de la Co</w:t>
      </w:r>
      <w:r w:rsidR="003C2000" w:rsidRPr="00EA0E1C">
        <w:rPr>
          <w:lang w:val="fr-FR"/>
        </w:rPr>
        <w:t xml:space="preserve">nvention </w:t>
      </w:r>
      <w:r w:rsidR="005D3CDB" w:rsidRPr="00EA0E1C">
        <w:rPr>
          <w:lang w:val="fr-FR"/>
        </w:rPr>
        <w:t>sur la diversité biologique</w:t>
      </w:r>
      <w:r w:rsidR="00B55D08" w:rsidRPr="00EA0E1C">
        <w:rPr>
          <w:lang w:val="fr-FR"/>
        </w:rPr>
        <w:t xml:space="preserve"> </w:t>
      </w:r>
      <w:r w:rsidR="00290DD4">
        <w:rPr>
          <w:lang w:val="fr-FR"/>
        </w:rPr>
        <w:t xml:space="preserve">qui regroupe </w:t>
      </w:r>
      <w:r w:rsidR="003C2000" w:rsidRPr="00EA0E1C">
        <w:rPr>
          <w:lang w:val="fr-FR"/>
        </w:rPr>
        <w:t>10 s</w:t>
      </w:r>
      <w:r w:rsidR="00EA0E1C">
        <w:rPr>
          <w:lang w:val="fr-FR"/>
        </w:rPr>
        <w:t>ecré</w:t>
      </w:r>
      <w:r w:rsidR="00F957CA" w:rsidRPr="00EA0E1C">
        <w:rPr>
          <w:lang w:val="fr-FR"/>
        </w:rPr>
        <w:t xml:space="preserve">tariats </w:t>
      </w:r>
      <w:r w:rsidR="00EA0E1C">
        <w:rPr>
          <w:lang w:val="fr-FR"/>
        </w:rPr>
        <w:t>d’</w:t>
      </w:r>
      <w:r w:rsidR="00231CD8" w:rsidRPr="00EA0E1C">
        <w:rPr>
          <w:lang w:val="fr-FR"/>
        </w:rPr>
        <w:t>organisations intergouvernementales</w:t>
      </w:r>
      <w:r w:rsidR="00290DD4">
        <w:rPr>
          <w:lang w:val="fr-FR"/>
        </w:rPr>
        <w:t>, dont</w:t>
      </w:r>
      <w:r w:rsidR="00EA0E1C">
        <w:rPr>
          <w:lang w:val="fr-FR"/>
        </w:rPr>
        <w:t xml:space="preserve"> la</w:t>
      </w:r>
      <w:r w:rsidR="00F957CA" w:rsidRPr="00EA0E1C">
        <w:rPr>
          <w:lang w:val="fr-FR"/>
        </w:rPr>
        <w:t xml:space="preserve"> FAO, </w:t>
      </w:r>
      <w:r w:rsidR="00EA0E1C">
        <w:rPr>
          <w:lang w:val="fr-FR"/>
        </w:rPr>
        <w:t>l’Organisation maritime</w:t>
      </w:r>
      <w:r w:rsidR="00376E3E" w:rsidRPr="00EA0E1C">
        <w:rPr>
          <w:lang w:val="fr-FR"/>
        </w:rPr>
        <w:t xml:space="preserve"> </w:t>
      </w:r>
      <w:r w:rsidR="00EA0E1C">
        <w:rPr>
          <w:kern w:val="22"/>
          <w:szCs w:val="22"/>
          <w:lang w:val="fr-FR"/>
        </w:rPr>
        <w:t>i</w:t>
      </w:r>
      <w:r w:rsidR="00376E3E" w:rsidRPr="00EA0E1C">
        <w:rPr>
          <w:kern w:val="22"/>
          <w:szCs w:val="22"/>
          <w:lang w:val="fr-FR"/>
        </w:rPr>
        <w:t>nt</w:t>
      </w:r>
      <w:r w:rsidR="00EA0E1C">
        <w:rPr>
          <w:kern w:val="22"/>
          <w:szCs w:val="22"/>
          <w:lang w:val="fr-FR"/>
        </w:rPr>
        <w:t>ernationale</w:t>
      </w:r>
      <w:r w:rsidR="00376E3E" w:rsidRPr="00EA0E1C">
        <w:rPr>
          <w:kern w:val="22"/>
          <w:szCs w:val="22"/>
          <w:lang w:val="fr-FR"/>
        </w:rPr>
        <w:t xml:space="preserve"> (</w:t>
      </w:r>
      <w:r w:rsidR="00F957CA" w:rsidRPr="00EA0E1C">
        <w:rPr>
          <w:lang w:val="fr-FR"/>
        </w:rPr>
        <w:t>O</w:t>
      </w:r>
      <w:r w:rsidR="00EA0E1C">
        <w:rPr>
          <w:lang w:val="fr-FR"/>
        </w:rPr>
        <w:t>MI</w:t>
      </w:r>
      <w:r w:rsidR="00376E3E" w:rsidRPr="00EA0E1C">
        <w:rPr>
          <w:lang w:val="fr-FR"/>
        </w:rPr>
        <w:t>)</w:t>
      </w:r>
      <w:r w:rsidR="00F957CA" w:rsidRPr="00EA0E1C">
        <w:rPr>
          <w:lang w:val="fr-FR"/>
        </w:rPr>
        <w:t xml:space="preserve">, </w:t>
      </w:r>
      <w:r w:rsidR="00EA0E1C">
        <w:rPr>
          <w:lang w:val="fr-FR"/>
        </w:rPr>
        <w:t>l’Organisation i</w:t>
      </w:r>
      <w:r w:rsidR="00376E3E" w:rsidRPr="00EA0E1C">
        <w:rPr>
          <w:lang w:val="fr-FR"/>
        </w:rPr>
        <w:t>nternational</w:t>
      </w:r>
      <w:r w:rsidR="00EA0E1C">
        <w:rPr>
          <w:lang w:val="fr-FR"/>
        </w:rPr>
        <w:t>e de l’aviation civile</w:t>
      </w:r>
      <w:r w:rsidR="00376E3E" w:rsidRPr="00EA0E1C">
        <w:rPr>
          <w:lang w:val="fr-FR"/>
        </w:rPr>
        <w:t xml:space="preserve"> (</w:t>
      </w:r>
      <w:r w:rsidR="00EA0E1C">
        <w:rPr>
          <w:lang w:val="fr-FR"/>
        </w:rPr>
        <w:t>OIAC</w:t>
      </w:r>
      <w:r w:rsidR="00376E3E" w:rsidRPr="00EA0E1C">
        <w:rPr>
          <w:lang w:val="fr-FR"/>
        </w:rPr>
        <w:t>)</w:t>
      </w:r>
      <w:r w:rsidR="00623402" w:rsidRPr="00EA0E1C">
        <w:rPr>
          <w:lang w:val="fr-FR"/>
        </w:rPr>
        <w:t xml:space="preserve"> et </w:t>
      </w:r>
      <w:r w:rsidR="00EA0E1C">
        <w:rPr>
          <w:lang w:val="fr-FR"/>
        </w:rPr>
        <w:t>l’Organis</w:t>
      </w:r>
      <w:r w:rsidR="00376E3E" w:rsidRPr="00EA0E1C">
        <w:rPr>
          <w:lang w:val="fr-FR"/>
        </w:rPr>
        <w:t>ation</w:t>
      </w:r>
      <w:r w:rsidR="00EA0E1C">
        <w:rPr>
          <w:lang w:val="fr-FR"/>
        </w:rPr>
        <w:t xml:space="preserve"> mondiale du commerce</w:t>
      </w:r>
      <w:r w:rsidR="00376E3E" w:rsidRPr="00EA0E1C">
        <w:rPr>
          <w:lang w:val="fr-FR"/>
        </w:rPr>
        <w:t xml:space="preserve"> (</w:t>
      </w:r>
      <w:r w:rsidR="00F957CA" w:rsidRPr="00EA0E1C">
        <w:rPr>
          <w:lang w:val="fr-FR"/>
        </w:rPr>
        <w:t>O</w:t>
      </w:r>
      <w:r w:rsidR="00EA0E1C">
        <w:rPr>
          <w:lang w:val="fr-FR"/>
        </w:rPr>
        <w:t>MC</w:t>
      </w:r>
      <w:r w:rsidR="00376E3E" w:rsidRPr="00EA0E1C">
        <w:rPr>
          <w:lang w:val="fr-FR"/>
        </w:rPr>
        <w:t>)</w:t>
      </w:r>
      <w:r w:rsidR="00F957CA" w:rsidRPr="00EA0E1C">
        <w:rPr>
          <w:lang w:val="fr-FR"/>
        </w:rPr>
        <w:t xml:space="preserve">. </w:t>
      </w:r>
      <w:r w:rsidR="00290DD4">
        <w:rPr>
          <w:lang w:val="fr-FR"/>
        </w:rPr>
        <w:t>La possibilité</w:t>
      </w:r>
      <w:r w:rsidR="00EA0E1C" w:rsidRPr="00EA0E1C">
        <w:rPr>
          <w:lang w:val="fr-FR"/>
        </w:rPr>
        <w:t xml:space="preserve"> d’un </w:t>
      </w:r>
      <w:r w:rsidR="00F957CA" w:rsidRPr="00EA0E1C">
        <w:rPr>
          <w:lang w:val="fr-FR"/>
        </w:rPr>
        <w:t>dialogue</w:t>
      </w:r>
      <w:r w:rsidR="00882409">
        <w:rPr>
          <w:lang w:val="fr-FR"/>
        </w:rPr>
        <w:t xml:space="preserve"> périodique offerte</w:t>
      </w:r>
      <w:r w:rsidR="00EA0E1C" w:rsidRPr="00EA0E1C">
        <w:rPr>
          <w:lang w:val="fr-FR"/>
        </w:rPr>
        <w:t xml:space="preserve"> par le Groupe </w:t>
      </w:r>
      <w:r w:rsidR="00882409">
        <w:rPr>
          <w:lang w:val="fr-FR"/>
        </w:rPr>
        <w:t xml:space="preserve">de liaison </w:t>
      </w:r>
      <w:r w:rsidR="00EA0E1C" w:rsidRPr="00EA0E1C">
        <w:rPr>
          <w:lang w:val="fr-FR"/>
        </w:rPr>
        <w:t xml:space="preserve">interinstitutions vise à </w:t>
      </w:r>
      <w:r w:rsidR="00EA0E1C">
        <w:rPr>
          <w:lang w:val="fr-FR"/>
        </w:rPr>
        <w:t>« </w:t>
      </w:r>
      <w:r w:rsidR="00EA0E1C" w:rsidRPr="00EA0E1C">
        <w:rPr>
          <w:lang w:val="fr-FR"/>
        </w:rPr>
        <w:t>combler les lacunes</w:t>
      </w:r>
      <w:r w:rsidR="00623402" w:rsidRPr="00EA0E1C">
        <w:rPr>
          <w:lang w:val="fr-FR"/>
        </w:rPr>
        <w:t xml:space="preserve"> et </w:t>
      </w:r>
      <w:r w:rsidR="00EA0E1C">
        <w:rPr>
          <w:lang w:val="fr-FR"/>
        </w:rPr>
        <w:t xml:space="preserve">les </w:t>
      </w:r>
      <w:r w:rsidR="00882409">
        <w:rPr>
          <w:lang w:val="fr-FR"/>
        </w:rPr>
        <w:t>incohérences dans les cadres réglementaires internationaux sur</w:t>
      </w:r>
      <w:r w:rsidR="00EA0E1C">
        <w:rPr>
          <w:lang w:val="fr-FR"/>
        </w:rPr>
        <w:t xml:space="preserve"> la pré</w:t>
      </w:r>
      <w:r w:rsidR="00F957CA" w:rsidRPr="00EA0E1C">
        <w:rPr>
          <w:lang w:val="fr-FR"/>
        </w:rPr>
        <w:t xml:space="preserve">vention, </w:t>
      </w:r>
      <w:r w:rsidR="00EA0E1C">
        <w:rPr>
          <w:lang w:val="fr-FR"/>
        </w:rPr>
        <w:t>le contrô</w:t>
      </w:r>
      <w:r w:rsidR="00F957CA" w:rsidRPr="00EA0E1C">
        <w:rPr>
          <w:lang w:val="fr-FR"/>
        </w:rPr>
        <w:t>l</w:t>
      </w:r>
      <w:r w:rsidR="00EA0E1C">
        <w:rPr>
          <w:lang w:val="fr-FR"/>
        </w:rPr>
        <w:t>e</w:t>
      </w:r>
      <w:r w:rsidR="00623402" w:rsidRPr="00EA0E1C">
        <w:rPr>
          <w:lang w:val="fr-FR"/>
        </w:rPr>
        <w:t xml:space="preserve"> et </w:t>
      </w:r>
      <w:r w:rsidR="00EA0E1C">
        <w:rPr>
          <w:lang w:val="fr-FR"/>
        </w:rPr>
        <w:t>l’é</w:t>
      </w:r>
      <w:r w:rsidR="00F957CA" w:rsidRPr="00EA0E1C">
        <w:rPr>
          <w:lang w:val="fr-FR"/>
        </w:rPr>
        <w:t>radication</w:t>
      </w:r>
      <w:r w:rsidR="00EA0E1C">
        <w:rPr>
          <w:lang w:val="fr-FR"/>
        </w:rPr>
        <w:t xml:space="preserve"> des espèces exotiques envahissantes »,</w:t>
      </w:r>
      <w:r w:rsidR="00882409">
        <w:rPr>
          <w:lang w:val="fr-FR"/>
        </w:rPr>
        <w:t xml:space="preserve"> </w:t>
      </w:r>
      <w:r w:rsidR="00EA0E1C">
        <w:rPr>
          <w:lang w:val="fr-FR"/>
        </w:rPr>
        <w:t>à</w:t>
      </w:r>
      <w:r w:rsidR="00623402" w:rsidRPr="00EA0E1C">
        <w:rPr>
          <w:lang w:val="fr-FR"/>
        </w:rPr>
        <w:t xml:space="preserve"> </w:t>
      </w:r>
      <w:r w:rsidR="00EA0E1C">
        <w:rPr>
          <w:lang w:val="fr-FR"/>
        </w:rPr>
        <w:t xml:space="preserve">faciliter l’élaboration de normes et </w:t>
      </w:r>
      <w:r w:rsidR="00882409">
        <w:rPr>
          <w:lang w:val="fr-FR"/>
        </w:rPr>
        <w:t xml:space="preserve">de </w:t>
      </w:r>
      <w:r w:rsidR="00F957CA" w:rsidRPr="00EA0E1C">
        <w:rPr>
          <w:lang w:val="fr-FR"/>
        </w:rPr>
        <w:t>standards,</w:t>
      </w:r>
      <w:r w:rsidR="00623402" w:rsidRPr="00EA0E1C">
        <w:rPr>
          <w:lang w:val="fr-FR"/>
        </w:rPr>
        <w:t xml:space="preserve"> et </w:t>
      </w:r>
      <w:r w:rsidR="00EA0E1C">
        <w:rPr>
          <w:lang w:val="fr-FR"/>
        </w:rPr>
        <w:t>à promouvoir un partage</w:t>
      </w:r>
      <w:r w:rsidR="00F957CA" w:rsidRPr="00EA0E1C">
        <w:rPr>
          <w:lang w:val="fr-FR"/>
        </w:rPr>
        <w:t xml:space="preserve"> </w:t>
      </w:r>
      <w:r w:rsidR="00882409">
        <w:rPr>
          <w:lang w:val="fr-FR"/>
        </w:rPr>
        <w:t>d’information</w:t>
      </w:r>
      <w:r w:rsidR="00623402" w:rsidRPr="00EA0E1C">
        <w:rPr>
          <w:lang w:val="fr-FR"/>
        </w:rPr>
        <w:t xml:space="preserve"> et </w:t>
      </w:r>
      <w:r w:rsidR="00EA0E1C">
        <w:rPr>
          <w:lang w:val="fr-FR"/>
        </w:rPr>
        <w:t>un renforcement des capacités</w:t>
      </w:r>
      <w:r w:rsidR="00F957CA" w:rsidRPr="00EA0E1C">
        <w:rPr>
          <w:lang w:val="fr-FR"/>
        </w:rPr>
        <w:t>.</w:t>
      </w:r>
    </w:p>
    <w:p w:rsidR="00F957CA" w:rsidRPr="00CD0643" w:rsidRDefault="003F7742" w:rsidP="00E52AA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szCs w:val="22"/>
          <w:lang w:val="fr-FR"/>
        </w:rPr>
      </w:pPr>
      <w:r w:rsidRPr="00CD0643">
        <w:rPr>
          <w:kern w:val="22"/>
          <w:szCs w:val="22"/>
          <w:lang w:val="fr-FR"/>
        </w:rPr>
        <w:t>Concrètement, les</w:t>
      </w:r>
      <w:r w:rsidR="00F957CA" w:rsidRPr="00CD0643">
        <w:rPr>
          <w:kern w:val="22"/>
          <w:szCs w:val="22"/>
          <w:lang w:val="fr-FR"/>
        </w:rPr>
        <w:t xml:space="preserve"> </w:t>
      </w:r>
      <w:r w:rsidR="00E14372" w:rsidRPr="00CD0643">
        <w:rPr>
          <w:kern w:val="22"/>
          <w:szCs w:val="22"/>
          <w:lang w:val="fr-FR"/>
        </w:rPr>
        <w:t>exemple</w:t>
      </w:r>
      <w:r w:rsidR="00F957CA" w:rsidRPr="00CD0643">
        <w:rPr>
          <w:kern w:val="22"/>
          <w:szCs w:val="22"/>
          <w:lang w:val="fr-FR"/>
        </w:rPr>
        <w:t xml:space="preserve">s </w:t>
      </w:r>
      <w:r w:rsidR="00882409">
        <w:rPr>
          <w:kern w:val="22"/>
          <w:szCs w:val="22"/>
          <w:lang w:val="fr-FR"/>
        </w:rPr>
        <w:t>ci-dessus montrent qu’il existe</w:t>
      </w:r>
      <w:r w:rsidRPr="00CD0643">
        <w:rPr>
          <w:kern w:val="22"/>
          <w:szCs w:val="22"/>
          <w:lang w:val="fr-FR"/>
        </w:rPr>
        <w:t xml:space="preserve"> différents moyens</w:t>
      </w:r>
      <w:r w:rsidR="00F957CA" w:rsidRPr="00CD0643">
        <w:rPr>
          <w:kern w:val="22"/>
          <w:szCs w:val="22"/>
          <w:lang w:val="fr-FR"/>
        </w:rPr>
        <w:t xml:space="preserve"> (</w:t>
      </w:r>
      <w:r w:rsidR="00CD0643" w:rsidRPr="00CD0643">
        <w:rPr>
          <w:kern w:val="22"/>
          <w:szCs w:val="22"/>
          <w:lang w:val="fr-FR"/>
        </w:rPr>
        <w:t>pl</w:t>
      </w:r>
      <w:r w:rsidR="00882409">
        <w:rPr>
          <w:kern w:val="22"/>
          <w:szCs w:val="22"/>
          <w:lang w:val="fr-FR"/>
        </w:rPr>
        <w:t>us ou moins formels) pour gérer l</w:t>
      </w:r>
      <w:r w:rsidR="00CD0643" w:rsidRPr="00CD0643">
        <w:rPr>
          <w:kern w:val="22"/>
          <w:szCs w:val="22"/>
          <w:lang w:val="fr-FR"/>
        </w:rPr>
        <w:t xml:space="preserve">es chevauchements </w:t>
      </w:r>
      <w:r w:rsidR="00882409">
        <w:rPr>
          <w:kern w:val="22"/>
          <w:szCs w:val="22"/>
          <w:lang w:val="fr-FR"/>
        </w:rPr>
        <w:t xml:space="preserve">éventuels entre </w:t>
      </w:r>
      <w:r w:rsidR="00CD0643">
        <w:rPr>
          <w:kern w:val="22"/>
          <w:szCs w:val="22"/>
          <w:lang w:val="fr-FR"/>
        </w:rPr>
        <w:t>ré</w:t>
      </w:r>
      <w:r w:rsidR="00F957CA" w:rsidRPr="00CD0643">
        <w:rPr>
          <w:kern w:val="22"/>
          <w:szCs w:val="22"/>
          <w:lang w:val="fr-FR"/>
        </w:rPr>
        <w:t>gime</w:t>
      </w:r>
      <w:r w:rsidR="00882409">
        <w:rPr>
          <w:kern w:val="22"/>
          <w:szCs w:val="22"/>
          <w:lang w:val="fr-FR"/>
        </w:rPr>
        <w:t>s,</w:t>
      </w:r>
      <w:r w:rsidR="00CD0643">
        <w:rPr>
          <w:kern w:val="22"/>
          <w:szCs w:val="22"/>
          <w:lang w:val="fr-FR"/>
        </w:rPr>
        <w:t xml:space="preserve"> afin d’obtenir des résultats synergiques, même</w:t>
      </w:r>
      <w:r w:rsidR="00882409">
        <w:rPr>
          <w:kern w:val="22"/>
          <w:szCs w:val="22"/>
          <w:lang w:val="fr-FR"/>
        </w:rPr>
        <w:t xml:space="preserve"> lorsque les membres des </w:t>
      </w:r>
      <w:r w:rsidR="00CD0643">
        <w:rPr>
          <w:kern w:val="22"/>
          <w:szCs w:val="22"/>
          <w:lang w:val="fr-FR"/>
        </w:rPr>
        <w:t>ré</w:t>
      </w:r>
      <w:r w:rsidR="00F957CA" w:rsidRPr="00CD0643">
        <w:rPr>
          <w:kern w:val="22"/>
          <w:szCs w:val="22"/>
          <w:lang w:val="fr-FR"/>
        </w:rPr>
        <w:t>gimes</w:t>
      </w:r>
      <w:r w:rsidR="00CD0643">
        <w:rPr>
          <w:kern w:val="22"/>
          <w:szCs w:val="22"/>
          <w:lang w:val="fr-FR"/>
        </w:rPr>
        <w:t xml:space="preserve"> concernés</w:t>
      </w:r>
      <w:r w:rsidR="00882409">
        <w:rPr>
          <w:kern w:val="22"/>
          <w:szCs w:val="22"/>
          <w:lang w:val="fr-FR"/>
        </w:rPr>
        <w:t xml:space="preserve"> ne sont pas tout à fait les mêmes</w:t>
      </w:r>
      <w:r w:rsidR="00F957CA" w:rsidRPr="00CD0643">
        <w:rPr>
          <w:kern w:val="22"/>
          <w:szCs w:val="22"/>
          <w:lang w:val="fr-FR"/>
        </w:rPr>
        <w:t>.</w:t>
      </w:r>
    </w:p>
    <w:p w:rsidR="00082280" w:rsidRPr="005D3CDB" w:rsidRDefault="002A30BC" w:rsidP="00427C52">
      <w:pPr>
        <w:pStyle w:val="Para1"/>
        <w:keepNext/>
        <w:numPr>
          <w:ilvl w:val="0"/>
          <w:numId w:val="0"/>
        </w:numPr>
        <w:suppressLineNumbers/>
        <w:tabs>
          <w:tab w:val="left" w:pos="993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993" w:hanging="426"/>
        <w:jc w:val="left"/>
        <w:rPr>
          <w:b/>
          <w:bCs/>
          <w:iCs/>
          <w:kern w:val="22"/>
          <w:szCs w:val="22"/>
          <w:lang w:val="fr-FR"/>
        </w:rPr>
      </w:pPr>
      <w:r w:rsidRPr="005D3CDB">
        <w:rPr>
          <w:b/>
          <w:bCs/>
          <w:iCs/>
          <w:kern w:val="22"/>
          <w:szCs w:val="22"/>
          <w:lang w:val="fr-FR"/>
        </w:rPr>
        <w:lastRenderedPageBreak/>
        <w:t>C.</w:t>
      </w:r>
      <w:r w:rsidRPr="005D3CDB">
        <w:rPr>
          <w:b/>
          <w:bCs/>
          <w:iCs/>
          <w:kern w:val="22"/>
          <w:szCs w:val="22"/>
          <w:lang w:val="fr-FR"/>
        </w:rPr>
        <w:tab/>
      </w:r>
      <w:r w:rsidR="00C20CF2">
        <w:rPr>
          <w:b/>
          <w:bCs/>
          <w:iCs/>
          <w:kern w:val="22"/>
          <w:szCs w:val="22"/>
          <w:lang w:val="fr-FR"/>
        </w:rPr>
        <w:t>Scénarios</w:t>
      </w:r>
      <w:r w:rsidR="002C1230" w:rsidRPr="005D3CDB">
        <w:rPr>
          <w:b/>
          <w:bCs/>
          <w:iCs/>
          <w:kern w:val="22"/>
          <w:szCs w:val="22"/>
          <w:lang w:val="fr-FR"/>
        </w:rPr>
        <w:t xml:space="preserve"> </w:t>
      </w:r>
      <w:r w:rsidR="00882409">
        <w:rPr>
          <w:b/>
          <w:bCs/>
          <w:iCs/>
          <w:kern w:val="22"/>
          <w:szCs w:val="22"/>
          <w:lang w:val="fr-FR"/>
        </w:rPr>
        <w:t>pour le</w:t>
      </w:r>
      <w:r w:rsidR="00082280" w:rsidRPr="005D3CDB">
        <w:rPr>
          <w:b/>
          <w:bCs/>
          <w:iCs/>
          <w:kern w:val="22"/>
          <w:szCs w:val="22"/>
          <w:lang w:val="fr-FR"/>
        </w:rPr>
        <w:t xml:space="preserve"> </w:t>
      </w:r>
      <w:r w:rsidR="00231CD8">
        <w:rPr>
          <w:b/>
          <w:bCs/>
          <w:iCs/>
          <w:kern w:val="22"/>
          <w:szCs w:val="22"/>
          <w:lang w:val="fr-FR"/>
        </w:rPr>
        <w:t>processus de</w:t>
      </w:r>
      <w:r w:rsidR="00082280" w:rsidRPr="005D3CDB">
        <w:rPr>
          <w:b/>
          <w:bCs/>
          <w:iCs/>
          <w:kern w:val="22"/>
          <w:szCs w:val="22"/>
          <w:lang w:val="fr-FR"/>
        </w:rPr>
        <w:t xml:space="preserve"> </w:t>
      </w:r>
      <w:r w:rsidR="00231CD8">
        <w:rPr>
          <w:b/>
          <w:bCs/>
          <w:iCs/>
          <w:kern w:val="22"/>
          <w:szCs w:val="22"/>
          <w:lang w:val="fr-FR"/>
        </w:rPr>
        <w:t>reconnaissance d’un instrument international</w:t>
      </w:r>
      <w:r w:rsidR="005D3CDB" w:rsidRPr="005D3CDB">
        <w:rPr>
          <w:b/>
          <w:bCs/>
          <w:iCs/>
          <w:kern w:val="22"/>
          <w:szCs w:val="22"/>
          <w:lang w:val="fr-FR"/>
        </w:rPr>
        <w:t xml:space="preserve"> </w:t>
      </w:r>
      <w:r w:rsidR="0026155E">
        <w:rPr>
          <w:b/>
          <w:bCs/>
          <w:iCs/>
          <w:kern w:val="22"/>
          <w:szCs w:val="22"/>
          <w:lang w:val="fr-FR"/>
        </w:rPr>
        <w:t>spécial</w:t>
      </w:r>
      <w:r w:rsidR="005D3CDB" w:rsidRPr="005D3CDB">
        <w:rPr>
          <w:b/>
          <w:bCs/>
          <w:iCs/>
          <w:kern w:val="22"/>
          <w:szCs w:val="22"/>
          <w:lang w:val="fr-FR"/>
        </w:rPr>
        <w:t xml:space="preserve"> sur l’accès et le partage des avantages</w:t>
      </w:r>
    </w:p>
    <w:p w:rsidR="00F61003" w:rsidRPr="006B72E7" w:rsidRDefault="00882409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Un processus de</w:t>
      </w:r>
      <w:r w:rsidR="00F61003" w:rsidRPr="00F83893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reconnaissance d</w:t>
      </w:r>
      <w:r w:rsidR="00231CD8">
        <w:rPr>
          <w:kern w:val="22"/>
          <w:szCs w:val="22"/>
          <w:lang w:val="fr-FR"/>
        </w:rPr>
        <w:t>es accords</w:t>
      </w:r>
      <w:r w:rsidR="00F61003" w:rsidRPr="00F83893">
        <w:rPr>
          <w:kern w:val="22"/>
          <w:szCs w:val="22"/>
          <w:lang w:val="fr-FR"/>
        </w:rPr>
        <w:t xml:space="preserve"> </w:t>
      </w:r>
      <w:r w:rsidR="00C3300B">
        <w:rPr>
          <w:kern w:val="22"/>
          <w:szCs w:val="22"/>
          <w:lang w:val="fr-FR"/>
        </w:rPr>
        <w:t>spéciaux</w:t>
      </w:r>
      <w:r>
        <w:rPr>
          <w:kern w:val="22"/>
          <w:szCs w:val="22"/>
          <w:lang w:val="fr-FR"/>
        </w:rPr>
        <w:t xml:space="preserve"> n’est ni envisagé,</w:t>
      </w:r>
      <w:r w:rsidR="006B72E7">
        <w:rPr>
          <w:kern w:val="22"/>
          <w:szCs w:val="22"/>
          <w:lang w:val="fr-FR"/>
        </w:rPr>
        <w:t xml:space="preserve"> ni exigé</w:t>
      </w:r>
      <w:r w:rsidR="00231CD8">
        <w:rPr>
          <w:kern w:val="22"/>
          <w:szCs w:val="22"/>
          <w:lang w:val="fr-FR"/>
        </w:rPr>
        <w:t xml:space="preserve"> au titre du </w:t>
      </w:r>
      <w:r>
        <w:rPr>
          <w:kern w:val="22"/>
          <w:szCs w:val="22"/>
          <w:lang w:val="fr-FR"/>
        </w:rPr>
        <w:t>paragraphe </w:t>
      </w:r>
      <w:r w:rsidR="00623402" w:rsidRPr="00F83893">
        <w:rPr>
          <w:kern w:val="22"/>
          <w:szCs w:val="22"/>
          <w:lang w:val="fr-FR"/>
        </w:rPr>
        <w:t>4 de l’article 4</w:t>
      </w:r>
      <w:r w:rsidR="00F61003" w:rsidRPr="00F83893">
        <w:rPr>
          <w:kern w:val="22"/>
          <w:szCs w:val="22"/>
          <w:lang w:val="fr-FR"/>
        </w:rPr>
        <w:t xml:space="preserve"> </w:t>
      </w:r>
      <w:r w:rsidR="005D3CDB" w:rsidRPr="00F83893">
        <w:rPr>
          <w:kern w:val="22"/>
          <w:szCs w:val="22"/>
          <w:lang w:val="fr-FR"/>
        </w:rPr>
        <w:t>du Pro</w:t>
      </w:r>
      <w:r w:rsidR="00A01DA3" w:rsidRPr="00F83893">
        <w:rPr>
          <w:kern w:val="22"/>
          <w:szCs w:val="22"/>
          <w:lang w:val="fr-FR"/>
        </w:rPr>
        <w:t>tocole de Nagoya</w:t>
      </w:r>
      <w:r w:rsidR="00F61003" w:rsidRPr="00F83893">
        <w:rPr>
          <w:kern w:val="22"/>
          <w:szCs w:val="22"/>
          <w:lang w:val="fr-FR"/>
        </w:rPr>
        <w:t xml:space="preserve">. </w:t>
      </w:r>
      <w:r w:rsidR="006B72E7">
        <w:rPr>
          <w:kern w:val="22"/>
          <w:szCs w:val="22"/>
          <w:lang w:val="fr-FR"/>
        </w:rPr>
        <w:t>Cependant, l’</w:t>
      </w:r>
      <w:r w:rsidR="0001030F" w:rsidRPr="006B72E7">
        <w:rPr>
          <w:kern w:val="22"/>
          <w:szCs w:val="22"/>
          <w:lang w:val="fr-FR"/>
        </w:rPr>
        <w:t>analyse</w:t>
      </w:r>
      <w:r w:rsidR="00F61003" w:rsidRPr="006B72E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ci-dessus indique</w:t>
      </w:r>
      <w:r w:rsidR="006B72E7">
        <w:rPr>
          <w:kern w:val="22"/>
          <w:szCs w:val="22"/>
          <w:lang w:val="fr-FR"/>
        </w:rPr>
        <w:t xml:space="preserve"> que, </w:t>
      </w:r>
      <w:r w:rsidR="00FB268E">
        <w:rPr>
          <w:kern w:val="22"/>
          <w:szCs w:val="22"/>
          <w:lang w:val="fr-FR"/>
        </w:rPr>
        <w:t>lors</w:t>
      </w:r>
      <w:r w:rsidR="009D1484">
        <w:rPr>
          <w:kern w:val="22"/>
          <w:szCs w:val="22"/>
          <w:lang w:val="fr-FR"/>
        </w:rPr>
        <w:t xml:space="preserve">qu’un </w:t>
      </w:r>
      <w:r w:rsidR="00231CD8" w:rsidRPr="006B72E7">
        <w:rPr>
          <w:kern w:val="22"/>
          <w:szCs w:val="22"/>
          <w:lang w:val="fr-FR"/>
        </w:rPr>
        <w:t xml:space="preserve">processus </w:t>
      </w:r>
      <w:r>
        <w:rPr>
          <w:kern w:val="22"/>
          <w:szCs w:val="22"/>
          <w:lang w:val="fr-FR"/>
        </w:rPr>
        <w:t>de reconnaissance</w:t>
      </w:r>
      <w:r w:rsidR="009D148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d’</w:t>
      </w:r>
      <w:r w:rsidR="009D1484">
        <w:rPr>
          <w:kern w:val="22"/>
          <w:szCs w:val="22"/>
          <w:lang w:val="fr-FR"/>
        </w:rPr>
        <w:t xml:space="preserve">un </w:t>
      </w:r>
      <w:r w:rsidR="004A1AB3" w:rsidRPr="006B72E7">
        <w:rPr>
          <w:kern w:val="22"/>
          <w:szCs w:val="22"/>
          <w:lang w:val="fr-FR"/>
        </w:rPr>
        <w:t>instrument spécial</w:t>
      </w:r>
      <w:r w:rsidR="009D1484">
        <w:rPr>
          <w:kern w:val="22"/>
          <w:szCs w:val="22"/>
          <w:lang w:val="fr-FR"/>
        </w:rPr>
        <w:t xml:space="preserve"> est envisagé</w:t>
      </w:r>
      <w:r w:rsidR="00F61003" w:rsidRPr="006B72E7">
        <w:rPr>
          <w:kern w:val="22"/>
          <w:szCs w:val="22"/>
          <w:lang w:val="fr-FR"/>
        </w:rPr>
        <w:t xml:space="preserve">, </w:t>
      </w:r>
      <w:r w:rsidR="009D1484">
        <w:rPr>
          <w:kern w:val="22"/>
          <w:szCs w:val="22"/>
          <w:lang w:val="fr-FR"/>
        </w:rPr>
        <w:t>il convi</w:t>
      </w:r>
      <w:r>
        <w:rPr>
          <w:kern w:val="22"/>
          <w:szCs w:val="22"/>
          <w:lang w:val="fr-FR"/>
        </w:rPr>
        <w:t>ent de garder à l’esprit les éléments ci-après</w:t>
      </w:r>
      <w:r w:rsidR="009D1484">
        <w:rPr>
          <w:kern w:val="22"/>
          <w:szCs w:val="22"/>
          <w:lang w:val="fr-FR"/>
        </w:rPr>
        <w:t xml:space="preserve"> </w:t>
      </w:r>
      <w:r w:rsidR="00F61003" w:rsidRPr="006B72E7">
        <w:rPr>
          <w:kern w:val="22"/>
          <w:szCs w:val="22"/>
          <w:lang w:val="fr-FR"/>
        </w:rPr>
        <w:t xml:space="preserve">: </w:t>
      </w:r>
      <w:r w:rsidR="0003707F" w:rsidRPr="006B72E7">
        <w:rPr>
          <w:kern w:val="22"/>
          <w:szCs w:val="22"/>
          <w:lang w:val="fr-FR"/>
        </w:rPr>
        <w:t>a</w:t>
      </w:r>
      <w:r w:rsidR="00F61003" w:rsidRPr="006B72E7">
        <w:rPr>
          <w:kern w:val="22"/>
          <w:szCs w:val="22"/>
          <w:lang w:val="fr-FR"/>
        </w:rPr>
        <w:t xml:space="preserve">) </w:t>
      </w:r>
      <w:r w:rsidR="009D1484">
        <w:rPr>
          <w:kern w:val="22"/>
          <w:szCs w:val="22"/>
          <w:lang w:val="fr-FR"/>
        </w:rPr>
        <w:t xml:space="preserve">des </w:t>
      </w:r>
      <w:r w:rsidR="00F61003" w:rsidRPr="006B72E7">
        <w:rPr>
          <w:kern w:val="22"/>
          <w:szCs w:val="22"/>
          <w:lang w:val="fr-FR"/>
        </w:rPr>
        <w:t xml:space="preserve">initiatives </w:t>
      </w:r>
      <w:r>
        <w:rPr>
          <w:kern w:val="22"/>
          <w:szCs w:val="22"/>
          <w:lang w:val="fr-FR"/>
        </w:rPr>
        <w:t>concernant</w:t>
      </w:r>
      <w:r w:rsidR="006B72E7" w:rsidRPr="006B72E7">
        <w:rPr>
          <w:kern w:val="22"/>
          <w:szCs w:val="22"/>
          <w:lang w:val="fr-FR"/>
        </w:rPr>
        <w:t xml:space="preserve"> la reconnaissance</w:t>
      </w:r>
      <w:r w:rsidR="00E14372" w:rsidRPr="006B72E7">
        <w:rPr>
          <w:kern w:val="22"/>
          <w:szCs w:val="22"/>
          <w:lang w:val="fr-FR"/>
        </w:rPr>
        <w:t xml:space="preserve"> ou </w:t>
      </w:r>
      <w:r>
        <w:rPr>
          <w:kern w:val="22"/>
          <w:szCs w:val="22"/>
          <w:lang w:val="fr-FR"/>
        </w:rPr>
        <w:t>(autrement) l’interaction</w:t>
      </w:r>
      <w:r w:rsidR="006B72E7" w:rsidRPr="006B72E7">
        <w:rPr>
          <w:kern w:val="22"/>
          <w:szCs w:val="22"/>
          <w:lang w:val="fr-FR"/>
        </w:rPr>
        <w:t xml:space="preserve"> de </w:t>
      </w:r>
      <w:r w:rsidR="004A1AB3" w:rsidRPr="006B72E7">
        <w:rPr>
          <w:kern w:val="22"/>
          <w:szCs w:val="22"/>
          <w:lang w:val="fr-FR"/>
        </w:rPr>
        <w:t xml:space="preserve">l’instrument </w:t>
      </w:r>
      <w:r w:rsidR="009D1484">
        <w:rPr>
          <w:kern w:val="22"/>
          <w:szCs w:val="22"/>
          <w:lang w:val="fr-FR"/>
        </w:rPr>
        <w:t>spé</w:t>
      </w:r>
      <w:r>
        <w:rPr>
          <w:kern w:val="22"/>
          <w:szCs w:val="22"/>
          <w:lang w:val="fr-FR"/>
        </w:rPr>
        <w:t>cial peuve</w:t>
      </w:r>
      <w:r w:rsidR="009D1484">
        <w:rPr>
          <w:kern w:val="22"/>
          <w:szCs w:val="22"/>
          <w:lang w:val="fr-FR"/>
        </w:rPr>
        <w:t>nt être menées à</w:t>
      </w:r>
      <w:r w:rsidR="006B72E7" w:rsidRPr="006B72E7">
        <w:rPr>
          <w:kern w:val="22"/>
          <w:szCs w:val="22"/>
          <w:lang w:val="fr-FR"/>
        </w:rPr>
        <w:t xml:space="preserve"> </w:t>
      </w:r>
      <w:r w:rsidR="006B72E7">
        <w:rPr>
          <w:kern w:val="22"/>
          <w:szCs w:val="22"/>
          <w:lang w:val="fr-FR"/>
        </w:rPr>
        <w:t>diffé</w:t>
      </w:r>
      <w:r w:rsidR="00F61003" w:rsidRPr="006B72E7">
        <w:rPr>
          <w:kern w:val="22"/>
          <w:szCs w:val="22"/>
          <w:lang w:val="fr-FR"/>
        </w:rPr>
        <w:t>rent</w:t>
      </w:r>
      <w:r w:rsidR="006B72E7">
        <w:rPr>
          <w:kern w:val="22"/>
          <w:szCs w:val="22"/>
          <w:lang w:val="fr-FR"/>
        </w:rPr>
        <w:t>s niveaux</w:t>
      </w:r>
      <w:r>
        <w:rPr>
          <w:kern w:val="22"/>
          <w:szCs w:val="22"/>
          <w:lang w:val="fr-FR"/>
        </w:rPr>
        <w:t>,</w:t>
      </w:r>
      <w:r w:rsidR="00B55D08" w:rsidRPr="006B72E7">
        <w:rPr>
          <w:kern w:val="22"/>
          <w:szCs w:val="22"/>
          <w:lang w:val="fr-FR"/>
        </w:rPr>
        <w:t xml:space="preserve"> avec </w:t>
      </w:r>
      <w:r w:rsidR="006B72E7">
        <w:rPr>
          <w:kern w:val="22"/>
          <w:szCs w:val="22"/>
          <w:lang w:val="fr-FR"/>
        </w:rPr>
        <w:t>diffé</w:t>
      </w:r>
      <w:r w:rsidR="00F61003" w:rsidRPr="006B72E7">
        <w:rPr>
          <w:kern w:val="22"/>
          <w:szCs w:val="22"/>
          <w:lang w:val="fr-FR"/>
        </w:rPr>
        <w:t>rent</w:t>
      </w:r>
      <w:r w:rsidR="006B72E7">
        <w:rPr>
          <w:kern w:val="22"/>
          <w:szCs w:val="22"/>
          <w:lang w:val="fr-FR"/>
        </w:rPr>
        <w:t>s acteu</w:t>
      </w:r>
      <w:r w:rsidR="00F61003" w:rsidRPr="006B72E7">
        <w:rPr>
          <w:kern w:val="22"/>
          <w:szCs w:val="22"/>
          <w:lang w:val="fr-FR"/>
        </w:rPr>
        <w:t>rs</w:t>
      </w:r>
      <w:r w:rsidR="00623402" w:rsidRPr="006B72E7">
        <w:rPr>
          <w:kern w:val="22"/>
          <w:szCs w:val="22"/>
          <w:lang w:val="fr-FR"/>
        </w:rPr>
        <w:t xml:space="preserve"> et </w:t>
      </w:r>
      <w:r w:rsidR="006B72E7">
        <w:rPr>
          <w:kern w:val="22"/>
          <w:szCs w:val="22"/>
          <w:lang w:val="fr-FR"/>
        </w:rPr>
        <w:t>organismes ayant diffé</w:t>
      </w:r>
      <w:r w:rsidR="00F61003" w:rsidRPr="006B72E7">
        <w:rPr>
          <w:kern w:val="22"/>
          <w:szCs w:val="22"/>
          <w:lang w:val="fr-FR"/>
        </w:rPr>
        <w:t>rent</w:t>
      </w:r>
      <w:r w:rsidR="006B72E7">
        <w:rPr>
          <w:kern w:val="22"/>
          <w:szCs w:val="22"/>
          <w:lang w:val="fr-FR"/>
        </w:rPr>
        <w:t>s rô</w:t>
      </w:r>
      <w:r w:rsidR="00F61003" w:rsidRPr="006B72E7">
        <w:rPr>
          <w:kern w:val="22"/>
          <w:szCs w:val="22"/>
          <w:lang w:val="fr-FR"/>
        </w:rPr>
        <w:t xml:space="preserve">les; </w:t>
      </w:r>
      <w:r w:rsidR="0003707F" w:rsidRPr="006B72E7">
        <w:rPr>
          <w:kern w:val="22"/>
          <w:szCs w:val="22"/>
          <w:lang w:val="fr-FR"/>
        </w:rPr>
        <w:t>b</w:t>
      </w:r>
      <w:r w:rsidR="00F61003" w:rsidRPr="006B72E7">
        <w:rPr>
          <w:kern w:val="22"/>
          <w:szCs w:val="22"/>
          <w:lang w:val="fr-FR"/>
        </w:rPr>
        <w:t xml:space="preserve">) </w:t>
      </w:r>
      <w:r w:rsidR="006B72E7">
        <w:rPr>
          <w:kern w:val="22"/>
          <w:szCs w:val="22"/>
          <w:lang w:val="fr-FR"/>
        </w:rPr>
        <w:t>la reco</w:t>
      </w:r>
      <w:r>
        <w:rPr>
          <w:kern w:val="22"/>
          <w:szCs w:val="22"/>
          <w:lang w:val="fr-FR"/>
        </w:rPr>
        <w:t>nnaissance elle-même ne supprime</w:t>
      </w:r>
      <w:r w:rsidR="006B72E7">
        <w:rPr>
          <w:kern w:val="22"/>
          <w:szCs w:val="22"/>
          <w:lang w:val="fr-FR"/>
        </w:rPr>
        <w:t xml:space="preserve"> pas le besoin de tenir compte de la gestion des </w:t>
      </w:r>
      <w:r w:rsidR="00F61003" w:rsidRPr="006B72E7">
        <w:rPr>
          <w:kern w:val="22"/>
          <w:szCs w:val="22"/>
          <w:lang w:val="fr-FR"/>
        </w:rPr>
        <w:t>interactions</w:t>
      </w:r>
      <w:r w:rsidR="00B55D08" w:rsidRPr="006B72E7">
        <w:rPr>
          <w:kern w:val="22"/>
          <w:szCs w:val="22"/>
          <w:lang w:val="fr-FR"/>
        </w:rPr>
        <w:t xml:space="preserve"> avec </w:t>
      </w:r>
      <w:r w:rsidR="006B72E7">
        <w:rPr>
          <w:kern w:val="22"/>
          <w:szCs w:val="22"/>
          <w:lang w:val="fr-FR"/>
        </w:rPr>
        <w:t>d’</w:t>
      </w:r>
      <w:r w:rsidR="00623402" w:rsidRPr="006B72E7">
        <w:rPr>
          <w:kern w:val="22"/>
          <w:szCs w:val="22"/>
          <w:lang w:val="fr-FR"/>
        </w:rPr>
        <w:t xml:space="preserve">autres </w:t>
      </w:r>
      <w:r w:rsidR="00231CD8" w:rsidRPr="006B72E7">
        <w:rPr>
          <w:kern w:val="22"/>
          <w:szCs w:val="22"/>
          <w:lang w:val="fr-FR"/>
        </w:rPr>
        <w:t>instruments internationaux</w:t>
      </w:r>
      <w:r w:rsidR="00F61003" w:rsidRPr="006B72E7">
        <w:rPr>
          <w:kern w:val="22"/>
          <w:szCs w:val="22"/>
          <w:lang w:val="fr-FR"/>
        </w:rPr>
        <w:t xml:space="preserve">, </w:t>
      </w:r>
      <w:r w:rsidR="00DA39C0">
        <w:rPr>
          <w:kern w:val="22"/>
          <w:szCs w:val="22"/>
          <w:lang w:val="fr-FR"/>
        </w:rPr>
        <w:t xml:space="preserve">comprenant </w:t>
      </w:r>
      <w:r w:rsidR="006B72E7">
        <w:rPr>
          <w:kern w:val="22"/>
          <w:szCs w:val="22"/>
          <w:lang w:val="fr-FR"/>
        </w:rPr>
        <w:t>général</w:t>
      </w:r>
      <w:r w:rsidR="00DA39C0">
        <w:rPr>
          <w:kern w:val="22"/>
          <w:szCs w:val="22"/>
          <w:lang w:val="fr-FR"/>
        </w:rPr>
        <w:t>ement</w:t>
      </w:r>
      <w:r w:rsidR="006B72E7">
        <w:rPr>
          <w:kern w:val="22"/>
          <w:szCs w:val="22"/>
          <w:lang w:val="fr-FR"/>
        </w:rPr>
        <w:t xml:space="preserve"> des initiatives continues en m</w:t>
      </w:r>
      <w:r w:rsidR="00DA39C0">
        <w:rPr>
          <w:kern w:val="22"/>
          <w:szCs w:val="22"/>
          <w:lang w:val="fr-FR"/>
        </w:rPr>
        <w:t>atière de partage d’information</w:t>
      </w:r>
      <w:r w:rsidR="00623402" w:rsidRPr="006B72E7">
        <w:rPr>
          <w:kern w:val="22"/>
          <w:szCs w:val="22"/>
          <w:lang w:val="fr-FR"/>
        </w:rPr>
        <w:t xml:space="preserve"> et </w:t>
      </w:r>
      <w:r w:rsidR="006B72E7">
        <w:rPr>
          <w:kern w:val="22"/>
          <w:szCs w:val="22"/>
          <w:lang w:val="fr-FR"/>
        </w:rPr>
        <w:t xml:space="preserve">de </w:t>
      </w:r>
      <w:r w:rsidR="004A1AB3" w:rsidRPr="006B72E7">
        <w:rPr>
          <w:kern w:val="22"/>
          <w:szCs w:val="22"/>
          <w:lang w:val="fr-FR"/>
        </w:rPr>
        <w:t>coopération</w:t>
      </w:r>
      <w:r w:rsidR="00F61003" w:rsidRPr="006B72E7">
        <w:rPr>
          <w:kern w:val="22"/>
          <w:szCs w:val="22"/>
          <w:lang w:val="fr-FR"/>
        </w:rPr>
        <w:t>;</w:t>
      </w:r>
      <w:r w:rsidR="006B72E7">
        <w:rPr>
          <w:kern w:val="22"/>
          <w:szCs w:val="22"/>
          <w:lang w:val="fr-FR"/>
        </w:rPr>
        <w:t xml:space="preserve"> </w:t>
      </w:r>
      <w:r w:rsidR="0003707F" w:rsidRPr="006B72E7">
        <w:rPr>
          <w:kern w:val="22"/>
          <w:szCs w:val="22"/>
          <w:lang w:val="fr-FR"/>
        </w:rPr>
        <w:t>c</w:t>
      </w:r>
      <w:r w:rsidR="00F61003" w:rsidRPr="006B72E7">
        <w:rPr>
          <w:kern w:val="22"/>
          <w:szCs w:val="22"/>
          <w:lang w:val="fr-FR"/>
        </w:rPr>
        <w:t xml:space="preserve">) </w:t>
      </w:r>
      <w:r w:rsidR="00DA39C0">
        <w:rPr>
          <w:kern w:val="22"/>
          <w:szCs w:val="22"/>
          <w:lang w:val="fr-FR"/>
        </w:rPr>
        <w:t xml:space="preserve">il convient de faire en sorte </w:t>
      </w:r>
      <w:r w:rsidR="006B72E7">
        <w:rPr>
          <w:kern w:val="22"/>
          <w:szCs w:val="22"/>
          <w:lang w:val="fr-FR"/>
        </w:rPr>
        <w:t>que les possibilités d’</w:t>
      </w:r>
      <w:r w:rsidR="00C01103" w:rsidRPr="006B72E7">
        <w:rPr>
          <w:kern w:val="22"/>
          <w:szCs w:val="22"/>
          <w:lang w:val="fr-FR"/>
        </w:rPr>
        <w:t>apprentissage mutuel</w:t>
      </w:r>
      <w:r w:rsidR="00DA39C0">
        <w:rPr>
          <w:kern w:val="22"/>
          <w:szCs w:val="22"/>
          <w:lang w:val="fr-FR"/>
        </w:rPr>
        <w:t xml:space="preserve"> entre </w:t>
      </w:r>
      <w:r w:rsidR="006B72E7">
        <w:rPr>
          <w:kern w:val="22"/>
          <w:szCs w:val="22"/>
          <w:lang w:val="fr-FR"/>
        </w:rPr>
        <w:t>ré</w:t>
      </w:r>
      <w:r w:rsidR="00F61003" w:rsidRPr="006B72E7">
        <w:rPr>
          <w:kern w:val="22"/>
          <w:szCs w:val="22"/>
          <w:lang w:val="fr-FR"/>
        </w:rPr>
        <w:t>gimes</w:t>
      </w:r>
      <w:r w:rsidR="006B72E7">
        <w:rPr>
          <w:kern w:val="22"/>
          <w:szCs w:val="22"/>
          <w:lang w:val="fr-FR"/>
        </w:rPr>
        <w:t xml:space="preserve"> soient optimisées</w:t>
      </w:r>
      <w:r w:rsidR="00F61003" w:rsidRPr="006B72E7">
        <w:rPr>
          <w:kern w:val="22"/>
          <w:szCs w:val="22"/>
          <w:lang w:val="fr-FR"/>
        </w:rPr>
        <w:t>.</w:t>
      </w:r>
    </w:p>
    <w:p w:rsidR="00F607FE" w:rsidRPr="00D76FBF" w:rsidRDefault="00C20CF2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C20CF2">
        <w:rPr>
          <w:kern w:val="22"/>
          <w:szCs w:val="22"/>
          <w:lang w:val="fr-FR"/>
        </w:rPr>
        <w:t>Sur la base de</w:t>
      </w:r>
      <w:r w:rsidR="00F61003" w:rsidRPr="00C20CF2">
        <w:rPr>
          <w:kern w:val="22"/>
          <w:szCs w:val="22"/>
          <w:lang w:val="fr-FR"/>
        </w:rPr>
        <w:t xml:space="preserve"> </w:t>
      </w:r>
      <w:r w:rsidR="0001030F" w:rsidRPr="00C20CF2">
        <w:rPr>
          <w:kern w:val="22"/>
          <w:szCs w:val="22"/>
          <w:lang w:val="fr-FR"/>
        </w:rPr>
        <w:t>l’analyse</w:t>
      </w:r>
      <w:r w:rsidR="00DA39C0">
        <w:rPr>
          <w:kern w:val="22"/>
          <w:szCs w:val="22"/>
          <w:lang w:val="fr-FR"/>
        </w:rPr>
        <w:t xml:space="preserve"> effectuée</w:t>
      </w:r>
      <w:r w:rsidR="002C1230" w:rsidRPr="00C20CF2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trois scénarios</w:t>
      </w:r>
      <w:r w:rsidR="00F957CA" w:rsidRPr="00C20CF2">
        <w:rPr>
          <w:kern w:val="22"/>
          <w:szCs w:val="22"/>
          <w:lang w:val="fr-FR"/>
        </w:rPr>
        <w:t xml:space="preserve"> </w:t>
      </w:r>
      <w:r w:rsidR="00D76FBF">
        <w:rPr>
          <w:kern w:val="22"/>
          <w:szCs w:val="22"/>
          <w:lang w:val="fr-FR"/>
        </w:rPr>
        <w:t xml:space="preserve">peuvent </w:t>
      </w:r>
      <w:r w:rsidR="00DA39C0">
        <w:rPr>
          <w:kern w:val="22"/>
          <w:szCs w:val="22"/>
          <w:lang w:val="fr-FR"/>
        </w:rPr>
        <w:t>être envisagés pour une reconnaissance (ou une autre</w:t>
      </w:r>
      <w:r w:rsidR="00623402" w:rsidRPr="00C20CF2">
        <w:rPr>
          <w:kern w:val="22"/>
          <w:szCs w:val="22"/>
          <w:lang w:val="fr-FR"/>
        </w:rPr>
        <w:t xml:space="preserve"> </w:t>
      </w:r>
      <w:r w:rsidR="00F957CA" w:rsidRPr="00C20CF2">
        <w:rPr>
          <w:kern w:val="22"/>
          <w:szCs w:val="22"/>
          <w:lang w:val="fr-FR"/>
        </w:rPr>
        <w:t>form</w:t>
      </w:r>
      <w:r w:rsidR="00DA39C0">
        <w:rPr>
          <w:kern w:val="22"/>
          <w:szCs w:val="22"/>
          <w:lang w:val="fr-FR"/>
        </w:rPr>
        <w:t xml:space="preserve">e de gestion des </w:t>
      </w:r>
      <w:r w:rsidR="00C20376">
        <w:rPr>
          <w:kern w:val="22"/>
          <w:szCs w:val="22"/>
          <w:lang w:val="fr-FR"/>
        </w:rPr>
        <w:t>interaction</w:t>
      </w:r>
      <w:r w:rsidR="00DA39C0">
        <w:rPr>
          <w:kern w:val="22"/>
          <w:szCs w:val="22"/>
          <w:lang w:val="fr-FR"/>
        </w:rPr>
        <w:t>s</w:t>
      </w:r>
      <w:r w:rsidR="00C20376">
        <w:rPr>
          <w:kern w:val="22"/>
          <w:szCs w:val="22"/>
          <w:lang w:val="fr-FR"/>
        </w:rPr>
        <w:t xml:space="preserve"> entre régimes</w:t>
      </w:r>
      <w:r w:rsidR="00F957CA" w:rsidRPr="00C20CF2">
        <w:rPr>
          <w:kern w:val="22"/>
          <w:szCs w:val="22"/>
          <w:lang w:val="fr-FR"/>
        </w:rPr>
        <w:t xml:space="preserve">) </w:t>
      </w:r>
      <w:r w:rsidR="005D3CDB" w:rsidRPr="00C20CF2">
        <w:rPr>
          <w:kern w:val="22"/>
          <w:szCs w:val="22"/>
          <w:lang w:val="fr-FR"/>
        </w:rPr>
        <w:t>du Pro</w:t>
      </w:r>
      <w:r w:rsidR="00A01DA3" w:rsidRPr="00C20CF2">
        <w:rPr>
          <w:kern w:val="22"/>
          <w:szCs w:val="22"/>
          <w:lang w:val="fr-FR"/>
        </w:rPr>
        <w:t>tocole de Nagoya</w:t>
      </w:r>
      <w:r w:rsidR="00623402" w:rsidRPr="00C20CF2">
        <w:rPr>
          <w:kern w:val="22"/>
          <w:szCs w:val="22"/>
          <w:lang w:val="fr-FR"/>
        </w:rPr>
        <w:t xml:space="preserve"> et </w:t>
      </w:r>
      <w:r w:rsidR="00DA39C0">
        <w:rPr>
          <w:kern w:val="22"/>
          <w:szCs w:val="22"/>
          <w:lang w:val="fr-FR"/>
        </w:rPr>
        <w:t xml:space="preserve">de </w:t>
      </w:r>
      <w:r w:rsidR="004A1AB3">
        <w:rPr>
          <w:kern w:val="22"/>
          <w:szCs w:val="22"/>
          <w:lang w:val="fr-FR"/>
        </w:rPr>
        <w:t>l’instrument spécial</w:t>
      </w:r>
      <w:r w:rsidR="00F957CA" w:rsidRPr="00C20CF2">
        <w:rPr>
          <w:kern w:val="22"/>
          <w:szCs w:val="22"/>
          <w:lang w:val="fr-FR"/>
        </w:rPr>
        <w:t xml:space="preserve">. </w:t>
      </w:r>
      <w:r w:rsidR="00D76FBF" w:rsidRPr="00D76FBF">
        <w:rPr>
          <w:kern w:val="22"/>
          <w:szCs w:val="22"/>
          <w:lang w:val="fr-FR"/>
        </w:rPr>
        <w:t>Ces</w:t>
      </w:r>
      <w:r w:rsidR="00F957CA" w:rsidRPr="00D76FBF">
        <w:rPr>
          <w:kern w:val="22"/>
          <w:szCs w:val="22"/>
          <w:lang w:val="fr-FR"/>
        </w:rPr>
        <w:t xml:space="preserve"> </w:t>
      </w:r>
      <w:r w:rsidRPr="00D76FBF">
        <w:rPr>
          <w:kern w:val="22"/>
          <w:szCs w:val="22"/>
          <w:lang w:val="fr-FR"/>
        </w:rPr>
        <w:t>scénarios</w:t>
      </w:r>
      <w:r w:rsidR="00F957CA" w:rsidRPr="00D76FBF">
        <w:rPr>
          <w:kern w:val="22"/>
          <w:szCs w:val="22"/>
          <w:lang w:val="fr-FR"/>
        </w:rPr>
        <w:t xml:space="preserve"> </w:t>
      </w:r>
      <w:r w:rsidR="00D76FBF" w:rsidRPr="00D76FBF">
        <w:rPr>
          <w:kern w:val="22"/>
          <w:szCs w:val="22"/>
          <w:lang w:val="fr-FR"/>
        </w:rPr>
        <w:t xml:space="preserve">ne s’excluent pas mutuellement, mais </w:t>
      </w:r>
      <w:r w:rsidR="00DA39C0">
        <w:rPr>
          <w:kern w:val="22"/>
          <w:szCs w:val="22"/>
          <w:lang w:val="fr-FR"/>
        </w:rPr>
        <w:t>ils peuve</w:t>
      </w:r>
      <w:r w:rsidR="00D76FBF" w:rsidRPr="00D76FBF">
        <w:rPr>
          <w:kern w:val="22"/>
          <w:szCs w:val="22"/>
          <w:lang w:val="fr-FR"/>
        </w:rPr>
        <w:t xml:space="preserve">nt </w:t>
      </w:r>
      <w:r w:rsidR="003D0BBA">
        <w:rPr>
          <w:kern w:val="22"/>
          <w:szCs w:val="22"/>
          <w:lang w:val="fr-FR"/>
        </w:rPr>
        <w:t>se chevaucher</w:t>
      </w:r>
      <w:r w:rsidR="00DA39C0">
        <w:rPr>
          <w:kern w:val="22"/>
          <w:szCs w:val="22"/>
          <w:lang w:val="fr-FR"/>
        </w:rPr>
        <w:t xml:space="preserve"> en partie</w:t>
      </w:r>
      <w:r w:rsidR="003D0BBA">
        <w:rPr>
          <w:kern w:val="22"/>
          <w:szCs w:val="22"/>
          <w:lang w:val="fr-FR"/>
        </w:rPr>
        <w:t xml:space="preserve"> et</w:t>
      </w:r>
      <w:r w:rsidR="00DA39C0">
        <w:rPr>
          <w:kern w:val="22"/>
          <w:szCs w:val="22"/>
          <w:lang w:val="fr-FR"/>
        </w:rPr>
        <w:t>,</w:t>
      </w:r>
      <w:r w:rsidR="003D0BBA">
        <w:rPr>
          <w:kern w:val="22"/>
          <w:szCs w:val="22"/>
          <w:lang w:val="fr-FR"/>
        </w:rPr>
        <w:t xml:space="preserve"> idéalement, </w:t>
      </w:r>
      <w:r w:rsidR="004F76E1">
        <w:rPr>
          <w:kern w:val="22"/>
          <w:szCs w:val="22"/>
          <w:lang w:val="fr-FR"/>
        </w:rPr>
        <w:t>ils se complé</w:t>
      </w:r>
      <w:r w:rsidR="00BD2F4C">
        <w:rPr>
          <w:kern w:val="22"/>
          <w:szCs w:val="22"/>
          <w:lang w:val="fr-FR"/>
        </w:rPr>
        <w:t>t</w:t>
      </w:r>
      <w:r w:rsidR="004F76E1">
        <w:rPr>
          <w:kern w:val="22"/>
          <w:szCs w:val="22"/>
          <w:lang w:val="fr-FR"/>
        </w:rPr>
        <w:t>ero</w:t>
      </w:r>
      <w:r w:rsidR="00DA39C0">
        <w:rPr>
          <w:kern w:val="22"/>
          <w:szCs w:val="22"/>
          <w:lang w:val="fr-FR"/>
        </w:rPr>
        <w:t>nt</w:t>
      </w:r>
      <w:r w:rsidR="003D0BBA">
        <w:rPr>
          <w:kern w:val="22"/>
          <w:szCs w:val="22"/>
          <w:lang w:val="fr-FR"/>
        </w:rPr>
        <w:t xml:space="preserve"> mutuellement</w:t>
      </w:r>
      <w:r w:rsidR="00F957CA" w:rsidRPr="00D76FBF">
        <w:rPr>
          <w:kern w:val="22"/>
          <w:szCs w:val="22"/>
          <w:lang w:val="fr-FR"/>
        </w:rPr>
        <w:t>.</w:t>
      </w:r>
    </w:p>
    <w:p w:rsidR="00D11FC2" w:rsidRPr="00FB268E" w:rsidRDefault="00C20CF2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bCs/>
          <w:i/>
          <w:kern w:val="22"/>
          <w:szCs w:val="22"/>
          <w:lang w:val="fr-FR"/>
        </w:rPr>
        <w:t>Reconnaissance par l</w:t>
      </w:r>
      <w:r w:rsidR="00A01DA3" w:rsidRPr="0045647A">
        <w:rPr>
          <w:bCs/>
          <w:i/>
          <w:kern w:val="22"/>
          <w:szCs w:val="22"/>
          <w:lang w:val="fr-FR"/>
        </w:rPr>
        <w:t>a Conférence des Parties siégeant en tant que</w:t>
      </w:r>
      <w:r w:rsidR="0003707F" w:rsidRPr="0045647A">
        <w:rPr>
          <w:bCs/>
          <w:i/>
          <w:kern w:val="22"/>
          <w:szCs w:val="22"/>
          <w:lang w:val="fr-FR"/>
        </w:rPr>
        <w:t xml:space="preserve"> </w:t>
      </w:r>
      <w:r w:rsidR="00A01DA3" w:rsidRPr="0045647A">
        <w:rPr>
          <w:bCs/>
          <w:i/>
          <w:kern w:val="22"/>
          <w:szCs w:val="22"/>
          <w:lang w:val="fr-FR"/>
        </w:rPr>
        <w:t>réunion</w:t>
      </w:r>
      <w:r w:rsidR="0003707F" w:rsidRPr="0045647A">
        <w:rPr>
          <w:bCs/>
          <w:i/>
          <w:kern w:val="22"/>
          <w:szCs w:val="22"/>
          <w:lang w:val="fr-FR"/>
        </w:rPr>
        <w:t xml:space="preserve"> </w:t>
      </w:r>
      <w:r w:rsidR="0045647A" w:rsidRPr="0045647A">
        <w:rPr>
          <w:bCs/>
          <w:i/>
          <w:kern w:val="22"/>
          <w:szCs w:val="22"/>
          <w:lang w:val="fr-FR"/>
        </w:rPr>
        <w:t>des Par</w:t>
      </w:r>
      <w:r w:rsidR="0003707F" w:rsidRPr="0045647A">
        <w:rPr>
          <w:bCs/>
          <w:i/>
          <w:kern w:val="22"/>
          <w:szCs w:val="22"/>
          <w:lang w:val="fr-FR"/>
        </w:rPr>
        <w:t xml:space="preserve">ties </w:t>
      </w:r>
      <w:r w:rsidR="00A01DA3" w:rsidRPr="0045647A">
        <w:rPr>
          <w:bCs/>
          <w:i/>
          <w:kern w:val="22"/>
          <w:szCs w:val="22"/>
          <w:lang w:val="fr-FR"/>
        </w:rPr>
        <w:t>au Protocole de Nagoya</w:t>
      </w:r>
      <w:r w:rsidR="00082280" w:rsidRPr="0045647A">
        <w:rPr>
          <w:bCs/>
          <w:i/>
          <w:kern w:val="22"/>
          <w:szCs w:val="22"/>
          <w:lang w:val="fr-FR"/>
        </w:rPr>
        <w:t xml:space="preserve"> </w:t>
      </w:r>
      <w:r w:rsidR="00530D4B" w:rsidRPr="0045647A">
        <w:rPr>
          <w:b/>
          <w:iCs/>
          <w:kern w:val="22"/>
          <w:szCs w:val="22"/>
          <w:lang w:val="fr-FR"/>
        </w:rPr>
        <w:t>—</w:t>
      </w:r>
      <w:r w:rsidR="00082280" w:rsidRPr="0045647A">
        <w:rPr>
          <w:iCs/>
          <w:kern w:val="22"/>
          <w:szCs w:val="22"/>
          <w:lang w:val="fr-FR"/>
        </w:rPr>
        <w:t xml:space="preserve"> </w:t>
      </w:r>
      <w:r w:rsidR="00FB268E">
        <w:rPr>
          <w:kern w:val="22"/>
          <w:szCs w:val="22"/>
          <w:lang w:val="fr-FR"/>
        </w:rPr>
        <w:t>Une dé</w:t>
      </w:r>
      <w:r w:rsidR="004F76E1">
        <w:rPr>
          <w:kern w:val="22"/>
          <w:szCs w:val="22"/>
          <w:lang w:val="fr-FR"/>
        </w:rPr>
        <w:t>cision pourrait être prise d’une manière</w:t>
      </w:r>
      <w:r w:rsidR="00FB268E">
        <w:rPr>
          <w:kern w:val="22"/>
          <w:szCs w:val="22"/>
          <w:lang w:val="fr-FR"/>
        </w:rPr>
        <w:t xml:space="preserve"> plus décisive, transparente et systématique par les Parties collectivement, </w:t>
      </w:r>
      <w:r w:rsidR="004F76E1">
        <w:rPr>
          <w:kern w:val="22"/>
          <w:szCs w:val="22"/>
          <w:lang w:val="fr-FR"/>
        </w:rPr>
        <w:t>dans le cadr</w:t>
      </w:r>
      <w:r w:rsidR="00A01DA3" w:rsidRPr="0045647A">
        <w:rPr>
          <w:kern w:val="22"/>
          <w:szCs w:val="22"/>
          <w:lang w:val="fr-FR"/>
        </w:rPr>
        <w:t>e de</w:t>
      </w:r>
      <w:r w:rsidR="00FB268E">
        <w:rPr>
          <w:kern w:val="22"/>
          <w:szCs w:val="22"/>
          <w:lang w:val="fr-FR"/>
        </w:rPr>
        <w:t xml:space="preserve"> l</w:t>
      </w:r>
      <w:r w:rsidR="00A01DA3" w:rsidRPr="0045647A">
        <w:rPr>
          <w:kern w:val="22"/>
          <w:szCs w:val="22"/>
          <w:lang w:val="fr-FR"/>
        </w:rPr>
        <w:t>a Conférence des Parties siégeant en tant que</w:t>
      </w:r>
      <w:r w:rsidR="00F246E2" w:rsidRPr="0045647A">
        <w:rPr>
          <w:kern w:val="22"/>
          <w:szCs w:val="22"/>
          <w:lang w:val="fr-FR"/>
        </w:rPr>
        <w:t xml:space="preserve"> </w:t>
      </w:r>
      <w:r w:rsidR="00A01DA3" w:rsidRPr="0045647A">
        <w:rPr>
          <w:kern w:val="22"/>
          <w:szCs w:val="22"/>
          <w:lang w:val="fr-FR"/>
        </w:rPr>
        <w:t>réunion</w:t>
      </w:r>
      <w:r w:rsidR="00F246E2" w:rsidRPr="0045647A">
        <w:rPr>
          <w:kern w:val="22"/>
          <w:szCs w:val="22"/>
          <w:lang w:val="fr-FR"/>
        </w:rPr>
        <w:t xml:space="preserve"> </w:t>
      </w:r>
      <w:r w:rsidR="0045647A" w:rsidRPr="0045647A">
        <w:rPr>
          <w:kern w:val="22"/>
          <w:szCs w:val="22"/>
          <w:lang w:val="fr-FR"/>
        </w:rPr>
        <w:t>des Par</w:t>
      </w:r>
      <w:r w:rsidR="00F246E2" w:rsidRPr="0045647A">
        <w:rPr>
          <w:kern w:val="22"/>
          <w:szCs w:val="22"/>
          <w:lang w:val="fr-FR"/>
        </w:rPr>
        <w:t>ties</w:t>
      </w:r>
      <w:r w:rsidR="00F957CA" w:rsidRPr="0045647A">
        <w:rPr>
          <w:kern w:val="22"/>
          <w:szCs w:val="22"/>
          <w:lang w:val="fr-FR"/>
        </w:rPr>
        <w:t xml:space="preserve">. </w:t>
      </w:r>
      <w:r w:rsidRPr="00FB268E">
        <w:rPr>
          <w:kern w:val="22"/>
          <w:szCs w:val="22"/>
          <w:lang w:val="fr-FR"/>
        </w:rPr>
        <w:t>L</w:t>
      </w:r>
      <w:r w:rsidR="00A01DA3" w:rsidRPr="00FB268E">
        <w:rPr>
          <w:kern w:val="22"/>
          <w:szCs w:val="22"/>
          <w:lang w:val="fr-FR"/>
        </w:rPr>
        <w:t>es critères</w:t>
      </w:r>
      <w:r w:rsidR="004F76E1">
        <w:rPr>
          <w:kern w:val="22"/>
          <w:szCs w:val="22"/>
          <w:lang w:val="fr-FR"/>
        </w:rPr>
        <w:t xml:space="preserve"> identifié</w:t>
      </w:r>
      <w:r w:rsidRPr="00FB268E">
        <w:rPr>
          <w:kern w:val="22"/>
          <w:szCs w:val="22"/>
          <w:lang w:val="fr-FR"/>
        </w:rPr>
        <w:t>s ci-dessus</w:t>
      </w:r>
      <w:r w:rsidR="00F957CA" w:rsidRPr="00FB268E">
        <w:rPr>
          <w:kern w:val="22"/>
          <w:szCs w:val="22"/>
          <w:lang w:val="fr-FR"/>
        </w:rPr>
        <w:t xml:space="preserve"> </w:t>
      </w:r>
      <w:r w:rsidR="004F76E1">
        <w:rPr>
          <w:kern w:val="22"/>
          <w:szCs w:val="22"/>
          <w:lang w:val="fr-FR"/>
        </w:rPr>
        <w:t>bénéficieront ainsi</w:t>
      </w:r>
      <w:r w:rsidR="00FB268E" w:rsidRPr="00FB268E">
        <w:rPr>
          <w:kern w:val="22"/>
          <w:szCs w:val="22"/>
          <w:lang w:val="fr-FR"/>
        </w:rPr>
        <w:t xml:space="preserve"> d’un </w:t>
      </w:r>
      <w:r w:rsidR="00FB268E">
        <w:rPr>
          <w:kern w:val="22"/>
          <w:szCs w:val="22"/>
          <w:lang w:val="fr-FR"/>
        </w:rPr>
        <w:t>cadre</w:t>
      </w:r>
      <w:r w:rsidR="004F76E1">
        <w:rPr>
          <w:kern w:val="22"/>
          <w:szCs w:val="22"/>
          <w:lang w:val="fr-FR"/>
        </w:rPr>
        <w:t xml:space="preserve"> </w:t>
      </w:r>
      <w:r w:rsidR="00FB268E">
        <w:rPr>
          <w:kern w:val="22"/>
          <w:szCs w:val="22"/>
          <w:lang w:val="fr-FR"/>
        </w:rPr>
        <w:t>multilaté</w:t>
      </w:r>
      <w:r w:rsidR="00F957CA" w:rsidRPr="00FB268E">
        <w:rPr>
          <w:kern w:val="22"/>
          <w:szCs w:val="22"/>
          <w:lang w:val="fr-FR"/>
        </w:rPr>
        <w:t>ral</w:t>
      </w:r>
      <w:r w:rsidR="004F76E1">
        <w:rPr>
          <w:kern w:val="22"/>
          <w:szCs w:val="22"/>
          <w:lang w:val="fr-FR"/>
        </w:rPr>
        <w:t xml:space="preserve"> pour jauger les points de vue des </w:t>
      </w:r>
      <w:r w:rsidR="00A412BD" w:rsidRPr="00FB268E">
        <w:rPr>
          <w:kern w:val="22"/>
          <w:szCs w:val="22"/>
          <w:lang w:val="fr-FR"/>
        </w:rPr>
        <w:t xml:space="preserve">Parties </w:t>
      </w:r>
      <w:r w:rsidR="00A01DA3" w:rsidRPr="00FB268E">
        <w:rPr>
          <w:kern w:val="22"/>
          <w:szCs w:val="22"/>
          <w:lang w:val="fr-FR"/>
        </w:rPr>
        <w:t>au Protocole de Nagoya</w:t>
      </w:r>
      <w:r w:rsidR="00623402" w:rsidRPr="00FB268E">
        <w:rPr>
          <w:kern w:val="22"/>
          <w:szCs w:val="22"/>
          <w:lang w:val="fr-FR"/>
        </w:rPr>
        <w:t xml:space="preserve"> et </w:t>
      </w:r>
      <w:r w:rsidR="004F76E1">
        <w:rPr>
          <w:kern w:val="22"/>
          <w:szCs w:val="22"/>
          <w:lang w:val="fr-FR"/>
        </w:rPr>
        <w:t>trouver une approche faisant consensus</w:t>
      </w:r>
      <w:r w:rsidR="00F957CA" w:rsidRPr="00FB268E">
        <w:rPr>
          <w:kern w:val="22"/>
          <w:szCs w:val="22"/>
          <w:lang w:val="fr-FR"/>
        </w:rPr>
        <w:t xml:space="preserve">. </w:t>
      </w:r>
      <w:r w:rsidR="004F76E1">
        <w:rPr>
          <w:kern w:val="22"/>
          <w:szCs w:val="22"/>
          <w:lang w:val="fr-FR"/>
        </w:rPr>
        <w:t>D’autre part, le besoin</w:t>
      </w:r>
      <w:r w:rsidR="00FB268E">
        <w:rPr>
          <w:kern w:val="22"/>
          <w:szCs w:val="22"/>
          <w:lang w:val="fr-FR"/>
        </w:rPr>
        <w:t xml:space="preserve"> d’assurer une cohérence avec les </w:t>
      </w:r>
      <w:r w:rsidR="005D3CDB" w:rsidRPr="00FB268E">
        <w:rPr>
          <w:kern w:val="22"/>
          <w:szCs w:val="22"/>
          <w:lang w:val="fr-FR"/>
        </w:rPr>
        <w:t>objectifs</w:t>
      </w:r>
      <w:r w:rsidR="009A1211" w:rsidRPr="00FB268E">
        <w:rPr>
          <w:kern w:val="22"/>
          <w:szCs w:val="22"/>
          <w:lang w:val="fr-FR"/>
        </w:rPr>
        <w:t xml:space="preserve"> </w:t>
      </w:r>
      <w:r w:rsidR="0001030F" w:rsidRPr="00FB268E">
        <w:rPr>
          <w:kern w:val="22"/>
          <w:szCs w:val="22"/>
          <w:lang w:val="fr-FR"/>
        </w:rPr>
        <w:t>de la Co</w:t>
      </w:r>
      <w:r w:rsidR="009A1211" w:rsidRPr="00FB268E">
        <w:rPr>
          <w:kern w:val="22"/>
          <w:szCs w:val="22"/>
          <w:lang w:val="fr-FR"/>
        </w:rPr>
        <w:t>nvention</w:t>
      </w:r>
      <w:r w:rsidR="00623402" w:rsidRPr="00FB268E">
        <w:rPr>
          <w:kern w:val="22"/>
          <w:szCs w:val="22"/>
          <w:lang w:val="fr-FR"/>
        </w:rPr>
        <w:t xml:space="preserve"> et </w:t>
      </w:r>
      <w:r w:rsidR="005D3CDB" w:rsidRPr="00FB268E">
        <w:rPr>
          <w:kern w:val="22"/>
          <w:szCs w:val="22"/>
          <w:lang w:val="fr-FR"/>
        </w:rPr>
        <w:t>du Pro</w:t>
      </w:r>
      <w:r w:rsidR="00A01DA3" w:rsidRPr="00FB268E">
        <w:rPr>
          <w:kern w:val="22"/>
          <w:szCs w:val="22"/>
          <w:lang w:val="fr-FR"/>
        </w:rPr>
        <w:t>tocole de Nagoya</w:t>
      </w:r>
      <w:r w:rsidR="00FB268E">
        <w:rPr>
          <w:kern w:val="22"/>
          <w:szCs w:val="22"/>
          <w:lang w:val="fr-FR"/>
        </w:rPr>
        <w:t xml:space="preserve"> relatifs à la conservation de la </w:t>
      </w:r>
      <w:r w:rsidR="00D76FBF" w:rsidRPr="00FB268E">
        <w:rPr>
          <w:kern w:val="22"/>
          <w:szCs w:val="22"/>
          <w:lang w:val="fr-FR"/>
        </w:rPr>
        <w:t>diversité biologique</w:t>
      </w:r>
      <w:r w:rsidR="004F76E1">
        <w:rPr>
          <w:kern w:val="22"/>
          <w:szCs w:val="22"/>
          <w:lang w:val="fr-FR"/>
        </w:rPr>
        <w:t>, considéré</w:t>
      </w:r>
      <w:r w:rsidR="00FB268E">
        <w:rPr>
          <w:kern w:val="22"/>
          <w:szCs w:val="22"/>
          <w:lang w:val="fr-FR"/>
        </w:rPr>
        <w:t xml:space="preserve"> comme une préoccupation</w:t>
      </w:r>
      <w:r w:rsidR="004F76E1">
        <w:rPr>
          <w:kern w:val="22"/>
          <w:szCs w:val="22"/>
          <w:lang w:val="fr-FR"/>
        </w:rPr>
        <w:t xml:space="preserve"> commune de l’humanité, signifie</w:t>
      </w:r>
      <w:r w:rsidR="00FB268E">
        <w:rPr>
          <w:kern w:val="22"/>
          <w:szCs w:val="22"/>
          <w:lang w:val="fr-FR"/>
        </w:rPr>
        <w:t xml:space="preserve"> que l</w:t>
      </w:r>
      <w:r w:rsidR="00A01DA3" w:rsidRPr="00FB268E">
        <w:rPr>
          <w:kern w:val="22"/>
          <w:szCs w:val="22"/>
          <w:lang w:val="fr-FR"/>
        </w:rPr>
        <w:t>a Conférence des Parties siégeant en tant que</w:t>
      </w:r>
      <w:r w:rsidR="00F246E2" w:rsidRPr="00FB268E">
        <w:rPr>
          <w:kern w:val="22"/>
          <w:szCs w:val="22"/>
          <w:lang w:val="fr-FR"/>
        </w:rPr>
        <w:t xml:space="preserve"> </w:t>
      </w:r>
      <w:r w:rsidR="00A01DA3" w:rsidRPr="00FB268E">
        <w:rPr>
          <w:kern w:val="22"/>
          <w:szCs w:val="22"/>
          <w:lang w:val="fr-FR"/>
        </w:rPr>
        <w:t>réunion</w:t>
      </w:r>
      <w:r w:rsidR="00F246E2" w:rsidRPr="00FB268E">
        <w:rPr>
          <w:kern w:val="22"/>
          <w:szCs w:val="22"/>
          <w:lang w:val="fr-FR"/>
        </w:rPr>
        <w:t xml:space="preserve"> </w:t>
      </w:r>
      <w:r w:rsidR="0045647A" w:rsidRPr="00FB268E">
        <w:rPr>
          <w:kern w:val="22"/>
          <w:szCs w:val="22"/>
          <w:lang w:val="fr-FR"/>
        </w:rPr>
        <w:t>des Par</w:t>
      </w:r>
      <w:r w:rsidR="00F246E2" w:rsidRPr="00FB268E">
        <w:rPr>
          <w:kern w:val="22"/>
          <w:szCs w:val="22"/>
          <w:lang w:val="fr-FR"/>
        </w:rPr>
        <w:t>ties</w:t>
      </w:r>
      <w:r w:rsidR="009A1211" w:rsidRPr="00FB268E">
        <w:rPr>
          <w:kern w:val="22"/>
          <w:szCs w:val="22"/>
          <w:lang w:val="fr-FR"/>
        </w:rPr>
        <w:t xml:space="preserve"> </w:t>
      </w:r>
      <w:r w:rsidR="004F76E1">
        <w:rPr>
          <w:kern w:val="22"/>
          <w:szCs w:val="22"/>
          <w:lang w:val="fr-FR"/>
        </w:rPr>
        <w:t>est bien p</w:t>
      </w:r>
      <w:r w:rsidR="00C076CA">
        <w:rPr>
          <w:kern w:val="22"/>
          <w:szCs w:val="22"/>
          <w:lang w:val="fr-FR"/>
        </w:rPr>
        <w:t>lacée pour prendre des</w:t>
      </w:r>
      <w:r w:rsidR="00FB268E">
        <w:rPr>
          <w:kern w:val="22"/>
          <w:szCs w:val="22"/>
          <w:lang w:val="fr-FR"/>
        </w:rPr>
        <w:t xml:space="preserve"> décisions</w:t>
      </w:r>
      <w:r w:rsidR="00D11FC2" w:rsidRPr="00FB268E">
        <w:rPr>
          <w:kern w:val="22"/>
          <w:szCs w:val="22"/>
          <w:lang w:val="fr-FR"/>
        </w:rPr>
        <w:t xml:space="preserve"> transparent</w:t>
      </w:r>
      <w:r w:rsidR="00FB268E">
        <w:rPr>
          <w:kern w:val="22"/>
          <w:szCs w:val="22"/>
          <w:lang w:val="fr-FR"/>
        </w:rPr>
        <w:t>es</w:t>
      </w:r>
      <w:r w:rsidR="00623402" w:rsidRPr="00FB268E">
        <w:rPr>
          <w:kern w:val="22"/>
          <w:szCs w:val="22"/>
          <w:lang w:val="fr-FR"/>
        </w:rPr>
        <w:t xml:space="preserve"> et </w:t>
      </w:r>
      <w:r w:rsidR="00D11FC2" w:rsidRPr="00FB268E">
        <w:rPr>
          <w:kern w:val="22"/>
          <w:szCs w:val="22"/>
          <w:lang w:val="fr-FR"/>
        </w:rPr>
        <w:t>inclusive</w:t>
      </w:r>
      <w:r w:rsidR="00C076CA">
        <w:rPr>
          <w:kern w:val="22"/>
          <w:szCs w:val="22"/>
          <w:lang w:val="fr-FR"/>
        </w:rPr>
        <w:t xml:space="preserve">s, et </w:t>
      </w:r>
      <w:r w:rsidR="004F76E1">
        <w:rPr>
          <w:kern w:val="22"/>
          <w:szCs w:val="22"/>
          <w:lang w:val="fr-FR"/>
        </w:rPr>
        <w:t xml:space="preserve">débattre de </w:t>
      </w:r>
      <w:r w:rsidR="00FB268E">
        <w:rPr>
          <w:kern w:val="22"/>
          <w:szCs w:val="22"/>
          <w:lang w:val="fr-FR"/>
        </w:rPr>
        <w:t>la</w:t>
      </w:r>
      <w:r w:rsidR="00D11FC2" w:rsidRPr="00FB268E">
        <w:rPr>
          <w:kern w:val="22"/>
          <w:szCs w:val="22"/>
          <w:lang w:val="fr-FR"/>
        </w:rPr>
        <w:t xml:space="preserve"> </w:t>
      </w:r>
      <w:r w:rsidR="004A1AB3" w:rsidRPr="00FB268E">
        <w:rPr>
          <w:kern w:val="22"/>
          <w:szCs w:val="22"/>
          <w:lang w:val="fr-FR"/>
        </w:rPr>
        <w:t>coopération</w:t>
      </w:r>
      <w:r w:rsidR="00D11FC2" w:rsidRPr="00FB268E">
        <w:rPr>
          <w:kern w:val="22"/>
          <w:szCs w:val="22"/>
          <w:lang w:val="fr-FR"/>
        </w:rPr>
        <w:t xml:space="preserve"> </w:t>
      </w:r>
      <w:r w:rsidR="00FB268E">
        <w:rPr>
          <w:kern w:val="22"/>
          <w:szCs w:val="22"/>
          <w:lang w:val="fr-FR"/>
        </w:rPr>
        <w:t>sur des questions consti</w:t>
      </w:r>
      <w:r w:rsidR="004F76E1">
        <w:rPr>
          <w:kern w:val="22"/>
          <w:szCs w:val="22"/>
          <w:lang w:val="fr-FR"/>
        </w:rPr>
        <w:t>tuant une préoccupation commune</w:t>
      </w:r>
      <w:r w:rsidR="00FB268E">
        <w:rPr>
          <w:kern w:val="22"/>
          <w:szCs w:val="22"/>
          <w:lang w:val="fr-FR"/>
        </w:rPr>
        <w:t xml:space="preserve"> qui devraient primer sur les intérêts individuels de chaque Etat</w:t>
      </w:r>
      <w:r w:rsidR="00A412BD" w:rsidRPr="00FB268E">
        <w:rPr>
          <w:kern w:val="22"/>
          <w:szCs w:val="22"/>
          <w:lang w:val="fr-FR"/>
        </w:rPr>
        <w:t>.</w:t>
      </w:r>
    </w:p>
    <w:p w:rsidR="00F957CA" w:rsidRPr="00F616E2" w:rsidRDefault="00231CD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F616E2">
        <w:rPr>
          <w:kern w:val="22"/>
          <w:szCs w:val="22"/>
          <w:lang w:val="fr-FR"/>
        </w:rPr>
        <w:t xml:space="preserve">L’adoption </w:t>
      </w:r>
      <w:r w:rsidR="00C076CA">
        <w:rPr>
          <w:kern w:val="22"/>
          <w:szCs w:val="22"/>
          <w:lang w:val="fr-FR"/>
        </w:rPr>
        <w:t xml:space="preserve">par voie de </w:t>
      </w:r>
      <w:r w:rsidR="00F616E2" w:rsidRPr="00F616E2">
        <w:rPr>
          <w:kern w:val="22"/>
          <w:szCs w:val="22"/>
          <w:lang w:val="fr-FR"/>
        </w:rPr>
        <w:t xml:space="preserve">consensus </w:t>
      </w:r>
      <w:r w:rsidRPr="00F616E2">
        <w:rPr>
          <w:kern w:val="22"/>
          <w:szCs w:val="22"/>
          <w:lang w:val="fr-FR"/>
        </w:rPr>
        <w:t>d’une</w:t>
      </w:r>
      <w:r w:rsidR="00F957CA" w:rsidRPr="00F616E2">
        <w:rPr>
          <w:kern w:val="22"/>
          <w:szCs w:val="22"/>
          <w:lang w:val="fr-FR"/>
        </w:rPr>
        <w:t xml:space="preserve"> </w:t>
      </w:r>
      <w:r w:rsidR="0068518D" w:rsidRPr="00F616E2">
        <w:rPr>
          <w:kern w:val="22"/>
          <w:szCs w:val="22"/>
          <w:lang w:val="fr-FR"/>
        </w:rPr>
        <w:t>dé</w:t>
      </w:r>
      <w:r w:rsidRPr="00F616E2">
        <w:rPr>
          <w:kern w:val="22"/>
          <w:szCs w:val="22"/>
          <w:lang w:val="fr-FR"/>
        </w:rPr>
        <w:t>cision par la</w:t>
      </w:r>
      <w:r w:rsidR="00A01DA3" w:rsidRPr="00F616E2">
        <w:rPr>
          <w:kern w:val="22"/>
          <w:szCs w:val="22"/>
          <w:lang w:val="fr-FR"/>
        </w:rPr>
        <w:t xml:space="preserve"> Conférence des Parties siégeant en tant que</w:t>
      </w:r>
      <w:r w:rsidR="00FE7BA9" w:rsidRPr="00F616E2">
        <w:rPr>
          <w:kern w:val="22"/>
          <w:szCs w:val="22"/>
          <w:lang w:val="fr-FR"/>
        </w:rPr>
        <w:t xml:space="preserve"> </w:t>
      </w:r>
      <w:r w:rsidR="00A01DA3" w:rsidRPr="00F616E2">
        <w:rPr>
          <w:kern w:val="22"/>
          <w:szCs w:val="22"/>
          <w:lang w:val="fr-FR"/>
        </w:rPr>
        <w:t>réunion</w:t>
      </w:r>
      <w:r w:rsidR="00FE7BA9" w:rsidRPr="00F616E2">
        <w:rPr>
          <w:kern w:val="22"/>
          <w:szCs w:val="22"/>
          <w:lang w:val="fr-FR"/>
        </w:rPr>
        <w:t xml:space="preserve"> </w:t>
      </w:r>
      <w:r w:rsidR="0045647A" w:rsidRPr="00F616E2">
        <w:rPr>
          <w:kern w:val="22"/>
          <w:szCs w:val="22"/>
          <w:lang w:val="fr-FR"/>
        </w:rPr>
        <w:t>des Par</w:t>
      </w:r>
      <w:r w:rsidR="00FE7BA9" w:rsidRPr="00F616E2">
        <w:rPr>
          <w:kern w:val="22"/>
          <w:szCs w:val="22"/>
          <w:lang w:val="fr-FR"/>
        </w:rPr>
        <w:t>ties</w:t>
      </w:r>
      <w:r w:rsidR="00F957CA" w:rsidRPr="00F616E2">
        <w:rPr>
          <w:kern w:val="22"/>
          <w:szCs w:val="22"/>
          <w:lang w:val="fr-FR"/>
        </w:rPr>
        <w:t xml:space="preserve"> </w:t>
      </w:r>
      <w:r w:rsidR="00F616E2">
        <w:rPr>
          <w:kern w:val="22"/>
          <w:szCs w:val="22"/>
          <w:lang w:val="fr-FR"/>
        </w:rPr>
        <w:t xml:space="preserve">permettrait de conférer une </w:t>
      </w:r>
      <w:r w:rsidR="00C076CA">
        <w:rPr>
          <w:kern w:val="22"/>
          <w:szCs w:val="22"/>
          <w:lang w:val="fr-FR"/>
        </w:rPr>
        <w:t xml:space="preserve">plus grande </w:t>
      </w:r>
      <w:r w:rsidR="00F616E2">
        <w:rPr>
          <w:kern w:val="22"/>
          <w:szCs w:val="22"/>
          <w:lang w:val="fr-FR"/>
        </w:rPr>
        <w:t>légitim</w:t>
      </w:r>
      <w:r w:rsidR="00C076CA">
        <w:rPr>
          <w:kern w:val="22"/>
          <w:szCs w:val="22"/>
          <w:lang w:val="fr-FR"/>
        </w:rPr>
        <w:t>it</w:t>
      </w:r>
      <w:r w:rsidR="00F616E2">
        <w:rPr>
          <w:kern w:val="22"/>
          <w:szCs w:val="22"/>
          <w:lang w:val="fr-FR"/>
        </w:rPr>
        <w:t xml:space="preserve">é à la reconnaissance d’un accord </w:t>
      </w:r>
      <w:r w:rsidR="0026155E" w:rsidRPr="00F616E2">
        <w:rPr>
          <w:kern w:val="22"/>
          <w:szCs w:val="22"/>
          <w:lang w:val="fr-FR"/>
        </w:rPr>
        <w:t>spécial</w:t>
      </w:r>
      <w:r w:rsidR="00F957CA" w:rsidRPr="00F616E2">
        <w:rPr>
          <w:kern w:val="22"/>
          <w:szCs w:val="22"/>
          <w:lang w:val="fr-FR"/>
        </w:rPr>
        <w:t>,</w:t>
      </w:r>
      <w:r w:rsidR="00F616E2">
        <w:rPr>
          <w:kern w:val="22"/>
          <w:szCs w:val="22"/>
          <w:lang w:val="fr-FR"/>
        </w:rPr>
        <w:t xml:space="preserve"> favorisant une pratique étatique cohérente</w:t>
      </w:r>
      <w:r w:rsidR="00F957CA" w:rsidRPr="00F616E2">
        <w:rPr>
          <w:kern w:val="22"/>
          <w:szCs w:val="22"/>
          <w:lang w:val="fr-FR"/>
        </w:rPr>
        <w:t xml:space="preserve">. </w:t>
      </w:r>
      <w:r w:rsidR="00D76FBF" w:rsidRPr="00F616E2">
        <w:rPr>
          <w:kern w:val="22"/>
          <w:szCs w:val="22"/>
          <w:lang w:val="fr-FR"/>
        </w:rPr>
        <w:t>De plus</w:t>
      </w:r>
      <w:r w:rsidR="00F616E2" w:rsidRPr="00F616E2">
        <w:rPr>
          <w:kern w:val="22"/>
          <w:szCs w:val="22"/>
          <w:lang w:val="fr-FR"/>
        </w:rPr>
        <w:t>, l</w:t>
      </w:r>
      <w:r w:rsidR="00A01DA3" w:rsidRPr="00F616E2">
        <w:rPr>
          <w:kern w:val="22"/>
          <w:szCs w:val="22"/>
          <w:lang w:val="fr-FR"/>
        </w:rPr>
        <w:t>a Conférence des Parties siégeant en tant que</w:t>
      </w:r>
      <w:r w:rsidR="00F246E2" w:rsidRPr="00F616E2">
        <w:rPr>
          <w:kern w:val="22"/>
          <w:szCs w:val="22"/>
          <w:lang w:val="fr-FR"/>
        </w:rPr>
        <w:t xml:space="preserve"> </w:t>
      </w:r>
      <w:r w:rsidR="00A01DA3" w:rsidRPr="00F616E2">
        <w:rPr>
          <w:kern w:val="22"/>
          <w:szCs w:val="22"/>
          <w:lang w:val="fr-FR"/>
        </w:rPr>
        <w:t>réunion</w:t>
      </w:r>
      <w:r w:rsidR="00F246E2" w:rsidRPr="00F616E2">
        <w:rPr>
          <w:kern w:val="22"/>
          <w:szCs w:val="22"/>
          <w:lang w:val="fr-FR"/>
        </w:rPr>
        <w:t xml:space="preserve"> </w:t>
      </w:r>
      <w:r w:rsidR="0045647A" w:rsidRPr="00F616E2">
        <w:rPr>
          <w:kern w:val="22"/>
          <w:szCs w:val="22"/>
          <w:lang w:val="fr-FR"/>
        </w:rPr>
        <w:t>des Par</w:t>
      </w:r>
      <w:r w:rsidR="00F246E2" w:rsidRPr="00F616E2">
        <w:rPr>
          <w:kern w:val="22"/>
          <w:szCs w:val="22"/>
          <w:lang w:val="fr-FR"/>
        </w:rPr>
        <w:t>ties</w:t>
      </w:r>
      <w:r w:rsidR="00F957CA" w:rsidRPr="00F616E2">
        <w:rPr>
          <w:kern w:val="22"/>
          <w:szCs w:val="22"/>
          <w:lang w:val="fr-FR"/>
        </w:rPr>
        <w:t xml:space="preserve"> </w:t>
      </w:r>
      <w:r w:rsidR="00C076CA">
        <w:rPr>
          <w:kern w:val="22"/>
          <w:szCs w:val="22"/>
          <w:lang w:val="fr-FR"/>
        </w:rPr>
        <w:t>serait bien placée pour tenir compte de</w:t>
      </w:r>
      <w:r w:rsidR="00F616E2">
        <w:rPr>
          <w:kern w:val="22"/>
          <w:szCs w:val="22"/>
          <w:lang w:val="fr-FR"/>
        </w:rPr>
        <w:t xml:space="preserve"> la volonté de toutes les </w:t>
      </w:r>
      <w:r w:rsidR="00F957CA" w:rsidRPr="00F616E2">
        <w:rPr>
          <w:kern w:val="22"/>
          <w:szCs w:val="22"/>
          <w:lang w:val="fr-FR"/>
        </w:rPr>
        <w:t xml:space="preserve">Parties </w:t>
      </w:r>
      <w:r w:rsidR="00A01DA3" w:rsidRPr="00F616E2">
        <w:rPr>
          <w:kern w:val="22"/>
          <w:szCs w:val="22"/>
          <w:lang w:val="fr-FR"/>
        </w:rPr>
        <w:t>au Protocole de Nagoya</w:t>
      </w:r>
      <w:r w:rsidR="00F957CA" w:rsidRPr="00F616E2">
        <w:rPr>
          <w:kern w:val="22"/>
          <w:szCs w:val="22"/>
          <w:lang w:val="fr-FR"/>
        </w:rPr>
        <w:t>,</w:t>
      </w:r>
      <w:r w:rsidR="00623402" w:rsidRPr="00F616E2">
        <w:rPr>
          <w:kern w:val="22"/>
          <w:szCs w:val="22"/>
          <w:lang w:val="fr-FR"/>
        </w:rPr>
        <w:t xml:space="preserve"> et</w:t>
      </w:r>
      <w:r w:rsidR="00C076CA">
        <w:rPr>
          <w:kern w:val="22"/>
          <w:szCs w:val="22"/>
          <w:lang w:val="fr-FR"/>
        </w:rPr>
        <w:t xml:space="preserve"> pour examiner</w:t>
      </w:r>
      <w:r w:rsidR="00F616E2">
        <w:rPr>
          <w:kern w:val="22"/>
          <w:szCs w:val="22"/>
          <w:lang w:val="fr-FR"/>
        </w:rPr>
        <w:t xml:space="preserve"> la nature de l’instrument considéré</w:t>
      </w:r>
      <w:r w:rsidR="00F957CA" w:rsidRPr="00F616E2">
        <w:rPr>
          <w:kern w:val="22"/>
          <w:szCs w:val="22"/>
          <w:lang w:val="fr-FR"/>
        </w:rPr>
        <w:t xml:space="preserve">. </w:t>
      </w:r>
      <w:r w:rsidR="00F616E2" w:rsidRPr="00F616E2">
        <w:rPr>
          <w:kern w:val="22"/>
          <w:szCs w:val="22"/>
          <w:lang w:val="fr-FR"/>
        </w:rPr>
        <w:t>Elle serait bien placée également pour tenir compte de</w:t>
      </w:r>
      <w:r w:rsidR="00C076CA">
        <w:rPr>
          <w:kern w:val="22"/>
          <w:szCs w:val="22"/>
          <w:lang w:val="fr-FR"/>
        </w:rPr>
        <w:t>s</w:t>
      </w:r>
      <w:r w:rsidR="00F616E2" w:rsidRPr="00F616E2">
        <w:rPr>
          <w:kern w:val="22"/>
          <w:szCs w:val="22"/>
          <w:lang w:val="fr-FR"/>
        </w:rPr>
        <w:t xml:space="preserve"> dif</w:t>
      </w:r>
      <w:r w:rsidR="00C076CA">
        <w:rPr>
          <w:kern w:val="22"/>
          <w:szCs w:val="22"/>
          <w:lang w:val="fr-FR"/>
        </w:rPr>
        <w:t>férents points de vue concernant</w:t>
      </w:r>
      <w:r w:rsidR="00F616E2" w:rsidRPr="00F616E2">
        <w:rPr>
          <w:kern w:val="22"/>
          <w:szCs w:val="22"/>
          <w:lang w:val="fr-FR"/>
        </w:rPr>
        <w:t xml:space="preserve"> </w:t>
      </w:r>
      <w:r w:rsidR="00C076CA">
        <w:rPr>
          <w:kern w:val="22"/>
          <w:szCs w:val="22"/>
          <w:lang w:val="fr-FR"/>
        </w:rPr>
        <w:t>une approche raisonnable pour appliquer l’instrument de façon à réduire au minimum les perturbations du</w:t>
      </w:r>
      <w:r w:rsidR="00F616E2">
        <w:rPr>
          <w:kern w:val="22"/>
          <w:szCs w:val="22"/>
          <w:lang w:val="fr-FR"/>
        </w:rPr>
        <w:t xml:space="preserve"> fonctionnement du système juridique.</w:t>
      </w:r>
      <w:r w:rsidR="00B55D08" w:rsidRPr="00F616E2">
        <w:rPr>
          <w:kern w:val="22"/>
          <w:szCs w:val="22"/>
          <w:lang w:val="fr-FR"/>
        </w:rPr>
        <w:t xml:space="preserve"> </w:t>
      </w:r>
      <w:r w:rsidR="00C076CA">
        <w:rPr>
          <w:kern w:val="22"/>
          <w:szCs w:val="22"/>
          <w:lang w:val="fr-FR"/>
        </w:rPr>
        <w:t>Les compétences attribuée</w:t>
      </w:r>
      <w:r w:rsidR="00F616E2" w:rsidRPr="00F616E2">
        <w:rPr>
          <w:kern w:val="22"/>
          <w:szCs w:val="22"/>
          <w:lang w:val="fr-FR"/>
        </w:rPr>
        <w:t>s à l</w:t>
      </w:r>
      <w:r w:rsidR="00A01DA3" w:rsidRPr="00F616E2">
        <w:rPr>
          <w:kern w:val="22"/>
          <w:szCs w:val="22"/>
          <w:lang w:val="fr-FR"/>
        </w:rPr>
        <w:t>a Conférence des Parties siégeant en tant que</w:t>
      </w:r>
      <w:r w:rsidR="00EE2C7A" w:rsidRPr="00F616E2">
        <w:rPr>
          <w:kern w:val="22"/>
          <w:szCs w:val="22"/>
          <w:lang w:val="fr-FR"/>
        </w:rPr>
        <w:t xml:space="preserve"> </w:t>
      </w:r>
      <w:r w:rsidR="00A01DA3" w:rsidRPr="00F616E2">
        <w:rPr>
          <w:kern w:val="22"/>
          <w:szCs w:val="22"/>
          <w:lang w:val="fr-FR"/>
        </w:rPr>
        <w:t>réunion</w:t>
      </w:r>
      <w:r w:rsidR="00EE2C7A" w:rsidRPr="00F616E2">
        <w:rPr>
          <w:kern w:val="22"/>
          <w:szCs w:val="22"/>
          <w:lang w:val="fr-FR"/>
        </w:rPr>
        <w:t xml:space="preserve"> </w:t>
      </w:r>
      <w:r w:rsidR="0045647A" w:rsidRPr="00F616E2">
        <w:rPr>
          <w:kern w:val="22"/>
          <w:szCs w:val="22"/>
          <w:lang w:val="fr-FR"/>
        </w:rPr>
        <w:t>des Par</w:t>
      </w:r>
      <w:r w:rsidR="00EE2C7A" w:rsidRPr="00F616E2">
        <w:rPr>
          <w:kern w:val="22"/>
          <w:szCs w:val="22"/>
          <w:lang w:val="fr-FR"/>
        </w:rPr>
        <w:t xml:space="preserve">ties </w:t>
      </w:r>
      <w:r w:rsidR="00A01DA3" w:rsidRPr="00F616E2">
        <w:rPr>
          <w:kern w:val="22"/>
          <w:szCs w:val="22"/>
          <w:lang w:val="fr-FR"/>
        </w:rPr>
        <w:t>au Protocole de Nagoya</w:t>
      </w:r>
      <w:r w:rsidR="00F616E2">
        <w:rPr>
          <w:kern w:val="22"/>
          <w:szCs w:val="22"/>
          <w:lang w:val="fr-FR"/>
        </w:rPr>
        <w:t xml:space="preserve"> lui permettent </w:t>
      </w:r>
      <w:r w:rsidR="00C076CA">
        <w:rPr>
          <w:kern w:val="22"/>
          <w:szCs w:val="22"/>
          <w:lang w:val="fr-FR"/>
        </w:rPr>
        <w:t xml:space="preserve">d’ores et </w:t>
      </w:r>
      <w:r w:rsidR="00F616E2">
        <w:rPr>
          <w:kern w:val="22"/>
          <w:szCs w:val="22"/>
          <w:lang w:val="fr-FR"/>
        </w:rPr>
        <w:t>déjà de remplir une te</w:t>
      </w:r>
      <w:r w:rsidR="00C076CA">
        <w:rPr>
          <w:kern w:val="22"/>
          <w:szCs w:val="22"/>
          <w:lang w:val="fr-FR"/>
        </w:rPr>
        <w:t>lle fonction, en particulier sa compétence en matière de formulation de</w:t>
      </w:r>
      <w:r w:rsidR="00F957CA" w:rsidRPr="00F616E2">
        <w:rPr>
          <w:kern w:val="22"/>
          <w:szCs w:val="22"/>
          <w:lang w:val="fr-FR"/>
        </w:rPr>
        <w:t xml:space="preserve"> </w:t>
      </w:r>
      <w:r w:rsidR="0045647A" w:rsidRPr="00F616E2">
        <w:rPr>
          <w:kern w:val="22"/>
          <w:szCs w:val="22"/>
          <w:lang w:val="fr-FR"/>
        </w:rPr>
        <w:t>recommandation</w:t>
      </w:r>
      <w:r w:rsidR="00F957CA" w:rsidRPr="00F616E2">
        <w:rPr>
          <w:kern w:val="22"/>
          <w:szCs w:val="22"/>
          <w:lang w:val="fr-FR"/>
        </w:rPr>
        <w:t xml:space="preserve">s </w:t>
      </w:r>
      <w:r w:rsidR="00C076CA">
        <w:rPr>
          <w:kern w:val="22"/>
          <w:szCs w:val="22"/>
          <w:lang w:val="fr-FR"/>
        </w:rPr>
        <w:t>sur les questions nécessair</w:t>
      </w:r>
      <w:r w:rsidR="00F616E2">
        <w:rPr>
          <w:kern w:val="22"/>
          <w:szCs w:val="22"/>
          <w:lang w:val="fr-FR"/>
        </w:rPr>
        <w:t xml:space="preserve">es pour </w:t>
      </w:r>
      <w:r w:rsidR="00F83893" w:rsidRPr="00F616E2">
        <w:rPr>
          <w:kern w:val="22"/>
          <w:szCs w:val="22"/>
          <w:lang w:val="fr-FR"/>
        </w:rPr>
        <w:t>l’application</w:t>
      </w:r>
      <w:r w:rsidR="00F957CA" w:rsidRPr="00F616E2">
        <w:rPr>
          <w:kern w:val="22"/>
          <w:szCs w:val="22"/>
          <w:lang w:val="fr-FR"/>
        </w:rPr>
        <w:t xml:space="preserve"> </w:t>
      </w:r>
      <w:r w:rsidR="005D3CDB" w:rsidRPr="00F616E2">
        <w:rPr>
          <w:kern w:val="22"/>
          <w:szCs w:val="22"/>
          <w:lang w:val="fr-FR"/>
        </w:rPr>
        <w:t>du Pro</w:t>
      </w:r>
      <w:r w:rsidR="00F957CA" w:rsidRPr="00F616E2">
        <w:rPr>
          <w:kern w:val="22"/>
          <w:szCs w:val="22"/>
          <w:lang w:val="fr-FR"/>
        </w:rPr>
        <w:t>tocol</w:t>
      </w:r>
      <w:r w:rsidR="00F616E2">
        <w:rPr>
          <w:kern w:val="22"/>
          <w:szCs w:val="22"/>
          <w:lang w:val="fr-FR"/>
        </w:rPr>
        <w:t>e</w:t>
      </w:r>
      <w:r w:rsidR="00F957CA" w:rsidRPr="00F616E2">
        <w:rPr>
          <w:kern w:val="22"/>
          <w:szCs w:val="22"/>
          <w:lang w:val="fr-FR"/>
        </w:rPr>
        <w:t xml:space="preserve">, </w:t>
      </w:r>
      <w:r w:rsidR="00C076CA">
        <w:rPr>
          <w:kern w:val="22"/>
          <w:szCs w:val="22"/>
          <w:lang w:val="fr-FR"/>
        </w:rPr>
        <w:t xml:space="preserve">dans le cadre de sa fonction générale de supervision </w:t>
      </w:r>
      <w:r w:rsidR="00F616E2">
        <w:rPr>
          <w:kern w:val="22"/>
          <w:szCs w:val="22"/>
          <w:lang w:val="fr-FR"/>
        </w:rPr>
        <w:t xml:space="preserve">et </w:t>
      </w:r>
      <w:r w:rsidR="00C076CA">
        <w:rPr>
          <w:kern w:val="22"/>
          <w:szCs w:val="22"/>
          <w:lang w:val="fr-FR"/>
        </w:rPr>
        <w:t xml:space="preserve">de </w:t>
      </w:r>
      <w:r w:rsidR="00F616E2">
        <w:rPr>
          <w:kern w:val="22"/>
          <w:szCs w:val="22"/>
          <w:lang w:val="fr-FR"/>
        </w:rPr>
        <w:t>promotion d’une application effective de l’accord</w:t>
      </w:r>
      <w:r w:rsidR="00F957CA" w:rsidRPr="00F616E2">
        <w:rPr>
          <w:kern w:val="22"/>
          <w:szCs w:val="22"/>
          <w:lang w:val="fr-FR"/>
        </w:rPr>
        <w:t>.</w:t>
      </w:r>
    </w:p>
    <w:p w:rsidR="00F957CA" w:rsidRPr="0068518D" w:rsidRDefault="0068518D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68518D">
        <w:rPr>
          <w:kern w:val="22"/>
          <w:szCs w:val="22"/>
          <w:lang w:val="fr-FR"/>
        </w:rPr>
        <w:t xml:space="preserve">Les inconvénients d’une telle approche incluent un manque d’expertise </w:t>
      </w:r>
      <w:r>
        <w:rPr>
          <w:kern w:val="22"/>
          <w:szCs w:val="22"/>
          <w:lang w:val="fr-FR"/>
        </w:rPr>
        <w:t>potentie</w:t>
      </w:r>
      <w:r w:rsidRPr="0068518D">
        <w:rPr>
          <w:kern w:val="22"/>
          <w:szCs w:val="22"/>
          <w:lang w:val="fr-FR"/>
        </w:rPr>
        <w:t xml:space="preserve">l au sein de la </w:t>
      </w:r>
      <w:r w:rsidR="00A01DA3" w:rsidRPr="0068518D">
        <w:rPr>
          <w:kern w:val="22"/>
          <w:szCs w:val="22"/>
          <w:lang w:val="fr-FR"/>
        </w:rPr>
        <w:t>Conférence des Parties siégeant en tant que</w:t>
      </w:r>
      <w:r w:rsidR="00F246E2" w:rsidRPr="0068518D">
        <w:rPr>
          <w:kern w:val="22"/>
          <w:szCs w:val="22"/>
          <w:lang w:val="fr-FR"/>
        </w:rPr>
        <w:t xml:space="preserve"> </w:t>
      </w:r>
      <w:r w:rsidR="00A01DA3" w:rsidRPr="0068518D">
        <w:rPr>
          <w:kern w:val="22"/>
          <w:szCs w:val="22"/>
          <w:lang w:val="fr-FR"/>
        </w:rPr>
        <w:t>réunion</w:t>
      </w:r>
      <w:r w:rsidR="00F246E2" w:rsidRPr="0068518D">
        <w:rPr>
          <w:kern w:val="22"/>
          <w:szCs w:val="22"/>
          <w:lang w:val="fr-FR"/>
        </w:rPr>
        <w:t xml:space="preserve"> </w:t>
      </w:r>
      <w:r w:rsidR="0045647A" w:rsidRPr="0068518D">
        <w:rPr>
          <w:kern w:val="22"/>
          <w:szCs w:val="22"/>
          <w:lang w:val="fr-FR"/>
        </w:rPr>
        <w:t>des Par</w:t>
      </w:r>
      <w:r w:rsidR="00F246E2" w:rsidRPr="0068518D">
        <w:rPr>
          <w:kern w:val="22"/>
          <w:szCs w:val="22"/>
          <w:lang w:val="fr-FR"/>
        </w:rPr>
        <w:t>ties</w:t>
      </w:r>
      <w:r w:rsidR="00C076CA">
        <w:rPr>
          <w:kern w:val="22"/>
          <w:szCs w:val="22"/>
          <w:lang w:val="fr-FR"/>
        </w:rPr>
        <w:t xml:space="preserve"> sur d</w:t>
      </w:r>
      <w:r>
        <w:rPr>
          <w:kern w:val="22"/>
          <w:szCs w:val="22"/>
          <w:lang w:val="fr-FR"/>
        </w:rPr>
        <w:t>es thèmes spéciaux</w:t>
      </w:r>
      <w:r w:rsidR="00C076CA">
        <w:rPr>
          <w:kern w:val="22"/>
          <w:szCs w:val="22"/>
          <w:lang w:val="fr-FR"/>
        </w:rPr>
        <w:t xml:space="preserve">, ainsi que les sensibilités </w:t>
      </w:r>
      <w:r>
        <w:rPr>
          <w:kern w:val="22"/>
          <w:szCs w:val="22"/>
          <w:lang w:val="fr-FR"/>
        </w:rPr>
        <w:t>diplomatique</w:t>
      </w:r>
      <w:r w:rsidR="00C076CA">
        <w:rPr>
          <w:kern w:val="22"/>
          <w:szCs w:val="22"/>
          <w:lang w:val="fr-FR"/>
        </w:rPr>
        <w:t>s</w:t>
      </w:r>
      <w:r w:rsidR="00F957CA" w:rsidRPr="0068518D">
        <w:rPr>
          <w:kern w:val="22"/>
          <w:szCs w:val="22"/>
          <w:lang w:val="fr-FR"/>
        </w:rPr>
        <w:t xml:space="preserve"> </w:t>
      </w:r>
      <w:r w:rsidR="00C076CA">
        <w:rPr>
          <w:kern w:val="22"/>
          <w:szCs w:val="22"/>
          <w:lang w:val="fr-FR"/>
        </w:rPr>
        <w:t>liées au</w:t>
      </w:r>
      <w:r>
        <w:rPr>
          <w:kern w:val="22"/>
          <w:szCs w:val="22"/>
          <w:lang w:val="fr-FR"/>
        </w:rPr>
        <w:t xml:space="preserve"> besoin de respecter le mandat des </w:t>
      </w:r>
      <w:r w:rsidR="00623402" w:rsidRPr="0068518D">
        <w:rPr>
          <w:kern w:val="22"/>
          <w:szCs w:val="22"/>
          <w:lang w:val="fr-FR"/>
        </w:rPr>
        <w:t xml:space="preserve">autres </w:t>
      </w:r>
      <w:r w:rsidR="00B55D08" w:rsidRPr="0068518D">
        <w:rPr>
          <w:kern w:val="22"/>
          <w:szCs w:val="22"/>
          <w:lang w:val="fr-FR"/>
        </w:rPr>
        <w:t>organisations internationales</w:t>
      </w:r>
      <w:r w:rsidR="00623402" w:rsidRPr="0068518D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l’autonomie des </w:t>
      </w:r>
      <w:r w:rsidR="00623402" w:rsidRPr="0068518D">
        <w:rPr>
          <w:kern w:val="22"/>
          <w:szCs w:val="22"/>
          <w:lang w:val="fr-FR"/>
        </w:rPr>
        <w:t xml:space="preserve">autres </w:t>
      </w:r>
      <w:r>
        <w:rPr>
          <w:kern w:val="22"/>
          <w:szCs w:val="22"/>
          <w:lang w:val="fr-FR"/>
        </w:rPr>
        <w:t>ré</w:t>
      </w:r>
      <w:r w:rsidR="00F957CA" w:rsidRPr="0068518D">
        <w:rPr>
          <w:kern w:val="22"/>
          <w:szCs w:val="22"/>
          <w:lang w:val="fr-FR"/>
        </w:rPr>
        <w:t>gimes</w:t>
      </w:r>
      <w:r>
        <w:rPr>
          <w:kern w:val="22"/>
          <w:szCs w:val="22"/>
          <w:lang w:val="fr-FR"/>
        </w:rPr>
        <w:t xml:space="preserve"> internationaux</w:t>
      </w:r>
      <w:r w:rsidR="00F957CA" w:rsidRPr="0068518D">
        <w:rPr>
          <w:kern w:val="22"/>
          <w:szCs w:val="22"/>
          <w:lang w:val="fr-FR"/>
        </w:rPr>
        <w:t xml:space="preserve">. </w:t>
      </w:r>
      <w:r w:rsidRPr="0068518D">
        <w:rPr>
          <w:kern w:val="22"/>
          <w:szCs w:val="22"/>
          <w:lang w:val="fr-FR"/>
        </w:rPr>
        <w:t xml:space="preserve">Les </w:t>
      </w:r>
      <w:r>
        <w:rPr>
          <w:kern w:val="22"/>
          <w:szCs w:val="22"/>
          <w:lang w:val="fr-FR"/>
        </w:rPr>
        <w:t>diffé</w:t>
      </w:r>
      <w:r w:rsidR="00C076CA">
        <w:rPr>
          <w:kern w:val="22"/>
          <w:szCs w:val="22"/>
          <w:lang w:val="fr-FR"/>
        </w:rPr>
        <w:t>rences d’Etats membres des différents régimes et instruments</w:t>
      </w:r>
      <w:r w:rsidRPr="0068518D">
        <w:rPr>
          <w:kern w:val="22"/>
          <w:szCs w:val="22"/>
          <w:lang w:val="fr-FR"/>
        </w:rPr>
        <w:t xml:space="preserve"> constituent un défi supplémentaire pour prendre des </w:t>
      </w:r>
      <w:r>
        <w:rPr>
          <w:kern w:val="22"/>
          <w:szCs w:val="22"/>
          <w:lang w:val="fr-FR"/>
        </w:rPr>
        <w:t>dé</w:t>
      </w:r>
      <w:r w:rsidRPr="0068518D">
        <w:rPr>
          <w:kern w:val="22"/>
          <w:szCs w:val="22"/>
          <w:lang w:val="fr-FR"/>
        </w:rPr>
        <w:t xml:space="preserve">cisions </w:t>
      </w:r>
      <w:r>
        <w:rPr>
          <w:kern w:val="22"/>
          <w:szCs w:val="22"/>
          <w:lang w:val="fr-FR"/>
        </w:rPr>
        <w:t>dans diffé</w:t>
      </w:r>
      <w:r w:rsidR="00F957CA" w:rsidRPr="0068518D">
        <w:rPr>
          <w:kern w:val="22"/>
          <w:szCs w:val="22"/>
          <w:lang w:val="fr-FR"/>
        </w:rPr>
        <w:t>rent</w:t>
      </w:r>
      <w:r>
        <w:rPr>
          <w:kern w:val="22"/>
          <w:szCs w:val="22"/>
          <w:lang w:val="fr-FR"/>
        </w:rPr>
        <w:t>es</w:t>
      </w:r>
      <w:r w:rsidR="00F957CA" w:rsidRPr="0068518D">
        <w:rPr>
          <w:kern w:val="22"/>
          <w:szCs w:val="22"/>
          <w:lang w:val="fr-FR"/>
        </w:rPr>
        <w:t xml:space="preserve"> </w:t>
      </w:r>
      <w:r w:rsidR="00E14372" w:rsidRPr="0068518D">
        <w:rPr>
          <w:kern w:val="22"/>
          <w:szCs w:val="22"/>
          <w:lang w:val="fr-FR"/>
        </w:rPr>
        <w:t>instance</w:t>
      </w:r>
      <w:r w:rsidR="00A255FB" w:rsidRPr="0068518D">
        <w:rPr>
          <w:kern w:val="22"/>
          <w:szCs w:val="22"/>
          <w:lang w:val="fr-FR"/>
        </w:rPr>
        <w:t>s</w:t>
      </w:r>
      <w:r w:rsidR="00F957CA" w:rsidRPr="0068518D">
        <w:rPr>
          <w:kern w:val="22"/>
          <w:szCs w:val="22"/>
          <w:lang w:val="fr-FR"/>
        </w:rPr>
        <w:t>.</w:t>
      </w:r>
    </w:p>
    <w:p w:rsidR="00F957CA" w:rsidRPr="004A1AB3" w:rsidRDefault="00C20CF2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C01103">
        <w:rPr>
          <w:kern w:val="22"/>
          <w:szCs w:val="22"/>
          <w:lang w:val="fr-FR"/>
        </w:rPr>
        <w:t xml:space="preserve">A la lumière de ce qui </w:t>
      </w:r>
      <w:r w:rsidR="00231CD8" w:rsidRPr="00C01103">
        <w:rPr>
          <w:kern w:val="22"/>
          <w:szCs w:val="22"/>
          <w:lang w:val="fr-FR"/>
        </w:rPr>
        <w:t>précè</w:t>
      </w:r>
      <w:r w:rsidR="0068518D">
        <w:rPr>
          <w:kern w:val="22"/>
          <w:szCs w:val="22"/>
          <w:lang w:val="fr-FR"/>
        </w:rPr>
        <w:t>de, il est recommandé que l</w:t>
      </w:r>
      <w:r w:rsidRPr="00C01103">
        <w:rPr>
          <w:kern w:val="22"/>
          <w:szCs w:val="22"/>
          <w:lang w:val="fr-FR"/>
        </w:rPr>
        <w:t xml:space="preserve">es </w:t>
      </w:r>
      <w:r w:rsidR="00F957CA" w:rsidRPr="00C01103">
        <w:rPr>
          <w:kern w:val="22"/>
          <w:szCs w:val="22"/>
          <w:lang w:val="fr-FR"/>
        </w:rPr>
        <w:t xml:space="preserve">Parties </w:t>
      </w:r>
      <w:r w:rsidR="00A01DA3" w:rsidRPr="00C01103">
        <w:rPr>
          <w:kern w:val="22"/>
          <w:szCs w:val="22"/>
          <w:lang w:val="fr-FR"/>
        </w:rPr>
        <w:t>au Protocole de Nagoya</w:t>
      </w:r>
      <w:r w:rsidR="00C076CA">
        <w:rPr>
          <w:kern w:val="22"/>
          <w:szCs w:val="22"/>
          <w:lang w:val="fr-FR"/>
        </w:rPr>
        <w:t xml:space="preserve"> engagent</w:t>
      </w:r>
      <w:r w:rsidR="00C01103" w:rsidRPr="00C01103">
        <w:rPr>
          <w:kern w:val="22"/>
          <w:szCs w:val="22"/>
          <w:lang w:val="fr-FR"/>
        </w:rPr>
        <w:t xml:space="preserve"> au niveau </w:t>
      </w:r>
      <w:r w:rsidR="00C076CA">
        <w:rPr>
          <w:kern w:val="22"/>
          <w:szCs w:val="22"/>
          <w:lang w:val="fr-FR"/>
        </w:rPr>
        <w:t>international</w:t>
      </w:r>
      <w:r w:rsidR="00C01103">
        <w:rPr>
          <w:kern w:val="22"/>
          <w:szCs w:val="22"/>
          <w:lang w:val="fr-FR"/>
        </w:rPr>
        <w:t xml:space="preserve"> un </w:t>
      </w:r>
      <w:r w:rsidR="00F957CA" w:rsidRPr="00C01103">
        <w:rPr>
          <w:kern w:val="22"/>
          <w:szCs w:val="22"/>
          <w:lang w:val="fr-FR"/>
        </w:rPr>
        <w:t xml:space="preserve">dialogue </w:t>
      </w:r>
      <w:r w:rsidR="00C076CA">
        <w:rPr>
          <w:kern w:val="22"/>
          <w:szCs w:val="22"/>
          <w:lang w:val="fr-FR"/>
        </w:rPr>
        <w:t>spécifiquement axé sur le</w:t>
      </w:r>
      <w:r w:rsidR="00C01103">
        <w:rPr>
          <w:kern w:val="22"/>
          <w:szCs w:val="22"/>
          <w:lang w:val="fr-FR"/>
        </w:rPr>
        <w:t xml:space="preserve"> renforcement mutuel</w:t>
      </w:r>
      <w:r w:rsidR="00623402" w:rsidRPr="00C01103">
        <w:rPr>
          <w:kern w:val="22"/>
          <w:szCs w:val="22"/>
          <w:lang w:val="fr-FR"/>
        </w:rPr>
        <w:t xml:space="preserve"> et </w:t>
      </w:r>
      <w:r w:rsidR="00C076CA">
        <w:rPr>
          <w:kern w:val="22"/>
          <w:szCs w:val="22"/>
          <w:lang w:val="fr-FR"/>
        </w:rPr>
        <w:t>l’</w:t>
      </w:r>
      <w:r w:rsidR="00C01103">
        <w:rPr>
          <w:kern w:val="22"/>
          <w:szCs w:val="22"/>
          <w:lang w:val="fr-FR"/>
        </w:rPr>
        <w:t>apprentissage mutuel entre l</w:t>
      </w:r>
      <w:r w:rsidR="00A01DA3" w:rsidRPr="00C01103">
        <w:rPr>
          <w:kern w:val="22"/>
          <w:szCs w:val="22"/>
          <w:lang w:val="fr-FR"/>
        </w:rPr>
        <w:t>a Conférence des Parties siégeant en tant que</w:t>
      </w:r>
      <w:r w:rsidR="00F246E2" w:rsidRPr="00C01103">
        <w:rPr>
          <w:kern w:val="22"/>
          <w:szCs w:val="22"/>
          <w:lang w:val="fr-FR"/>
        </w:rPr>
        <w:t xml:space="preserve"> </w:t>
      </w:r>
      <w:r w:rsidR="00A01DA3" w:rsidRPr="00C01103">
        <w:rPr>
          <w:kern w:val="22"/>
          <w:szCs w:val="22"/>
          <w:lang w:val="fr-FR"/>
        </w:rPr>
        <w:t>réunion</w:t>
      </w:r>
      <w:r w:rsidR="00F246E2" w:rsidRPr="00C01103">
        <w:rPr>
          <w:kern w:val="22"/>
          <w:szCs w:val="22"/>
          <w:lang w:val="fr-FR"/>
        </w:rPr>
        <w:t xml:space="preserve"> </w:t>
      </w:r>
      <w:r w:rsidR="0045647A" w:rsidRPr="00C01103">
        <w:rPr>
          <w:kern w:val="22"/>
          <w:szCs w:val="22"/>
          <w:lang w:val="fr-FR"/>
        </w:rPr>
        <w:t>des Par</w:t>
      </w:r>
      <w:r w:rsidR="00F246E2" w:rsidRPr="00C01103">
        <w:rPr>
          <w:kern w:val="22"/>
          <w:szCs w:val="22"/>
          <w:lang w:val="fr-FR"/>
        </w:rPr>
        <w:t>ties</w:t>
      </w:r>
      <w:r w:rsidR="00623402" w:rsidRPr="00C01103">
        <w:rPr>
          <w:kern w:val="22"/>
          <w:szCs w:val="22"/>
          <w:lang w:val="fr-FR"/>
        </w:rPr>
        <w:t xml:space="preserve"> et </w:t>
      </w:r>
      <w:r w:rsidR="000B4686">
        <w:rPr>
          <w:kern w:val="22"/>
          <w:szCs w:val="22"/>
          <w:lang w:val="fr-FR"/>
        </w:rPr>
        <w:t>l’instance dans</w:t>
      </w:r>
      <w:r w:rsidR="00C01103">
        <w:rPr>
          <w:kern w:val="22"/>
          <w:szCs w:val="22"/>
          <w:lang w:val="fr-FR"/>
        </w:rPr>
        <w:t xml:space="preserve"> laquell</w:t>
      </w:r>
      <w:r w:rsidR="000B4686">
        <w:rPr>
          <w:kern w:val="22"/>
          <w:szCs w:val="22"/>
          <w:lang w:val="fr-FR"/>
        </w:rPr>
        <w:t>e un nouvel instrument est examiné</w:t>
      </w:r>
      <w:r w:rsidR="00F957CA" w:rsidRPr="00C01103">
        <w:rPr>
          <w:kern w:val="22"/>
          <w:szCs w:val="22"/>
          <w:lang w:val="fr-FR"/>
        </w:rPr>
        <w:t xml:space="preserve">. </w:t>
      </w:r>
      <w:r w:rsidR="00D76FBF">
        <w:rPr>
          <w:kern w:val="22"/>
          <w:szCs w:val="22"/>
          <w:lang w:val="fr-FR"/>
        </w:rPr>
        <w:t>De plus</w:t>
      </w:r>
      <w:r w:rsidR="0068518D">
        <w:rPr>
          <w:kern w:val="22"/>
          <w:szCs w:val="22"/>
          <w:lang w:val="fr-FR"/>
        </w:rPr>
        <w:t>, au niv</w:t>
      </w:r>
      <w:r w:rsidR="00D066C3">
        <w:rPr>
          <w:kern w:val="22"/>
          <w:szCs w:val="22"/>
          <w:lang w:val="fr-FR"/>
        </w:rPr>
        <w:t>eau national</w:t>
      </w:r>
      <w:r w:rsidR="0068518D">
        <w:rPr>
          <w:kern w:val="22"/>
          <w:szCs w:val="22"/>
          <w:lang w:val="fr-FR"/>
        </w:rPr>
        <w:t xml:space="preserve">, il revient aux </w:t>
      </w:r>
      <w:r w:rsidR="00D066C3">
        <w:rPr>
          <w:kern w:val="22"/>
          <w:szCs w:val="22"/>
          <w:lang w:val="fr-FR"/>
        </w:rPr>
        <w:t>autorités compétentes</w:t>
      </w:r>
      <w:r w:rsidR="0068518D">
        <w:rPr>
          <w:kern w:val="22"/>
          <w:szCs w:val="22"/>
          <w:lang w:val="fr-FR"/>
        </w:rPr>
        <w:t xml:space="preserve"> </w:t>
      </w:r>
      <w:r w:rsidR="000B4686">
        <w:rPr>
          <w:kern w:val="22"/>
          <w:szCs w:val="22"/>
          <w:lang w:val="fr-FR"/>
        </w:rPr>
        <w:t xml:space="preserve">des Parties </w:t>
      </w:r>
      <w:r w:rsidR="0068518D">
        <w:rPr>
          <w:kern w:val="22"/>
          <w:szCs w:val="22"/>
          <w:lang w:val="fr-FR"/>
        </w:rPr>
        <w:t>(potentiellement dans diffé</w:t>
      </w:r>
      <w:r w:rsidR="00F957CA" w:rsidRPr="004A1AB3">
        <w:rPr>
          <w:kern w:val="22"/>
          <w:szCs w:val="22"/>
          <w:lang w:val="fr-FR"/>
        </w:rPr>
        <w:t>rent</w:t>
      </w:r>
      <w:r w:rsidR="0068518D">
        <w:rPr>
          <w:kern w:val="22"/>
          <w:szCs w:val="22"/>
          <w:lang w:val="fr-FR"/>
        </w:rPr>
        <w:t>s secteu</w:t>
      </w:r>
      <w:r w:rsidR="000B4686">
        <w:rPr>
          <w:kern w:val="22"/>
          <w:szCs w:val="22"/>
          <w:lang w:val="fr-FR"/>
        </w:rPr>
        <w:t>rs) de faire en sorte que l’</w:t>
      </w:r>
      <w:r w:rsidR="0068518D">
        <w:rPr>
          <w:kern w:val="22"/>
          <w:szCs w:val="22"/>
          <w:lang w:val="fr-FR"/>
        </w:rPr>
        <w:t>approche de</w:t>
      </w:r>
      <w:r w:rsidR="00F957CA" w:rsidRPr="004A1AB3">
        <w:rPr>
          <w:kern w:val="22"/>
          <w:szCs w:val="22"/>
          <w:lang w:val="fr-FR"/>
        </w:rPr>
        <w:t xml:space="preserve"> </w:t>
      </w:r>
      <w:r w:rsidR="00E14372">
        <w:rPr>
          <w:kern w:val="22"/>
          <w:szCs w:val="22"/>
          <w:lang w:val="fr-FR"/>
        </w:rPr>
        <w:t>renforcement mutuel</w:t>
      </w:r>
      <w:r w:rsidR="0068518D">
        <w:rPr>
          <w:kern w:val="22"/>
          <w:szCs w:val="22"/>
          <w:lang w:val="fr-FR"/>
        </w:rPr>
        <w:t xml:space="preserve"> p</w:t>
      </w:r>
      <w:r w:rsidR="00F957CA" w:rsidRPr="004A1AB3">
        <w:rPr>
          <w:kern w:val="22"/>
          <w:szCs w:val="22"/>
          <w:lang w:val="fr-FR"/>
        </w:rPr>
        <w:t>ropos</w:t>
      </w:r>
      <w:r w:rsidR="0068518D">
        <w:rPr>
          <w:kern w:val="22"/>
          <w:szCs w:val="22"/>
          <w:lang w:val="fr-FR"/>
        </w:rPr>
        <w:t>ée</w:t>
      </w:r>
      <w:r w:rsidR="00F957CA" w:rsidRPr="004A1AB3">
        <w:rPr>
          <w:kern w:val="22"/>
          <w:szCs w:val="22"/>
          <w:lang w:val="fr-FR"/>
        </w:rPr>
        <w:t xml:space="preserve"> </w:t>
      </w:r>
      <w:r w:rsidR="00D066C3">
        <w:rPr>
          <w:kern w:val="22"/>
          <w:szCs w:val="22"/>
          <w:lang w:val="fr-FR"/>
        </w:rPr>
        <w:t>par la</w:t>
      </w:r>
      <w:r w:rsidR="00A01DA3" w:rsidRPr="004A1AB3">
        <w:rPr>
          <w:kern w:val="22"/>
          <w:szCs w:val="22"/>
          <w:lang w:val="fr-FR"/>
        </w:rPr>
        <w:t xml:space="preserve"> Conférence des Parties siégeant en tant que</w:t>
      </w:r>
      <w:r w:rsidR="00F246E2" w:rsidRPr="004A1AB3">
        <w:rPr>
          <w:kern w:val="22"/>
          <w:szCs w:val="22"/>
          <w:lang w:val="fr-FR"/>
        </w:rPr>
        <w:t xml:space="preserve"> </w:t>
      </w:r>
      <w:r w:rsidR="00A01DA3" w:rsidRPr="004A1AB3">
        <w:rPr>
          <w:kern w:val="22"/>
          <w:szCs w:val="22"/>
          <w:lang w:val="fr-FR"/>
        </w:rPr>
        <w:t>réunion</w:t>
      </w:r>
      <w:r w:rsidR="00F246E2" w:rsidRPr="004A1AB3">
        <w:rPr>
          <w:kern w:val="22"/>
          <w:szCs w:val="22"/>
          <w:lang w:val="fr-FR"/>
        </w:rPr>
        <w:t xml:space="preserve"> </w:t>
      </w:r>
      <w:r w:rsidR="0045647A" w:rsidRPr="004A1AB3">
        <w:rPr>
          <w:kern w:val="22"/>
          <w:szCs w:val="22"/>
          <w:lang w:val="fr-FR"/>
        </w:rPr>
        <w:t>des Par</w:t>
      </w:r>
      <w:r w:rsidR="00F246E2" w:rsidRPr="004A1AB3">
        <w:rPr>
          <w:kern w:val="22"/>
          <w:szCs w:val="22"/>
          <w:lang w:val="fr-FR"/>
        </w:rPr>
        <w:t>ties</w:t>
      </w:r>
      <w:r w:rsidR="00F957CA" w:rsidRPr="004A1AB3">
        <w:rPr>
          <w:kern w:val="22"/>
          <w:szCs w:val="22"/>
          <w:lang w:val="fr-FR"/>
        </w:rPr>
        <w:t xml:space="preserve"> </w:t>
      </w:r>
      <w:r w:rsidR="000B4686">
        <w:rPr>
          <w:kern w:val="22"/>
          <w:szCs w:val="22"/>
          <w:lang w:val="fr-FR"/>
        </w:rPr>
        <w:t>soit utilisée</w:t>
      </w:r>
      <w:r w:rsidR="0068518D">
        <w:rPr>
          <w:kern w:val="22"/>
          <w:szCs w:val="22"/>
          <w:lang w:val="fr-FR"/>
        </w:rPr>
        <w:t xml:space="preserve"> dans </w:t>
      </w:r>
      <w:r w:rsidR="000B4686">
        <w:rPr>
          <w:kern w:val="22"/>
          <w:szCs w:val="22"/>
          <w:lang w:val="fr-FR"/>
        </w:rPr>
        <w:t>le cadre des initiatives d’</w:t>
      </w:r>
      <w:r w:rsidR="0068518D">
        <w:rPr>
          <w:kern w:val="22"/>
          <w:szCs w:val="22"/>
          <w:lang w:val="fr-FR"/>
        </w:rPr>
        <w:t>interpré</w:t>
      </w:r>
      <w:r w:rsidR="00F957CA" w:rsidRPr="004A1AB3">
        <w:rPr>
          <w:kern w:val="22"/>
          <w:szCs w:val="22"/>
          <w:lang w:val="fr-FR"/>
        </w:rPr>
        <w:t>tation</w:t>
      </w:r>
      <w:r w:rsidR="00623402" w:rsidRPr="004A1AB3">
        <w:rPr>
          <w:kern w:val="22"/>
          <w:szCs w:val="22"/>
          <w:lang w:val="fr-FR"/>
        </w:rPr>
        <w:t xml:space="preserve"> et </w:t>
      </w:r>
      <w:r w:rsidR="000B4686">
        <w:rPr>
          <w:kern w:val="22"/>
          <w:szCs w:val="22"/>
          <w:lang w:val="fr-FR"/>
        </w:rPr>
        <w:t>d</w:t>
      </w:r>
      <w:r w:rsidR="00F83893" w:rsidRPr="004A1AB3">
        <w:rPr>
          <w:kern w:val="22"/>
          <w:szCs w:val="22"/>
          <w:lang w:val="fr-FR"/>
        </w:rPr>
        <w:t>’application</w:t>
      </w:r>
      <w:r w:rsidR="000B4686">
        <w:rPr>
          <w:kern w:val="22"/>
          <w:szCs w:val="22"/>
          <w:lang w:val="fr-FR"/>
        </w:rPr>
        <w:t xml:space="preserve"> menées dans </w:t>
      </w:r>
      <w:r w:rsidR="0068518D">
        <w:rPr>
          <w:kern w:val="22"/>
          <w:szCs w:val="22"/>
          <w:lang w:val="fr-FR"/>
        </w:rPr>
        <w:t>d’</w:t>
      </w:r>
      <w:r w:rsidR="00623402" w:rsidRPr="004A1AB3">
        <w:rPr>
          <w:kern w:val="22"/>
          <w:szCs w:val="22"/>
          <w:lang w:val="fr-FR"/>
        </w:rPr>
        <w:t xml:space="preserve">autres </w:t>
      </w:r>
      <w:r w:rsidR="00E14372">
        <w:rPr>
          <w:kern w:val="22"/>
          <w:szCs w:val="22"/>
          <w:lang w:val="fr-FR"/>
        </w:rPr>
        <w:t>instance</w:t>
      </w:r>
      <w:r w:rsidR="00A255FB" w:rsidRPr="004A1AB3">
        <w:rPr>
          <w:kern w:val="22"/>
          <w:szCs w:val="22"/>
          <w:lang w:val="fr-FR"/>
        </w:rPr>
        <w:t>s</w:t>
      </w:r>
      <w:r w:rsidR="00623402" w:rsidRPr="004A1AB3">
        <w:rPr>
          <w:kern w:val="22"/>
          <w:szCs w:val="22"/>
          <w:lang w:val="fr-FR"/>
        </w:rPr>
        <w:t xml:space="preserve"> et </w:t>
      </w:r>
      <w:r w:rsidR="0068518D">
        <w:rPr>
          <w:kern w:val="22"/>
          <w:szCs w:val="22"/>
          <w:lang w:val="fr-FR"/>
        </w:rPr>
        <w:t>d’</w:t>
      </w:r>
      <w:r w:rsidR="00623402" w:rsidRPr="004A1AB3">
        <w:rPr>
          <w:kern w:val="22"/>
          <w:szCs w:val="22"/>
          <w:lang w:val="fr-FR"/>
        </w:rPr>
        <w:t xml:space="preserve">autres </w:t>
      </w:r>
      <w:r w:rsidR="004A1AB3" w:rsidRPr="004A1AB3">
        <w:rPr>
          <w:kern w:val="22"/>
          <w:szCs w:val="22"/>
          <w:lang w:val="fr-FR"/>
        </w:rPr>
        <w:t>instrument</w:t>
      </w:r>
      <w:r w:rsidR="0068518D">
        <w:rPr>
          <w:kern w:val="22"/>
          <w:szCs w:val="22"/>
          <w:lang w:val="fr-FR"/>
        </w:rPr>
        <w:t>s spéciaux</w:t>
      </w:r>
      <w:r w:rsidR="00231CD8" w:rsidRPr="004A1AB3">
        <w:rPr>
          <w:kern w:val="22"/>
          <w:szCs w:val="22"/>
          <w:lang w:val="fr-FR"/>
        </w:rPr>
        <w:t xml:space="preserve"> internationaux</w:t>
      </w:r>
      <w:r w:rsidR="00F957CA" w:rsidRPr="004A1AB3">
        <w:rPr>
          <w:kern w:val="22"/>
          <w:szCs w:val="22"/>
          <w:lang w:val="fr-FR"/>
        </w:rPr>
        <w:t>.</w:t>
      </w:r>
    </w:p>
    <w:p w:rsidR="00E14868" w:rsidRPr="0068518D" w:rsidRDefault="00231CD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D76FBF">
        <w:rPr>
          <w:bCs/>
          <w:i/>
          <w:kern w:val="22"/>
          <w:szCs w:val="22"/>
          <w:lang w:val="fr-FR"/>
        </w:rPr>
        <w:lastRenderedPageBreak/>
        <w:t xml:space="preserve">Reconnaissance par une autre instance internationale </w:t>
      </w:r>
      <w:r w:rsidR="00306034" w:rsidRPr="00D76FBF">
        <w:rPr>
          <w:bCs/>
          <w:kern w:val="22"/>
          <w:szCs w:val="22"/>
          <w:lang w:val="fr-FR"/>
        </w:rPr>
        <w:t>—</w:t>
      </w:r>
      <w:r w:rsidR="00082280" w:rsidRPr="00D76FBF">
        <w:rPr>
          <w:kern w:val="22"/>
          <w:szCs w:val="22"/>
          <w:lang w:val="fr-FR"/>
        </w:rPr>
        <w:t xml:space="preserve"> </w:t>
      </w:r>
      <w:r w:rsidR="00DA70A9">
        <w:rPr>
          <w:kern w:val="22"/>
          <w:szCs w:val="22"/>
          <w:lang w:val="fr-FR"/>
        </w:rPr>
        <w:t>Un autre scé</w:t>
      </w:r>
      <w:r w:rsidR="00F957CA" w:rsidRPr="00D76FBF">
        <w:rPr>
          <w:kern w:val="22"/>
          <w:szCs w:val="22"/>
          <w:lang w:val="fr-FR"/>
        </w:rPr>
        <w:t>nario</w:t>
      </w:r>
      <w:r w:rsidR="000B4686">
        <w:rPr>
          <w:kern w:val="22"/>
          <w:szCs w:val="22"/>
          <w:lang w:val="fr-FR"/>
        </w:rPr>
        <w:t xml:space="preserve"> peut être que </w:t>
      </w:r>
      <w:r w:rsidR="00DA70A9">
        <w:rPr>
          <w:kern w:val="22"/>
          <w:szCs w:val="22"/>
          <w:lang w:val="fr-FR"/>
        </w:rPr>
        <w:t>d’</w:t>
      </w:r>
      <w:r w:rsidR="00623402" w:rsidRPr="00D76FBF">
        <w:rPr>
          <w:kern w:val="22"/>
          <w:szCs w:val="22"/>
          <w:lang w:val="fr-FR"/>
        </w:rPr>
        <w:t xml:space="preserve">autres </w:t>
      </w:r>
      <w:r w:rsidRPr="00D76FBF">
        <w:rPr>
          <w:kern w:val="22"/>
          <w:szCs w:val="22"/>
          <w:lang w:val="fr-FR"/>
        </w:rPr>
        <w:t>instance</w:t>
      </w:r>
      <w:r w:rsidR="00CC4870">
        <w:rPr>
          <w:kern w:val="22"/>
          <w:szCs w:val="22"/>
          <w:lang w:val="fr-FR"/>
        </w:rPr>
        <w:t>s</w:t>
      </w:r>
      <w:r w:rsidRPr="00D76FBF">
        <w:rPr>
          <w:kern w:val="22"/>
          <w:szCs w:val="22"/>
          <w:lang w:val="fr-FR"/>
        </w:rPr>
        <w:t xml:space="preserve"> internationale</w:t>
      </w:r>
      <w:r w:rsidR="00A255FB" w:rsidRPr="00D76FBF">
        <w:rPr>
          <w:kern w:val="22"/>
          <w:szCs w:val="22"/>
          <w:lang w:val="fr-FR"/>
        </w:rPr>
        <w:t>s</w:t>
      </w:r>
      <w:r w:rsidR="000B4686">
        <w:rPr>
          <w:kern w:val="22"/>
          <w:szCs w:val="22"/>
          <w:lang w:val="fr-FR"/>
        </w:rPr>
        <w:t xml:space="preserve"> prennent l’initiative</w:t>
      </w:r>
      <w:r w:rsidR="00F957CA" w:rsidRPr="00D76FBF">
        <w:rPr>
          <w:kern w:val="22"/>
          <w:szCs w:val="22"/>
          <w:lang w:val="fr-FR"/>
        </w:rPr>
        <w:t xml:space="preserve">. </w:t>
      </w:r>
      <w:r w:rsidR="000B4686">
        <w:rPr>
          <w:kern w:val="22"/>
          <w:szCs w:val="22"/>
          <w:lang w:val="fr-FR"/>
        </w:rPr>
        <w:t>Ceci constitue également</w:t>
      </w:r>
      <w:r w:rsidR="00DA70A9">
        <w:rPr>
          <w:kern w:val="22"/>
          <w:szCs w:val="22"/>
          <w:lang w:val="fr-FR"/>
        </w:rPr>
        <w:t xml:space="preserve"> </w:t>
      </w:r>
      <w:r w:rsidR="0068518D">
        <w:rPr>
          <w:kern w:val="22"/>
          <w:szCs w:val="22"/>
          <w:lang w:val="fr-FR"/>
        </w:rPr>
        <w:t>une approc</w:t>
      </w:r>
      <w:r w:rsidR="000B4686">
        <w:rPr>
          <w:kern w:val="22"/>
          <w:szCs w:val="22"/>
          <w:lang w:val="fr-FR"/>
        </w:rPr>
        <w:t>he multilatérale nécessitant d’</w:t>
      </w:r>
      <w:r w:rsidR="0068518D">
        <w:rPr>
          <w:kern w:val="22"/>
          <w:szCs w:val="22"/>
          <w:lang w:val="fr-FR"/>
        </w:rPr>
        <w:t>appliquer l</w:t>
      </w:r>
      <w:r w:rsidR="00A01DA3" w:rsidRPr="00D76FBF">
        <w:rPr>
          <w:kern w:val="22"/>
          <w:szCs w:val="22"/>
          <w:lang w:val="fr-FR"/>
        </w:rPr>
        <w:t>es critères</w:t>
      </w:r>
      <w:r w:rsidR="0068518D">
        <w:rPr>
          <w:kern w:val="22"/>
          <w:szCs w:val="22"/>
          <w:lang w:val="fr-FR"/>
        </w:rPr>
        <w:t xml:space="preserve"> adoptés</w:t>
      </w:r>
      <w:r w:rsidR="00F957CA" w:rsidRPr="00D76FBF">
        <w:rPr>
          <w:kern w:val="22"/>
          <w:szCs w:val="22"/>
          <w:lang w:val="fr-FR"/>
        </w:rPr>
        <w:t xml:space="preserve"> </w:t>
      </w:r>
      <w:r w:rsidR="00D066C3" w:rsidRPr="00D76FBF">
        <w:rPr>
          <w:kern w:val="22"/>
          <w:szCs w:val="22"/>
          <w:lang w:val="fr-FR"/>
        </w:rPr>
        <w:t>par la</w:t>
      </w:r>
      <w:r w:rsidR="00A01DA3" w:rsidRPr="00D76FBF">
        <w:rPr>
          <w:kern w:val="22"/>
          <w:szCs w:val="22"/>
          <w:lang w:val="fr-FR"/>
        </w:rPr>
        <w:t xml:space="preserve"> Conférence des Parties siégeant en tant que</w:t>
      </w:r>
      <w:r w:rsidR="00351F3F" w:rsidRPr="00D76FBF">
        <w:rPr>
          <w:kern w:val="22"/>
          <w:szCs w:val="22"/>
          <w:lang w:val="fr-FR"/>
        </w:rPr>
        <w:t xml:space="preserve"> </w:t>
      </w:r>
      <w:r w:rsidR="00A01DA3" w:rsidRPr="00D76FBF">
        <w:rPr>
          <w:kern w:val="22"/>
          <w:szCs w:val="22"/>
          <w:lang w:val="fr-FR"/>
        </w:rPr>
        <w:t>réunion</w:t>
      </w:r>
      <w:r w:rsidR="00351F3F" w:rsidRPr="00D76FBF">
        <w:rPr>
          <w:kern w:val="22"/>
          <w:szCs w:val="22"/>
          <w:lang w:val="fr-FR"/>
        </w:rPr>
        <w:t xml:space="preserve"> </w:t>
      </w:r>
      <w:r w:rsidR="0045647A" w:rsidRPr="00D76FBF">
        <w:rPr>
          <w:kern w:val="22"/>
          <w:szCs w:val="22"/>
          <w:lang w:val="fr-FR"/>
        </w:rPr>
        <w:t>des Par</w:t>
      </w:r>
      <w:r w:rsidR="00351F3F" w:rsidRPr="00D76FBF">
        <w:rPr>
          <w:kern w:val="22"/>
          <w:szCs w:val="22"/>
          <w:lang w:val="fr-FR"/>
        </w:rPr>
        <w:t xml:space="preserve">ties </w:t>
      </w:r>
      <w:r w:rsidR="00A01DA3" w:rsidRPr="00D76FBF">
        <w:rPr>
          <w:kern w:val="22"/>
          <w:szCs w:val="22"/>
          <w:lang w:val="fr-FR"/>
        </w:rPr>
        <w:t>au Protocole de Nagoya</w:t>
      </w:r>
      <w:r w:rsidR="0068518D">
        <w:rPr>
          <w:kern w:val="22"/>
          <w:szCs w:val="22"/>
          <w:lang w:val="fr-FR"/>
        </w:rPr>
        <w:t xml:space="preserve">, afin de démontrer que </w:t>
      </w:r>
      <w:r w:rsidR="004A1AB3" w:rsidRPr="00D76FBF">
        <w:rPr>
          <w:kern w:val="22"/>
          <w:szCs w:val="22"/>
          <w:lang w:val="fr-FR"/>
        </w:rPr>
        <w:t>l’instrument spécial</w:t>
      </w:r>
      <w:r w:rsidR="0068518D">
        <w:rPr>
          <w:kern w:val="22"/>
          <w:szCs w:val="22"/>
          <w:lang w:val="fr-FR"/>
        </w:rPr>
        <w:t xml:space="preserve"> est</w:t>
      </w:r>
      <w:r w:rsidR="00F957CA" w:rsidRPr="00D76FBF">
        <w:rPr>
          <w:kern w:val="22"/>
          <w:szCs w:val="22"/>
          <w:lang w:val="fr-FR"/>
        </w:rPr>
        <w:t xml:space="preserve"> </w:t>
      </w:r>
      <w:r w:rsidR="0068518D">
        <w:rPr>
          <w:kern w:val="22"/>
          <w:szCs w:val="22"/>
          <w:lang w:val="fr-FR"/>
        </w:rPr>
        <w:t xml:space="preserve">compatible avec les </w:t>
      </w:r>
      <w:r w:rsidR="005D3CDB" w:rsidRPr="00D76FBF">
        <w:rPr>
          <w:kern w:val="22"/>
          <w:szCs w:val="22"/>
          <w:lang w:val="fr-FR"/>
        </w:rPr>
        <w:t>objectifs</w:t>
      </w:r>
      <w:r w:rsidR="00E14868" w:rsidRPr="00D76FBF">
        <w:rPr>
          <w:kern w:val="22"/>
          <w:szCs w:val="22"/>
          <w:lang w:val="fr-FR"/>
        </w:rPr>
        <w:t xml:space="preserve"> </w:t>
      </w:r>
      <w:r w:rsidR="005D3CDB" w:rsidRPr="00D76FBF">
        <w:rPr>
          <w:kern w:val="22"/>
          <w:szCs w:val="22"/>
          <w:lang w:val="fr-FR"/>
        </w:rPr>
        <w:t xml:space="preserve">du </w:t>
      </w:r>
      <w:r w:rsidR="0001030F" w:rsidRPr="00D76FBF">
        <w:rPr>
          <w:kern w:val="22"/>
          <w:szCs w:val="22"/>
          <w:lang w:val="fr-FR"/>
        </w:rPr>
        <w:t xml:space="preserve">Protocole </w:t>
      </w:r>
      <w:r w:rsidR="00623402" w:rsidRPr="00D76FBF">
        <w:rPr>
          <w:kern w:val="22"/>
          <w:szCs w:val="22"/>
          <w:lang w:val="fr-FR"/>
        </w:rPr>
        <w:t xml:space="preserve">et </w:t>
      </w:r>
      <w:r w:rsidR="0068518D">
        <w:rPr>
          <w:kern w:val="22"/>
          <w:szCs w:val="22"/>
          <w:lang w:val="fr-FR"/>
        </w:rPr>
        <w:t xml:space="preserve">de la </w:t>
      </w:r>
      <w:r w:rsidR="00FA0D29" w:rsidRPr="00D76FBF">
        <w:rPr>
          <w:kern w:val="22"/>
          <w:szCs w:val="22"/>
          <w:lang w:val="fr-FR"/>
        </w:rPr>
        <w:t>Convention</w:t>
      </w:r>
      <w:r w:rsidR="00F957CA" w:rsidRPr="00D76FBF">
        <w:rPr>
          <w:kern w:val="22"/>
          <w:szCs w:val="22"/>
          <w:lang w:val="fr-FR"/>
        </w:rPr>
        <w:t xml:space="preserve">. </w:t>
      </w:r>
      <w:r w:rsidR="0068518D" w:rsidRPr="0068518D">
        <w:rPr>
          <w:kern w:val="22"/>
          <w:szCs w:val="22"/>
          <w:lang w:val="fr-FR"/>
        </w:rPr>
        <w:t>Le principal</w:t>
      </w:r>
      <w:r w:rsidR="00F957CA" w:rsidRPr="0068518D">
        <w:rPr>
          <w:kern w:val="22"/>
          <w:szCs w:val="22"/>
          <w:lang w:val="fr-FR"/>
        </w:rPr>
        <w:t xml:space="preserve"> </w:t>
      </w:r>
      <w:r w:rsidR="0068518D" w:rsidRPr="0068518D">
        <w:rPr>
          <w:kern w:val="22"/>
          <w:szCs w:val="22"/>
          <w:lang w:val="fr-FR"/>
        </w:rPr>
        <w:t>avantage d’une telle appro</w:t>
      </w:r>
      <w:r w:rsidR="00F957CA" w:rsidRPr="0068518D">
        <w:rPr>
          <w:kern w:val="22"/>
          <w:szCs w:val="22"/>
          <w:lang w:val="fr-FR"/>
        </w:rPr>
        <w:t>ch</w:t>
      </w:r>
      <w:r w:rsidR="0068518D" w:rsidRPr="0068518D">
        <w:rPr>
          <w:kern w:val="22"/>
          <w:szCs w:val="22"/>
          <w:lang w:val="fr-FR"/>
        </w:rPr>
        <w:t>e est qu’une instance spécialisée sera</w:t>
      </w:r>
      <w:r w:rsidR="000B4686">
        <w:rPr>
          <w:kern w:val="22"/>
          <w:szCs w:val="22"/>
          <w:lang w:val="fr-FR"/>
        </w:rPr>
        <w:t xml:space="preserve"> très </w:t>
      </w:r>
      <w:r w:rsidR="0068518D" w:rsidRPr="0068518D">
        <w:rPr>
          <w:kern w:val="22"/>
          <w:szCs w:val="22"/>
          <w:lang w:val="fr-FR"/>
        </w:rPr>
        <w:t xml:space="preserve">bien placée pour prendre une </w:t>
      </w:r>
      <w:r w:rsidR="0068518D">
        <w:rPr>
          <w:kern w:val="22"/>
          <w:szCs w:val="22"/>
          <w:lang w:val="fr-FR"/>
        </w:rPr>
        <w:t>dé</w:t>
      </w:r>
      <w:r w:rsidR="0068518D" w:rsidRPr="0068518D">
        <w:rPr>
          <w:kern w:val="22"/>
          <w:szCs w:val="22"/>
          <w:lang w:val="fr-FR"/>
        </w:rPr>
        <w:t xml:space="preserve">cision </w:t>
      </w:r>
      <w:r w:rsidR="0068518D">
        <w:rPr>
          <w:kern w:val="22"/>
          <w:szCs w:val="22"/>
          <w:lang w:val="fr-FR"/>
        </w:rPr>
        <w:t xml:space="preserve">concernant un </w:t>
      </w:r>
      <w:r w:rsidR="005D3CDB" w:rsidRPr="0068518D">
        <w:rPr>
          <w:kern w:val="22"/>
          <w:szCs w:val="22"/>
          <w:lang w:val="fr-FR"/>
        </w:rPr>
        <w:t xml:space="preserve">instrument </w:t>
      </w:r>
      <w:r w:rsidR="0026155E" w:rsidRPr="0068518D">
        <w:rPr>
          <w:kern w:val="22"/>
          <w:szCs w:val="22"/>
          <w:lang w:val="fr-FR"/>
        </w:rPr>
        <w:t>spécial</w:t>
      </w:r>
      <w:r w:rsidR="005D3CDB" w:rsidRPr="0068518D">
        <w:rPr>
          <w:kern w:val="22"/>
          <w:szCs w:val="22"/>
          <w:lang w:val="fr-FR"/>
        </w:rPr>
        <w:t xml:space="preserve"> sur l’accès et le partage des avantages</w:t>
      </w:r>
      <w:r w:rsidR="0068518D">
        <w:rPr>
          <w:kern w:val="22"/>
          <w:szCs w:val="22"/>
          <w:lang w:val="fr-FR"/>
        </w:rPr>
        <w:t xml:space="preserve">, </w:t>
      </w:r>
      <w:r w:rsidR="000B4686">
        <w:rPr>
          <w:kern w:val="22"/>
          <w:szCs w:val="22"/>
          <w:lang w:val="fr-FR"/>
        </w:rPr>
        <w:t>sur la base de</w:t>
      </w:r>
      <w:r w:rsidR="0068518D">
        <w:rPr>
          <w:kern w:val="22"/>
          <w:szCs w:val="22"/>
          <w:lang w:val="fr-FR"/>
        </w:rPr>
        <w:t xml:space="preserve"> son mandat</w:t>
      </w:r>
      <w:r w:rsidR="00623402" w:rsidRPr="0068518D">
        <w:rPr>
          <w:kern w:val="22"/>
          <w:szCs w:val="22"/>
          <w:lang w:val="fr-FR"/>
        </w:rPr>
        <w:t xml:space="preserve"> et </w:t>
      </w:r>
      <w:r w:rsidR="000B4686">
        <w:rPr>
          <w:kern w:val="22"/>
          <w:szCs w:val="22"/>
          <w:lang w:val="fr-FR"/>
        </w:rPr>
        <w:t xml:space="preserve">de </w:t>
      </w:r>
      <w:r w:rsidR="0068518D">
        <w:rPr>
          <w:kern w:val="22"/>
          <w:szCs w:val="22"/>
          <w:lang w:val="fr-FR"/>
        </w:rPr>
        <w:t>l’expertise de ses membres</w:t>
      </w:r>
      <w:r w:rsidR="00F957CA" w:rsidRPr="0068518D">
        <w:rPr>
          <w:kern w:val="22"/>
          <w:szCs w:val="22"/>
          <w:lang w:val="fr-FR"/>
        </w:rPr>
        <w:t>.</w:t>
      </w:r>
      <w:r w:rsidR="00E14868" w:rsidRPr="0068518D">
        <w:rPr>
          <w:kern w:val="22"/>
          <w:szCs w:val="22"/>
          <w:lang w:val="fr-FR"/>
        </w:rPr>
        <w:t xml:space="preserve"> </w:t>
      </w:r>
      <w:r w:rsidR="000B4686">
        <w:rPr>
          <w:kern w:val="22"/>
          <w:szCs w:val="22"/>
          <w:lang w:val="fr-FR"/>
        </w:rPr>
        <w:t xml:space="preserve">Cependant, des </w:t>
      </w:r>
      <w:r w:rsidR="0068518D" w:rsidRPr="0068518D">
        <w:rPr>
          <w:kern w:val="22"/>
          <w:szCs w:val="22"/>
          <w:lang w:val="fr-FR"/>
        </w:rPr>
        <w:t>questions de</w:t>
      </w:r>
      <w:r w:rsidR="00F957CA" w:rsidRPr="0068518D">
        <w:rPr>
          <w:kern w:val="22"/>
          <w:szCs w:val="22"/>
          <w:lang w:val="fr-FR"/>
        </w:rPr>
        <w:t xml:space="preserve"> </w:t>
      </w:r>
      <w:r w:rsidR="00C01103" w:rsidRPr="0068518D">
        <w:rPr>
          <w:kern w:val="22"/>
          <w:szCs w:val="22"/>
          <w:lang w:val="fr-FR"/>
        </w:rPr>
        <w:t>sécurité juridique</w:t>
      </w:r>
      <w:r w:rsidR="000B4686">
        <w:rPr>
          <w:kern w:val="22"/>
          <w:szCs w:val="22"/>
          <w:lang w:val="fr-FR"/>
        </w:rPr>
        <w:t xml:space="preserve"> peuvent </w:t>
      </w:r>
      <w:r w:rsidR="0068518D">
        <w:rPr>
          <w:kern w:val="22"/>
          <w:szCs w:val="22"/>
          <w:lang w:val="fr-FR"/>
        </w:rPr>
        <w:t>être soulevées</w:t>
      </w:r>
      <w:r w:rsidR="000B4686">
        <w:rPr>
          <w:kern w:val="22"/>
          <w:szCs w:val="22"/>
          <w:lang w:val="fr-FR"/>
        </w:rPr>
        <w:t xml:space="preserve">, </w:t>
      </w:r>
      <w:r w:rsidR="0068518D">
        <w:rPr>
          <w:kern w:val="22"/>
          <w:szCs w:val="22"/>
          <w:lang w:val="fr-FR"/>
        </w:rPr>
        <w:t>du fait que certaines</w:t>
      </w:r>
      <w:r w:rsidR="00F957CA" w:rsidRPr="0068518D">
        <w:rPr>
          <w:kern w:val="22"/>
          <w:szCs w:val="22"/>
          <w:lang w:val="fr-FR"/>
        </w:rPr>
        <w:t xml:space="preserve"> </w:t>
      </w:r>
      <w:r w:rsidR="0022662E" w:rsidRPr="0068518D">
        <w:rPr>
          <w:kern w:val="22"/>
          <w:szCs w:val="22"/>
          <w:lang w:val="fr-FR"/>
        </w:rPr>
        <w:t xml:space="preserve">Parties </w:t>
      </w:r>
      <w:r w:rsidR="00A01DA3" w:rsidRPr="0068518D">
        <w:rPr>
          <w:kern w:val="22"/>
          <w:szCs w:val="22"/>
          <w:lang w:val="fr-FR"/>
        </w:rPr>
        <w:t xml:space="preserve">au </w:t>
      </w:r>
      <w:r w:rsidR="0001030F" w:rsidRPr="0068518D">
        <w:rPr>
          <w:kern w:val="22"/>
          <w:szCs w:val="22"/>
          <w:lang w:val="fr-FR"/>
        </w:rPr>
        <w:t>Protocole</w:t>
      </w:r>
      <w:r w:rsidR="000B4686">
        <w:rPr>
          <w:kern w:val="22"/>
          <w:szCs w:val="22"/>
          <w:lang w:val="fr-FR"/>
        </w:rPr>
        <w:t xml:space="preserve"> de Nagoya</w:t>
      </w:r>
      <w:r w:rsidR="0001030F" w:rsidRPr="0068518D">
        <w:rPr>
          <w:kern w:val="22"/>
          <w:szCs w:val="22"/>
          <w:lang w:val="fr-FR"/>
        </w:rPr>
        <w:t xml:space="preserve"> </w:t>
      </w:r>
      <w:r w:rsidR="0068518D">
        <w:rPr>
          <w:kern w:val="22"/>
          <w:szCs w:val="22"/>
          <w:lang w:val="fr-FR"/>
        </w:rPr>
        <w:t>ne contribue</w:t>
      </w:r>
      <w:r w:rsidR="000B4686">
        <w:rPr>
          <w:kern w:val="22"/>
          <w:szCs w:val="22"/>
          <w:lang w:val="fr-FR"/>
        </w:rPr>
        <w:t>ront pas aux débats mené</w:t>
      </w:r>
      <w:r w:rsidR="0068518D">
        <w:rPr>
          <w:kern w:val="22"/>
          <w:szCs w:val="22"/>
          <w:lang w:val="fr-FR"/>
        </w:rPr>
        <w:t>s dans d’</w:t>
      </w:r>
      <w:r w:rsidR="00623402" w:rsidRPr="0068518D">
        <w:rPr>
          <w:kern w:val="22"/>
          <w:szCs w:val="22"/>
          <w:lang w:val="fr-FR"/>
        </w:rPr>
        <w:t xml:space="preserve">autres </w:t>
      </w:r>
      <w:r w:rsidR="00E14372" w:rsidRPr="0068518D">
        <w:rPr>
          <w:kern w:val="22"/>
          <w:szCs w:val="22"/>
          <w:lang w:val="fr-FR"/>
        </w:rPr>
        <w:t>instance</w:t>
      </w:r>
      <w:r w:rsidR="00A255FB" w:rsidRPr="0068518D">
        <w:rPr>
          <w:kern w:val="22"/>
          <w:szCs w:val="22"/>
          <w:lang w:val="fr-FR"/>
        </w:rPr>
        <w:t>s</w:t>
      </w:r>
      <w:r w:rsidR="00F957CA" w:rsidRPr="0068518D">
        <w:rPr>
          <w:iCs/>
          <w:kern w:val="22"/>
          <w:szCs w:val="22"/>
          <w:lang w:val="fr-FR"/>
        </w:rPr>
        <w:t>.</w:t>
      </w:r>
    </w:p>
    <w:p w:rsidR="00F957CA" w:rsidRPr="00DA70A9" w:rsidRDefault="00231CD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DA70A9">
        <w:rPr>
          <w:iCs/>
          <w:kern w:val="22"/>
          <w:szCs w:val="22"/>
          <w:lang w:val="fr-FR"/>
        </w:rPr>
        <w:t>A la lumière de ces considé</w:t>
      </w:r>
      <w:r w:rsidR="00F957CA" w:rsidRPr="00DA70A9">
        <w:rPr>
          <w:iCs/>
          <w:kern w:val="22"/>
          <w:szCs w:val="22"/>
          <w:lang w:val="fr-FR"/>
        </w:rPr>
        <w:t>rations</w:t>
      </w:r>
      <w:r w:rsidR="00623402" w:rsidRPr="00DA70A9">
        <w:rPr>
          <w:iCs/>
          <w:kern w:val="22"/>
          <w:szCs w:val="22"/>
          <w:lang w:val="fr-FR"/>
        </w:rPr>
        <w:t xml:space="preserve"> et</w:t>
      </w:r>
      <w:r w:rsidR="000B4686">
        <w:rPr>
          <w:iCs/>
          <w:kern w:val="22"/>
          <w:szCs w:val="22"/>
          <w:lang w:val="fr-FR"/>
        </w:rPr>
        <w:t xml:space="preserve"> de ces</w:t>
      </w:r>
      <w:r w:rsidR="00623402" w:rsidRPr="00DA70A9">
        <w:rPr>
          <w:iCs/>
          <w:kern w:val="22"/>
          <w:szCs w:val="22"/>
          <w:lang w:val="fr-FR"/>
        </w:rPr>
        <w:t xml:space="preserve"> </w:t>
      </w:r>
      <w:r w:rsidRPr="00DA70A9">
        <w:rPr>
          <w:iCs/>
          <w:kern w:val="22"/>
          <w:szCs w:val="22"/>
          <w:lang w:val="fr-FR"/>
        </w:rPr>
        <w:t>incertitude</w:t>
      </w:r>
      <w:r w:rsidR="00F957CA" w:rsidRPr="00DA70A9">
        <w:rPr>
          <w:iCs/>
          <w:kern w:val="22"/>
          <w:szCs w:val="22"/>
          <w:lang w:val="fr-FR"/>
        </w:rPr>
        <w:t>s</w:t>
      </w:r>
      <w:r w:rsidRPr="00DA70A9">
        <w:rPr>
          <w:iCs/>
          <w:kern w:val="22"/>
          <w:szCs w:val="22"/>
          <w:lang w:val="fr-FR"/>
        </w:rPr>
        <w:t xml:space="preserve"> juridiques</w:t>
      </w:r>
      <w:r w:rsidR="00F957CA" w:rsidRPr="00DA70A9">
        <w:rPr>
          <w:kern w:val="22"/>
          <w:szCs w:val="22"/>
          <w:lang w:val="fr-FR"/>
        </w:rPr>
        <w:t xml:space="preserve">, </w:t>
      </w:r>
      <w:r w:rsidR="00DA70A9">
        <w:rPr>
          <w:kern w:val="22"/>
          <w:szCs w:val="22"/>
          <w:lang w:val="fr-FR"/>
        </w:rPr>
        <w:t>il est recommandé que l</w:t>
      </w:r>
      <w:r w:rsidRPr="00DA70A9">
        <w:rPr>
          <w:kern w:val="22"/>
          <w:szCs w:val="22"/>
          <w:lang w:val="fr-FR"/>
        </w:rPr>
        <w:t xml:space="preserve">es </w:t>
      </w:r>
      <w:r w:rsidR="00F957CA" w:rsidRPr="00DA70A9">
        <w:rPr>
          <w:kern w:val="22"/>
          <w:szCs w:val="22"/>
          <w:lang w:val="fr-FR"/>
        </w:rPr>
        <w:t xml:space="preserve">Parties </w:t>
      </w:r>
      <w:r w:rsidR="00A01DA3" w:rsidRPr="00DA70A9">
        <w:rPr>
          <w:kern w:val="22"/>
          <w:szCs w:val="22"/>
          <w:lang w:val="fr-FR"/>
        </w:rPr>
        <w:t>au Protocole de Nagoya</w:t>
      </w:r>
      <w:r w:rsidR="00F957CA" w:rsidRPr="00DA70A9">
        <w:rPr>
          <w:kern w:val="22"/>
          <w:szCs w:val="22"/>
          <w:lang w:val="fr-FR"/>
        </w:rPr>
        <w:t xml:space="preserve"> </w:t>
      </w:r>
      <w:r w:rsidR="000B4686">
        <w:rPr>
          <w:kern w:val="22"/>
          <w:szCs w:val="22"/>
          <w:lang w:val="fr-FR"/>
        </w:rPr>
        <w:t xml:space="preserve">ou les </w:t>
      </w:r>
      <w:r w:rsidR="00623402" w:rsidRPr="00DA70A9">
        <w:rPr>
          <w:kern w:val="22"/>
          <w:szCs w:val="22"/>
          <w:lang w:val="fr-FR"/>
        </w:rPr>
        <w:t xml:space="preserve">autres </w:t>
      </w:r>
      <w:r w:rsidRPr="00DA70A9">
        <w:rPr>
          <w:kern w:val="22"/>
          <w:szCs w:val="22"/>
          <w:lang w:val="fr-FR"/>
        </w:rPr>
        <w:t>gouvernement</w:t>
      </w:r>
      <w:r w:rsidR="000B4686">
        <w:rPr>
          <w:kern w:val="22"/>
          <w:szCs w:val="22"/>
          <w:lang w:val="fr-FR"/>
        </w:rPr>
        <w:t>s qui participe</w:t>
      </w:r>
      <w:r w:rsidR="00DA70A9" w:rsidRPr="00DA70A9">
        <w:rPr>
          <w:kern w:val="22"/>
          <w:szCs w:val="22"/>
          <w:lang w:val="fr-FR"/>
        </w:rPr>
        <w:t>nt à d’</w:t>
      </w:r>
      <w:r w:rsidR="00623402" w:rsidRPr="00DA70A9">
        <w:rPr>
          <w:kern w:val="22"/>
          <w:szCs w:val="22"/>
          <w:lang w:val="fr-FR"/>
        </w:rPr>
        <w:t xml:space="preserve">autres </w:t>
      </w:r>
      <w:r w:rsidR="00E14372" w:rsidRPr="00DA70A9">
        <w:rPr>
          <w:kern w:val="22"/>
          <w:szCs w:val="22"/>
          <w:lang w:val="fr-FR"/>
        </w:rPr>
        <w:t>instance</w:t>
      </w:r>
      <w:r w:rsidR="00A255FB" w:rsidRPr="00DA70A9">
        <w:rPr>
          <w:kern w:val="22"/>
          <w:szCs w:val="22"/>
          <w:lang w:val="fr-FR"/>
        </w:rPr>
        <w:t>s</w:t>
      </w:r>
      <w:r w:rsidR="00E14372" w:rsidRPr="00DA70A9">
        <w:rPr>
          <w:kern w:val="22"/>
          <w:szCs w:val="22"/>
          <w:lang w:val="fr-FR"/>
        </w:rPr>
        <w:t xml:space="preserve"> ou </w:t>
      </w:r>
      <w:r w:rsidR="00DA70A9">
        <w:rPr>
          <w:kern w:val="22"/>
          <w:szCs w:val="22"/>
          <w:lang w:val="fr-FR"/>
        </w:rPr>
        <w:t>organisations</w:t>
      </w:r>
      <w:r w:rsidR="00F957CA" w:rsidRPr="00DA70A9">
        <w:rPr>
          <w:kern w:val="22"/>
          <w:szCs w:val="22"/>
          <w:lang w:val="fr-FR"/>
        </w:rPr>
        <w:t xml:space="preserve"> </w:t>
      </w:r>
      <w:r w:rsidRPr="00DA70A9">
        <w:rPr>
          <w:kern w:val="22"/>
          <w:szCs w:val="22"/>
          <w:lang w:val="fr-FR"/>
        </w:rPr>
        <w:t>intergouvernemental</w:t>
      </w:r>
      <w:r w:rsidR="000B4686">
        <w:rPr>
          <w:kern w:val="22"/>
          <w:szCs w:val="22"/>
          <w:lang w:val="fr-FR"/>
        </w:rPr>
        <w:t>es dans l</w:t>
      </w:r>
      <w:r w:rsidR="00DA70A9">
        <w:rPr>
          <w:kern w:val="22"/>
          <w:szCs w:val="22"/>
          <w:lang w:val="fr-FR"/>
        </w:rPr>
        <w:t xml:space="preserve">esquelles </w:t>
      </w:r>
      <w:r w:rsidR="00E7308B">
        <w:rPr>
          <w:kern w:val="22"/>
          <w:szCs w:val="22"/>
          <w:lang w:val="fr-FR"/>
        </w:rPr>
        <w:t>est élaboré l’instrument portent la</w:t>
      </w:r>
      <w:r w:rsidR="00DA70A9">
        <w:rPr>
          <w:kern w:val="22"/>
          <w:szCs w:val="22"/>
          <w:lang w:val="fr-FR"/>
        </w:rPr>
        <w:t xml:space="preserve"> proposition de reconnaissance de l’instrument à l’attention de la </w:t>
      </w:r>
      <w:r w:rsidR="00A01DA3" w:rsidRPr="00DA70A9">
        <w:rPr>
          <w:kern w:val="22"/>
          <w:szCs w:val="22"/>
          <w:lang w:val="fr-FR"/>
        </w:rPr>
        <w:t>Conférence des Parties siégeant en tant que</w:t>
      </w:r>
      <w:r w:rsidR="008E7EF3" w:rsidRPr="00DA70A9">
        <w:rPr>
          <w:kern w:val="22"/>
          <w:szCs w:val="22"/>
          <w:lang w:val="fr-FR"/>
        </w:rPr>
        <w:t xml:space="preserve"> </w:t>
      </w:r>
      <w:r w:rsidR="00A01DA3" w:rsidRPr="00DA70A9">
        <w:rPr>
          <w:kern w:val="22"/>
          <w:szCs w:val="22"/>
          <w:lang w:val="fr-FR"/>
        </w:rPr>
        <w:t>réunion</w:t>
      </w:r>
      <w:r w:rsidR="008E7EF3" w:rsidRPr="00DA70A9">
        <w:rPr>
          <w:kern w:val="22"/>
          <w:szCs w:val="22"/>
          <w:lang w:val="fr-FR"/>
        </w:rPr>
        <w:t xml:space="preserve"> </w:t>
      </w:r>
      <w:r w:rsidR="0045647A" w:rsidRPr="00DA70A9">
        <w:rPr>
          <w:kern w:val="22"/>
          <w:szCs w:val="22"/>
          <w:lang w:val="fr-FR"/>
        </w:rPr>
        <w:t>des Par</w:t>
      </w:r>
      <w:r w:rsidR="008E7EF3" w:rsidRPr="00DA70A9">
        <w:rPr>
          <w:kern w:val="22"/>
          <w:szCs w:val="22"/>
          <w:lang w:val="fr-FR"/>
        </w:rPr>
        <w:t xml:space="preserve">ties </w:t>
      </w:r>
      <w:r w:rsidR="00A01DA3" w:rsidRPr="00DA70A9">
        <w:rPr>
          <w:kern w:val="22"/>
          <w:szCs w:val="22"/>
          <w:lang w:val="fr-FR"/>
        </w:rPr>
        <w:t>au Protocole de Nagoya</w:t>
      </w:r>
      <w:r w:rsidR="00E7308B">
        <w:rPr>
          <w:kern w:val="22"/>
          <w:szCs w:val="22"/>
          <w:lang w:val="fr-FR"/>
        </w:rPr>
        <w:t xml:space="preserve">, pour </w:t>
      </w:r>
      <w:r w:rsidR="00DA70A9">
        <w:rPr>
          <w:kern w:val="22"/>
          <w:szCs w:val="22"/>
          <w:lang w:val="fr-FR"/>
        </w:rPr>
        <w:t>in</w:t>
      </w:r>
      <w:r w:rsidR="00F957CA" w:rsidRPr="00DA70A9">
        <w:rPr>
          <w:kern w:val="22"/>
          <w:szCs w:val="22"/>
          <w:lang w:val="fr-FR"/>
        </w:rPr>
        <w:t>formation</w:t>
      </w:r>
      <w:r w:rsidR="00623402" w:rsidRPr="00DA70A9">
        <w:rPr>
          <w:kern w:val="22"/>
          <w:szCs w:val="22"/>
          <w:lang w:val="fr-FR"/>
        </w:rPr>
        <w:t xml:space="preserve"> et </w:t>
      </w:r>
      <w:r w:rsidR="00E7308B">
        <w:rPr>
          <w:kern w:val="22"/>
          <w:szCs w:val="22"/>
          <w:lang w:val="fr-FR"/>
        </w:rPr>
        <w:t>pour mettre en place des arrangements permettant de</w:t>
      </w:r>
      <w:r w:rsidR="00DA70A9">
        <w:rPr>
          <w:kern w:val="22"/>
          <w:szCs w:val="22"/>
          <w:lang w:val="fr-FR"/>
        </w:rPr>
        <w:t xml:space="preserve"> faciliter la</w:t>
      </w:r>
      <w:r w:rsidR="00F957CA" w:rsidRPr="00DA70A9">
        <w:rPr>
          <w:kern w:val="22"/>
          <w:szCs w:val="22"/>
          <w:lang w:val="fr-FR"/>
        </w:rPr>
        <w:t xml:space="preserve"> </w:t>
      </w:r>
      <w:r w:rsidR="004A1AB3" w:rsidRPr="00DA70A9">
        <w:rPr>
          <w:kern w:val="22"/>
          <w:szCs w:val="22"/>
          <w:lang w:val="fr-FR"/>
        </w:rPr>
        <w:t>coopération</w:t>
      </w:r>
      <w:r w:rsidR="00F957CA" w:rsidRPr="00DA70A9">
        <w:rPr>
          <w:kern w:val="22"/>
          <w:szCs w:val="22"/>
          <w:lang w:val="fr-FR"/>
        </w:rPr>
        <w:t xml:space="preserve">. </w:t>
      </w:r>
      <w:r w:rsidR="00DA70A9" w:rsidRPr="00DA70A9">
        <w:rPr>
          <w:kern w:val="22"/>
          <w:szCs w:val="22"/>
          <w:lang w:val="fr-FR"/>
        </w:rPr>
        <w:t>Si des informations sont partagées et une</w:t>
      </w:r>
      <w:r w:rsidR="00623402" w:rsidRPr="00DA70A9">
        <w:rPr>
          <w:kern w:val="22"/>
          <w:szCs w:val="22"/>
          <w:lang w:val="fr-FR"/>
        </w:rPr>
        <w:t xml:space="preserve"> </w:t>
      </w:r>
      <w:r w:rsidR="00F957CA" w:rsidRPr="00DA70A9">
        <w:rPr>
          <w:kern w:val="22"/>
          <w:szCs w:val="22"/>
          <w:lang w:val="fr-FR"/>
        </w:rPr>
        <w:t>collaboration</w:t>
      </w:r>
      <w:r w:rsidR="00DA70A9" w:rsidRPr="00DA70A9">
        <w:rPr>
          <w:kern w:val="22"/>
          <w:szCs w:val="22"/>
          <w:lang w:val="fr-FR"/>
        </w:rPr>
        <w:t xml:space="preserve"> </w:t>
      </w:r>
      <w:r w:rsidR="00E7308B">
        <w:rPr>
          <w:kern w:val="22"/>
          <w:szCs w:val="22"/>
          <w:lang w:val="fr-FR"/>
        </w:rPr>
        <w:t>engagé</w:t>
      </w:r>
      <w:r w:rsidR="00DA70A9" w:rsidRPr="00DA70A9">
        <w:rPr>
          <w:kern w:val="22"/>
          <w:szCs w:val="22"/>
          <w:lang w:val="fr-FR"/>
        </w:rPr>
        <w:t>e entre les</w:t>
      </w:r>
      <w:r w:rsidR="00DA70A9">
        <w:rPr>
          <w:kern w:val="22"/>
          <w:szCs w:val="22"/>
          <w:lang w:val="fr-FR"/>
        </w:rPr>
        <w:t xml:space="preserve"> </w:t>
      </w:r>
      <w:r w:rsidR="00E14372" w:rsidRPr="00DA70A9">
        <w:rPr>
          <w:kern w:val="22"/>
          <w:szCs w:val="22"/>
          <w:lang w:val="fr-FR"/>
        </w:rPr>
        <w:t>instance</w:t>
      </w:r>
      <w:r w:rsidR="00A255FB" w:rsidRPr="00DA70A9">
        <w:rPr>
          <w:kern w:val="22"/>
          <w:szCs w:val="22"/>
          <w:lang w:val="fr-FR"/>
        </w:rPr>
        <w:t>s</w:t>
      </w:r>
      <w:r w:rsidR="00E7308B">
        <w:rPr>
          <w:kern w:val="22"/>
          <w:szCs w:val="22"/>
          <w:lang w:val="fr-FR"/>
        </w:rPr>
        <w:t xml:space="preserve"> concernées</w:t>
      </w:r>
      <w:r w:rsidR="00F957CA" w:rsidRPr="00DA70A9">
        <w:rPr>
          <w:kern w:val="22"/>
          <w:szCs w:val="22"/>
          <w:lang w:val="fr-FR"/>
        </w:rPr>
        <w:t xml:space="preserve"> </w:t>
      </w:r>
      <w:r w:rsidR="00E7308B">
        <w:rPr>
          <w:kern w:val="22"/>
          <w:szCs w:val="22"/>
          <w:lang w:val="fr-FR"/>
        </w:rPr>
        <w:t>dès les premières étapes de</w:t>
      </w:r>
      <w:r w:rsidR="00DA70A9">
        <w:rPr>
          <w:kern w:val="22"/>
          <w:szCs w:val="22"/>
          <w:lang w:val="fr-FR"/>
        </w:rPr>
        <w:t xml:space="preserve"> </w:t>
      </w:r>
      <w:r w:rsidR="00D066C3" w:rsidRPr="00DA70A9">
        <w:rPr>
          <w:kern w:val="22"/>
          <w:szCs w:val="22"/>
          <w:lang w:val="fr-FR"/>
        </w:rPr>
        <w:t>négociation</w:t>
      </w:r>
      <w:r w:rsidR="00F957CA" w:rsidRPr="00DA70A9">
        <w:rPr>
          <w:kern w:val="22"/>
          <w:szCs w:val="22"/>
          <w:lang w:val="fr-FR"/>
        </w:rPr>
        <w:t xml:space="preserve">, </w:t>
      </w:r>
      <w:r w:rsidR="00DA70A9">
        <w:rPr>
          <w:kern w:val="22"/>
          <w:szCs w:val="22"/>
          <w:lang w:val="fr-FR"/>
        </w:rPr>
        <w:t xml:space="preserve">ceci facilitera la relation entre le </w:t>
      </w:r>
      <w:r w:rsidR="00A01DA3" w:rsidRPr="00DA70A9">
        <w:rPr>
          <w:kern w:val="22"/>
          <w:szCs w:val="22"/>
          <w:lang w:val="fr-FR"/>
        </w:rPr>
        <w:t>Protocole de Nagoya</w:t>
      </w:r>
      <w:r w:rsidR="00623402" w:rsidRPr="00DA70A9">
        <w:rPr>
          <w:kern w:val="22"/>
          <w:szCs w:val="22"/>
          <w:lang w:val="fr-FR"/>
        </w:rPr>
        <w:t xml:space="preserve"> et </w:t>
      </w:r>
      <w:r w:rsidR="00E7308B">
        <w:rPr>
          <w:kern w:val="22"/>
          <w:szCs w:val="22"/>
          <w:lang w:val="fr-FR"/>
        </w:rPr>
        <w:t>le nouvel</w:t>
      </w:r>
      <w:r w:rsidR="00623402" w:rsidRPr="00DA70A9">
        <w:rPr>
          <w:kern w:val="22"/>
          <w:szCs w:val="22"/>
          <w:lang w:val="fr-FR"/>
        </w:rPr>
        <w:t xml:space="preserve"> </w:t>
      </w:r>
      <w:r w:rsidR="00F957CA" w:rsidRPr="00DA70A9">
        <w:rPr>
          <w:kern w:val="22"/>
          <w:szCs w:val="22"/>
          <w:lang w:val="fr-FR"/>
        </w:rPr>
        <w:t xml:space="preserve">instrument, </w:t>
      </w:r>
      <w:r w:rsidR="00E7308B">
        <w:rPr>
          <w:kern w:val="22"/>
          <w:szCs w:val="22"/>
          <w:lang w:val="fr-FR"/>
        </w:rPr>
        <w:t>lorsque ce dernier</w:t>
      </w:r>
      <w:r w:rsidR="00DA70A9">
        <w:rPr>
          <w:kern w:val="22"/>
          <w:szCs w:val="22"/>
          <w:lang w:val="fr-FR"/>
        </w:rPr>
        <w:t xml:space="preserve"> aura été conclu, et permettra d’éviter des difficultés dans leur application</w:t>
      </w:r>
      <w:r w:rsidR="00E7308B">
        <w:rPr>
          <w:kern w:val="22"/>
          <w:szCs w:val="22"/>
          <w:lang w:val="fr-FR"/>
        </w:rPr>
        <w:t xml:space="preserve"> respective</w:t>
      </w:r>
      <w:r w:rsidR="00DA70A9">
        <w:rPr>
          <w:kern w:val="22"/>
          <w:szCs w:val="22"/>
          <w:lang w:val="fr-FR"/>
        </w:rPr>
        <w:t xml:space="preserve">. </w:t>
      </w:r>
      <w:r w:rsidR="00DA70A9" w:rsidRPr="00DA70A9">
        <w:rPr>
          <w:kern w:val="22"/>
          <w:szCs w:val="22"/>
          <w:lang w:val="fr-FR"/>
        </w:rPr>
        <w:t xml:space="preserve">En particulier, un </w:t>
      </w:r>
      <w:r w:rsidR="00DA70A9">
        <w:rPr>
          <w:kern w:val="22"/>
          <w:szCs w:val="22"/>
          <w:lang w:val="fr-FR"/>
        </w:rPr>
        <w:t xml:space="preserve">dialogue spécifiquement axé sur </w:t>
      </w:r>
      <w:r w:rsidR="00E7308B">
        <w:rPr>
          <w:kern w:val="22"/>
          <w:szCs w:val="22"/>
          <w:lang w:val="fr-FR"/>
        </w:rPr>
        <w:t>l’</w:t>
      </w:r>
      <w:r w:rsidR="00C01103">
        <w:rPr>
          <w:kern w:val="22"/>
          <w:szCs w:val="22"/>
          <w:lang w:val="fr-FR"/>
        </w:rPr>
        <w:t>apprentissage mutuel</w:t>
      </w:r>
      <w:r w:rsidR="00F957CA" w:rsidRPr="005E0454">
        <w:rPr>
          <w:kern w:val="22"/>
          <w:szCs w:val="22"/>
          <w:lang w:val="fr-FR"/>
        </w:rPr>
        <w:t xml:space="preserve"> </w:t>
      </w:r>
      <w:r w:rsidR="002763F1">
        <w:rPr>
          <w:kern w:val="22"/>
          <w:szCs w:val="22"/>
          <w:lang w:val="fr-FR"/>
        </w:rPr>
        <w:t>entre</w:t>
      </w:r>
      <w:r w:rsidR="00DA70A9">
        <w:rPr>
          <w:kern w:val="22"/>
          <w:szCs w:val="22"/>
          <w:lang w:val="fr-FR"/>
        </w:rPr>
        <w:t xml:space="preserve"> l</w:t>
      </w:r>
      <w:r w:rsidR="00A01DA3" w:rsidRPr="005E0454">
        <w:rPr>
          <w:kern w:val="22"/>
          <w:szCs w:val="22"/>
          <w:lang w:val="fr-FR"/>
        </w:rPr>
        <w:t>a Conférence des Parties siégeant en tant que</w:t>
      </w:r>
      <w:r w:rsidR="00F246E2" w:rsidRPr="005E0454">
        <w:rPr>
          <w:kern w:val="22"/>
          <w:szCs w:val="22"/>
          <w:lang w:val="fr-FR"/>
        </w:rPr>
        <w:t xml:space="preserve"> </w:t>
      </w:r>
      <w:r w:rsidR="00A01DA3" w:rsidRPr="005E0454">
        <w:rPr>
          <w:kern w:val="22"/>
          <w:szCs w:val="22"/>
          <w:lang w:val="fr-FR"/>
        </w:rPr>
        <w:t>réunion</w:t>
      </w:r>
      <w:r w:rsidR="00F246E2" w:rsidRPr="005E0454">
        <w:rPr>
          <w:kern w:val="22"/>
          <w:szCs w:val="22"/>
          <w:lang w:val="fr-FR"/>
        </w:rPr>
        <w:t xml:space="preserve"> </w:t>
      </w:r>
      <w:r w:rsidR="0045647A" w:rsidRPr="005E0454">
        <w:rPr>
          <w:kern w:val="22"/>
          <w:szCs w:val="22"/>
          <w:lang w:val="fr-FR"/>
        </w:rPr>
        <w:t>des Par</w:t>
      </w:r>
      <w:r w:rsidR="00F246E2" w:rsidRPr="005E0454">
        <w:rPr>
          <w:kern w:val="22"/>
          <w:szCs w:val="22"/>
          <w:lang w:val="fr-FR"/>
        </w:rPr>
        <w:t>ties</w:t>
      </w:r>
      <w:r w:rsidR="00B85FC0" w:rsidRPr="005E0454">
        <w:rPr>
          <w:kern w:val="22"/>
          <w:szCs w:val="22"/>
          <w:lang w:val="fr-FR"/>
        </w:rPr>
        <w:t xml:space="preserve"> </w:t>
      </w:r>
      <w:r w:rsidR="00A01DA3" w:rsidRPr="005E0454">
        <w:rPr>
          <w:kern w:val="22"/>
          <w:szCs w:val="22"/>
          <w:lang w:val="fr-FR"/>
        </w:rPr>
        <w:t xml:space="preserve">au </w:t>
      </w:r>
      <w:r w:rsidR="0001030F" w:rsidRPr="005E0454">
        <w:rPr>
          <w:kern w:val="22"/>
          <w:szCs w:val="22"/>
          <w:lang w:val="fr-FR"/>
        </w:rPr>
        <w:t xml:space="preserve">Protocole </w:t>
      </w:r>
      <w:r w:rsidR="00623402" w:rsidRPr="005E0454">
        <w:rPr>
          <w:kern w:val="22"/>
          <w:szCs w:val="22"/>
          <w:lang w:val="fr-FR"/>
        </w:rPr>
        <w:t xml:space="preserve">et </w:t>
      </w:r>
      <w:r w:rsidR="00DA70A9">
        <w:rPr>
          <w:kern w:val="22"/>
          <w:szCs w:val="22"/>
          <w:lang w:val="fr-FR"/>
        </w:rPr>
        <w:t>l’autre</w:t>
      </w:r>
      <w:r w:rsidR="00623402" w:rsidRPr="005E0454">
        <w:rPr>
          <w:kern w:val="22"/>
          <w:szCs w:val="22"/>
          <w:lang w:val="fr-FR"/>
        </w:rPr>
        <w:t xml:space="preserve"> </w:t>
      </w:r>
      <w:r w:rsidR="00E14372">
        <w:rPr>
          <w:kern w:val="22"/>
          <w:szCs w:val="22"/>
          <w:lang w:val="fr-FR"/>
        </w:rPr>
        <w:t>instance</w:t>
      </w:r>
      <w:r w:rsidR="00DA70A9">
        <w:rPr>
          <w:kern w:val="22"/>
          <w:szCs w:val="22"/>
          <w:lang w:val="fr-FR"/>
        </w:rPr>
        <w:t xml:space="preserve"> concernée,</w:t>
      </w:r>
      <w:r w:rsidR="00F957CA" w:rsidRPr="005E0454">
        <w:rPr>
          <w:kern w:val="22"/>
          <w:szCs w:val="22"/>
          <w:lang w:val="fr-FR"/>
        </w:rPr>
        <w:t xml:space="preserve"> </w:t>
      </w:r>
      <w:r w:rsidR="00E7308B">
        <w:rPr>
          <w:kern w:val="22"/>
          <w:szCs w:val="22"/>
          <w:lang w:val="fr-FR"/>
        </w:rPr>
        <w:t>en vue d’appliquer l</w:t>
      </w:r>
      <w:r w:rsidR="00A01DA3" w:rsidRPr="005E0454">
        <w:rPr>
          <w:kern w:val="22"/>
          <w:szCs w:val="22"/>
          <w:lang w:val="fr-FR"/>
        </w:rPr>
        <w:t>es critères</w:t>
      </w:r>
      <w:r w:rsidR="00DA70A9">
        <w:rPr>
          <w:kern w:val="22"/>
          <w:szCs w:val="22"/>
          <w:lang w:val="fr-FR"/>
        </w:rPr>
        <w:t xml:space="preserve"> adoptés</w:t>
      </w:r>
      <w:r w:rsidR="00F957CA" w:rsidRPr="005E0454">
        <w:rPr>
          <w:kern w:val="22"/>
          <w:szCs w:val="22"/>
          <w:lang w:val="fr-FR"/>
        </w:rPr>
        <w:t xml:space="preserve"> </w:t>
      </w:r>
      <w:r w:rsidR="00D066C3">
        <w:rPr>
          <w:kern w:val="22"/>
          <w:szCs w:val="22"/>
          <w:lang w:val="fr-FR"/>
        </w:rPr>
        <w:t>par la</w:t>
      </w:r>
      <w:r w:rsidR="00A01DA3" w:rsidRPr="005E0454">
        <w:rPr>
          <w:kern w:val="22"/>
          <w:szCs w:val="22"/>
          <w:lang w:val="fr-FR"/>
        </w:rPr>
        <w:t xml:space="preserve"> Conférence des Parties siégeant en tant que</w:t>
      </w:r>
      <w:r w:rsidR="00B85FC0" w:rsidRPr="005E0454">
        <w:rPr>
          <w:kern w:val="22"/>
          <w:szCs w:val="22"/>
          <w:lang w:val="fr-FR"/>
        </w:rPr>
        <w:t xml:space="preserve"> </w:t>
      </w:r>
      <w:r w:rsidR="00A01DA3" w:rsidRPr="005E0454">
        <w:rPr>
          <w:kern w:val="22"/>
          <w:szCs w:val="22"/>
          <w:lang w:val="fr-FR"/>
        </w:rPr>
        <w:t>réunion</w:t>
      </w:r>
      <w:r w:rsidR="00B85FC0" w:rsidRPr="005E0454">
        <w:rPr>
          <w:kern w:val="22"/>
          <w:szCs w:val="22"/>
          <w:lang w:val="fr-FR"/>
        </w:rPr>
        <w:t xml:space="preserve"> </w:t>
      </w:r>
      <w:r w:rsidR="0045647A" w:rsidRPr="005E0454">
        <w:rPr>
          <w:kern w:val="22"/>
          <w:szCs w:val="22"/>
          <w:lang w:val="fr-FR"/>
        </w:rPr>
        <w:t>des Par</w:t>
      </w:r>
      <w:r w:rsidR="00B85FC0" w:rsidRPr="005E0454">
        <w:rPr>
          <w:kern w:val="22"/>
          <w:szCs w:val="22"/>
          <w:lang w:val="fr-FR"/>
        </w:rPr>
        <w:t xml:space="preserve">ties </w:t>
      </w:r>
      <w:r w:rsidR="00A01DA3" w:rsidRPr="005E0454">
        <w:rPr>
          <w:kern w:val="22"/>
          <w:szCs w:val="22"/>
          <w:lang w:val="fr-FR"/>
        </w:rPr>
        <w:t xml:space="preserve">au </w:t>
      </w:r>
      <w:r w:rsidR="0001030F" w:rsidRPr="005E0454">
        <w:rPr>
          <w:kern w:val="22"/>
          <w:szCs w:val="22"/>
          <w:lang w:val="fr-FR"/>
        </w:rPr>
        <w:t>Protocole</w:t>
      </w:r>
      <w:r w:rsidR="00E7308B">
        <w:rPr>
          <w:kern w:val="22"/>
          <w:szCs w:val="22"/>
          <w:lang w:val="fr-FR"/>
        </w:rPr>
        <w:t xml:space="preserve">, contribuera le mieux à </w:t>
      </w:r>
      <w:r w:rsidR="00DA70A9">
        <w:rPr>
          <w:kern w:val="22"/>
          <w:szCs w:val="22"/>
          <w:lang w:val="fr-FR"/>
        </w:rPr>
        <w:t xml:space="preserve">assurer un </w:t>
      </w:r>
      <w:r w:rsidR="00C01103">
        <w:rPr>
          <w:kern w:val="22"/>
          <w:szCs w:val="22"/>
          <w:lang w:val="fr-FR"/>
        </w:rPr>
        <w:t>renforcement mutuel</w:t>
      </w:r>
      <w:r w:rsidR="00F957CA" w:rsidRPr="005E0454">
        <w:rPr>
          <w:kern w:val="22"/>
          <w:szCs w:val="22"/>
          <w:lang w:val="fr-FR"/>
        </w:rPr>
        <w:t xml:space="preserve">. </w:t>
      </w:r>
      <w:r w:rsidR="00E7308B">
        <w:rPr>
          <w:kern w:val="22"/>
          <w:szCs w:val="22"/>
          <w:lang w:val="fr-FR"/>
        </w:rPr>
        <w:t>Idéalement, c</w:t>
      </w:r>
      <w:r w:rsidR="00DA70A9" w:rsidRPr="00DA70A9">
        <w:rPr>
          <w:kern w:val="22"/>
          <w:szCs w:val="22"/>
          <w:lang w:val="fr-FR"/>
        </w:rPr>
        <w:t xml:space="preserve">e </w:t>
      </w:r>
      <w:r w:rsidR="00F957CA" w:rsidRPr="00DA70A9">
        <w:rPr>
          <w:kern w:val="22"/>
          <w:szCs w:val="22"/>
          <w:lang w:val="fr-FR"/>
        </w:rPr>
        <w:t xml:space="preserve">dialogue </w:t>
      </w:r>
      <w:r w:rsidR="00E7308B">
        <w:rPr>
          <w:kern w:val="22"/>
          <w:szCs w:val="22"/>
          <w:lang w:val="fr-FR"/>
        </w:rPr>
        <w:t>pourrait commencer</w:t>
      </w:r>
      <w:r w:rsidR="00DA70A9" w:rsidRPr="00DA70A9">
        <w:rPr>
          <w:kern w:val="22"/>
          <w:szCs w:val="22"/>
          <w:lang w:val="fr-FR"/>
        </w:rPr>
        <w:t xml:space="preserve"> dès le début des </w:t>
      </w:r>
      <w:r w:rsidR="00D066C3" w:rsidRPr="00DA70A9">
        <w:rPr>
          <w:kern w:val="22"/>
          <w:szCs w:val="22"/>
          <w:lang w:val="fr-FR"/>
        </w:rPr>
        <w:t>négociation</w:t>
      </w:r>
      <w:r w:rsidR="00F957CA" w:rsidRPr="00DA70A9">
        <w:rPr>
          <w:kern w:val="22"/>
          <w:szCs w:val="22"/>
          <w:lang w:val="fr-FR"/>
        </w:rPr>
        <w:t xml:space="preserve">s, </w:t>
      </w:r>
      <w:r w:rsidR="005D3CDB" w:rsidRPr="00DA70A9">
        <w:rPr>
          <w:kern w:val="22"/>
          <w:szCs w:val="22"/>
          <w:lang w:val="fr-FR"/>
        </w:rPr>
        <w:t>y compris</w:t>
      </w:r>
      <w:r w:rsidR="00DA70A9">
        <w:rPr>
          <w:kern w:val="22"/>
          <w:szCs w:val="22"/>
          <w:lang w:val="fr-FR"/>
        </w:rPr>
        <w:t xml:space="preserve"> un manda</w:t>
      </w:r>
      <w:r w:rsidR="00E7308B">
        <w:rPr>
          <w:kern w:val="22"/>
          <w:szCs w:val="22"/>
          <w:lang w:val="fr-FR"/>
        </w:rPr>
        <w:t>t de négociation visant à parvenir à</w:t>
      </w:r>
      <w:r w:rsidR="00DA70A9">
        <w:rPr>
          <w:kern w:val="22"/>
          <w:szCs w:val="22"/>
          <w:lang w:val="fr-FR"/>
        </w:rPr>
        <w:t xml:space="preserve"> une cohé</w:t>
      </w:r>
      <w:r w:rsidR="00F957CA" w:rsidRPr="00DA70A9">
        <w:rPr>
          <w:kern w:val="22"/>
          <w:szCs w:val="22"/>
          <w:lang w:val="fr-FR"/>
        </w:rPr>
        <w:t xml:space="preserve">rence </w:t>
      </w:r>
      <w:r w:rsidR="00DA70A9">
        <w:rPr>
          <w:kern w:val="22"/>
          <w:szCs w:val="22"/>
          <w:lang w:val="fr-FR"/>
        </w:rPr>
        <w:t>entre les deux instruments</w:t>
      </w:r>
      <w:r w:rsidR="00E14868" w:rsidRPr="00DA70A9">
        <w:rPr>
          <w:kern w:val="22"/>
          <w:szCs w:val="22"/>
          <w:lang w:val="fr-FR"/>
        </w:rPr>
        <w:t>.</w:t>
      </w:r>
    </w:p>
    <w:p w:rsidR="00F957CA" w:rsidRPr="00DA70A9" w:rsidRDefault="00231CD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DA70A9">
        <w:rPr>
          <w:kern w:val="22"/>
          <w:szCs w:val="22"/>
          <w:lang w:val="fr-FR"/>
        </w:rPr>
        <w:t>Même en l’</w:t>
      </w:r>
      <w:r w:rsidR="00E7308B">
        <w:rPr>
          <w:kern w:val="22"/>
          <w:szCs w:val="22"/>
          <w:lang w:val="fr-FR"/>
        </w:rPr>
        <w:t>absence d’objections émanant de</w:t>
      </w:r>
      <w:r w:rsidRPr="00DA70A9">
        <w:rPr>
          <w:kern w:val="22"/>
          <w:szCs w:val="22"/>
          <w:lang w:val="fr-FR"/>
        </w:rPr>
        <w:t xml:space="preserve"> </w:t>
      </w:r>
      <w:r w:rsidR="00041BC3" w:rsidRPr="00DA70A9">
        <w:rPr>
          <w:kern w:val="22"/>
          <w:szCs w:val="22"/>
          <w:lang w:val="fr-FR"/>
        </w:rPr>
        <w:t xml:space="preserve">Parties </w:t>
      </w:r>
      <w:r w:rsidR="00A01DA3" w:rsidRPr="00DA70A9">
        <w:rPr>
          <w:kern w:val="22"/>
          <w:szCs w:val="22"/>
          <w:lang w:val="fr-FR"/>
        </w:rPr>
        <w:t>au Protocole de Nagoya</w:t>
      </w:r>
      <w:r w:rsidR="00DA70A9" w:rsidRPr="00DA70A9">
        <w:rPr>
          <w:kern w:val="22"/>
          <w:szCs w:val="22"/>
          <w:lang w:val="fr-FR"/>
        </w:rPr>
        <w:t xml:space="preserve">, il </w:t>
      </w:r>
      <w:r w:rsidR="00E7308B">
        <w:rPr>
          <w:kern w:val="22"/>
          <w:szCs w:val="22"/>
          <w:lang w:val="fr-FR"/>
        </w:rPr>
        <w:t xml:space="preserve">revient à </w:t>
      </w:r>
      <w:r w:rsidR="00DA70A9">
        <w:rPr>
          <w:kern w:val="22"/>
          <w:szCs w:val="22"/>
          <w:lang w:val="fr-FR"/>
        </w:rPr>
        <w:t>l</w:t>
      </w:r>
      <w:r w:rsidR="00A01DA3" w:rsidRPr="00DA70A9">
        <w:rPr>
          <w:kern w:val="22"/>
          <w:szCs w:val="22"/>
          <w:lang w:val="fr-FR"/>
        </w:rPr>
        <w:t>a Conférence des Parties siégeant en tant que</w:t>
      </w:r>
      <w:r w:rsidR="00F246E2" w:rsidRPr="00DA70A9">
        <w:rPr>
          <w:kern w:val="22"/>
          <w:szCs w:val="22"/>
          <w:lang w:val="fr-FR"/>
        </w:rPr>
        <w:t xml:space="preserve"> </w:t>
      </w:r>
      <w:r w:rsidR="00A01DA3" w:rsidRPr="00DA70A9">
        <w:rPr>
          <w:kern w:val="22"/>
          <w:szCs w:val="22"/>
          <w:lang w:val="fr-FR"/>
        </w:rPr>
        <w:t>réunion</w:t>
      </w:r>
      <w:r w:rsidR="00F246E2" w:rsidRPr="00DA70A9">
        <w:rPr>
          <w:kern w:val="22"/>
          <w:szCs w:val="22"/>
          <w:lang w:val="fr-FR"/>
        </w:rPr>
        <w:t xml:space="preserve"> </w:t>
      </w:r>
      <w:r w:rsidR="0045647A" w:rsidRPr="00DA70A9">
        <w:rPr>
          <w:kern w:val="22"/>
          <w:szCs w:val="22"/>
          <w:lang w:val="fr-FR"/>
        </w:rPr>
        <w:t>des Par</w:t>
      </w:r>
      <w:r w:rsidR="00F246E2" w:rsidRPr="00DA70A9">
        <w:rPr>
          <w:kern w:val="22"/>
          <w:szCs w:val="22"/>
          <w:lang w:val="fr-FR"/>
        </w:rPr>
        <w:t>ties</w:t>
      </w:r>
      <w:r w:rsidR="002D68DC" w:rsidRPr="00DA70A9">
        <w:rPr>
          <w:kern w:val="22"/>
          <w:szCs w:val="22"/>
          <w:lang w:val="fr-FR"/>
        </w:rPr>
        <w:t xml:space="preserve"> </w:t>
      </w:r>
      <w:r w:rsidR="00A01DA3" w:rsidRPr="00DA70A9">
        <w:rPr>
          <w:kern w:val="22"/>
          <w:szCs w:val="22"/>
          <w:lang w:val="fr-FR"/>
        </w:rPr>
        <w:t xml:space="preserve">au </w:t>
      </w:r>
      <w:r w:rsidR="0001030F" w:rsidRPr="00DA70A9">
        <w:rPr>
          <w:kern w:val="22"/>
          <w:szCs w:val="22"/>
          <w:lang w:val="fr-FR"/>
        </w:rPr>
        <w:t xml:space="preserve">Protocole </w:t>
      </w:r>
      <w:r w:rsidR="00DA70A9">
        <w:rPr>
          <w:kern w:val="22"/>
          <w:szCs w:val="22"/>
          <w:lang w:val="fr-FR"/>
        </w:rPr>
        <w:t>de prendre note de l’</w:t>
      </w:r>
      <w:r w:rsidR="00F957CA" w:rsidRPr="00DA70A9">
        <w:rPr>
          <w:kern w:val="22"/>
          <w:szCs w:val="22"/>
          <w:lang w:val="fr-FR"/>
        </w:rPr>
        <w:t xml:space="preserve">initiative </w:t>
      </w:r>
      <w:r w:rsidR="00DA70A9">
        <w:rPr>
          <w:kern w:val="22"/>
          <w:szCs w:val="22"/>
          <w:lang w:val="fr-FR"/>
        </w:rPr>
        <w:t xml:space="preserve">menée dans une autre </w:t>
      </w:r>
      <w:r w:rsidR="00E14372" w:rsidRPr="00DA70A9">
        <w:rPr>
          <w:kern w:val="22"/>
          <w:szCs w:val="22"/>
          <w:lang w:val="fr-FR"/>
        </w:rPr>
        <w:t>instance</w:t>
      </w:r>
      <w:r w:rsidR="00623402" w:rsidRPr="00DA70A9">
        <w:rPr>
          <w:kern w:val="22"/>
          <w:szCs w:val="22"/>
          <w:lang w:val="fr-FR"/>
        </w:rPr>
        <w:t xml:space="preserve"> et </w:t>
      </w:r>
      <w:r w:rsidR="00DA70A9">
        <w:rPr>
          <w:kern w:val="22"/>
          <w:szCs w:val="22"/>
          <w:lang w:val="fr-FR"/>
        </w:rPr>
        <w:t>d’e</w:t>
      </w:r>
      <w:r w:rsidR="00E7308B">
        <w:rPr>
          <w:kern w:val="22"/>
          <w:szCs w:val="22"/>
          <w:lang w:val="fr-FR"/>
        </w:rPr>
        <w:t xml:space="preserve">xaminer les répercussions d’une </w:t>
      </w:r>
      <w:r w:rsidR="00DA70A9">
        <w:rPr>
          <w:kern w:val="22"/>
          <w:szCs w:val="22"/>
          <w:lang w:val="fr-FR"/>
        </w:rPr>
        <w:t>reconnaissance de l’instrument</w:t>
      </w:r>
      <w:r w:rsidR="00F957CA" w:rsidRPr="00DA70A9">
        <w:rPr>
          <w:kern w:val="22"/>
          <w:szCs w:val="22"/>
          <w:lang w:val="fr-FR"/>
        </w:rPr>
        <w:t xml:space="preserve"> </w:t>
      </w:r>
      <w:r w:rsidR="00DA70A9">
        <w:rPr>
          <w:kern w:val="22"/>
          <w:szCs w:val="22"/>
          <w:lang w:val="fr-FR"/>
        </w:rPr>
        <w:t>au titre du</w:t>
      </w:r>
      <w:r w:rsidR="00623402" w:rsidRPr="00DA70A9">
        <w:rPr>
          <w:kern w:val="22"/>
          <w:szCs w:val="22"/>
          <w:lang w:val="fr-FR"/>
        </w:rPr>
        <w:t xml:space="preserve"> paragraphe 4 de l’article 4</w:t>
      </w:r>
      <w:r w:rsidR="00F957CA" w:rsidRPr="00DA70A9">
        <w:rPr>
          <w:kern w:val="22"/>
          <w:szCs w:val="22"/>
          <w:lang w:val="fr-FR"/>
        </w:rPr>
        <w:t xml:space="preserve">, </w:t>
      </w:r>
      <w:r w:rsidR="00DA70A9">
        <w:rPr>
          <w:kern w:val="22"/>
          <w:szCs w:val="22"/>
          <w:lang w:val="fr-FR"/>
        </w:rPr>
        <w:t>à savoir, la non-</w:t>
      </w:r>
      <w:r w:rsidR="00F957CA" w:rsidRPr="00DA70A9">
        <w:rPr>
          <w:kern w:val="22"/>
          <w:szCs w:val="22"/>
          <w:lang w:val="fr-FR"/>
        </w:rPr>
        <w:t xml:space="preserve">application </w:t>
      </w:r>
      <w:r w:rsidR="005D3CDB" w:rsidRPr="00DA70A9">
        <w:rPr>
          <w:kern w:val="22"/>
          <w:szCs w:val="22"/>
          <w:lang w:val="fr-FR"/>
        </w:rPr>
        <w:t xml:space="preserve">du </w:t>
      </w:r>
      <w:r w:rsidR="00DA70A9">
        <w:rPr>
          <w:kern w:val="22"/>
          <w:szCs w:val="22"/>
          <w:lang w:val="fr-FR"/>
        </w:rPr>
        <w:t>Protocole</w:t>
      </w:r>
      <w:r w:rsidR="00E7308B">
        <w:rPr>
          <w:kern w:val="22"/>
          <w:szCs w:val="22"/>
          <w:lang w:val="fr-FR"/>
        </w:rPr>
        <w:t xml:space="preserve"> de Nagoya</w:t>
      </w:r>
      <w:r w:rsidR="00DA70A9">
        <w:rPr>
          <w:kern w:val="22"/>
          <w:szCs w:val="22"/>
          <w:lang w:val="fr-FR"/>
        </w:rPr>
        <w:t xml:space="preserve"> aux re</w:t>
      </w:r>
      <w:r w:rsidR="00E7308B">
        <w:rPr>
          <w:kern w:val="22"/>
          <w:szCs w:val="22"/>
          <w:lang w:val="fr-FR"/>
        </w:rPr>
        <w:t>ssources génétiques visées par</w:t>
      </w:r>
      <w:r w:rsidR="00DA70A9">
        <w:rPr>
          <w:kern w:val="22"/>
          <w:szCs w:val="22"/>
          <w:lang w:val="fr-FR"/>
        </w:rPr>
        <w:t xml:space="preserve"> l’accord</w:t>
      </w:r>
      <w:r w:rsidR="00F957CA" w:rsidRPr="00DA70A9">
        <w:rPr>
          <w:kern w:val="22"/>
          <w:szCs w:val="22"/>
          <w:lang w:val="fr-FR"/>
        </w:rPr>
        <w:t xml:space="preserve"> </w:t>
      </w:r>
      <w:r w:rsidR="0026155E" w:rsidRPr="00DA70A9">
        <w:rPr>
          <w:kern w:val="22"/>
          <w:szCs w:val="22"/>
          <w:lang w:val="fr-FR"/>
        </w:rPr>
        <w:t>spécial</w:t>
      </w:r>
      <w:r w:rsidR="00EF5578">
        <w:rPr>
          <w:kern w:val="22"/>
          <w:szCs w:val="22"/>
          <w:lang w:val="fr-FR"/>
        </w:rPr>
        <w:t xml:space="preserve"> et aux buts</w:t>
      </w:r>
      <w:r w:rsidR="00E7308B">
        <w:rPr>
          <w:kern w:val="22"/>
          <w:szCs w:val="22"/>
          <w:lang w:val="fr-FR"/>
        </w:rPr>
        <w:t xml:space="preserve"> de cet accord</w:t>
      </w:r>
      <w:r w:rsidR="00DA70A9">
        <w:rPr>
          <w:kern w:val="22"/>
          <w:szCs w:val="22"/>
          <w:lang w:val="fr-FR"/>
        </w:rPr>
        <w:t xml:space="preserve">, pour les </w:t>
      </w:r>
      <w:r w:rsidR="00F957CA" w:rsidRPr="00DA70A9">
        <w:rPr>
          <w:kern w:val="22"/>
          <w:szCs w:val="22"/>
          <w:lang w:val="fr-FR"/>
        </w:rPr>
        <w:t xml:space="preserve">Parties </w:t>
      </w:r>
      <w:r w:rsidR="00A01DA3" w:rsidRPr="00DA70A9">
        <w:rPr>
          <w:kern w:val="22"/>
          <w:szCs w:val="22"/>
          <w:lang w:val="fr-FR"/>
        </w:rPr>
        <w:t xml:space="preserve">au </w:t>
      </w:r>
      <w:r w:rsidR="0001030F" w:rsidRPr="00DA70A9">
        <w:rPr>
          <w:kern w:val="22"/>
          <w:szCs w:val="22"/>
          <w:lang w:val="fr-FR"/>
        </w:rPr>
        <w:t xml:space="preserve">Protocole </w:t>
      </w:r>
      <w:r w:rsidR="00E7308B">
        <w:rPr>
          <w:kern w:val="22"/>
          <w:szCs w:val="22"/>
          <w:lang w:val="fr-FR"/>
        </w:rPr>
        <w:t xml:space="preserve">qui sont </w:t>
      </w:r>
      <w:r w:rsidRPr="00DA70A9">
        <w:rPr>
          <w:kern w:val="22"/>
          <w:szCs w:val="22"/>
          <w:lang w:val="fr-FR"/>
        </w:rPr>
        <w:t>Partie</w:t>
      </w:r>
      <w:r w:rsidR="00DA70A9">
        <w:rPr>
          <w:kern w:val="22"/>
          <w:szCs w:val="22"/>
          <w:lang w:val="fr-FR"/>
        </w:rPr>
        <w:t xml:space="preserve">s à </w:t>
      </w:r>
      <w:r w:rsidR="004A1AB3" w:rsidRPr="00DA70A9">
        <w:rPr>
          <w:kern w:val="22"/>
          <w:szCs w:val="22"/>
          <w:lang w:val="fr-FR"/>
        </w:rPr>
        <w:t>l’instrument spécial</w:t>
      </w:r>
      <w:r w:rsidR="00F957CA" w:rsidRPr="00DA70A9">
        <w:rPr>
          <w:kern w:val="22"/>
          <w:szCs w:val="22"/>
          <w:lang w:val="fr-FR"/>
        </w:rPr>
        <w:t>.</w:t>
      </w:r>
    </w:p>
    <w:p w:rsidR="00F957CA" w:rsidRPr="004851EA" w:rsidRDefault="00231CD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231CD8">
        <w:rPr>
          <w:bCs/>
          <w:i/>
          <w:kern w:val="22"/>
          <w:szCs w:val="22"/>
          <w:lang w:val="fr-FR"/>
        </w:rPr>
        <w:t xml:space="preserve">Initiative d’une </w:t>
      </w:r>
      <w:r>
        <w:rPr>
          <w:bCs/>
          <w:i/>
          <w:kern w:val="22"/>
          <w:szCs w:val="22"/>
          <w:lang w:val="fr-FR"/>
        </w:rPr>
        <w:t>Partie</w:t>
      </w:r>
      <w:r w:rsidRPr="00231CD8">
        <w:rPr>
          <w:bCs/>
          <w:i/>
          <w:kern w:val="22"/>
          <w:szCs w:val="22"/>
          <w:lang w:val="fr-FR"/>
        </w:rPr>
        <w:t xml:space="preserve"> ou</w:t>
      </w:r>
      <w:r w:rsidR="00082280" w:rsidRPr="00231CD8">
        <w:rPr>
          <w:bCs/>
          <w:i/>
          <w:kern w:val="22"/>
          <w:szCs w:val="22"/>
          <w:lang w:val="fr-FR"/>
        </w:rPr>
        <w:t xml:space="preserve"> </w:t>
      </w:r>
      <w:r w:rsidR="00C01103">
        <w:rPr>
          <w:bCs/>
          <w:i/>
          <w:kern w:val="22"/>
          <w:szCs w:val="22"/>
          <w:lang w:val="fr-FR"/>
        </w:rPr>
        <w:t xml:space="preserve">d’un </w:t>
      </w:r>
      <w:r w:rsidR="00082280" w:rsidRPr="00231CD8">
        <w:rPr>
          <w:bCs/>
          <w:i/>
          <w:kern w:val="22"/>
          <w:szCs w:val="22"/>
          <w:lang w:val="fr-FR"/>
        </w:rPr>
        <w:t>group</w:t>
      </w:r>
      <w:r w:rsidRPr="00231CD8">
        <w:rPr>
          <w:bCs/>
          <w:i/>
          <w:kern w:val="22"/>
          <w:szCs w:val="22"/>
          <w:lang w:val="fr-FR"/>
        </w:rPr>
        <w:t>e de</w:t>
      </w:r>
      <w:r w:rsidR="00082280" w:rsidRPr="00231CD8">
        <w:rPr>
          <w:bCs/>
          <w:i/>
          <w:kern w:val="22"/>
          <w:szCs w:val="22"/>
          <w:lang w:val="fr-FR"/>
        </w:rPr>
        <w:t xml:space="preserve"> Parties</w:t>
      </w:r>
      <w:r w:rsidR="002C56EB" w:rsidRPr="00231CD8">
        <w:rPr>
          <w:kern w:val="22"/>
          <w:szCs w:val="22"/>
          <w:lang w:val="fr-FR"/>
        </w:rPr>
        <w:t xml:space="preserve"> </w:t>
      </w:r>
      <w:r w:rsidR="00DA4F9B" w:rsidRPr="00231CD8">
        <w:rPr>
          <w:kern w:val="22"/>
          <w:szCs w:val="22"/>
          <w:lang w:val="fr-FR"/>
        </w:rPr>
        <w:t>—</w:t>
      </w:r>
      <w:r w:rsidR="00082280" w:rsidRPr="00231CD8">
        <w:rPr>
          <w:kern w:val="22"/>
          <w:szCs w:val="22"/>
          <w:lang w:val="fr-FR"/>
        </w:rPr>
        <w:t xml:space="preserve"> </w:t>
      </w:r>
      <w:r w:rsidR="00C01103">
        <w:rPr>
          <w:kern w:val="22"/>
          <w:szCs w:val="22"/>
          <w:lang w:val="fr-FR"/>
        </w:rPr>
        <w:t xml:space="preserve">Il est possible qu’une </w:t>
      </w:r>
      <w:r>
        <w:rPr>
          <w:kern w:val="22"/>
          <w:szCs w:val="22"/>
          <w:lang w:val="fr-FR"/>
        </w:rPr>
        <w:t>Partie</w:t>
      </w:r>
      <w:r w:rsidR="00F957CA" w:rsidRPr="00231CD8">
        <w:rPr>
          <w:kern w:val="22"/>
          <w:szCs w:val="22"/>
          <w:lang w:val="fr-FR"/>
        </w:rPr>
        <w:t xml:space="preserve"> </w:t>
      </w:r>
      <w:r w:rsidR="00B55D08">
        <w:rPr>
          <w:kern w:val="22"/>
          <w:szCs w:val="22"/>
          <w:lang w:val="fr-FR"/>
        </w:rPr>
        <w:t>ou un groupe de Par</w:t>
      </w:r>
      <w:r w:rsidR="00F957CA" w:rsidRPr="00231CD8">
        <w:rPr>
          <w:kern w:val="22"/>
          <w:szCs w:val="22"/>
          <w:lang w:val="fr-FR"/>
        </w:rPr>
        <w:t xml:space="preserve">ties </w:t>
      </w:r>
      <w:r w:rsidR="00A01DA3" w:rsidRPr="00231CD8">
        <w:rPr>
          <w:kern w:val="22"/>
          <w:szCs w:val="22"/>
          <w:lang w:val="fr-FR"/>
        </w:rPr>
        <w:t>au Protocole de Nagoya</w:t>
      </w:r>
      <w:r w:rsidR="00EF5578">
        <w:rPr>
          <w:kern w:val="22"/>
          <w:szCs w:val="22"/>
          <w:lang w:val="fr-FR"/>
        </w:rPr>
        <w:t xml:space="preserve"> reconnaisse un</w:t>
      </w:r>
      <w:r w:rsidR="00C01103">
        <w:rPr>
          <w:kern w:val="22"/>
          <w:szCs w:val="22"/>
          <w:lang w:val="fr-FR"/>
        </w:rPr>
        <w:t xml:space="preserve"> </w:t>
      </w:r>
      <w:r w:rsidR="00EF5578">
        <w:rPr>
          <w:kern w:val="22"/>
          <w:szCs w:val="22"/>
          <w:lang w:val="fr-FR"/>
        </w:rPr>
        <w:t>instrument international</w:t>
      </w:r>
      <w:r w:rsidR="00F957CA" w:rsidRPr="00231CD8">
        <w:rPr>
          <w:kern w:val="22"/>
          <w:szCs w:val="22"/>
          <w:lang w:val="fr-FR"/>
        </w:rPr>
        <w:t xml:space="preserve"> </w:t>
      </w:r>
      <w:r w:rsidR="00EF5578">
        <w:rPr>
          <w:kern w:val="22"/>
          <w:szCs w:val="22"/>
          <w:lang w:val="fr-FR"/>
        </w:rPr>
        <w:t>spécial</w:t>
      </w:r>
      <w:r w:rsidR="00E76CEC">
        <w:rPr>
          <w:kern w:val="22"/>
          <w:szCs w:val="22"/>
          <w:lang w:val="fr-FR"/>
        </w:rPr>
        <w:t xml:space="preserve"> donné,</w:t>
      </w:r>
      <w:r w:rsidR="00C01103">
        <w:rPr>
          <w:kern w:val="22"/>
          <w:szCs w:val="22"/>
          <w:lang w:val="fr-FR"/>
        </w:rPr>
        <w:t xml:space="preserve"> en application du </w:t>
      </w:r>
      <w:r w:rsidR="00623402" w:rsidRPr="00231CD8">
        <w:rPr>
          <w:kern w:val="22"/>
          <w:szCs w:val="22"/>
          <w:lang w:val="fr-FR"/>
        </w:rPr>
        <w:t>paragraphe 4 de l’article 4</w:t>
      </w:r>
      <w:r w:rsidR="00700C64" w:rsidRPr="00231CD8">
        <w:rPr>
          <w:kern w:val="22"/>
          <w:szCs w:val="22"/>
          <w:lang w:val="fr-FR"/>
        </w:rPr>
        <w:t xml:space="preserve"> </w:t>
      </w:r>
      <w:r w:rsidR="005D3CDB" w:rsidRPr="00231CD8">
        <w:rPr>
          <w:kern w:val="22"/>
          <w:szCs w:val="22"/>
          <w:lang w:val="fr-FR"/>
        </w:rPr>
        <w:t>du Pro</w:t>
      </w:r>
      <w:r w:rsidR="00A01DA3" w:rsidRPr="00231CD8">
        <w:rPr>
          <w:kern w:val="22"/>
          <w:szCs w:val="22"/>
          <w:lang w:val="fr-FR"/>
        </w:rPr>
        <w:t>tocole de Nagoya</w:t>
      </w:r>
      <w:r w:rsidR="00F957CA" w:rsidRPr="00231CD8">
        <w:rPr>
          <w:kern w:val="22"/>
          <w:szCs w:val="22"/>
          <w:lang w:val="fr-FR"/>
        </w:rPr>
        <w:t xml:space="preserve">. </w:t>
      </w:r>
      <w:r w:rsidR="00C01103" w:rsidRPr="00C01103">
        <w:rPr>
          <w:kern w:val="22"/>
          <w:szCs w:val="22"/>
          <w:lang w:val="fr-FR"/>
        </w:rPr>
        <w:t>Cette approche p</w:t>
      </w:r>
      <w:r w:rsidR="00E76CEC">
        <w:rPr>
          <w:kern w:val="22"/>
          <w:szCs w:val="22"/>
          <w:lang w:val="fr-FR"/>
        </w:rPr>
        <w:t>résente l’inconvénient d’être la moins capable d’améliorer de façon</w:t>
      </w:r>
      <w:r w:rsidR="00C01103" w:rsidRPr="00C01103">
        <w:rPr>
          <w:kern w:val="22"/>
          <w:szCs w:val="22"/>
          <w:lang w:val="fr-FR"/>
        </w:rPr>
        <w:t xml:space="preserve"> sy</w:t>
      </w:r>
      <w:r w:rsidR="00E76CEC">
        <w:rPr>
          <w:kern w:val="22"/>
          <w:szCs w:val="22"/>
          <w:lang w:val="fr-FR"/>
        </w:rPr>
        <w:t>stématique et structurelle la</w:t>
      </w:r>
      <w:r w:rsidR="00C01103" w:rsidRPr="00C01103">
        <w:rPr>
          <w:kern w:val="22"/>
          <w:szCs w:val="22"/>
          <w:lang w:val="fr-FR"/>
        </w:rPr>
        <w:t xml:space="preserve"> coordination</w:t>
      </w:r>
      <w:r w:rsidR="00C01103">
        <w:rPr>
          <w:kern w:val="22"/>
          <w:szCs w:val="22"/>
          <w:lang w:val="fr-FR"/>
        </w:rPr>
        <w:t xml:space="preserve"> interinstitutionnelle des</w:t>
      </w:r>
      <w:r w:rsidR="00C01103" w:rsidRPr="00C01103">
        <w:rPr>
          <w:kern w:val="22"/>
          <w:szCs w:val="22"/>
          <w:lang w:val="fr-FR"/>
        </w:rPr>
        <w:t xml:space="preserve"> </w:t>
      </w:r>
      <w:r w:rsidR="00C01103">
        <w:rPr>
          <w:kern w:val="22"/>
          <w:szCs w:val="22"/>
          <w:lang w:val="fr-FR"/>
        </w:rPr>
        <w:t>ré</w:t>
      </w:r>
      <w:r w:rsidR="00F957CA" w:rsidRPr="00C01103">
        <w:rPr>
          <w:kern w:val="22"/>
          <w:szCs w:val="22"/>
          <w:lang w:val="fr-FR"/>
        </w:rPr>
        <w:t>gime</w:t>
      </w:r>
      <w:r w:rsidR="00C01103">
        <w:rPr>
          <w:iCs/>
          <w:kern w:val="22"/>
          <w:szCs w:val="22"/>
          <w:lang w:val="fr-FR"/>
        </w:rPr>
        <w:t>s</w:t>
      </w:r>
      <w:r w:rsidR="00F957CA" w:rsidRPr="00C01103">
        <w:rPr>
          <w:iCs/>
          <w:kern w:val="22"/>
          <w:szCs w:val="22"/>
          <w:lang w:val="fr-FR"/>
        </w:rPr>
        <w:t xml:space="preserve">. </w:t>
      </w:r>
      <w:r w:rsidR="00E76CEC">
        <w:rPr>
          <w:iCs/>
          <w:kern w:val="22"/>
          <w:szCs w:val="22"/>
          <w:lang w:val="fr-FR"/>
        </w:rPr>
        <w:t>De même, u</w:t>
      </w:r>
      <w:r w:rsidR="00C01103">
        <w:rPr>
          <w:iCs/>
          <w:kern w:val="22"/>
          <w:szCs w:val="22"/>
          <w:lang w:val="fr-FR"/>
        </w:rPr>
        <w:t>ne tell</w:t>
      </w:r>
      <w:r w:rsidR="00E76CEC">
        <w:rPr>
          <w:iCs/>
          <w:kern w:val="22"/>
          <w:szCs w:val="22"/>
          <w:lang w:val="fr-FR"/>
        </w:rPr>
        <w:t>e approche est la plus à même de réduire</w:t>
      </w:r>
      <w:r w:rsidR="00C01103">
        <w:rPr>
          <w:iCs/>
          <w:kern w:val="22"/>
          <w:szCs w:val="22"/>
          <w:lang w:val="fr-FR"/>
        </w:rPr>
        <w:t xml:space="preserve"> la </w:t>
      </w:r>
      <w:r w:rsidR="00C01103" w:rsidRPr="00C01103">
        <w:rPr>
          <w:iCs/>
          <w:kern w:val="22"/>
          <w:szCs w:val="22"/>
          <w:lang w:val="fr-FR"/>
        </w:rPr>
        <w:t>sécurité juridique</w:t>
      </w:r>
      <w:r w:rsidR="004A1AB3">
        <w:rPr>
          <w:iCs/>
          <w:kern w:val="22"/>
          <w:szCs w:val="22"/>
          <w:lang w:val="fr-FR"/>
        </w:rPr>
        <w:t xml:space="preserve"> entre les </w:t>
      </w:r>
      <w:r w:rsidR="00FA0D29" w:rsidRPr="00C01103">
        <w:rPr>
          <w:iCs/>
          <w:kern w:val="22"/>
          <w:szCs w:val="22"/>
          <w:lang w:val="fr-FR"/>
        </w:rPr>
        <w:t xml:space="preserve">Parties </w:t>
      </w:r>
      <w:r w:rsidR="00A01DA3" w:rsidRPr="00C01103">
        <w:rPr>
          <w:iCs/>
          <w:kern w:val="22"/>
          <w:szCs w:val="22"/>
          <w:lang w:val="fr-FR"/>
        </w:rPr>
        <w:t>au Protocole de Nagoya</w:t>
      </w:r>
      <w:r w:rsidR="00F957CA" w:rsidRPr="00C01103">
        <w:rPr>
          <w:iCs/>
          <w:kern w:val="22"/>
          <w:szCs w:val="22"/>
          <w:lang w:val="fr-FR"/>
        </w:rPr>
        <w:t xml:space="preserve">. </w:t>
      </w:r>
      <w:r w:rsidR="00E76CEC">
        <w:rPr>
          <w:iCs/>
          <w:kern w:val="22"/>
          <w:szCs w:val="22"/>
          <w:lang w:val="fr-FR"/>
        </w:rPr>
        <w:t>A l’inverse, l</w:t>
      </w:r>
      <w:r w:rsidR="004851EA" w:rsidRPr="004851EA">
        <w:rPr>
          <w:iCs/>
          <w:kern w:val="22"/>
          <w:szCs w:val="22"/>
          <w:lang w:val="fr-FR"/>
        </w:rPr>
        <w:t>es initiatives menées par un</w:t>
      </w:r>
      <w:r w:rsidR="004851EA">
        <w:rPr>
          <w:iCs/>
          <w:kern w:val="22"/>
          <w:szCs w:val="22"/>
          <w:lang w:val="fr-FR"/>
        </w:rPr>
        <w:t>e</w:t>
      </w:r>
      <w:r w:rsidR="00F957CA" w:rsidRPr="004851EA">
        <w:rPr>
          <w:iCs/>
          <w:kern w:val="22"/>
          <w:szCs w:val="22"/>
          <w:lang w:val="fr-FR"/>
        </w:rPr>
        <w:t xml:space="preserve"> </w:t>
      </w:r>
      <w:r w:rsidRPr="004851EA">
        <w:rPr>
          <w:kern w:val="22"/>
          <w:szCs w:val="22"/>
          <w:lang w:val="fr-FR"/>
        </w:rPr>
        <w:t>Partie</w:t>
      </w:r>
      <w:r w:rsidR="00101345" w:rsidRPr="004851EA">
        <w:rPr>
          <w:iCs/>
          <w:kern w:val="22"/>
          <w:szCs w:val="22"/>
          <w:lang w:val="fr-FR"/>
        </w:rPr>
        <w:t xml:space="preserve"> ou</w:t>
      </w:r>
      <w:r w:rsidR="00F957CA" w:rsidRPr="004851EA">
        <w:rPr>
          <w:iCs/>
          <w:kern w:val="22"/>
          <w:szCs w:val="22"/>
          <w:lang w:val="fr-FR"/>
        </w:rPr>
        <w:t xml:space="preserve"> </w:t>
      </w:r>
      <w:r w:rsidR="004851EA" w:rsidRPr="004851EA">
        <w:rPr>
          <w:iCs/>
          <w:kern w:val="22"/>
          <w:szCs w:val="22"/>
          <w:lang w:val="fr-FR"/>
        </w:rPr>
        <w:t xml:space="preserve">un </w:t>
      </w:r>
      <w:r w:rsidR="00F957CA" w:rsidRPr="004851EA">
        <w:rPr>
          <w:iCs/>
          <w:kern w:val="22"/>
          <w:szCs w:val="22"/>
          <w:lang w:val="fr-FR"/>
        </w:rPr>
        <w:t>group</w:t>
      </w:r>
      <w:r w:rsidR="00101345" w:rsidRPr="004851EA">
        <w:rPr>
          <w:iCs/>
          <w:kern w:val="22"/>
          <w:szCs w:val="22"/>
          <w:lang w:val="fr-FR"/>
        </w:rPr>
        <w:t xml:space="preserve">e de </w:t>
      </w:r>
      <w:r w:rsidR="001701AA" w:rsidRPr="004851EA">
        <w:rPr>
          <w:kern w:val="22"/>
          <w:szCs w:val="22"/>
          <w:lang w:val="fr-FR"/>
        </w:rPr>
        <w:t>Parties</w:t>
      </w:r>
      <w:r w:rsidR="00F957CA" w:rsidRPr="004851EA">
        <w:rPr>
          <w:iCs/>
          <w:kern w:val="22"/>
          <w:szCs w:val="22"/>
          <w:lang w:val="fr-FR"/>
        </w:rPr>
        <w:t xml:space="preserve"> </w:t>
      </w:r>
      <w:r w:rsidR="004851EA">
        <w:rPr>
          <w:iCs/>
          <w:kern w:val="22"/>
          <w:szCs w:val="22"/>
          <w:lang w:val="fr-FR"/>
        </w:rPr>
        <w:t xml:space="preserve">peuvent s’avérer utiles pour contribuer à une future </w:t>
      </w:r>
      <w:r w:rsidR="00F957CA" w:rsidRPr="004851EA">
        <w:rPr>
          <w:iCs/>
          <w:kern w:val="22"/>
          <w:szCs w:val="22"/>
          <w:lang w:val="fr-FR"/>
        </w:rPr>
        <w:t>initiative</w:t>
      </w:r>
      <w:r w:rsidR="004851EA">
        <w:rPr>
          <w:iCs/>
          <w:kern w:val="22"/>
          <w:szCs w:val="22"/>
          <w:lang w:val="fr-FR"/>
        </w:rPr>
        <w:t xml:space="preserve"> multilatérale, en servant</w:t>
      </w:r>
      <w:r w:rsidR="00E76CEC">
        <w:rPr>
          <w:iCs/>
          <w:kern w:val="22"/>
          <w:szCs w:val="22"/>
          <w:lang w:val="fr-FR"/>
        </w:rPr>
        <w:t xml:space="preserve"> de « laboratoire » pour étudier</w:t>
      </w:r>
      <w:r w:rsidR="004851EA">
        <w:rPr>
          <w:iCs/>
          <w:kern w:val="22"/>
          <w:szCs w:val="22"/>
          <w:lang w:val="fr-FR"/>
        </w:rPr>
        <w:t xml:space="preserve"> comment différents régimes peuvent coexister en pratique</w:t>
      </w:r>
      <w:r w:rsidR="00F957CA" w:rsidRPr="004851EA">
        <w:rPr>
          <w:iCs/>
          <w:kern w:val="22"/>
          <w:szCs w:val="22"/>
          <w:lang w:val="fr-FR"/>
        </w:rPr>
        <w:t xml:space="preserve">; </w:t>
      </w:r>
      <w:r w:rsidR="004851EA">
        <w:rPr>
          <w:iCs/>
          <w:kern w:val="22"/>
          <w:szCs w:val="22"/>
          <w:lang w:val="fr-FR"/>
        </w:rPr>
        <w:t xml:space="preserve">elles peuvent même faciliter </w:t>
      </w:r>
      <w:r w:rsidR="00F83893" w:rsidRPr="004851EA">
        <w:rPr>
          <w:iCs/>
          <w:kern w:val="22"/>
          <w:szCs w:val="22"/>
          <w:lang w:val="fr-FR"/>
        </w:rPr>
        <w:t>l’application</w:t>
      </w:r>
      <w:r w:rsidR="00F957CA" w:rsidRPr="004851EA">
        <w:rPr>
          <w:iCs/>
          <w:kern w:val="22"/>
          <w:szCs w:val="22"/>
          <w:lang w:val="fr-FR"/>
        </w:rPr>
        <w:t xml:space="preserve"> </w:t>
      </w:r>
      <w:r w:rsidR="005D3CDB" w:rsidRPr="004851EA">
        <w:rPr>
          <w:iCs/>
          <w:kern w:val="22"/>
          <w:szCs w:val="22"/>
          <w:lang w:val="fr-FR"/>
        </w:rPr>
        <w:t>du Pro</w:t>
      </w:r>
      <w:r w:rsidR="00A01DA3" w:rsidRPr="004851EA">
        <w:rPr>
          <w:iCs/>
          <w:kern w:val="22"/>
          <w:szCs w:val="22"/>
          <w:lang w:val="fr-FR"/>
        </w:rPr>
        <w:t>tocole de Nagoya</w:t>
      </w:r>
      <w:r w:rsidR="004851EA">
        <w:rPr>
          <w:iCs/>
          <w:kern w:val="22"/>
          <w:szCs w:val="22"/>
          <w:lang w:val="fr-FR"/>
        </w:rPr>
        <w:t>, en créant des réseaux d</w:t>
      </w:r>
      <w:r w:rsidR="00E76CEC">
        <w:rPr>
          <w:iCs/>
          <w:kern w:val="22"/>
          <w:szCs w:val="22"/>
          <w:lang w:val="fr-FR"/>
        </w:rPr>
        <w:t>e prise de décisions relatives</w:t>
      </w:r>
      <w:r w:rsidR="004851EA">
        <w:rPr>
          <w:iCs/>
          <w:kern w:val="22"/>
          <w:szCs w:val="22"/>
          <w:lang w:val="fr-FR"/>
        </w:rPr>
        <w:t xml:space="preserve"> à l’accès et au</w:t>
      </w:r>
      <w:r w:rsidR="005D3CDB" w:rsidRPr="004851EA">
        <w:rPr>
          <w:iCs/>
          <w:kern w:val="22"/>
          <w:szCs w:val="22"/>
          <w:lang w:val="fr-FR"/>
        </w:rPr>
        <w:t xml:space="preserve"> partage des avantages</w:t>
      </w:r>
      <w:r w:rsidR="004851EA">
        <w:rPr>
          <w:iCs/>
          <w:kern w:val="22"/>
          <w:szCs w:val="22"/>
          <w:lang w:val="fr-FR"/>
        </w:rPr>
        <w:t xml:space="preserve"> au niveau ré</w:t>
      </w:r>
      <w:r w:rsidR="00F957CA" w:rsidRPr="004851EA">
        <w:rPr>
          <w:iCs/>
          <w:kern w:val="22"/>
          <w:szCs w:val="22"/>
          <w:lang w:val="fr-FR"/>
        </w:rPr>
        <w:t>gional</w:t>
      </w:r>
      <w:r w:rsidR="00E14372" w:rsidRPr="004851EA">
        <w:rPr>
          <w:iCs/>
          <w:kern w:val="22"/>
          <w:szCs w:val="22"/>
          <w:lang w:val="fr-FR"/>
        </w:rPr>
        <w:t xml:space="preserve"> ou </w:t>
      </w:r>
      <w:r w:rsidR="004851EA">
        <w:rPr>
          <w:iCs/>
          <w:kern w:val="22"/>
          <w:szCs w:val="22"/>
          <w:lang w:val="fr-FR"/>
        </w:rPr>
        <w:t>infrarégional</w:t>
      </w:r>
      <w:r w:rsidR="00F957CA" w:rsidRPr="004851EA">
        <w:rPr>
          <w:iCs/>
          <w:kern w:val="22"/>
          <w:szCs w:val="22"/>
          <w:lang w:val="fr-FR"/>
        </w:rPr>
        <w:t xml:space="preserve">. </w:t>
      </w:r>
      <w:r w:rsidR="00E76CEC">
        <w:rPr>
          <w:iCs/>
          <w:kern w:val="22"/>
          <w:szCs w:val="22"/>
          <w:lang w:val="fr-FR"/>
        </w:rPr>
        <w:t>De même</w:t>
      </w:r>
      <w:r w:rsidR="004851EA">
        <w:rPr>
          <w:iCs/>
          <w:kern w:val="22"/>
          <w:szCs w:val="22"/>
          <w:lang w:val="fr-FR"/>
        </w:rPr>
        <w:t>, l</w:t>
      </w:r>
      <w:r w:rsidR="00A01DA3" w:rsidRPr="004851EA">
        <w:rPr>
          <w:kern w:val="22"/>
          <w:szCs w:val="22"/>
          <w:lang w:val="fr-FR"/>
        </w:rPr>
        <w:t>a Conférence des Parties siégeant en tant que</w:t>
      </w:r>
      <w:r w:rsidR="00F246E2" w:rsidRPr="004851EA">
        <w:rPr>
          <w:kern w:val="22"/>
          <w:szCs w:val="22"/>
          <w:lang w:val="fr-FR"/>
        </w:rPr>
        <w:t xml:space="preserve"> </w:t>
      </w:r>
      <w:r w:rsidR="00A01DA3" w:rsidRPr="004851EA">
        <w:rPr>
          <w:kern w:val="22"/>
          <w:szCs w:val="22"/>
          <w:lang w:val="fr-FR"/>
        </w:rPr>
        <w:t>réunion</w:t>
      </w:r>
      <w:r w:rsidR="00F246E2" w:rsidRPr="004851EA">
        <w:rPr>
          <w:kern w:val="22"/>
          <w:szCs w:val="22"/>
          <w:lang w:val="fr-FR"/>
        </w:rPr>
        <w:t xml:space="preserve"> </w:t>
      </w:r>
      <w:r w:rsidR="0045647A" w:rsidRPr="004851EA">
        <w:rPr>
          <w:kern w:val="22"/>
          <w:szCs w:val="22"/>
          <w:lang w:val="fr-FR"/>
        </w:rPr>
        <w:t>des Par</w:t>
      </w:r>
      <w:r w:rsidR="00F246E2" w:rsidRPr="004851EA">
        <w:rPr>
          <w:kern w:val="22"/>
          <w:szCs w:val="22"/>
          <w:lang w:val="fr-FR"/>
        </w:rPr>
        <w:t>ties</w:t>
      </w:r>
      <w:r w:rsidR="002E18A7" w:rsidRPr="004851EA">
        <w:rPr>
          <w:iCs/>
          <w:kern w:val="22"/>
          <w:szCs w:val="22"/>
          <w:lang w:val="fr-FR"/>
        </w:rPr>
        <w:t xml:space="preserve"> </w:t>
      </w:r>
      <w:r w:rsidR="00A01DA3" w:rsidRPr="004851EA">
        <w:rPr>
          <w:iCs/>
          <w:kern w:val="22"/>
          <w:szCs w:val="22"/>
          <w:lang w:val="fr-FR"/>
        </w:rPr>
        <w:t xml:space="preserve">au </w:t>
      </w:r>
      <w:r w:rsidR="0001030F" w:rsidRPr="004851EA">
        <w:rPr>
          <w:iCs/>
          <w:kern w:val="22"/>
          <w:szCs w:val="22"/>
          <w:lang w:val="fr-FR"/>
        </w:rPr>
        <w:t>Protocole</w:t>
      </w:r>
      <w:r w:rsidR="00E76CEC">
        <w:rPr>
          <w:iCs/>
          <w:kern w:val="22"/>
          <w:szCs w:val="22"/>
          <w:lang w:val="fr-FR"/>
        </w:rPr>
        <w:t xml:space="preserve"> pourrait jouer</w:t>
      </w:r>
      <w:r w:rsidR="004851EA">
        <w:rPr>
          <w:iCs/>
          <w:kern w:val="22"/>
          <w:szCs w:val="22"/>
          <w:lang w:val="fr-FR"/>
        </w:rPr>
        <w:t xml:space="preserve"> un rôle im</w:t>
      </w:r>
      <w:r w:rsidR="00E76CEC">
        <w:rPr>
          <w:iCs/>
          <w:kern w:val="22"/>
          <w:szCs w:val="22"/>
          <w:lang w:val="fr-FR"/>
        </w:rPr>
        <w:t xml:space="preserve">portant en matière de partage </w:t>
      </w:r>
      <w:r w:rsidR="00623402" w:rsidRPr="004851EA">
        <w:rPr>
          <w:kern w:val="22"/>
          <w:szCs w:val="22"/>
          <w:lang w:val="fr-FR"/>
        </w:rPr>
        <w:t xml:space="preserve">et </w:t>
      </w:r>
      <w:r w:rsidR="00E76CEC">
        <w:rPr>
          <w:kern w:val="22"/>
          <w:szCs w:val="22"/>
          <w:lang w:val="fr-FR"/>
        </w:rPr>
        <w:t>de diffusion de l’information</w:t>
      </w:r>
      <w:r w:rsidR="00F957CA" w:rsidRPr="004851EA">
        <w:rPr>
          <w:kern w:val="22"/>
          <w:szCs w:val="22"/>
          <w:lang w:val="fr-FR"/>
        </w:rPr>
        <w:t>,</w:t>
      </w:r>
      <w:r w:rsidR="004851EA">
        <w:rPr>
          <w:kern w:val="22"/>
          <w:szCs w:val="22"/>
          <w:lang w:val="fr-FR"/>
        </w:rPr>
        <w:t xml:space="preserve"> four</w:t>
      </w:r>
      <w:r w:rsidR="00E76CEC">
        <w:rPr>
          <w:kern w:val="22"/>
          <w:szCs w:val="22"/>
          <w:lang w:val="fr-FR"/>
        </w:rPr>
        <w:t>nissant ainsi des orientations po</w:t>
      </w:r>
      <w:r w:rsidR="004851EA">
        <w:rPr>
          <w:kern w:val="22"/>
          <w:szCs w:val="22"/>
          <w:lang w:val="fr-FR"/>
        </w:rPr>
        <w:t>ur les futures actions menées au niveau plurilatéral</w:t>
      </w:r>
      <w:r w:rsidR="00E14372" w:rsidRPr="004851EA">
        <w:rPr>
          <w:kern w:val="22"/>
          <w:szCs w:val="22"/>
          <w:lang w:val="fr-FR"/>
        </w:rPr>
        <w:t xml:space="preserve"> ou </w:t>
      </w:r>
      <w:r w:rsidR="004851EA">
        <w:rPr>
          <w:kern w:val="22"/>
          <w:szCs w:val="22"/>
          <w:lang w:val="fr-FR"/>
        </w:rPr>
        <w:t>multilatéral</w:t>
      </w:r>
      <w:r w:rsidR="00F957CA" w:rsidRPr="004851EA">
        <w:rPr>
          <w:kern w:val="22"/>
          <w:szCs w:val="22"/>
          <w:lang w:val="fr-FR"/>
        </w:rPr>
        <w:t>.</w:t>
      </w:r>
    </w:p>
    <w:p w:rsidR="00F957CA" w:rsidRPr="004A1AB3" w:rsidRDefault="00E76CEC" w:rsidP="00E52AA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Comme mentionné </w:t>
      </w:r>
      <w:r w:rsidR="007F2E77">
        <w:rPr>
          <w:kern w:val="22"/>
          <w:szCs w:val="22"/>
          <w:lang w:val="fr-FR"/>
        </w:rPr>
        <w:t>dans</w:t>
      </w:r>
      <w:r w:rsidR="004A1AB3" w:rsidRPr="004A1AB3">
        <w:rPr>
          <w:kern w:val="22"/>
          <w:szCs w:val="22"/>
          <w:lang w:val="fr-FR"/>
        </w:rPr>
        <w:t xml:space="preserve"> le deuxième</w:t>
      </w:r>
      <w:r w:rsidR="004A1AB3">
        <w:rPr>
          <w:kern w:val="22"/>
          <w:szCs w:val="22"/>
          <w:lang w:val="fr-FR"/>
        </w:rPr>
        <w:t xml:space="preserve"> scé</w:t>
      </w:r>
      <w:r>
        <w:rPr>
          <w:kern w:val="22"/>
          <w:szCs w:val="22"/>
          <w:lang w:val="fr-FR"/>
        </w:rPr>
        <w:t xml:space="preserve">nario </w:t>
      </w:r>
      <w:r w:rsidR="007F2E77">
        <w:rPr>
          <w:kern w:val="22"/>
          <w:szCs w:val="22"/>
          <w:lang w:val="fr-FR"/>
        </w:rPr>
        <w:t>ci-dessus, il est prévu que</w:t>
      </w:r>
      <w:r w:rsidR="004A1AB3">
        <w:rPr>
          <w:kern w:val="22"/>
          <w:szCs w:val="22"/>
          <w:lang w:val="fr-FR"/>
        </w:rPr>
        <w:t xml:space="preserve"> la</w:t>
      </w:r>
      <w:r w:rsidR="00F957CA" w:rsidRPr="004A1AB3">
        <w:rPr>
          <w:kern w:val="22"/>
          <w:szCs w:val="22"/>
          <w:lang w:val="fr-FR"/>
        </w:rPr>
        <w:t xml:space="preserve"> </w:t>
      </w:r>
      <w:r w:rsidR="00231CD8" w:rsidRPr="004A1AB3">
        <w:rPr>
          <w:kern w:val="22"/>
          <w:szCs w:val="22"/>
          <w:lang w:val="fr-FR"/>
        </w:rPr>
        <w:t>Partie</w:t>
      </w:r>
      <w:r w:rsidR="004A1AB3">
        <w:rPr>
          <w:kern w:val="22"/>
          <w:szCs w:val="22"/>
          <w:lang w:val="fr-FR"/>
        </w:rPr>
        <w:t xml:space="preserve"> ou les </w:t>
      </w:r>
      <w:r w:rsidR="001701AA" w:rsidRPr="004A1AB3">
        <w:rPr>
          <w:kern w:val="22"/>
          <w:szCs w:val="22"/>
          <w:lang w:val="fr-FR"/>
        </w:rPr>
        <w:t>Parties</w:t>
      </w:r>
      <w:r w:rsidR="004A1AB3">
        <w:rPr>
          <w:kern w:val="22"/>
          <w:szCs w:val="22"/>
          <w:lang w:val="fr-FR"/>
        </w:rPr>
        <w:t xml:space="preserve"> qui prennent une </w:t>
      </w:r>
      <w:r w:rsidR="0045647A" w:rsidRPr="004A1AB3">
        <w:rPr>
          <w:kern w:val="22"/>
          <w:szCs w:val="22"/>
          <w:lang w:val="fr-FR"/>
        </w:rPr>
        <w:t>décision</w:t>
      </w:r>
      <w:r w:rsidR="007F2E77">
        <w:rPr>
          <w:kern w:val="22"/>
          <w:szCs w:val="22"/>
          <w:lang w:val="fr-FR"/>
        </w:rPr>
        <w:t xml:space="preserve"> de</w:t>
      </w:r>
      <w:r w:rsidR="00F957CA" w:rsidRPr="004A1AB3">
        <w:rPr>
          <w:kern w:val="22"/>
          <w:szCs w:val="22"/>
          <w:lang w:val="fr-FR"/>
        </w:rPr>
        <w:t xml:space="preserve"> </w:t>
      </w:r>
      <w:r w:rsidR="00623402" w:rsidRPr="004A1AB3">
        <w:rPr>
          <w:kern w:val="22"/>
          <w:szCs w:val="22"/>
          <w:lang w:val="fr-FR"/>
        </w:rPr>
        <w:t>reconnaître</w:t>
      </w:r>
      <w:r w:rsidR="00101345" w:rsidRPr="004A1AB3">
        <w:rPr>
          <w:kern w:val="22"/>
          <w:szCs w:val="22"/>
          <w:lang w:val="fr-FR"/>
        </w:rPr>
        <w:t xml:space="preserve"> un</w:t>
      </w:r>
      <w:r w:rsidR="00F957CA" w:rsidRPr="004A1AB3">
        <w:rPr>
          <w:kern w:val="22"/>
          <w:szCs w:val="22"/>
          <w:lang w:val="fr-FR"/>
        </w:rPr>
        <w:t xml:space="preserve"> </w:t>
      </w:r>
      <w:r w:rsidR="00231CD8" w:rsidRPr="004A1AB3">
        <w:rPr>
          <w:kern w:val="22"/>
          <w:szCs w:val="22"/>
          <w:lang w:val="fr-FR"/>
        </w:rPr>
        <w:t>instrument international</w:t>
      </w:r>
      <w:r w:rsidR="00F957CA" w:rsidRPr="004A1AB3">
        <w:rPr>
          <w:kern w:val="22"/>
          <w:szCs w:val="22"/>
          <w:lang w:val="fr-FR"/>
        </w:rPr>
        <w:t xml:space="preserve"> </w:t>
      </w:r>
      <w:r w:rsidR="0026155E" w:rsidRPr="004A1AB3">
        <w:rPr>
          <w:kern w:val="22"/>
          <w:szCs w:val="22"/>
          <w:lang w:val="fr-FR"/>
        </w:rPr>
        <w:t>spécial</w:t>
      </w:r>
      <w:r w:rsidR="00101345" w:rsidRPr="004A1AB3">
        <w:rPr>
          <w:kern w:val="22"/>
          <w:szCs w:val="22"/>
          <w:lang w:val="fr-FR"/>
        </w:rPr>
        <w:t xml:space="preserve"> </w:t>
      </w:r>
      <w:r w:rsidR="007F2E77">
        <w:rPr>
          <w:kern w:val="22"/>
          <w:szCs w:val="22"/>
          <w:lang w:val="fr-FR"/>
        </w:rPr>
        <w:t>applique</w:t>
      </w:r>
      <w:r w:rsidR="004A1AB3">
        <w:rPr>
          <w:kern w:val="22"/>
          <w:szCs w:val="22"/>
          <w:lang w:val="fr-FR"/>
        </w:rPr>
        <w:t>nt les</w:t>
      </w:r>
      <w:r w:rsidR="00A01DA3" w:rsidRPr="004A1AB3">
        <w:rPr>
          <w:kern w:val="22"/>
          <w:szCs w:val="22"/>
          <w:lang w:val="fr-FR"/>
        </w:rPr>
        <w:t xml:space="preserve"> critères</w:t>
      </w:r>
      <w:r w:rsidR="004A1AB3">
        <w:rPr>
          <w:kern w:val="22"/>
          <w:szCs w:val="22"/>
          <w:lang w:val="fr-FR"/>
        </w:rPr>
        <w:t xml:space="preserve"> adoptés par l</w:t>
      </w:r>
      <w:r w:rsidR="00A01DA3" w:rsidRPr="004A1AB3">
        <w:rPr>
          <w:kern w:val="22"/>
          <w:szCs w:val="22"/>
          <w:lang w:val="fr-FR"/>
        </w:rPr>
        <w:t>a Conférence des Parties siégeant en tant que</w:t>
      </w:r>
      <w:r w:rsidR="004C77D4" w:rsidRPr="004A1AB3">
        <w:rPr>
          <w:kern w:val="22"/>
          <w:szCs w:val="22"/>
          <w:lang w:val="fr-FR"/>
        </w:rPr>
        <w:t xml:space="preserve"> </w:t>
      </w:r>
      <w:r w:rsidR="00A01DA3" w:rsidRPr="004A1AB3">
        <w:rPr>
          <w:kern w:val="22"/>
          <w:szCs w:val="22"/>
          <w:lang w:val="fr-FR"/>
        </w:rPr>
        <w:t>réunion</w:t>
      </w:r>
      <w:r w:rsidR="004C77D4" w:rsidRPr="004A1AB3">
        <w:rPr>
          <w:kern w:val="22"/>
          <w:szCs w:val="22"/>
          <w:lang w:val="fr-FR"/>
        </w:rPr>
        <w:t xml:space="preserve"> </w:t>
      </w:r>
      <w:r w:rsidR="0045647A" w:rsidRPr="004A1AB3">
        <w:rPr>
          <w:kern w:val="22"/>
          <w:szCs w:val="22"/>
          <w:lang w:val="fr-FR"/>
        </w:rPr>
        <w:t>des Par</w:t>
      </w:r>
      <w:r w:rsidR="004C77D4" w:rsidRPr="004A1AB3">
        <w:rPr>
          <w:kern w:val="22"/>
          <w:szCs w:val="22"/>
          <w:lang w:val="fr-FR"/>
        </w:rPr>
        <w:t xml:space="preserve">ties </w:t>
      </w:r>
      <w:r w:rsidR="00A01DA3" w:rsidRPr="004A1AB3">
        <w:rPr>
          <w:kern w:val="22"/>
          <w:szCs w:val="22"/>
          <w:lang w:val="fr-FR"/>
        </w:rPr>
        <w:t>au Protocole de Nagoya</w:t>
      </w:r>
      <w:r w:rsidR="007F2E77">
        <w:rPr>
          <w:kern w:val="22"/>
          <w:szCs w:val="22"/>
          <w:lang w:val="fr-FR"/>
        </w:rPr>
        <w:t>,</w:t>
      </w:r>
      <w:r w:rsidR="00F957CA" w:rsidRPr="004A1AB3">
        <w:rPr>
          <w:kern w:val="22"/>
          <w:szCs w:val="22"/>
          <w:lang w:val="fr-FR"/>
        </w:rPr>
        <w:t xml:space="preserve"> </w:t>
      </w:r>
      <w:r w:rsidR="007F2E77">
        <w:rPr>
          <w:kern w:val="22"/>
          <w:szCs w:val="22"/>
          <w:lang w:val="fr-FR"/>
        </w:rPr>
        <w:t>afin de démontrer</w:t>
      </w:r>
      <w:r w:rsidR="004A1AB3">
        <w:rPr>
          <w:kern w:val="22"/>
          <w:szCs w:val="22"/>
          <w:lang w:val="fr-FR"/>
        </w:rPr>
        <w:t xml:space="preserve"> que l’instrument spécial est</w:t>
      </w:r>
      <w:r w:rsidR="00F957CA" w:rsidRPr="004A1AB3">
        <w:rPr>
          <w:kern w:val="22"/>
          <w:szCs w:val="22"/>
          <w:lang w:val="fr-FR"/>
        </w:rPr>
        <w:t xml:space="preserve"> </w:t>
      </w:r>
      <w:r w:rsidR="004A1AB3">
        <w:rPr>
          <w:kern w:val="22"/>
          <w:szCs w:val="22"/>
          <w:lang w:val="fr-FR"/>
        </w:rPr>
        <w:t>conforme aux</w:t>
      </w:r>
      <w:r w:rsidR="00F957CA" w:rsidRPr="004A1AB3">
        <w:rPr>
          <w:kern w:val="22"/>
          <w:szCs w:val="22"/>
          <w:lang w:val="fr-FR"/>
        </w:rPr>
        <w:t xml:space="preserve"> </w:t>
      </w:r>
      <w:r w:rsidR="005D3CDB" w:rsidRPr="004A1AB3">
        <w:rPr>
          <w:kern w:val="22"/>
          <w:szCs w:val="22"/>
          <w:lang w:val="fr-FR"/>
        </w:rPr>
        <w:t>objectifs</w:t>
      </w:r>
      <w:r w:rsidR="00F957CA" w:rsidRPr="004A1AB3">
        <w:rPr>
          <w:kern w:val="22"/>
          <w:szCs w:val="22"/>
          <w:lang w:val="fr-FR"/>
        </w:rPr>
        <w:t xml:space="preserve"> </w:t>
      </w:r>
      <w:r w:rsidR="005D3CDB" w:rsidRPr="004A1AB3">
        <w:rPr>
          <w:kern w:val="22"/>
          <w:szCs w:val="22"/>
          <w:lang w:val="fr-FR"/>
        </w:rPr>
        <w:t xml:space="preserve">du </w:t>
      </w:r>
      <w:r w:rsidR="0001030F" w:rsidRPr="004A1AB3">
        <w:rPr>
          <w:kern w:val="22"/>
          <w:szCs w:val="22"/>
          <w:lang w:val="fr-FR"/>
        </w:rPr>
        <w:t xml:space="preserve">Protocole </w:t>
      </w:r>
      <w:r w:rsidR="00623402" w:rsidRPr="004A1AB3">
        <w:rPr>
          <w:kern w:val="22"/>
          <w:szCs w:val="22"/>
          <w:lang w:val="fr-FR"/>
        </w:rPr>
        <w:t xml:space="preserve">et </w:t>
      </w:r>
      <w:r w:rsidR="0001030F" w:rsidRPr="004A1AB3">
        <w:rPr>
          <w:kern w:val="22"/>
          <w:szCs w:val="22"/>
          <w:lang w:val="fr-FR"/>
        </w:rPr>
        <w:t>de la Co</w:t>
      </w:r>
      <w:r w:rsidR="00700C64" w:rsidRPr="004A1AB3">
        <w:rPr>
          <w:kern w:val="22"/>
          <w:szCs w:val="22"/>
          <w:lang w:val="fr-FR"/>
        </w:rPr>
        <w:t>nvention</w:t>
      </w:r>
      <w:r w:rsidR="00E14868" w:rsidRPr="004A1AB3">
        <w:rPr>
          <w:kern w:val="22"/>
          <w:szCs w:val="22"/>
          <w:lang w:val="fr-FR"/>
        </w:rPr>
        <w:t>.</w:t>
      </w:r>
      <w:r w:rsidR="00F957CA" w:rsidRPr="004A1AB3">
        <w:rPr>
          <w:kern w:val="22"/>
          <w:szCs w:val="22"/>
          <w:lang w:val="fr-FR"/>
        </w:rPr>
        <w:t xml:space="preserve"> </w:t>
      </w:r>
      <w:r w:rsidR="007F2E77">
        <w:rPr>
          <w:kern w:val="22"/>
          <w:szCs w:val="22"/>
          <w:lang w:val="fr-FR"/>
        </w:rPr>
        <w:t xml:space="preserve">Des questions relatives à la </w:t>
      </w:r>
      <w:r w:rsidR="004A1AB3" w:rsidRPr="004A1AB3">
        <w:rPr>
          <w:kern w:val="22"/>
          <w:szCs w:val="22"/>
          <w:lang w:val="fr-FR"/>
        </w:rPr>
        <w:t xml:space="preserve">sécurité juridique pourront </w:t>
      </w:r>
      <w:r w:rsidR="004A1AB3">
        <w:rPr>
          <w:kern w:val="22"/>
          <w:szCs w:val="22"/>
          <w:lang w:val="fr-FR"/>
        </w:rPr>
        <w:t>êt</w:t>
      </w:r>
      <w:r w:rsidR="007F2E77">
        <w:rPr>
          <w:kern w:val="22"/>
          <w:szCs w:val="22"/>
          <w:lang w:val="fr-FR"/>
        </w:rPr>
        <w:t>re soulevées, tel qu’examiné dans</w:t>
      </w:r>
      <w:r w:rsidR="004A1AB3">
        <w:rPr>
          <w:kern w:val="22"/>
          <w:szCs w:val="22"/>
          <w:lang w:val="fr-FR"/>
        </w:rPr>
        <w:t xml:space="preserve"> le deuxième</w:t>
      </w:r>
      <w:r w:rsidR="00E14868" w:rsidRPr="004A1AB3">
        <w:rPr>
          <w:kern w:val="22"/>
          <w:szCs w:val="22"/>
          <w:lang w:val="fr-FR"/>
        </w:rPr>
        <w:t xml:space="preserve"> </w:t>
      </w:r>
      <w:r w:rsidR="004A1AB3">
        <w:rPr>
          <w:kern w:val="22"/>
          <w:szCs w:val="22"/>
          <w:lang w:val="fr-FR"/>
        </w:rPr>
        <w:t>scé</w:t>
      </w:r>
      <w:r w:rsidR="00F957CA" w:rsidRPr="004A1AB3">
        <w:rPr>
          <w:kern w:val="22"/>
          <w:szCs w:val="22"/>
          <w:lang w:val="fr-FR"/>
        </w:rPr>
        <w:t>nari</w:t>
      </w:r>
      <w:r w:rsidR="00E14868" w:rsidRPr="004A1AB3">
        <w:rPr>
          <w:kern w:val="22"/>
          <w:szCs w:val="22"/>
          <w:lang w:val="fr-FR"/>
        </w:rPr>
        <w:t>o.</w:t>
      </w:r>
      <w:r w:rsidR="007F2E77">
        <w:rPr>
          <w:kern w:val="22"/>
          <w:szCs w:val="22"/>
          <w:lang w:val="fr-FR"/>
        </w:rPr>
        <w:t xml:space="preserve"> Il est donc recommandé que le</w:t>
      </w:r>
      <w:r w:rsidR="004A1AB3">
        <w:rPr>
          <w:kern w:val="22"/>
          <w:szCs w:val="22"/>
          <w:lang w:val="fr-FR"/>
        </w:rPr>
        <w:t>s</w:t>
      </w:r>
      <w:r w:rsidR="00F957CA" w:rsidRPr="004A1AB3">
        <w:rPr>
          <w:kern w:val="22"/>
          <w:szCs w:val="22"/>
          <w:lang w:val="fr-FR"/>
        </w:rPr>
        <w:t xml:space="preserve"> Parties </w:t>
      </w:r>
      <w:r w:rsidR="007F2E77">
        <w:rPr>
          <w:kern w:val="22"/>
          <w:szCs w:val="22"/>
          <w:lang w:val="fr-FR"/>
        </w:rPr>
        <w:t>portent</w:t>
      </w:r>
      <w:r w:rsidR="004A1AB3">
        <w:rPr>
          <w:kern w:val="22"/>
          <w:szCs w:val="22"/>
          <w:lang w:val="fr-FR"/>
        </w:rPr>
        <w:t xml:space="preserve"> la reconnaissance d’un instrument à l’attention de l</w:t>
      </w:r>
      <w:r w:rsidR="00A01DA3" w:rsidRPr="004A1AB3">
        <w:rPr>
          <w:kern w:val="22"/>
          <w:szCs w:val="22"/>
          <w:lang w:val="fr-FR"/>
        </w:rPr>
        <w:t>a Conférence des Parties siégeant en tant que</w:t>
      </w:r>
      <w:r w:rsidR="00F246E2" w:rsidRPr="004A1AB3">
        <w:rPr>
          <w:kern w:val="22"/>
          <w:szCs w:val="22"/>
          <w:lang w:val="fr-FR"/>
        </w:rPr>
        <w:t xml:space="preserve"> </w:t>
      </w:r>
      <w:r w:rsidR="00A01DA3" w:rsidRPr="004A1AB3">
        <w:rPr>
          <w:kern w:val="22"/>
          <w:szCs w:val="22"/>
          <w:lang w:val="fr-FR"/>
        </w:rPr>
        <w:t>réunion</w:t>
      </w:r>
      <w:r w:rsidR="00F246E2" w:rsidRPr="004A1AB3">
        <w:rPr>
          <w:kern w:val="22"/>
          <w:szCs w:val="22"/>
          <w:lang w:val="fr-FR"/>
        </w:rPr>
        <w:t xml:space="preserve"> </w:t>
      </w:r>
      <w:r w:rsidR="0045647A" w:rsidRPr="004A1AB3">
        <w:rPr>
          <w:kern w:val="22"/>
          <w:szCs w:val="22"/>
          <w:lang w:val="fr-FR"/>
        </w:rPr>
        <w:t>des Par</w:t>
      </w:r>
      <w:r w:rsidR="00F246E2" w:rsidRPr="004A1AB3">
        <w:rPr>
          <w:kern w:val="22"/>
          <w:szCs w:val="22"/>
          <w:lang w:val="fr-FR"/>
        </w:rPr>
        <w:t>ties</w:t>
      </w:r>
      <w:r w:rsidR="00D27394" w:rsidRPr="004A1AB3">
        <w:rPr>
          <w:kern w:val="22"/>
          <w:szCs w:val="22"/>
          <w:lang w:val="fr-FR"/>
        </w:rPr>
        <w:t xml:space="preserve"> </w:t>
      </w:r>
      <w:r w:rsidR="00A01DA3" w:rsidRPr="004A1AB3">
        <w:rPr>
          <w:kern w:val="22"/>
          <w:szCs w:val="22"/>
          <w:lang w:val="fr-FR"/>
        </w:rPr>
        <w:t xml:space="preserve">au </w:t>
      </w:r>
      <w:r w:rsidR="0001030F" w:rsidRPr="004A1AB3">
        <w:rPr>
          <w:kern w:val="22"/>
          <w:szCs w:val="22"/>
          <w:lang w:val="fr-FR"/>
        </w:rPr>
        <w:t>Protocole</w:t>
      </w:r>
      <w:r w:rsidR="007F2E77">
        <w:rPr>
          <w:kern w:val="22"/>
          <w:szCs w:val="22"/>
          <w:lang w:val="fr-FR"/>
        </w:rPr>
        <w:t>, aux fins d’examen et afin de mettre en place des arrangements propres à</w:t>
      </w:r>
      <w:r w:rsidR="004A1AB3">
        <w:rPr>
          <w:kern w:val="22"/>
          <w:szCs w:val="22"/>
          <w:lang w:val="fr-FR"/>
        </w:rPr>
        <w:t xml:space="preserve"> faciliter la</w:t>
      </w:r>
      <w:r w:rsidR="0001030F" w:rsidRPr="004A1AB3">
        <w:rPr>
          <w:kern w:val="22"/>
          <w:szCs w:val="22"/>
          <w:lang w:val="fr-FR"/>
        </w:rPr>
        <w:t xml:space="preserve"> </w:t>
      </w:r>
      <w:r w:rsidR="004A1AB3">
        <w:rPr>
          <w:kern w:val="22"/>
          <w:szCs w:val="22"/>
          <w:lang w:val="fr-FR"/>
        </w:rPr>
        <w:t>coopération</w:t>
      </w:r>
      <w:r w:rsidR="00F957CA" w:rsidRPr="004A1AB3">
        <w:rPr>
          <w:kern w:val="22"/>
          <w:szCs w:val="22"/>
          <w:lang w:val="fr-FR"/>
        </w:rPr>
        <w:t xml:space="preserve">. </w:t>
      </w:r>
      <w:r w:rsidR="00231CD8" w:rsidRPr="004A1AB3">
        <w:rPr>
          <w:kern w:val="22"/>
          <w:szCs w:val="22"/>
          <w:lang w:val="fr-FR"/>
        </w:rPr>
        <w:t>La</w:t>
      </w:r>
      <w:r w:rsidR="00A01DA3" w:rsidRPr="004A1AB3">
        <w:rPr>
          <w:kern w:val="22"/>
          <w:szCs w:val="22"/>
          <w:lang w:val="fr-FR"/>
        </w:rPr>
        <w:t xml:space="preserve"> Conférence des Parties siégeant en tant que</w:t>
      </w:r>
      <w:r w:rsidR="00F246E2" w:rsidRPr="004A1AB3">
        <w:rPr>
          <w:kern w:val="22"/>
          <w:szCs w:val="22"/>
          <w:lang w:val="fr-FR"/>
        </w:rPr>
        <w:t xml:space="preserve"> </w:t>
      </w:r>
      <w:r w:rsidR="00A01DA3" w:rsidRPr="004A1AB3">
        <w:rPr>
          <w:kern w:val="22"/>
          <w:szCs w:val="22"/>
          <w:lang w:val="fr-FR"/>
        </w:rPr>
        <w:t>réunion</w:t>
      </w:r>
      <w:r w:rsidR="00F246E2" w:rsidRPr="004A1AB3">
        <w:rPr>
          <w:kern w:val="22"/>
          <w:szCs w:val="22"/>
          <w:lang w:val="fr-FR"/>
        </w:rPr>
        <w:t xml:space="preserve"> </w:t>
      </w:r>
      <w:r w:rsidR="0045647A" w:rsidRPr="004A1AB3">
        <w:rPr>
          <w:kern w:val="22"/>
          <w:szCs w:val="22"/>
          <w:lang w:val="fr-FR"/>
        </w:rPr>
        <w:t>des Par</w:t>
      </w:r>
      <w:r w:rsidR="00F246E2" w:rsidRPr="004A1AB3">
        <w:rPr>
          <w:kern w:val="22"/>
          <w:szCs w:val="22"/>
          <w:lang w:val="fr-FR"/>
        </w:rPr>
        <w:t>ties</w:t>
      </w:r>
      <w:r w:rsidR="00877024" w:rsidRPr="004A1AB3">
        <w:rPr>
          <w:kern w:val="22"/>
          <w:szCs w:val="22"/>
          <w:lang w:val="fr-FR"/>
        </w:rPr>
        <w:t xml:space="preserve"> </w:t>
      </w:r>
      <w:r w:rsidR="00A01DA3" w:rsidRPr="004A1AB3">
        <w:rPr>
          <w:kern w:val="22"/>
          <w:szCs w:val="22"/>
          <w:lang w:val="fr-FR"/>
        </w:rPr>
        <w:t xml:space="preserve">au </w:t>
      </w:r>
      <w:r w:rsidR="0001030F" w:rsidRPr="004A1AB3">
        <w:rPr>
          <w:kern w:val="22"/>
          <w:szCs w:val="22"/>
          <w:lang w:val="fr-FR"/>
        </w:rPr>
        <w:t xml:space="preserve">Protocole </w:t>
      </w:r>
      <w:r w:rsidR="004A1AB3">
        <w:rPr>
          <w:kern w:val="22"/>
          <w:szCs w:val="22"/>
          <w:lang w:val="fr-FR"/>
        </w:rPr>
        <w:t>devra teni</w:t>
      </w:r>
      <w:r w:rsidR="007F2E77">
        <w:rPr>
          <w:kern w:val="22"/>
          <w:szCs w:val="22"/>
          <w:lang w:val="fr-FR"/>
        </w:rPr>
        <w:t>r compte des répercussions de la</w:t>
      </w:r>
      <w:r w:rsidR="004A1AB3">
        <w:rPr>
          <w:kern w:val="22"/>
          <w:szCs w:val="22"/>
          <w:lang w:val="fr-FR"/>
        </w:rPr>
        <w:t xml:space="preserve"> </w:t>
      </w:r>
      <w:r w:rsidR="004A1AB3">
        <w:rPr>
          <w:kern w:val="22"/>
          <w:szCs w:val="22"/>
          <w:lang w:val="fr-FR"/>
        </w:rPr>
        <w:lastRenderedPageBreak/>
        <w:t xml:space="preserve">reconnaissance d’un instrument au titre du </w:t>
      </w:r>
      <w:r w:rsidR="00623402" w:rsidRPr="004A1AB3">
        <w:rPr>
          <w:kern w:val="22"/>
          <w:szCs w:val="22"/>
          <w:lang w:val="fr-FR"/>
        </w:rPr>
        <w:t>paragraphe 4 de l’article 4</w:t>
      </w:r>
      <w:r w:rsidR="00F957CA" w:rsidRPr="004A1AB3">
        <w:rPr>
          <w:kern w:val="22"/>
          <w:szCs w:val="22"/>
          <w:lang w:val="fr-FR"/>
        </w:rPr>
        <w:t xml:space="preserve">, </w:t>
      </w:r>
      <w:r w:rsidR="004A1AB3">
        <w:rPr>
          <w:kern w:val="22"/>
          <w:szCs w:val="22"/>
          <w:lang w:val="fr-FR"/>
        </w:rPr>
        <w:t>à savoir, la non-</w:t>
      </w:r>
      <w:r w:rsidR="00F957CA" w:rsidRPr="004A1AB3">
        <w:rPr>
          <w:kern w:val="22"/>
          <w:szCs w:val="22"/>
          <w:lang w:val="fr-FR"/>
        </w:rPr>
        <w:t xml:space="preserve">application </w:t>
      </w:r>
      <w:r w:rsidR="005D3CDB" w:rsidRPr="004A1AB3">
        <w:rPr>
          <w:kern w:val="22"/>
          <w:szCs w:val="22"/>
          <w:lang w:val="fr-FR"/>
        </w:rPr>
        <w:t xml:space="preserve">du </w:t>
      </w:r>
      <w:r w:rsidR="0001030F" w:rsidRPr="004A1AB3">
        <w:rPr>
          <w:kern w:val="22"/>
          <w:szCs w:val="22"/>
          <w:lang w:val="fr-FR"/>
        </w:rPr>
        <w:t>Protocole</w:t>
      </w:r>
      <w:r w:rsidR="004A1AB3">
        <w:rPr>
          <w:kern w:val="22"/>
          <w:szCs w:val="22"/>
          <w:lang w:val="fr-FR"/>
        </w:rPr>
        <w:t xml:space="preserve"> aux</w:t>
      </w:r>
      <w:r w:rsidR="0001030F" w:rsidRPr="004A1AB3">
        <w:rPr>
          <w:kern w:val="22"/>
          <w:szCs w:val="22"/>
          <w:lang w:val="fr-FR"/>
        </w:rPr>
        <w:t xml:space="preserve"> ressources génétiques</w:t>
      </w:r>
      <w:r w:rsidR="007F2E77">
        <w:rPr>
          <w:kern w:val="22"/>
          <w:szCs w:val="22"/>
          <w:lang w:val="fr-FR"/>
        </w:rPr>
        <w:t xml:space="preserve"> visées par l’accord spécial</w:t>
      </w:r>
      <w:r w:rsidR="00623402" w:rsidRPr="004A1AB3">
        <w:rPr>
          <w:kern w:val="22"/>
          <w:szCs w:val="22"/>
          <w:lang w:val="fr-FR"/>
        </w:rPr>
        <w:t xml:space="preserve"> et </w:t>
      </w:r>
      <w:r w:rsidR="007F2E77">
        <w:rPr>
          <w:kern w:val="22"/>
          <w:szCs w:val="22"/>
          <w:lang w:val="fr-FR"/>
        </w:rPr>
        <w:t>à ses objectifs</w:t>
      </w:r>
      <w:r w:rsidR="004A1AB3">
        <w:rPr>
          <w:kern w:val="22"/>
          <w:szCs w:val="22"/>
          <w:lang w:val="fr-FR"/>
        </w:rPr>
        <w:t xml:space="preserve">, pour les </w:t>
      </w:r>
      <w:r w:rsidR="00F957CA" w:rsidRPr="004A1AB3">
        <w:rPr>
          <w:kern w:val="22"/>
          <w:szCs w:val="22"/>
          <w:lang w:val="fr-FR"/>
        </w:rPr>
        <w:t xml:space="preserve">Parties </w:t>
      </w:r>
      <w:r w:rsidR="00A01DA3" w:rsidRPr="004A1AB3">
        <w:rPr>
          <w:kern w:val="22"/>
          <w:szCs w:val="22"/>
          <w:lang w:val="fr-FR"/>
        </w:rPr>
        <w:t xml:space="preserve">au </w:t>
      </w:r>
      <w:r w:rsidR="0001030F" w:rsidRPr="004A1AB3">
        <w:rPr>
          <w:kern w:val="22"/>
          <w:szCs w:val="22"/>
          <w:lang w:val="fr-FR"/>
        </w:rPr>
        <w:t xml:space="preserve">Protocole </w:t>
      </w:r>
      <w:r w:rsidR="004A1AB3">
        <w:rPr>
          <w:kern w:val="22"/>
          <w:szCs w:val="22"/>
          <w:lang w:val="fr-FR"/>
        </w:rPr>
        <w:t xml:space="preserve">de Nagoya qui sont </w:t>
      </w:r>
      <w:r w:rsidR="00231CD8" w:rsidRPr="004A1AB3">
        <w:rPr>
          <w:kern w:val="22"/>
          <w:szCs w:val="22"/>
          <w:lang w:val="fr-FR"/>
        </w:rPr>
        <w:t>Partie</w:t>
      </w:r>
      <w:r w:rsidR="004A1AB3">
        <w:rPr>
          <w:kern w:val="22"/>
          <w:szCs w:val="22"/>
          <w:lang w:val="fr-FR"/>
        </w:rPr>
        <w:t>s à</w:t>
      </w:r>
      <w:r w:rsidR="00F957CA" w:rsidRPr="004A1AB3">
        <w:rPr>
          <w:kern w:val="22"/>
          <w:szCs w:val="22"/>
          <w:lang w:val="fr-FR"/>
        </w:rPr>
        <w:t xml:space="preserve"> </w:t>
      </w:r>
      <w:r w:rsidR="004A1AB3">
        <w:rPr>
          <w:kern w:val="22"/>
          <w:szCs w:val="22"/>
          <w:lang w:val="fr-FR"/>
        </w:rPr>
        <w:t>l’instrument spécial</w:t>
      </w:r>
      <w:r w:rsidR="00F957CA" w:rsidRPr="004A1AB3">
        <w:rPr>
          <w:kern w:val="22"/>
          <w:szCs w:val="22"/>
          <w:lang w:val="fr-FR"/>
        </w:rPr>
        <w:t>.</w:t>
      </w:r>
    </w:p>
    <w:p w:rsidR="00F957CA" w:rsidRPr="00A01DA3" w:rsidRDefault="00E52AAB" w:rsidP="007F2E77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698"/>
        <w:jc w:val="left"/>
        <w:rPr>
          <w:b/>
          <w:bCs/>
          <w:iCs/>
          <w:kern w:val="22"/>
          <w:szCs w:val="22"/>
          <w:lang w:val="fr-FR"/>
        </w:rPr>
      </w:pPr>
      <w:r>
        <w:rPr>
          <w:b/>
          <w:bCs/>
          <w:iCs/>
          <w:kern w:val="22"/>
          <w:szCs w:val="22"/>
          <w:lang w:val="fr-FR"/>
        </w:rPr>
        <w:t>D.</w:t>
      </w:r>
      <w:r>
        <w:rPr>
          <w:b/>
          <w:bCs/>
          <w:iCs/>
          <w:kern w:val="22"/>
          <w:szCs w:val="22"/>
          <w:lang w:val="fr-FR"/>
        </w:rPr>
        <w:tab/>
      </w:r>
      <w:r w:rsidR="00231CD8">
        <w:rPr>
          <w:b/>
          <w:bCs/>
          <w:iCs/>
          <w:kern w:val="22"/>
          <w:szCs w:val="22"/>
          <w:lang w:val="fr-FR"/>
        </w:rPr>
        <w:t>Éléments pour un</w:t>
      </w:r>
      <w:r w:rsidR="00F957CA" w:rsidRPr="00A01DA3">
        <w:rPr>
          <w:b/>
          <w:bCs/>
          <w:iCs/>
          <w:kern w:val="22"/>
          <w:szCs w:val="22"/>
          <w:lang w:val="fr-FR"/>
        </w:rPr>
        <w:t xml:space="preserve"> </w:t>
      </w:r>
      <w:r>
        <w:rPr>
          <w:b/>
          <w:bCs/>
          <w:iCs/>
          <w:kern w:val="22"/>
          <w:szCs w:val="22"/>
          <w:lang w:val="fr-FR"/>
        </w:rPr>
        <w:t>pro</w:t>
      </w:r>
      <w:r w:rsidR="007F2E77">
        <w:rPr>
          <w:b/>
          <w:bCs/>
          <w:iCs/>
          <w:kern w:val="22"/>
          <w:szCs w:val="22"/>
          <w:lang w:val="fr-FR"/>
        </w:rPr>
        <w:t>cessus optimal concernant un</w:t>
      </w:r>
      <w:r w:rsidR="00F957CA" w:rsidRPr="00A01DA3">
        <w:rPr>
          <w:b/>
          <w:bCs/>
          <w:iCs/>
          <w:kern w:val="22"/>
          <w:szCs w:val="22"/>
          <w:lang w:val="fr-FR"/>
        </w:rPr>
        <w:t xml:space="preserve"> </w:t>
      </w:r>
      <w:r w:rsidR="00A01DA3" w:rsidRPr="00A01DA3">
        <w:rPr>
          <w:b/>
          <w:bCs/>
          <w:iCs/>
          <w:kern w:val="22"/>
          <w:szCs w:val="22"/>
          <w:lang w:val="fr-FR"/>
        </w:rPr>
        <w:t xml:space="preserve">instrument international </w:t>
      </w:r>
      <w:r w:rsidR="0026155E">
        <w:rPr>
          <w:b/>
          <w:bCs/>
          <w:iCs/>
          <w:kern w:val="22"/>
          <w:szCs w:val="22"/>
          <w:lang w:val="fr-FR"/>
        </w:rPr>
        <w:t>spécial</w:t>
      </w:r>
      <w:r w:rsidR="00A01DA3" w:rsidRPr="00A01DA3">
        <w:rPr>
          <w:b/>
          <w:bCs/>
          <w:iCs/>
          <w:kern w:val="22"/>
          <w:szCs w:val="22"/>
          <w:lang w:val="fr-FR"/>
        </w:rPr>
        <w:t xml:space="preserve"> sur l’accès et le partage des avantages</w:t>
      </w:r>
    </w:p>
    <w:p w:rsidR="00F957CA" w:rsidRPr="00101345" w:rsidRDefault="00101345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101345">
        <w:rPr>
          <w:kern w:val="22"/>
          <w:szCs w:val="22"/>
          <w:lang w:val="fr-FR"/>
        </w:rPr>
        <w:t xml:space="preserve">Les </w:t>
      </w:r>
      <w:r w:rsidR="00231CD8" w:rsidRPr="00101345">
        <w:rPr>
          <w:kern w:val="22"/>
          <w:szCs w:val="22"/>
          <w:lang w:val="fr-FR"/>
        </w:rPr>
        <w:t>élément</w:t>
      </w:r>
      <w:r w:rsidR="00F957CA" w:rsidRPr="00101345">
        <w:rPr>
          <w:kern w:val="22"/>
          <w:szCs w:val="22"/>
          <w:lang w:val="fr-FR"/>
        </w:rPr>
        <w:t>s</w:t>
      </w:r>
      <w:r w:rsidR="004A1AB3">
        <w:rPr>
          <w:kern w:val="22"/>
          <w:szCs w:val="22"/>
          <w:lang w:val="fr-FR"/>
        </w:rPr>
        <w:t xml:space="preserve"> ci-après peuvent être envisagés</w:t>
      </w:r>
      <w:r w:rsidRPr="00101345">
        <w:rPr>
          <w:kern w:val="22"/>
          <w:szCs w:val="22"/>
          <w:lang w:val="fr-FR"/>
        </w:rPr>
        <w:t xml:space="preserve"> pour un</w:t>
      </w:r>
      <w:r>
        <w:rPr>
          <w:kern w:val="22"/>
          <w:szCs w:val="22"/>
          <w:lang w:val="fr-FR"/>
        </w:rPr>
        <w:t xml:space="preserve"> </w:t>
      </w:r>
      <w:r w:rsidR="00231CD8" w:rsidRPr="00101345">
        <w:rPr>
          <w:kern w:val="22"/>
          <w:szCs w:val="22"/>
          <w:lang w:val="fr-FR"/>
        </w:rPr>
        <w:t xml:space="preserve">processus </w:t>
      </w:r>
      <w:r w:rsidR="00F957CA" w:rsidRPr="00101345">
        <w:rPr>
          <w:kern w:val="22"/>
          <w:szCs w:val="22"/>
          <w:lang w:val="fr-FR"/>
        </w:rPr>
        <w:t>concer</w:t>
      </w:r>
      <w:r w:rsidR="00082280" w:rsidRPr="00101345">
        <w:rPr>
          <w:kern w:val="22"/>
          <w:szCs w:val="22"/>
          <w:lang w:val="fr-FR"/>
        </w:rPr>
        <w:t>n</w:t>
      </w:r>
      <w:r>
        <w:rPr>
          <w:kern w:val="22"/>
          <w:szCs w:val="22"/>
          <w:lang w:val="fr-FR"/>
        </w:rPr>
        <w:t>ant les instruments internationaux sur</w:t>
      </w:r>
      <w:r w:rsidR="00F957CA" w:rsidRPr="00101345">
        <w:rPr>
          <w:kern w:val="22"/>
          <w:szCs w:val="22"/>
          <w:lang w:val="fr-FR"/>
        </w:rPr>
        <w:t xml:space="preserve"> </w:t>
      </w:r>
      <w:r w:rsidR="005D3CDB" w:rsidRPr="00101345">
        <w:rPr>
          <w:kern w:val="22"/>
          <w:szCs w:val="22"/>
          <w:lang w:val="fr-FR"/>
        </w:rPr>
        <w:t>l’accès et le partage des avantages</w:t>
      </w:r>
      <w:r w:rsidR="00F957CA" w:rsidRPr="0010134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qui pourra</w:t>
      </w:r>
      <w:r w:rsidR="007F2E77">
        <w:rPr>
          <w:kern w:val="22"/>
          <w:szCs w:val="22"/>
          <w:lang w:val="fr-FR"/>
        </w:rPr>
        <w:t>ient potentiellement être considérés comme</w:t>
      </w:r>
      <w:r>
        <w:rPr>
          <w:kern w:val="22"/>
          <w:szCs w:val="22"/>
          <w:lang w:val="fr-FR"/>
        </w:rPr>
        <w:t xml:space="preserve"> </w:t>
      </w:r>
      <w:r w:rsidR="00C3300B">
        <w:rPr>
          <w:kern w:val="22"/>
          <w:szCs w:val="22"/>
          <w:lang w:val="fr-FR"/>
        </w:rPr>
        <w:t>spéciaux</w:t>
      </w:r>
      <w:r w:rsidR="00F957CA" w:rsidRPr="0010134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pour les besoins du</w:t>
      </w:r>
      <w:r w:rsidR="00623402" w:rsidRPr="00101345">
        <w:rPr>
          <w:kern w:val="22"/>
          <w:szCs w:val="22"/>
          <w:lang w:val="fr-FR"/>
        </w:rPr>
        <w:t xml:space="preserve"> paragraphe 4 de l’article 4</w:t>
      </w:r>
      <w:r w:rsidRPr="0010134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du</w:t>
      </w:r>
      <w:r w:rsidRPr="00101345">
        <w:rPr>
          <w:kern w:val="22"/>
          <w:szCs w:val="22"/>
          <w:lang w:val="fr-FR"/>
        </w:rPr>
        <w:t xml:space="preserve"> Protocole de Nagoya</w:t>
      </w:r>
      <w:r w:rsidR="00F957CA" w:rsidRPr="00101345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en s’appuyant sur les a</w:t>
      </w:r>
      <w:r w:rsidR="00F957CA" w:rsidRPr="00101345">
        <w:rPr>
          <w:kern w:val="22"/>
          <w:szCs w:val="22"/>
          <w:lang w:val="fr-FR"/>
        </w:rPr>
        <w:t>vantages</w:t>
      </w:r>
      <w:r w:rsidR="007F2E77">
        <w:rPr>
          <w:kern w:val="22"/>
          <w:szCs w:val="22"/>
          <w:lang w:val="fr-FR"/>
        </w:rPr>
        <w:t xml:space="preserve"> de chacun des</w:t>
      </w:r>
      <w:r>
        <w:rPr>
          <w:kern w:val="22"/>
          <w:szCs w:val="22"/>
          <w:lang w:val="fr-FR"/>
        </w:rPr>
        <w:t xml:space="preserve"> scénario</w:t>
      </w:r>
      <w:r w:rsidR="007F2E77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examiné</w:t>
      </w:r>
      <w:r w:rsidR="007F2E77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dans la précédente sous-partie</w:t>
      </w:r>
      <w:r w:rsidR="00F957CA" w:rsidRPr="00101345">
        <w:rPr>
          <w:kern w:val="22"/>
          <w:szCs w:val="22"/>
          <w:lang w:val="fr-FR"/>
        </w:rPr>
        <w:t>.</w:t>
      </w:r>
    </w:p>
    <w:p w:rsidR="00F957CA" w:rsidRPr="005E0454" w:rsidRDefault="002763F1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En partant du principe que l</w:t>
      </w:r>
      <w:r w:rsidR="00A01DA3" w:rsidRPr="005E0454">
        <w:rPr>
          <w:kern w:val="22"/>
          <w:szCs w:val="22"/>
          <w:lang w:val="fr-FR"/>
        </w:rPr>
        <w:t>a Conférence des Parties siégeant en tant que</w:t>
      </w:r>
      <w:r w:rsidR="00F246E2" w:rsidRPr="005E0454">
        <w:rPr>
          <w:kern w:val="22"/>
          <w:szCs w:val="22"/>
          <w:lang w:val="fr-FR"/>
        </w:rPr>
        <w:t xml:space="preserve"> </w:t>
      </w:r>
      <w:r w:rsidR="00A01DA3" w:rsidRPr="005E0454">
        <w:rPr>
          <w:kern w:val="22"/>
          <w:szCs w:val="22"/>
          <w:lang w:val="fr-FR"/>
        </w:rPr>
        <w:t>réunion</w:t>
      </w:r>
      <w:r w:rsidR="00F246E2" w:rsidRPr="005E0454">
        <w:rPr>
          <w:kern w:val="22"/>
          <w:szCs w:val="22"/>
          <w:lang w:val="fr-FR"/>
        </w:rPr>
        <w:t xml:space="preserve"> </w:t>
      </w:r>
      <w:r w:rsidR="0045647A" w:rsidRPr="005E0454">
        <w:rPr>
          <w:kern w:val="22"/>
          <w:szCs w:val="22"/>
          <w:lang w:val="fr-FR"/>
        </w:rPr>
        <w:t>des Par</w:t>
      </w:r>
      <w:r w:rsidR="00F246E2" w:rsidRPr="005E0454">
        <w:rPr>
          <w:kern w:val="22"/>
          <w:szCs w:val="22"/>
          <w:lang w:val="fr-FR"/>
        </w:rPr>
        <w:t>ties</w:t>
      </w:r>
      <w:r w:rsidR="00174241" w:rsidRPr="005E0454">
        <w:rPr>
          <w:kern w:val="22"/>
          <w:szCs w:val="22"/>
          <w:lang w:val="fr-FR"/>
        </w:rPr>
        <w:t xml:space="preserve"> </w:t>
      </w:r>
      <w:r w:rsidR="00A01DA3" w:rsidRPr="005E0454">
        <w:rPr>
          <w:kern w:val="22"/>
          <w:szCs w:val="22"/>
          <w:lang w:val="fr-FR"/>
        </w:rPr>
        <w:t>au Protocole de Nagoya</w:t>
      </w:r>
      <w:r w:rsidR="00F957CA" w:rsidRPr="005E045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a adopté des</w:t>
      </w:r>
      <w:r w:rsidR="00A01DA3" w:rsidRPr="005E0454">
        <w:rPr>
          <w:kern w:val="22"/>
          <w:szCs w:val="22"/>
          <w:lang w:val="fr-FR"/>
        </w:rPr>
        <w:t xml:space="preserve"> critères</w:t>
      </w:r>
      <w:r>
        <w:rPr>
          <w:kern w:val="22"/>
          <w:szCs w:val="22"/>
          <w:lang w:val="fr-FR"/>
        </w:rPr>
        <w:t xml:space="preserve"> pour</w:t>
      </w:r>
      <w:r w:rsidR="00F957CA" w:rsidRPr="005E0454">
        <w:rPr>
          <w:kern w:val="22"/>
          <w:szCs w:val="22"/>
          <w:lang w:val="fr-FR"/>
        </w:rPr>
        <w:t xml:space="preserve"> </w:t>
      </w:r>
      <w:r w:rsidR="007F2E77">
        <w:rPr>
          <w:kern w:val="22"/>
          <w:szCs w:val="22"/>
          <w:lang w:val="fr-FR"/>
        </w:rPr>
        <w:t>la reconnaissance</w:t>
      </w:r>
      <w:r>
        <w:rPr>
          <w:kern w:val="22"/>
          <w:szCs w:val="22"/>
          <w:lang w:val="fr-FR"/>
        </w:rPr>
        <w:t xml:space="preserve"> </w:t>
      </w:r>
      <w:r w:rsidR="007F2E77">
        <w:rPr>
          <w:kern w:val="22"/>
          <w:szCs w:val="22"/>
          <w:lang w:val="fr-FR"/>
        </w:rPr>
        <w:t>d’</w:t>
      </w:r>
      <w:r>
        <w:rPr>
          <w:kern w:val="22"/>
          <w:szCs w:val="22"/>
          <w:lang w:val="fr-FR"/>
        </w:rPr>
        <w:t xml:space="preserve">un </w:t>
      </w:r>
      <w:r w:rsidR="004A1AB3">
        <w:rPr>
          <w:kern w:val="22"/>
          <w:szCs w:val="22"/>
          <w:lang w:val="fr-FR"/>
        </w:rPr>
        <w:t>instrument spécial</w:t>
      </w:r>
      <w:r>
        <w:rPr>
          <w:kern w:val="22"/>
          <w:szCs w:val="22"/>
          <w:lang w:val="fr-FR"/>
        </w:rPr>
        <w:t xml:space="preserve"> en application du</w:t>
      </w:r>
      <w:r w:rsidR="00623402" w:rsidRPr="005E0454">
        <w:rPr>
          <w:kern w:val="22"/>
          <w:szCs w:val="22"/>
          <w:lang w:val="fr-FR"/>
        </w:rPr>
        <w:t xml:space="preserve"> paragraphe 4 de l’article 4</w:t>
      </w:r>
      <w:r>
        <w:rPr>
          <w:kern w:val="22"/>
          <w:szCs w:val="22"/>
          <w:lang w:val="fr-FR"/>
        </w:rPr>
        <w:t>, un</w:t>
      </w:r>
      <w:r w:rsidR="00F957CA" w:rsidRPr="005E045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processus</w:t>
      </w:r>
      <w:r w:rsidR="007F2E77">
        <w:rPr>
          <w:kern w:val="22"/>
          <w:szCs w:val="22"/>
          <w:lang w:val="fr-FR"/>
        </w:rPr>
        <w:t xml:space="preserve"> optimal pour optimiser</w:t>
      </w:r>
      <w:r>
        <w:rPr>
          <w:kern w:val="22"/>
          <w:szCs w:val="22"/>
          <w:lang w:val="fr-FR"/>
        </w:rPr>
        <w:t xml:space="preserve"> les possibilités de</w:t>
      </w:r>
      <w:r w:rsidR="00C01103">
        <w:rPr>
          <w:kern w:val="22"/>
          <w:szCs w:val="22"/>
          <w:lang w:val="fr-FR"/>
        </w:rPr>
        <w:t xml:space="preserve"> renforcement mutuel</w:t>
      </w:r>
      <w:r w:rsidR="00623402" w:rsidRPr="005E0454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d’</w:t>
      </w:r>
      <w:r w:rsidR="00C01103">
        <w:rPr>
          <w:kern w:val="22"/>
          <w:szCs w:val="22"/>
          <w:lang w:val="fr-FR"/>
        </w:rPr>
        <w:t>apprentissage mutuel</w:t>
      </w:r>
      <w:r w:rsidR="00F957CA" w:rsidRPr="005E045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entre le</w:t>
      </w:r>
      <w:r w:rsidR="00F957CA" w:rsidRPr="005E0454">
        <w:rPr>
          <w:kern w:val="22"/>
          <w:szCs w:val="22"/>
          <w:lang w:val="fr-FR"/>
        </w:rPr>
        <w:t xml:space="preserve"> </w:t>
      </w:r>
      <w:r w:rsidR="0001030F" w:rsidRPr="005E0454">
        <w:rPr>
          <w:kern w:val="22"/>
          <w:szCs w:val="22"/>
          <w:lang w:val="fr-FR"/>
        </w:rPr>
        <w:t xml:space="preserve">Protocole </w:t>
      </w:r>
      <w:r w:rsidR="00623402" w:rsidRPr="005E0454">
        <w:rPr>
          <w:kern w:val="22"/>
          <w:szCs w:val="22"/>
          <w:lang w:val="fr-FR"/>
        </w:rPr>
        <w:t xml:space="preserve">et </w:t>
      </w:r>
      <w:r>
        <w:rPr>
          <w:kern w:val="22"/>
          <w:szCs w:val="22"/>
          <w:lang w:val="fr-FR"/>
        </w:rPr>
        <w:t>un</w:t>
      </w:r>
      <w:r w:rsidR="00F957CA" w:rsidRPr="005E0454">
        <w:rPr>
          <w:kern w:val="22"/>
          <w:szCs w:val="22"/>
          <w:lang w:val="fr-FR"/>
        </w:rPr>
        <w:t xml:space="preserve"> </w:t>
      </w:r>
      <w:r w:rsidR="005D3CDB" w:rsidRPr="005E0454">
        <w:rPr>
          <w:kern w:val="22"/>
          <w:szCs w:val="22"/>
          <w:lang w:val="fr-FR"/>
        </w:rPr>
        <w:t xml:space="preserve">instrument </w:t>
      </w:r>
      <w:r w:rsidR="0026155E">
        <w:rPr>
          <w:kern w:val="22"/>
          <w:szCs w:val="22"/>
          <w:lang w:val="fr-FR"/>
        </w:rPr>
        <w:t>spécial</w:t>
      </w:r>
      <w:r w:rsidR="005D3CDB" w:rsidRPr="005E0454">
        <w:rPr>
          <w:kern w:val="22"/>
          <w:szCs w:val="22"/>
          <w:lang w:val="fr-FR"/>
        </w:rPr>
        <w:t xml:space="preserve"> sur l’accès et le partage des avantages</w:t>
      </w:r>
      <w:r>
        <w:rPr>
          <w:kern w:val="22"/>
          <w:szCs w:val="22"/>
          <w:lang w:val="fr-FR"/>
        </w:rPr>
        <w:t xml:space="preserve"> </w:t>
      </w:r>
      <w:r w:rsidR="007F2E77">
        <w:rPr>
          <w:kern w:val="22"/>
          <w:szCs w:val="22"/>
          <w:lang w:val="fr-FR"/>
        </w:rPr>
        <w:t>pourrait inclure</w:t>
      </w:r>
      <w:r w:rsidR="00E14372">
        <w:rPr>
          <w:kern w:val="22"/>
          <w:szCs w:val="22"/>
          <w:lang w:val="fr-FR"/>
        </w:rPr>
        <w:t xml:space="preserve"> les mesures ci-après </w:t>
      </w:r>
      <w:r w:rsidR="00F957CA" w:rsidRPr="005E0454">
        <w:rPr>
          <w:kern w:val="22"/>
          <w:szCs w:val="22"/>
          <w:lang w:val="fr-FR"/>
        </w:rPr>
        <w:t>:</w:t>
      </w:r>
    </w:p>
    <w:p w:rsidR="00F957CA" w:rsidRPr="00C3300B" w:rsidRDefault="00A01DA3" w:rsidP="009F4D84">
      <w:pPr>
        <w:pStyle w:val="Para3"/>
        <w:numPr>
          <w:ilvl w:val="1"/>
          <w:numId w:val="9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  <w:lang w:val="fr-FR"/>
        </w:rPr>
      </w:pPr>
      <w:r w:rsidRPr="00C3300B">
        <w:rPr>
          <w:snapToGrid w:val="0"/>
          <w:kern w:val="22"/>
          <w:szCs w:val="22"/>
          <w:lang w:val="fr-FR"/>
        </w:rPr>
        <w:t>La Conférence des Parties siégeant en tant que</w:t>
      </w:r>
      <w:r w:rsidR="00F246E2" w:rsidRPr="00C3300B">
        <w:rPr>
          <w:snapToGrid w:val="0"/>
          <w:kern w:val="22"/>
          <w:szCs w:val="22"/>
          <w:lang w:val="fr-FR"/>
        </w:rPr>
        <w:t xml:space="preserve"> </w:t>
      </w:r>
      <w:r w:rsidRPr="00C3300B">
        <w:rPr>
          <w:snapToGrid w:val="0"/>
          <w:kern w:val="22"/>
          <w:szCs w:val="22"/>
          <w:lang w:val="fr-FR"/>
        </w:rPr>
        <w:t>réunion</w:t>
      </w:r>
      <w:r w:rsidR="00F246E2" w:rsidRPr="00C3300B">
        <w:rPr>
          <w:snapToGrid w:val="0"/>
          <w:kern w:val="22"/>
          <w:szCs w:val="22"/>
          <w:lang w:val="fr-FR"/>
        </w:rPr>
        <w:t xml:space="preserve"> </w:t>
      </w:r>
      <w:r w:rsidR="0045647A" w:rsidRPr="00C3300B">
        <w:rPr>
          <w:snapToGrid w:val="0"/>
          <w:kern w:val="22"/>
          <w:szCs w:val="22"/>
          <w:lang w:val="fr-FR"/>
        </w:rPr>
        <w:t>des Par</w:t>
      </w:r>
      <w:r w:rsidR="00F246E2" w:rsidRPr="00C3300B">
        <w:rPr>
          <w:snapToGrid w:val="0"/>
          <w:kern w:val="22"/>
          <w:szCs w:val="22"/>
          <w:lang w:val="fr-FR"/>
        </w:rPr>
        <w:t>ties</w:t>
      </w:r>
      <w:r w:rsidR="00174241" w:rsidRPr="00C3300B">
        <w:rPr>
          <w:snapToGrid w:val="0"/>
          <w:kern w:val="22"/>
          <w:szCs w:val="22"/>
          <w:lang w:val="fr-FR"/>
        </w:rPr>
        <w:t xml:space="preserve"> </w:t>
      </w:r>
      <w:r w:rsidRPr="00C3300B">
        <w:rPr>
          <w:snapToGrid w:val="0"/>
          <w:kern w:val="22"/>
          <w:szCs w:val="22"/>
          <w:lang w:val="fr-FR"/>
        </w:rPr>
        <w:t xml:space="preserve">au </w:t>
      </w:r>
      <w:r w:rsidR="0001030F" w:rsidRPr="00C3300B">
        <w:rPr>
          <w:snapToGrid w:val="0"/>
          <w:kern w:val="22"/>
          <w:szCs w:val="22"/>
          <w:lang w:val="fr-FR"/>
        </w:rPr>
        <w:t xml:space="preserve">Protocole </w:t>
      </w:r>
      <w:r w:rsidR="00B75588">
        <w:rPr>
          <w:snapToGrid w:val="0"/>
          <w:kern w:val="22"/>
          <w:szCs w:val="22"/>
          <w:lang w:val="fr-FR"/>
        </w:rPr>
        <w:t>examinera l</w:t>
      </w:r>
      <w:r w:rsidR="00E14372">
        <w:rPr>
          <w:snapToGrid w:val="0"/>
          <w:kern w:val="22"/>
          <w:szCs w:val="22"/>
          <w:lang w:val="fr-FR"/>
        </w:rPr>
        <w:t xml:space="preserve">es </w:t>
      </w:r>
      <w:r w:rsidR="00F957CA" w:rsidRPr="00C3300B">
        <w:rPr>
          <w:snapToGrid w:val="0"/>
          <w:kern w:val="22"/>
          <w:szCs w:val="22"/>
          <w:lang w:val="fr-FR"/>
        </w:rPr>
        <w:t>information</w:t>
      </w:r>
      <w:r w:rsidR="00B75588">
        <w:rPr>
          <w:snapToGrid w:val="0"/>
          <w:kern w:val="22"/>
          <w:szCs w:val="22"/>
          <w:lang w:val="fr-FR"/>
        </w:rPr>
        <w:t>s requis</w:t>
      </w:r>
      <w:r w:rsidR="00E14372">
        <w:rPr>
          <w:snapToGrid w:val="0"/>
          <w:kern w:val="22"/>
          <w:szCs w:val="22"/>
          <w:lang w:val="fr-FR"/>
        </w:rPr>
        <w:t>es</w:t>
      </w:r>
      <w:r w:rsidR="00F957CA" w:rsidRPr="00C3300B">
        <w:rPr>
          <w:snapToGrid w:val="0"/>
          <w:kern w:val="22"/>
          <w:szCs w:val="22"/>
          <w:lang w:val="fr-FR"/>
        </w:rPr>
        <w:t xml:space="preserve"> (</w:t>
      </w:r>
      <w:r w:rsidR="005D3CDB" w:rsidRPr="00C3300B">
        <w:rPr>
          <w:snapToGrid w:val="0"/>
          <w:kern w:val="22"/>
          <w:szCs w:val="22"/>
          <w:lang w:val="fr-FR"/>
        </w:rPr>
        <w:t>y compris</w:t>
      </w:r>
      <w:r w:rsidR="00E14372">
        <w:rPr>
          <w:snapToGrid w:val="0"/>
          <w:kern w:val="22"/>
          <w:szCs w:val="22"/>
          <w:lang w:val="fr-FR"/>
        </w:rPr>
        <w:t xml:space="preserve"> </w:t>
      </w:r>
      <w:r w:rsidR="00B75588">
        <w:rPr>
          <w:snapToGrid w:val="0"/>
          <w:kern w:val="22"/>
          <w:szCs w:val="22"/>
          <w:lang w:val="fr-FR"/>
        </w:rPr>
        <w:t>en recevant</w:t>
      </w:r>
      <w:r w:rsidR="00E14372">
        <w:rPr>
          <w:snapToGrid w:val="0"/>
          <w:kern w:val="22"/>
          <w:szCs w:val="22"/>
          <w:lang w:val="fr-FR"/>
        </w:rPr>
        <w:t xml:space="preserve"> ou </w:t>
      </w:r>
      <w:r w:rsidR="00B75588">
        <w:rPr>
          <w:snapToGrid w:val="0"/>
          <w:kern w:val="22"/>
          <w:szCs w:val="22"/>
          <w:lang w:val="fr-FR"/>
        </w:rPr>
        <w:t>en demandant</w:t>
      </w:r>
      <w:r w:rsidR="00E14372">
        <w:rPr>
          <w:snapToGrid w:val="0"/>
          <w:kern w:val="22"/>
          <w:szCs w:val="22"/>
          <w:lang w:val="fr-FR"/>
        </w:rPr>
        <w:t xml:space="preserve"> des avis de ses propres organes subsidiaires, et </w:t>
      </w:r>
      <w:r w:rsidR="00B75588">
        <w:rPr>
          <w:snapToGrid w:val="0"/>
          <w:kern w:val="22"/>
          <w:szCs w:val="22"/>
          <w:lang w:val="fr-FR"/>
        </w:rPr>
        <w:t>en recevant</w:t>
      </w:r>
      <w:r w:rsidR="00E14372">
        <w:rPr>
          <w:snapToGrid w:val="0"/>
          <w:kern w:val="22"/>
          <w:szCs w:val="22"/>
          <w:lang w:val="fr-FR"/>
        </w:rPr>
        <w:t xml:space="preserve"> ou </w:t>
      </w:r>
      <w:r w:rsidR="00B75588">
        <w:rPr>
          <w:snapToGrid w:val="0"/>
          <w:kern w:val="22"/>
          <w:szCs w:val="22"/>
          <w:lang w:val="fr-FR"/>
        </w:rPr>
        <w:t>en demandant</w:t>
      </w:r>
      <w:r w:rsidR="00E14372">
        <w:rPr>
          <w:snapToGrid w:val="0"/>
          <w:kern w:val="22"/>
          <w:szCs w:val="22"/>
          <w:lang w:val="fr-FR"/>
        </w:rPr>
        <w:t xml:space="preserve"> des</w:t>
      </w:r>
      <w:r w:rsidR="00F957CA" w:rsidRPr="00C3300B">
        <w:rPr>
          <w:snapToGrid w:val="0"/>
          <w:kern w:val="22"/>
          <w:szCs w:val="22"/>
          <w:lang w:val="fr-FR"/>
        </w:rPr>
        <w:t xml:space="preserve"> information</w:t>
      </w:r>
      <w:r w:rsidR="00B75588">
        <w:rPr>
          <w:snapToGrid w:val="0"/>
          <w:kern w:val="22"/>
          <w:szCs w:val="22"/>
          <w:lang w:val="fr-FR"/>
        </w:rPr>
        <w:t>s sur l</w:t>
      </w:r>
      <w:r w:rsidR="00E14372">
        <w:rPr>
          <w:snapToGrid w:val="0"/>
          <w:kern w:val="22"/>
          <w:szCs w:val="22"/>
          <w:lang w:val="fr-FR"/>
        </w:rPr>
        <w:t xml:space="preserve">es </w:t>
      </w:r>
      <w:r w:rsidR="00F957CA" w:rsidRPr="00C3300B">
        <w:rPr>
          <w:snapToGrid w:val="0"/>
          <w:kern w:val="22"/>
          <w:szCs w:val="22"/>
          <w:lang w:val="fr-FR"/>
        </w:rPr>
        <w:t>initiatives</w:t>
      </w:r>
      <w:r w:rsidR="00B75588">
        <w:rPr>
          <w:snapToGrid w:val="0"/>
          <w:kern w:val="22"/>
          <w:szCs w:val="22"/>
          <w:lang w:val="fr-FR"/>
        </w:rPr>
        <w:t xml:space="preserve"> potentielles ou actuelles menées par </w:t>
      </w:r>
      <w:r w:rsidR="00E14372">
        <w:rPr>
          <w:snapToGrid w:val="0"/>
          <w:kern w:val="22"/>
          <w:szCs w:val="22"/>
          <w:lang w:val="fr-FR"/>
        </w:rPr>
        <w:t>d’</w:t>
      </w:r>
      <w:r w:rsidR="00623402" w:rsidRPr="00C3300B">
        <w:rPr>
          <w:snapToGrid w:val="0"/>
          <w:kern w:val="22"/>
          <w:szCs w:val="22"/>
          <w:lang w:val="fr-FR"/>
        </w:rPr>
        <w:t xml:space="preserve">autres </w:t>
      </w:r>
      <w:r w:rsidR="00E14372">
        <w:rPr>
          <w:snapToGrid w:val="0"/>
          <w:kern w:val="22"/>
          <w:szCs w:val="22"/>
          <w:lang w:val="fr-FR"/>
        </w:rPr>
        <w:t>ré</w:t>
      </w:r>
      <w:r w:rsidR="00F957CA" w:rsidRPr="00C3300B">
        <w:rPr>
          <w:snapToGrid w:val="0"/>
          <w:kern w:val="22"/>
          <w:szCs w:val="22"/>
          <w:lang w:val="fr-FR"/>
        </w:rPr>
        <w:t>gimes</w:t>
      </w:r>
      <w:r w:rsidR="00E14372">
        <w:rPr>
          <w:snapToGrid w:val="0"/>
          <w:kern w:val="22"/>
          <w:szCs w:val="22"/>
          <w:lang w:val="fr-FR"/>
        </w:rPr>
        <w:t xml:space="preserve"> ou </w:t>
      </w:r>
      <w:r w:rsidR="00E8277D" w:rsidRPr="00C3300B">
        <w:rPr>
          <w:snapToGrid w:val="0"/>
          <w:kern w:val="22"/>
          <w:szCs w:val="22"/>
          <w:lang w:val="fr-FR"/>
        </w:rPr>
        <w:t>Parties</w:t>
      </w:r>
      <w:r w:rsidR="00F957CA" w:rsidRPr="00C3300B">
        <w:rPr>
          <w:snapToGrid w:val="0"/>
          <w:kern w:val="22"/>
          <w:szCs w:val="22"/>
          <w:lang w:val="fr-FR"/>
        </w:rPr>
        <w:t xml:space="preserve">) </w:t>
      </w:r>
      <w:r w:rsidR="00B75588">
        <w:rPr>
          <w:snapToGrid w:val="0"/>
          <w:kern w:val="22"/>
          <w:szCs w:val="22"/>
          <w:lang w:val="fr-FR"/>
        </w:rPr>
        <w:t>au titre</w:t>
      </w:r>
      <w:r w:rsidR="00E14372">
        <w:rPr>
          <w:snapToGrid w:val="0"/>
          <w:kern w:val="22"/>
          <w:szCs w:val="22"/>
          <w:lang w:val="fr-FR"/>
        </w:rPr>
        <w:t xml:space="preserve"> de son point de l’ordre du jour sur la </w:t>
      </w:r>
      <w:r w:rsidR="004A1AB3">
        <w:rPr>
          <w:snapToGrid w:val="0"/>
          <w:kern w:val="22"/>
          <w:szCs w:val="22"/>
          <w:lang w:val="fr-FR"/>
        </w:rPr>
        <w:t>coopération</w:t>
      </w:r>
      <w:r w:rsidR="00E14372">
        <w:rPr>
          <w:snapToGrid w:val="0"/>
          <w:kern w:val="22"/>
          <w:szCs w:val="22"/>
          <w:lang w:val="fr-FR"/>
        </w:rPr>
        <w:t xml:space="preserve"> internationale</w:t>
      </w:r>
      <w:r w:rsidR="00F957CA" w:rsidRPr="00C3300B">
        <w:rPr>
          <w:snapToGrid w:val="0"/>
          <w:kern w:val="22"/>
          <w:szCs w:val="22"/>
          <w:lang w:val="fr-FR"/>
        </w:rPr>
        <w:t>;</w:t>
      </w:r>
    </w:p>
    <w:p w:rsidR="00F957CA" w:rsidRPr="00C3300B" w:rsidRDefault="00A01DA3" w:rsidP="009F4D84">
      <w:pPr>
        <w:pStyle w:val="Para3"/>
        <w:numPr>
          <w:ilvl w:val="1"/>
          <w:numId w:val="9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  <w:lang w:val="fr-FR"/>
        </w:rPr>
      </w:pPr>
      <w:r w:rsidRPr="00C3300B">
        <w:rPr>
          <w:snapToGrid w:val="0"/>
          <w:kern w:val="22"/>
          <w:szCs w:val="22"/>
          <w:lang w:val="fr-FR"/>
        </w:rPr>
        <w:t>La Conférence des Parties siégeant en tant que</w:t>
      </w:r>
      <w:r w:rsidR="00F246E2" w:rsidRPr="00C3300B">
        <w:rPr>
          <w:snapToGrid w:val="0"/>
          <w:kern w:val="22"/>
          <w:szCs w:val="22"/>
          <w:lang w:val="fr-FR"/>
        </w:rPr>
        <w:t xml:space="preserve"> </w:t>
      </w:r>
      <w:r w:rsidRPr="00C3300B">
        <w:rPr>
          <w:snapToGrid w:val="0"/>
          <w:kern w:val="22"/>
          <w:szCs w:val="22"/>
          <w:lang w:val="fr-FR"/>
        </w:rPr>
        <w:t>réunion</w:t>
      </w:r>
      <w:r w:rsidR="00F246E2" w:rsidRPr="00C3300B">
        <w:rPr>
          <w:snapToGrid w:val="0"/>
          <w:kern w:val="22"/>
          <w:szCs w:val="22"/>
          <w:lang w:val="fr-FR"/>
        </w:rPr>
        <w:t xml:space="preserve"> </w:t>
      </w:r>
      <w:r w:rsidR="0045647A" w:rsidRPr="00C3300B">
        <w:rPr>
          <w:snapToGrid w:val="0"/>
          <w:kern w:val="22"/>
          <w:szCs w:val="22"/>
          <w:lang w:val="fr-FR"/>
        </w:rPr>
        <w:t>des Par</w:t>
      </w:r>
      <w:r w:rsidR="00F246E2" w:rsidRPr="00C3300B">
        <w:rPr>
          <w:snapToGrid w:val="0"/>
          <w:kern w:val="22"/>
          <w:szCs w:val="22"/>
          <w:lang w:val="fr-FR"/>
        </w:rPr>
        <w:t>ties</w:t>
      </w:r>
      <w:r w:rsidR="006C3B70" w:rsidRPr="00C3300B">
        <w:rPr>
          <w:snapToGrid w:val="0"/>
          <w:kern w:val="22"/>
          <w:szCs w:val="22"/>
          <w:lang w:val="fr-FR"/>
        </w:rPr>
        <w:t xml:space="preserve"> </w:t>
      </w:r>
      <w:r w:rsidRPr="00C3300B">
        <w:rPr>
          <w:snapToGrid w:val="0"/>
          <w:kern w:val="22"/>
          <w:szCs w:val="22"/>
          <w:lang w:val="fr-FR"/>
        </w:rPr>
        <w:t xml:space="preserve">au </w:t>
      </w:r>
      <w:r w:rsidR="00E14372">
        <w:rPr>
          <w:snapToGrid w:val="0"/>
          <w:kern w:val="22"/>
          <w:szCs w:val="22"/>
          <w:lang w:val="fr-FR"/>
        </w:rPr>
        <w:t>Protocole</w:t>
      </w:r>
      <w:r w:rsidR="00F957CA" w:rsidRPr="00C3300B">
        <w:rPr>
          <w:snapToGrid w:val="0"/>
          <w:kern w:val="22"/>
          <w:szCs w:val="22"/>
          <w:lang w:val="fr-FR"/>
        </w:rPr>
        <w:t xml:space="preserve"> encourage</w:t>
      </w:r>
      <w:r w:rsidR="00E14372">
        <w:rPr>
          <w:snapToGrid w:val="0"/>
          <w:kern w:val="22"/>
          <w:szCs w:val="22"/>
          <w:lang w:val="fr-FR"/>
        </w:rPr>
        <w:t>ra</w:t>
      </w:r>
      <w:r w:rsidR="00623402" w:rsidRPr="00C3300B">
        <w:rPr>
          <w:snapToGrid w:val="0"/>
          <w:kern w:val="22"/>
          <w:szCs w:val="22"/>
          <w:lang w:val="fr-FR"/>
        </w:rPr>
        <w:t xml:space="preserve"> </w:t>
      </w:r>
      <w:r w:rsidR="00B75588">
        <w:rPr>
          <w:snapToGrid w:val="0"/>
          <w:kern w:val="22"/>
          <w:szCs w:val="22"/>
          <w:lang w:val="fr-FR"/>
        </w:rPr>
        <w:t xml:space="preserve">les </w:t>
      </w:r>
      <w:r w:rsidR="00623402" w:rsidRPr="00C3300B">
        <w:rPr>
          <w:snapToGrid w:val="0"/>
          <w:kern w:val="22"/>
          <w:szCs w:val="22"/>
          <w:lang w:val="fr-FR"/>
        </w:rPr>
        <w:t xml:space="preserve">autres </w:t>
      </w:r>
      <w:r w:rsidR="00E14372">
        <w:rPr>
          <w:snapToGrid w:val="0"/>
          <w:kern w:val="22"/>
          <w:szCs w:val="22"/>
          <w:lang w:val="fr-FR"/>
        </w:rPr>
        <w:t xml:space="preserve">instances </w:t>
      </w:r>
      <w:r w:rsidR="00231CD8" w:rsidRPr="00C3300B">
        <w:rPr>
          <w:snapToGrid w:val="0"/>
          <w:kern w:val="22"/>
          <w:szCs w:val="22"/>
          <w:lang w:val="fr-FR"/>
        </w:rPr>
        <w:t>intergouvernemental</w:t>
      </w:r>
      <w:r w:rsidR="00E14372">
        <w:rPr>
          <w:snapToGrid w:val="0"/>
          <w:kern w:val="22"/>
          <w:szCs w:val="22"/>
          <w:lang w:val="fr-FR"/>
        </w:rPr>
        <w:t>e</w:t>
      </w:r>
      <w:r w:rsidR="00F957CA" w:rsidRPr="00C3300B">
        <w:rPr>
          <w:snapToGrid w:val="0"/>
          <w:kern w:val="22"/>
          <w:szCs w:val="22"/>
          <w:lang w:val="fr-FR"/>
        </w:rPr>
        <w:t xml:space="preserve">s </w:t>
      </w:r>
      <w:r w:rsidR="00C32630">
        <w:rPr>
          <w:snapToGrid w:val="0"/>
          <w:kern w:val="22"/>
          <w:szCs w:val="22"/>
          <w:lang w:val="fr-FR"/>
        </w:rPr>
        <w:t>et/ou</w:t>
      </w:r>
      <w:r w:rsidR="00F957CA" w:rsidRPr="00C3300B">
        <w:rPr>
          <w:snapToGrid w:val="0"/>
          <w:kern w:val="22"/>
          <w:szCs w:val="22"/>
          <w:lang w:val="fr-FR"/>
        </w:rPr>
        <w:t xml:space="preserve"> </w:t>
      </w:r>
      <w:r w:rsidR="00B75588">
        <w:rPr>
          <w:snapToGrid w:val="0"/>
          <w:kern w:val="22"/>
          <w:szCs w:val="22"/>
          <w:lang w:val="fr-FR"/>
        </w:rPr>
        <w:t xml:space="preserve">les </w:t>
      </w:r>
      <w:r w:rsidR="00E8277D" w:rsidRPr="00C3300B">
        <w:rPr>
          <w:snapToGrid w:val="0"/>
          <w:kern w:val="22"/>
          <w:szCs w:val="22"/>
          <w:lang w:val="fr-FR"/>
        </w:rPr>
        <w:t>Parties</w:t>
      </w:r>
      <w:r w:rsidR="00E14372">
        <w:rPr>
          <w:snapToGrid w:val="0"/>
          <w:kern w:val="22"/>
          <w:szCs w:val="22"/>
          <w:lang w:val="fr-FR"/>
        </w:rPr>
        <w:t xml:space="preserve"> ou</w:t>
      </w:r>
      <w:r w:rsidR="00623402" w:rsidRPr="00C3300B">
        <w:rPr>
          <w:snapToGrid w:val="0"/>
          <w:kern w:val="22"/>
          <w:szCs w:val="22"/>
          <w:lang w:val="fr-FR"/>
        </w:rPr>
        <w:t xml:space="preserve"> </w:t>
      </w:r>
      <w:r w:rsidR="00B75588">
        <w:rPr>
          <w:snapToGrid w:val="0"/>
          <w:kern w:val="22"/>
          <w:szCs w:val="22"/>
          <w:lang w:val="fr-FR"/>
        </w:rPr>
        <w:t xml:space="preserve">les </w:t>
      </w:r>
      <w:r w:rsidR="00623402" w:rsidRPr="00C3300B">
        <w:rPr>
          <w:snapToGrid w:val="0"/>
          <w:kern w:val="22"/>
          <w:szCs w:val="22"/>
          <w:lang w:val="fr-FR"/>
        </w:rPr>
        <w:t xml:space="preserve">autres </w:t>
      </w:r>
      <w:r w:rsidR="00231CD8" w:rsidRPr="00C3300B">
        <w:rPr>
          <w:snapToGrid w:val="0"/>
          <w:kern w:val="22"/>
          <w:szCs w:val="22"/>
          <w:lang w:val="fr-FR"/>
        </w:rPr>
        <w:t>gouvernement</w:t>
      </w:r>
      <w:r w:rsidR="00A41775" w:rsidRPr="00C3300B">
        <w:rPr>
          <w:snapToGrid w:val="0"/>
          <w:kern w:val="22"/>
          <w:szCs w:val="22"/>
          <w:lang w:val="fr-FR"/>
        </w:rPr>
        <w:t>s</w:t>
      </w:r>
      <w:r w:rsidR="00F957CA" w:rsidRPr="00C3300B">
        <w:rPr>
          <w:snapToGrid w:val="0"/>
          <w:kern w:val="22"/>
          <w:szCs w:val="22"/>
          <w:lang w:val="fr-FR"/>
        </w:rPr>
        <w:t xml:space="preserve"> </w:t>
      </w:r>
      <w:r w:rsidR="00B75588">
        <w:rPr>
          <w:snapToGrid w:val="0"/>
          <w:kern w:val="22"/>
          <w:szCs w:val="22"/>
          <w:lang w:val="fr-FR"/>
        </w:rPr>
        <w:t xml:space="preserve">qui prévoient </w:t>
      </w:r>
      <w:r w:rsidR="00E14372">
        <w:rPr>
          <w:snapToGrid w:val="0"/>
          <w:kern w:val="22"/>
          <w:szCs w:val="22"/>
          <w:lang w:val="fr-FR"/>
        </w:rPr>
        <w:t xml:space="preserve">d’élaborer un </w:t>
      </w:r>
      <w:r w:rsidR="00231CD8" w:rsidRPr="00C3300B">
        <w:rPr>
          <w:snapToGrid w:val="0"/>
          <w:kern w:val="22"/>
          <w:szCs w:val="22"/>
          <w:lang w:val="fr-FR"/>
        </w:rPr>
        <w:t>instrument international</w:t>
      </w:r>
      <w:r w:rsidR="00F957CA" w:rsidRPr="00C3300B">
        <w:rPr>
          <w:snapToGrid w:val="0"/>
          <w:kern w:val="22"/>
          <w:szCs w:val="22"/>
          <w:lang w:val="fr-FR"/>
        </w:rPr>
        <w:t xml:space="preserve"> </w:t>
      </w:r>
      <w:r w:rsidR="00E14372">
        <w:rPr>
          <w:snapToGrid w:val="0"/>
          <w:kern w:val="22"/>
          <w:szCs w:val="22"/>
          <w:lang w:val="fr-FR"/>
        </w:rPr>
        <w:t xml:space="preserve">qui pourrait être </w:t>
      </w:r>
      <w:r w:rsidR="00B75588">
        <w:rPr>
          <w:snapToGrid w:val="0"/>
          <w:kern w:val="22"/>
          <w:szCs w:val="22"/>
          <w:lang w:val="fr-FR"/>
        </w:rPr>
        <w:t>reconnu comme</w:t>
      </w:r>
      <w:r w:rsidR="00623402" w:rsidRPr="00C3300B">
        <w:rPr>
          <w:snapToGrid w:val="0"/>
          <w:kern w:val="22"/>
          <w:szCs w:val="22"/>
          <w:lang w:val="fr-FR"/>
        </w:rPr>
        <w:t xml:space="preserve"> instrument international </w:t>
      </w:r>
      <w:r w:rsidR="0026155E" w:rsidRPr="00C3300B">
        <w:rPr>
          <w:snapToGrid w:val="0"/>
          <w:kern w:val="22"/>
          <w:szCs w:val="22"/>
          <w:lang w:val="fr-FR"/>
        </w:rPr>
        <w:t>spécial</w:t>
      </w:r>
      <w:r w:rsidR="00623402" w:rsidRPr="00C3300B">
        <w:rPr>
          <w:snapToGrid w:val="0"/>
          <w:kern w:val="22"/>
          <w:szCs w:val="22"/>
          <w:lang w:val="fr-FR"/>
        </w:rPr>
        <w:t xml:space="preserve"> sur l’accès et le partage des avantages</w:t>
      </w:r>
      <w:r w:rsidR="00B75588">
        <w:rPr>
          <w:snapToGrid w:val="0"/>
          <w:kern w:val="22"/>
          <w:szCs w:val="22"/>
          <w:lang w:val="fr-FR"/>
        </w:rPr>
        <w:t xml:space="preserve"> à </w:t>
      </w:r>
      <w:r w:rsidR="00F957CA" w:rsidRPr="00C3300B">
        <w:rPr>
          <w:snapToGrid w:val="0"/>
          <w:kern w:val="22"/>
          <w:szCs w:val="22"/>
          <w:lang w:val="fr-FR"/>
        </w:rPr>
        <w:t xml:space="preserve">: </w:t>
      </w:r>
      <w:r w:rsidR="00396AB2" w:rsidRPr="00C3300B">
        <w:rPr>
          <w:snapToGrid w:val="0"/>
          <w:kern w:val="22"/>
          <w:szCs w:val="22"/>
          <w:lang w:val="fr-FR"/>
        </w:rPr>
        <w:t>i) </w:t>
      </w:r>
      <w:r w:rsidR="00B75588">
        <w:rPr>
          <w:snapToGrid w:val="0"/>
          <w:kern w:val="22"/>
          <w:szCs w:val="22"/>
          <w:lang w:val="fr-FR"/>
        </w:rPr>
        <w:t>établir</w:t>
      </w:r>
      <w:r w:rsidR="00D066C3">
        <w:rPr>
          <w:snapToGrid w:val="0"/>
          <w:kern w:val="22"/>
          <w:szCs w:val="22"/>
          <w:lang w:val="fr-FR"/>
        </w:rPr>
        <w:t xml:space="preserve"> un mandat de n</w:t>
      </w:r>
      <w:r w:rsidR="00B75588">
        <w:rPr>
          <w:snapToGrid w:val="0"/>
          <w:kern w:val="22"/>
          <w:szCs w:val="22"/>
          <w:lang w:val="fr-FR"/>
        </w:rPr>
        <w:t>égociation qui vise à obtenir</w:t>
      </w:r>
      <w:r w:rsidR="00D066C3">
        <w:rPr>
          <w:snapToGrid w:val="0"/>
          <w:kern w:val="22"/>
          <w:szCs w:val="22"/>
          <w:lang w:val="fr-FR"/>
        </w:rPr>
        <w:t xml:space="preserve"> une cohé</w:t>
      </w:r>
      <w:r w:rsidR="00F957CA" w:rsidRPr="00C3300B">
        <w:rPr>
          <w:snapToGrid w:val="0"/>
          <w:kern w:val="22"/>
          <w:szCs w:val="22"/>
          <w:lang w:val="fr-FR"/>
        </w:rPr>
        <w:t>rence</w:t>
      </w:r>
      <w:r w:rsidR="00B55D08">
        <w:rPr>
          <w:snapToGrid w:val="0"/>
          <w:kern w:val="22"/>
          <w:szCs w:val="22"/>
          <w:lang w:val="fr-FR"/>
        </w:rPr>
        <w:t xml:space="preserve"> avec </w:t>
      </w:r>
      <w:r w:rsidR="00D066C3">
        <w:rPr>
          <w:snapToGrid w:val="0"/>
          <w:kern w:val="22"/>
          <w:szCs w:val="22"/>
          <w:lang w:val="fr-FR"/>
        </w:rPr>
        <w:t>le</w:t>
      </w:r>
      <w:r w:rsidR="00F957CA" w:rsidRPr="00C3300B">
        <w:rPr>
          <w:snapToGrid w:val="0"/>
          <w:kern w:val="22"/>
          <w:szCs w:val="22"/>
          <w:lang w:val="fr-FR"/>
        </w:rPr>
        <w:t xml:space="preserve"> </w:t>
      </w:r>
      <w:r w:rsidRPr="00C3300B">
        <w:rPr>
          <w:snapToGrid w:val="0"/>
          <w:kern w:val="22"/>
          <w:szCs w:val="22"/>
          <w:lang w:val="fr-FR"/>
        </w:rPr>
        <w:t>Protocole de Nagoya</w:t>
      </w:r>
      <w:r w:rsidR="00D066C3">
        <w:rPr>
          <w:snapToGrid w:val="0"/>
          <w:kern w:val="22"/>
          <w:szCs w:val="22"/>
          <w:lang w:val="fr-FR"/>
        </w:rPr>
        <w:t>, au regard d</w:t>
      </w:r>
      <w:r w:rsidRPr="00C3300B">
        <w:rPr>
          <w:snapToGrid w:val="0"/>
          <w:kern w:val="22"/>
          <w:szCs w:val="22"/>
          <w:lang w:val="fr-FR"/>
        </w:rPr>
        <w:t>es critères</w:t>
      </w:r>
      <w:r w:rsidR="00D066C3">
        <w:rPr>
          <w:snapToGrid w:val="0"/>
          <w:kern w:val="22"/>
          <w:szCs w:val="22"/>
          <w:lang w:val="fr-FR"/>
        </w:rPr>
        <w:t xml:space="preserve"> de</w:t>
      </w:r>
      <w:r w:rsidR="00F957CA" w:rsidRPr="00C3300B">
        <w:rPr>
          <w:snapToGrid w:val="0"/>
          <w:kern w:val="22"/>
          <w:szCs w:val="22"/>
          <w:lang w:val="fr-FR"/>
        </w:rPr>
        <w:t xml:space="preserve"> </w:t>
      </w:r>
      <w:r w:rsidR="00D066C3">
        <w:rPr>
          <w:snapToGrid w:val="0"/>
          <w:kern w:val="22"/>
          <w:szCs w:val="22"/>
          <w:lang w:val="fr-FR"/>
        </w:rPr>
        <w:t xml:space="preserve">reconnaissance adoptés en application du </w:t>
      </w:r>
      <w:r w:rsidR="00623402" w:rsidRPr="00C3300B">
        <w:rPr>
          <w:snapToGrid w:val="0"/>
          <w:kern w:val="22"/>
          <w:szCs w:val="22"/>
          <w:lang w:val="fr-FR"/>
        </w:rPr>
        <w:t>paragraphe 4 de l’article 4</w:t>
      </w:r>
      <w:r w:rsidR="00F957CA" w:rsidRPr="00C3300B">
        <w:rPr>
          <w:snapToGrid w:val="0"/>
          <w:kern w:val="22"/>
          <w:szCs w:val="22"/>
          <w:lang w:val="fr-FR"/>
        </w:rPr>
        <w:t xml:space="preserve">; </w:t>
      </w:r>
      <w:r w:rsidR="00396AB2" w:rsidRPr="00C3300B">
        <w:rPr>
          <w:snapToGrid w:val="0"/>
          <w:kern w:val="22"/>
          <w:szCs w:val="22"/>
          <w:lang w:val="fr-FR"/>
        </w:rPr>
        <w:t>ii) </w:t>
      </w:r>
      <w:r w:rsidR="00B75588">
        <w:rPr>
          <w:snapToGrid w:val="0"/>
          <w:kern w:val="22"/>
          <w:szCs w:val="22"/>
          <w:lang w:val="fr-FR"/>
        </w:rPr>
        <w:t xml:space="preserve">tenir au courant </w:t>
      </w:r>
      <w:r w:rsidR="00D066C3">
        <w:rPr>
          <w:snapToGrid w:val="0"/>
          <w:kern w:val="22"/>
          <w:szCs w:val="22"/>
          <w:lang w:val="fr-FR"/>
        </w:rPr>
        <w:t>l</w:t>
      </w:r>
      <w:r w:rsidRPr="00C3300B">
        <w:rPr>
          <w:snapToGrid w:val="0"/>
          <w:kern w:val="22"/>
          <w:szCs w:val="22"/>
          <w:lang w:val="fr-FR"/>
        </w:rPr>
        <w:t>a Conférence des Parties siégeant en tant que</w:t>
      </w:r>
      <w:r w:rsidR="00F246E2" w:rsidRPr="00C3300B">
        <w:rPr>
          <w:snapToGrid w:val="0"/>
          <w:kern w:val="22"/>
          <w:szCs w:val="22"/>
          <w:lang w:val="fr-FR"/>
        </w:rPr>
        <w:t xml:space="preserve"> </w:t>
      </w:r>
      <w:r w:rsidRPr="00C3300B">
        <w:rPr>
          <w:snapToGrid w:val="0"/>
          <w:kern w:val="22"/>
          <w:szCs w:val="22"/>
          <w:lang w:val="fr-FR"/>
        </w:rPr>
        <w:t>réunion</w:t>
      </w:r>
      <w:r w:rsidR="00F246E2" w:rsidRPr="00C3300B">
        <w:rPr>
          <w:snapToGrid w:val="0"/>
          <w:kern w:val="22"/>
          <w:szCs w:val="22"/>
          <w:lang w:val="fr-FR"/>
        </w:rPr>
        <w:t xml:space="preserve"> </w:t>
      </w:r>
      <w:r w:rsidR="0045647A" w:rsidRPr="00C3300B">
        <w:rPr>
          <w:snapToGrid w:val="0"/>
          <w:kern w:val="22"/>
          <w:szCs w:val="22"/>
          <w:lang w:val="fr-FR"/>
        </w:rPr>
        <w:t>des Par</w:t>
      </w:r>
      <w:r w:rsidR="00F246E2" w:rsidRPr="00C3300B">
        <w:rPr>
          <w:snapToGrid w:val="0"/>
          <w:kern w:val="22"/>
          <w:szCs w:val="22"/>
          <w:lang w:val="fr-FR"/>
        </w:rPr>
        <w:t>ties</w:t>
      </w:r>
      <w:r w:rsidR="00AA1FE4" w:rsidRPr="00C3300B">
        <w:rPr>
          <w:snapToGrid w:val="0"/>
          <w:kern w:val="22"/>
          <w:szCs w:val="22"/>
          <w:lang w:val="fr-FR"/>
        </w:rPr>
        <w:t xml:space="preserve"> </w:t>
      </w:r>
      <w:r w:rsidRPr="00C3300B">
        <w:rPr>
          <w:snapToGrid w:val="0"/>
          <w:kern w:val="22"/>
          <w:szCs w:val="22"/>
          <w:lang w:val="fr-FR"/>
        </w:rPr>
        <w:t xml:space="preserve">au </w:t>
      </w:r>
      <w:r w:rsidR="00D066C3">
        <w:rPr>
          <w:snapToGrid w:val="0"/>
          <w:kern w:val="22"/>
          <w:szCs w:val="22"/>
          <w:lang w:val="fr-FR"/>
        </w:rPr>
        <w:t>Protocole de l’avancée des négoc</w:t>
      </w:r>
      <w:r w:rsidR="00F957CA" w:rsidRPr="00C3300B">
        <w:rPr>
          <w:snapToGrid w:val="0"/>
          <w:kern w:val="22"/>
          <w:szCs w:val="22"/>
          <w:lang w:val="fr-FR"/>
        </w:rPr>
        <w:t xml:space="preserve">iations; </w:t>
      </w:r>
      <w:r w:rsidR="008F0C32" w:rsidRPr="00C3300B">
        <w:rPr>
          <w:snapToGrid w:val="0"/>
          <w:kern w:val="22"/>
          <w:szCs w:val="22"/>
          <w:lang w:val="fr-FR"/>
        </w:rPr>
        <w:t>iii) </w:t>
      </w:r>
      <w:r w:rsidR="00B75588">
        <w:rPr>
          <w:snapToGrid w:val="0"/>
          <w:kern w:val="22"/>
          <w:szCs w:val="22"/>
          <w:lang w:val="fr-FR"/>
        </w:rPr>
        <w:t xml:space="preserve">rédiger des dispositions dans </w:t>
      </w:r>
      <w:r w:rsidR="00D066C3">
        <w:rPr>
          <w:snapToGrid w:val="0"/>
          <w:kern w:val="22"/>
          <w:szCs w:val="22"/>
          <w:lang w:val="fr-FR"/>
        </w:rPr>
        <w:t xml:space="preserve">un nouvel </w:t>
      </w:r>
      <w:r w:rsidR="00F957CA" w:rsidRPr="00C3300B">
        <w:rPr>
          <w:snapToGrid w:val="0"/>
          <w:kern w:val="22"/>
          <w:szCs w:val="22"/>
          <w:lang w:val="fr-FR"/>
        </w:rPr>
        <w:t xml:space="preserve">instrument </w:t>
      </w:r>
      <w:r w:rsidR="00D066C3">
        <w:rPr>
          <w:snapToGrid w:val="0"/>
          <w:kern w:val="22"/>
          <w:szCs w:val="22"/>
          <w:lang w:val="fr-FR"/>
        </w:rPr>
        <w:t>qui</w:t>
      </w:r>
      <w:r w:rsidR="00B75588">
        <w:rPr>
          <w:snapToGrid w:val="0"/>
          <w:kern w:val="22"/>
          <w:szCs w:val="22"/>
          <w:lang w:val="fr-FR"/>
        </w:rPr>
        <w:t xml:space="preserve"> consacrent expressément le</w:t>
      </w:r>
      <w:r w:rsidR="00C01103">
        <w:rPr>
          <w:snapToGrid w:val="0"/>
          <w:kern w:val="22"/>
          <w:szCs w:val="22"/>
          <w:lang w:val="fr-FR"/>
        </w:rPr>
        <w:t xml:space="preserve"> renforcement mutuel</w:t>
      </w:r>
      <w:r w:rsidR="00F957CA" w:rsidRPr="00C3300B">
        <w:rPr>
          <w:snapToGrid w:val="0"/>
          <w:kern w:val="22"/>
          <w:szCs w:val="22"/>
          <w:lang w:val="fr-FR"/>
        </w:rPr>
        <w:t>;</w:t>
      </w:r>
      <w:r w:rsidR="00D066C3">
        <w:rPr>
          <w:snapToGrid w:val="0"/>
          <w:kern w:val="22"/>
          <w:szCs w:val="22"/>
          <w:lang w:val="fr-FR"/>
        </w:rPr>
        <w:t xml:space="preserve"> </w:t>
      </w:r>
      <w:r w:rsidR="008F0C32" w:rsidRPr="00C3300B">
        <w:rPr>
          <w:snapToGrid w:val="0"/>
          <w:kern w:val="22"/>
          <w:szCs w:val="22"/>
          <w:lang w:val="fr-FR"/>
        </w:rPr>
        <w:t>iv) </w:t>
      </w:r>
      <w:r w:rsidR="00D066C3">
        <w:rPr>
          <w:snapToGrid w:val="0"/>
          <w:kern w:val="22"/>
          <w:szCs w:val="22"/>
          <w:lang w:val="fr-FR"/>
        </w:rPr>
        <w:t xml:space="preserve">mettre en place </w:t>
      </w:r>
      <w:r w:rsidR="00B75588">
        <w:rPr>
          <w:snapToGrid w:val="0"/>
          <w:kern w:val="22"/>
          <w:szCs w:val="22"/>
          <w:lang w:val="fr-FR"/>
        </w:rPr>
        <w:t>et/</w:t>
      </w:r>
      <w:r w:rsidR="00D066C3">
        <w:rPr>
          <w:snapToGrid w:val="0"/>
          <w:kern w:val="22"/>
          <w:szCs w:val="22"/>
          <w:lang w:val="fr-FR"/>
        </w:rPr>
        <w:t xml:space="preserve">ou renforcer la </w:t>
      </w:r>
      <w:r w:rsidR="004A1AB3">
        <w:rPr>
          <w:snapToGrid w:val="0"/>
          <w:kern w:val="22"/>
          <w:szCs w:val="22"/>
          <w:lang w:val="fr-FR"/>
        </w:rPr>
        <w:t>coopération</w:t>
      </w:r>
      <w:r w:rsidR="00F957CA" w:rsidRPr="00C3300B">
        <w:rPr>
          <w:snapToGrid w:val="0"/>
          <w:kern w:val="22"/>
          <w:szCs w:val="22"/>
          <w:lang w:val="fr-FR"/>
        </w:rPr>
        <w:t xml:space="preserve"> </w:t>
      </w:r>
      <w:r w:rsidR="00B75588">
        <w:rPr>
          <w:snapToGrid w:val="0"/>
          <w:kern w:val="22"/>
          <w:szCs w:val="22"/>
          <w:lang w:val="fr-FR"/>
        </w:rPr>
        <w:t>inter-</w:t>
      </w:r>
      <w:r w:rsidR="00D066C3">
        <w:rPr>
          <w:snapToGrid w:val="0"/>
          <w:kern w:val="22"/>
          <w:szCs w:val="22"/>
          <w:lang w:val="fr-FR"/>
        </w:rPr>
        <w:t xml:space="preserve">secrétariats </w:t>
      </w:r>
      <w:r w:rsidR="00F957CA" w:rsidRPr="00C3300B">
        <w:rPr>
          <w:snapToGrid w:val="0"/>
          <w:kern w:val="22"/>
          <w:szCs w:val="22"/>
          <w:lang w:val="fr-FR"/>
        </w:rPr>
        <w:t>(</w:t>
      </w:r>
      <w:r w:rsidR="00D066C3">
        <w:rPr>
          <w:snapToGrid w:val="0"/>
          <w:kern w:val="22"/>
          <w:szCs w:val="22"/>
          <w:lang w:val="fr-FR"/>
        </w:rPr>
        <w:t>partage d’</w:t>
      </w:r>
      <w:r w:rsidR="00F957CA" w:rsidRPr="00C3300B">
        <w:rPr>
          <w:snapToGrid w:val="0"/>
          <w:kern w:val="22"/>
          <w:szCs w:val="22"/>
          <w:lang w:val="fr-FR"/>
        </w:rPr>
        <w:t>info</w:t>
      </w:r>
      <w:r w:rsidR="00B75588">
        <w:rPr>
          <w:snapToGrid w:val="0"/>
          <w:kern w:val="22"/>
          <w:szCs w:val="22"/>
          <w:lang w:val="fr-FR"/>
        </w:rPr>
        <w:t>rmation</w:t>
      </w:r>
      <w:r w:rsidR="00623402" w:rsidRPr="00C3300B">
        <w:rPr>
          <w:snapToGrid w:val="0"/>
          <w:kern w:val="22"/>
          <w:szCs w:val="22"/>
          <w:lang w:val="fr-FR"/>
        </w:rPr>
        <w:t xml:space="preserve"> et </w:t>
      </w:r>
      <w:r w:rsidR="00F957CA" w:rsidRPr="00C3300B">
        <w:rPr>
          <w:snapToGrid w:val="0"/>
          <w:kern w:val="22"/>
          <w:szCs w:val="22"/>
          <w:lang w:val="fr-FR"/>
        </w:rPr>
        <w:t>initiatives</w:t>
      </w:r>
      <w:r w:rsidR="00B75588">
        <w:rPr>
          <w:snapToGrid w:val="0"/>
          <w:kern w:val="22"/>
          <w:szCs w:val="22"/>
          <w:lang w:val="fr-FR"/>
        </w:rPr>
        <w:t xml:space="preserve"> conjointes</w:t>
      </w:r>
      <w:r w:rsidR="00D066C3">
        <w:rPr>
          <w:snapToGrid w:val="0"/>
          <w:kern w:val="22"/>
          <w:szCs w:val="22"/>
          <w:lang w:val="fr-FR"/>
        </w:rPr>
        <w:t xml:space="preserve"> de renforcement des capacités</w:t>
      </w:r>
      <w:r w:rsidR="00B75588">
        <w:rPr>
          <w:snapToGrid w:val="0"/>
          <w:kern w:val="22"/>
          <w:szCs w:val="22"/>
          <w:lang w:val="fr-FR"/>
        </w:rPr>
        <w:t>, par exemple</w:t>
      </w:r>
      <w:r w:rsidR="00F957CA" w:rsidRPr="00C3300B">
        <w:rPr>
          <w:snapToGrid w:val="0"/>
          <w:kern w:val="22"/>
          <w:szCs w:val="22"/>
          <w:lang w:val="fr-FR"/>
        </w:rPr>
        <w:t>);</w:t>
      </w:r>
    </w:p>
    <w:p w:rsidR="00F957CA" w:rsidRPr="00F83893" w:rsidRDefault="00231CD8" w:rsidP="009F4D84">
      <w:pPr>
        <w:pStyle w:val="Para3"/>
        <w:numPr>
          <w:ilvl w:val="1"/>
          <w:numId w:val="9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La</w:t>
      </w:r>
      <w:r w:rsidR="00A01DA3" w:rsidRPr="00F83893">
        <w:rPr>
          <w:snapToGrid w:val="0"/>
          <w:kern w:val="22"/>
          <w:szCs w:val="22"/>
          <w:lang w:val="fr-FR"/>
        </w:rPr>
        <w:t xml:space="preserve"> Conférence des Parties siégeant en tant que</w:t>
      </w:r>
      <w:r w:rsidR="00F246E2" w:rsidRPr="00F83893">
        <w:rPr>
          <w:snapToGrid w:val="0"/>
          <w:kern w:val="22"/>
          <w:szCs w:val="22"/>
          <w:lang w:val="fr-FR"/>
        </w:rPr>
        <w:t xml:space="preserve"> </w:t>
      </w:r>
      <w:r w:rsidR="00A01DA3" w:rsidRPr="00F83893">
        <w:rPr>
          <w:snapToGrid w:val="0"/>
          <w:kern w:val="22"/>
          <w:szCs w:val="22"/>
          <w:lang w:val="fr-FR"/>
        </w:rPr>
        <w:t>réunion</w:t>
      </w:r>
      <w:r w:rsidR="00F246E2" w:rsidRPr="00F83893">
        <w:rPr>
          <w:snapToGrid w:val="0"/>
          <w:kern w:val="22"/>
          <w:szCs w:val="22"/>
          <w:lang w:val="fr-FR"/>
        </w:rPr>
        <w:t xml:space="preserve"> </w:t>
      </w:r>
      <w:r w:rsidR="0045647A" w:rsidRPr="00F83893">
        <w:rPr>
          <w:snapToGrid w:val="0"/>
          <w:kern w:val="22"/>
          <w:szCs w:val="22"/>
          <w:lang w:val="fr-FR"/>
        </w:rPr>
        <w:t>des Par</w:t>
      </w:r>
      <w:r w:rsidR="00F246E2" w:rsidRPr="00F83893">
        <w:rPr>
          <w:snapToGrid w:val="0"/>
          <w:kern w:val="22"/>
          <w:szCs w:val="22"/>
          <w:lang w:val="fr-FR"/>
        </w:rPr>
        <w:t>ties</w:t>
      </w:r>
      <w:r w:rsidR="00396240" w:rsidRPr="00F83893">
        <w:rPr>
          <w:snapToGrid w:val="0"/>
          <w:kern w:val="22"/>
          <w:szCs w:val="22"/>
          <w:lang w:val="fr-FR"/>
        </w:rPr>
        <w:t xml:space="preserve"> </w:t>
      </w:r>
      <w:r w:rsidR="00A01DA3" w:rsidRPr="00F83893">
        <w:rPr>
          <w:snapToGrid w:val="0"/>
          <w:kern w:val="22"/>
          <w:szCs w:val="22"/>
          <w:lang w:val="fr-FR"/>
        </w:rPr>
        <w:t xml:space="preserve">au </w:t>
      </w:r>
      <w:r w:rsidR="0001030F" w:rsidRPr="00F83893">
        <w:rPr>
          <w:snapToGrid w:val="0"/>
          <w:kern w:val="22"/>
          <w:szCs w:val="22"/>
          <w:lang w:val="fr-FR"/>
        </w:rPr>
        <w:t xml:space="preserve">Protocole </w:t>
      </w:r>
      <w:r w:rsidR="00B75588">
        <w:rPr>
          <w:snapToGrid w:val="0"/>
          <w:kern w:val="22"/>
          <w:szCs w:val="22"/>
          <w:lang w:val="fr-FR"/>
        </w:rPr>
        <w:t>examinera l</w:t>
      </w:r>
      <w:r w:rsidR="00E14372">
        <w:rPr>
          <w:snapToGrid w:val="0"/>
          <w:kern w:val="22"/>
          <w:szCs w:val="22"/>
          <w:lang w:val="fr-FR"/>
        </w:rPr>
        <w:t>es répercussions de la reconnaissance d’un instrument par d’</w:t>
      </w:r>
      <w:r w:rsidR="00623402" w:rsidRPr="00F83893">
        <w:rPr>
          <w:snapToGrid w:val="0"/>
          <w:kern w:val="22"/>
          <w:szCs w:val="22"/>
          <w:lang w:val="fr-FR"/>
        </w:rPr>
        <w:t xml:space="preserve">autres </w:t>
      </w:r>
      <w:r w:rsidR="00E14372">
        <w:rPr>
          <w:snapToGrid w:val="0"/>
          <w:kern w:val="22"/>
          <w:szCs w:val="22"/>
          <w:lang w:val="fr-FR"/>
        </w:rPr>
        <w:t>instance</w:t>
      </w:r>
      <w:r w:rsidR="00A255FB" w:rsidRPr="00F83893">
        <w:rPr>
          <w:snapToGrid w:val="0"/>
          <w:kern w:val="22"/>
          <w:szCs w:val="22"/>
          <w:lang w:val="fr-FR"/>
        </w:rPr>
        <w:t>s</w:t>
      </w:r>
      <w:r w:rsidR="00E14372">
        <w:rPr>
          <w:snapToGrid w:val="0"/>
          <w:kern w:val="22"/>
          <w:szCs w:val="22"/>
          <w:lang w:val="fr-FR"/>
        </w:rPr>
        <w:t xml:space="preserve"> ou </w:t>
      </w:r>
      <w:r w:rsidR="00E8277D" w:rsidRPr="00F83893">
        <w:rPr>
          <w:snapToGrid w:val="0"/>
          <w:kern w:val="22"/>
          <w:szCs w:val="22"/>
          <w:lang w:val="fr-FR"/>
        </w:rPr>
        <w:t>Parties</w:t>
      </w:r>
      <w:r w:rsidR="00F957CA" w:rsidRPr="00F83893">
        <w:rPr>
          <w:snapToGrid w:val="0"/>
          <w:kern w:val="22"/>
          <w:szCs w:val="22"/>
          <w:lang w:val="fr-FR"/>
        </w:rPr>
        <w:t xml:space="preserve"> </w:t>
      </w:r>
      <w:r w:rsidR="00A01DA3" w:rsidRPr="00F83893">
        <w:rPr>
          <w:snapToGrid w:val="0"/>
          <w:kern w:val="22"/>
          <w:szCs w:val="22"/>
          <w:lang w:val="fr-FR"/>
        </w:rPr>
        <w:t>au Protocole de Nagoya</w:t>
      </w:r>
      <w:r w:rsidR="00E14372">
        <w:rPr>
          <w:snapToGrid w:val="0"/>
          <w:kern w:val="22"/>
          <w:szCs w:val="22"/>
          <w:lang w:val="fr-FR"/>
        </w:rPr>
        <w:t xml:space="preserve"> sur la base d</w:t>
      </w:r>
      <w:r w:rsidR="00A01DA3" w:rsidRPr="00F83893">
        <w:rPr>
          <w:snapToGrid w:val="0"/>
          <w:kern w:val="22"/>
          <w:szCs w:val="22"/>
          <w:lang w:val="fr-FR"/>
        </w:rPr>
        <w:t>es critères</w:t>
      </w:r>
      <w:r w:rsidR="00E14372">
        <w:rPr>
          <w:snapToGrid w:val="0"/>
          <w:kern w:val="22"/>
          <w:szCs w:val="22"/>
          <w:lang w:val="fr-FR"/>
        </w:rPr>
        <w:t xml:space="preserve"> adoptés</w:t>
      </w:r>
      <w:r w:rsidR="00B75588">
        <w:rPr>
          <w:snapToGrid w:val="0"/>
          <w:kern w:val="22"/>
          <w:szCs w:val="22"/>
          <w:lang w:val="fr-FR"/>
        </w:rPr>
        <w:t>,</w:t>
      </w:r>
      <w:r w:rsidR="00F957CA" w:rsidRPr="00F83893">
        <w:rPr>
          <w:snapToGrid w:val="0"/>
          <w:kern w:val="22"/>
          <w:szCs w:val="22"/>
          <w:lang w:val="fr-FR"/>
        </w:rPr>
        <w:t xml:space="preserve"> </w:t>
      </w:r>
      <w:r w:rsidR="00C32630">
        <w:rPr>
          <w:snapToGrid w:val="0"/>
          <w:kern w:val="22"/>
          <w:szCs w:val="22"/>
          <w:lang w:val="fr-FR"/>
        </w:rPr>
        <w:t>et/ou</w:t>
      </w:r>
      <w:r w:rsidR="00E14372">
        <w:rPr>
          <w:snapToGrid w:val="0"/>
          <w:kern w:val="22"/>
          <w:szCs w:val="22"/>
          <w:lang w:val="fr-FR"/>
        </w:rPr>
        <w:t xml:space="preserve"> dé</w:t>
      </w:r>
      <w:r w:rsidR="00F957CA" w:rsidRPr="00F83893">
        <w:rPr>
          <w:snapToGrid w:val="0"/>
          <w:kern w:val="22"/>
          <w:szCs w:val="22"/>
          <w:lang w:val="fr-FR"/>
        </w:rPr>
        <w:t>cide</w:t>
      </w:r>
      <w:r w:rsidR="00E14372">
        <w:rPr>
          <w:snapToGrid w:val="0"/>
          <w:kern w:val="22"/>
          <w:szCs w:val="22"/>
          <w:lang w:val="fr-FR"/>
        </w:rPr>
        <w:t xml:space="preserve">ra s’il convient de </w:t>
      </w:r>
      <w:r w:rsidR="00623402" w:rsidRPr="00F83893">
        <w:rPr>
          <w:snapToGrid w:val="0"/>
          <w:kern w:val="22"/>
          <w:szCs w:val="22"/>
          <w:lang w:val="fr-FR"/>
        </w:rPr>
        <w:t>reconnaître</w:t>
      </w:r>
      <w:r w:rsidR="00E14372">
        <w:rPr>
          <w:snapToGrid w:val="0"/>
          <w:kern w:val="22"/>
          <w:szCs w:val="22"/>
          <w:lang w:val="fr-FR"/>
        </w:rPr>
        <w:t xml:space="preserve"> un</w:t>
      </w:r>
      <w:r w:rsidR="00F957CA" w:rsidRPr="00F83893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instrument international</w:t>
      </w:r>
      <w:r w:rsidR="00F957CA" w:rsidRPr="00F83893">
        <w:rPr>
          <w:snapToGrid w:val="0"/>
          <w:kern w:val="22"/>
          <w:szCs w:val="22"/>
          <w:lang w:val="fr-FR"/>
        </w:rPr>
        <w:t xml:space="preserve"> </w:t>
      </w:r>
      <w:r w:rsidR="00E14372">
        <w:rPr>
          <w:snapToGrid w:val="0"/>
          <w:kern w:val="22"/>
          <w:szCs w:val="22"/>
          <w:lang w:val="fr-FR"/>
        </w:rPr>
        <w:t xml:space="preserve">donné comme étant un accord </w:t>
      </w:r>
      <w:r w:rsidR="0026155E">
        <w:rPr>
          <w:snapToGrid w:val="0"/>
          <w:kern w:val="22"/>
          <w:szCs w:val="22"/>
          <w:lang w:val="fr-FR"/>
        </w:rPr>
        <w:t>spécial</w:t>
      </w:r>
      <w:r w:rsidR="00F957CA" w:rsidRPr="00F83893">
        <w:rPr>
          <w:snapToGrid w:val="0"/>
          <w:kern w:val="22"/>
          <w:szCs w:val="22"/>
          <w:lang w:val="fr-FR"/>
        </w:rPr>
        <w:t xml:space="preserve"> </w:t>
      </w:r>
      <w:r w:rsidR="00E14372">
        <w:rPr>
          <w:snapToGrid w:val="0"/>
          <w:kern w:val="22"/>
          <w:szCs w:val="22"/>
          <w:lang w:val="fr-FR"/>
        </w:rPr>
        <w:t xml:space="preserve">sur </w:t>
      </w:r>
      <w:r w:rsidR="005D3CDB" w:rsidRPr="00F83893">
        <w:rPr>
          <w:snapToGrid w:val="0"/>
          <w:kern w:val="22"/>
          <w:szCs w:val="22"/>
          <w:lang w:val="fr-FR"/>
        </w:rPr>
        <w:t>l’accès et le partage des avantages</w:t>
      </w:r>
      <w:r w:rsidR="00F957CA" w:rsidRPr="00F83893">
        <w:rPr>
          <w:snapToGrid w:val="0"/>
          <w:kern w:val="22"/>
          <w:szCs w:val="22"/>
          <w:lang w:val="fr-FR"/>
        </w:rPr>
        <w:t>;</w:t>
      </w:r>
    </w:p>
    <w:p w:rsidR="00F607FE" w:rsidRPr="00E14372" w:rsidRDefault="00231CD8" w:rsidP="009F4D84">
      <w:pPr>
        <w:pStyle w:val="Para3"/>
        <w:numPr>
          <w:ilvl w:val="1"/>
          <w:numId w:val="9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La</w:t>
      </w:r>
      <w:r w:rsidR="00A01DA3" w:rsidRPr="00F83893">
        <w:rPr>
          <w:snapToGrid w:val="0"/>
          <w:kern w:val="22"/>
          <w:szCs w:val="22"/>
          <w:lang w:val="fr-FR"/>
        </w:rPr>
        <w:t xml:space="preserve"> Conférence des Parties siégeant en tant que</w:t>
      </w:r>
      <w:r w:rsidR="00F246E2" w:rsidRPr="00F83893">
        <w:rPr>
          <w:snapToGrid w:val="0"/>
          <w:kern w:val="22"/>
          <w:szCs w:val="22"/>
          <w:lang w:val="fr-FR"/>
        </w:rPr>
        <w:t xml:space="preserve"> </w:t>
      </w:r>
      <w:r w:rsidR="00A01DA3" w:rsidRPr="00F83893">
        <w:rPr>
          <w:snapToGrid w:val="0"/>
          <w:kern w:val="22"/>
          <w:szCs w:val="22"/>
          <w:lang w:val="fr-FR"/>
        </w:rPr>
        <w:t>réunion</w:t>
      </w:r>
      <w:r w:rsidR="00F246E2" w:rsidRPr="00F83893">
        <w:rPr>
          <w:snapToGrid w:val="0"/>
          <w:kern w:val="22"/>
          <w:szCs w:val="22"/>
          <w:lang w:val="fr-FR"/>
        </w:rPr>
        <w:t xml:space="preserve"> </w:t>
      </w:r>
      <w:r w:rsidR="0045647A" w:rsidRPr="00F83893">
        <w:rPr>
          <w:snapToGrid w:val="0"/>
          <w:kern w:val="22"/>
          <w:szCs w:val="22"/>
          <w:lang w:val="fr-FR"/>
        </w:rPr>
        <w:t>des Par</w:t>
      </w:r>
      <w:r w:rsidR="00B75588">
        <w:rPr>
          <w:snapToGrid w:val="0"/>
          <w:kern w:val="22"/>
          <w:szCs w:val="22"/>
          <w:lang w:val="fr-FR"/>
        </w:rPr>
        <w:t>ties décidera de créer</w:t>
      </w:r>
      <w:r w:rsidR="00E14372">
        <w:rPr>
          <w:snapToGrid w:val="0"/>
          <w:kern w:val="22"/>
          <w:szCs w:val="22"/>
          <w:lang w:val="fr-FR"/>
        </w:rPr>
        <w:t xml:space="preserve"> un processus</w:t>
      </w:r>
      <w:r w:rsidR="00B75588">
        <w:rPr>
          <w:snapToGrid w:val="0"/>
          <w:kern w:val="22"/>
          <w:szCs w:val="22"/>
          <w:lang w:val="fr-FR"/>
        </w:rPr>
        <w:t xml:space="preserve"> systématique et permanent sur les </w:t>
      </w:r>
      <w:r w:rsidR="00C20376">
        <w:rPr>
          <w:snapToGrid w:val="0"/>
          <w:kern w:val="22"/>
          <w:szCs w:val="22"/>
          <w:lang w:val="fr-FR"/>
        </w:rPr>
        <w:t>interaction</w:t>
      </w:r>
      <w:r w:rsidR="00B75588">
        <w:rPr>
          <w:snapToGrid w:val="0"/>
          <w:kern w:val="22"/>
          <w:szCs w:val="22"/>
          <w:lang w:val="fr-FR"/>
        </w:rPr>
        <w:t>s</w:t>
      </w:r>
      <w:r w:rsidR="00C20376">
        <w:rPr>
          <w:snapToGrid w:val="0"/>
          <w:kern w:val="22"/>
          <w:szCs w:val="22"/>
          <w:lang w:val="fr-FR"/>
        </w:rPr>
        <w:t xml:space="preserve"> entre régimes</w:t>
      </w:r>
      <w:r w:rsidR="0031189A">
        <w:rPr>
          <w:snapToGrid w:val="0"/>
          <w:kern w:val="22"/>
          <w:szCs w:val="22"/>
          <w:lang w:val="fr-FR"/>
        </w:rPr>
        <w:t>, afin d’</w:t>
      </w:r>
      <w:r w:rsidR="00E14372">
        <w:rPr>
          <w:snapToGrid w:val="0"/>
          <w:kern w:val="22"/>
          <w:szCs w:val="22"/>
          <w:lang w:val="fr-FR"/>
        </w:rPr>
        <w:t>assurer une cohé</w:t>
      </w:r>
      <w:r w:rsidR="00F957CA" w:rsidRPr="00F83893">
        <w:rPr>
          <w:snapToGrid w:val="0"/>
          <w:kern w:val="22"/>
          <w:szCs w:val="22"/>
          <w:lang w:val="fr-FR"/>
        </w:rPr>
        <w:t>rence</w:t>
      </w:r>
      <w:r w:rsidR="00623402" w:rsidRPr="00F83893">
        <w:rPr>
          <w:snapToGrid w:val="0"/>
          <w:kern w:val="22"/>
          <w:szCs w:val="22"/>
          <w:lang w:val="fr-FR"/>
        </w:rPr>
        <w:t xml:space="preserve"> et </w:t>
      </w:r>
      <w:r w:rsidR="0031189A">
        <w:rPr>
          <w:snapToGrid w:val="0"/>
          <w:kern w:val="22"/>
          <w:szCs w:val="22"/>
          <w:lang w:val="fr-FR"/>
        </w:rPr>
        <w:t xml:space="preserve">de </w:t>
      </w:r>
      <w:r w:rsidR="00B75588">
        <w:rPr>
          <w:snapToGrid w:val="0"/>
          <w:kern w:val="22"/>
          <w:szCs w:val="22"/>
          <w:lang w:val="fr-FR"/>
        </w:rPr>
        <w:t xml:space="preserve">créer </w:t>
      </w:r>
      <w:r w:rsidR="00E14372">
        <w:rPr>
          <w:snapToGrid w:val="0"/>
          <w:kern w:val="22"/>
          <w:szCs w:val="22"/>
          <w:lang w:val="fr-FR"/>
        </w:rPr>
        <w:t xml:space="preserve">des synergies aux niveaux </w:t>
      </w:r>
      <w:r w:rsidR="00B75588">
        <w:rPr>
          <w:snapToGrid w:val="0"/>
          <w:kern w:val="22"/>
          <w:szCs w:val="22"/>
          <w:lang w:val="fr-FR"/>
        </w:rPr>
        <w:t>de la prise de décisions</w:t>
      </w:r>
      <w:r w:rsidR="00E14372">
        <w:rPr>
          <w:snapToGrid w:val="0"/>
          <w:kern w:val="22"/>
          <w:szCs w:val="22"/>
          <w:lang w:val="fr-FR"/>
        </w:rPr>
        <w:t xml:space="preserve">, </w:t>
      </w:r>
      <w:r w:rsidR="00B75588">
        <w:rPr>
          <w:snapToGrid w:val="0"/>
          <w:kern w:val="22"/>
          <w:szCs w:val="22"/>
          <w:lang w:val="fr-FR"/>
        </w:rPr>
        <w:t xml:space="preserve">des </w:t>
      </w:r>
      <w:r w:rsidR="00F957CA" w:rsidRPr="00F83893">
        <w:rPr>
          <w:snapToGrid w:val="0"/>
          <w:kern w:val="22"/>
          <w:szCs w:val="22"/>
          <w:lang w:val="fr-FR"/>
        </w:rPr>
        <w:t>institution</w:t>
      </w:r>
      <w:r w:rsidR="00B75588">
        <w:rPr>
          <w:snapToGrid w:val="0"/>
          <w:kern w:val="22"/>
          <w:szCs w:val="22"/>
          <w:lang w:val="fr-FR"/>
        </w:rPr>
        <w:t>s</w:t>
      </w:r>
      <w:r w:rsidR="00E14372">
        <w:rPr>
          <w:snapToGrid w:val="0"/>
          <w:kern w:val="22"/>
          <w:szCs w:val="22"/>
          <w:lang w:val="fr-FR"/>
        </w:rPr>
        <w:t xml:space="preserve"> et de</w:t>
      </w:r>
      <w:r w:rsidR="00B75588">
        <w:rPr>
          <w:snapToGrid w:val="0"/>
          <w:kern w:val="22"/>
          <w:szCs w:val="22"/>
          <w:lang w:val="fr-FR"/>
        </w:rPr>
        <w:t xml:space="preserve"> l’application</w:t>
      </w:r>
      <w:r w:rsidR="00F957CA" w:rsidRPr="00F83893">
        <w:rPr>
          <w:snapToGrid w:val="0"/>
          <w:kern w:val="22"/>
          <w:szCs w:val="22"/>
          <w:lang w:val="fr-FR"/>
        </w:rPr>
        <w:t xml:space="preserve">. </w:t>
      </w:r>
      <w:r w:rsidR="00E14372" w:rsidRPr="00E14372">
        <w:rPr>
          <w:snapToGrid w:val="0"/>
          <w:kern w:val="22"/>
          <w:szCs w:val="22"/>
          <w:lang w:val="fr-FR"/>
        </w:rPr>
        <w:t>Plusieurs</w:t>
      </w:r>
      <w:r w:rsidR="00F957CA" w:rsidRPr="00E14372">
        <w:rPr>
          <w:snapToGrid w:val="0"/>
          <w:kern w:val="22"/>
          <w:szCs w:val="22"/>
          <w:lang w:val="fr-FR"/>
        </w:rPr>
        <w:t xml:space="preserve"> options </w:t>
      </w:r>
      <w:r w:rsidR="00E14372" w:rsidRPr="00E14372">
        <w:rPr>
          <w:snapToGrid w:val="0"/>
          <w:kern w:val="22"/>
          <w:szCs w:val="22"/>
          <w:lang w:val="fr-FR"/>
        </w:rPr>
        <w:t xml:space="preserve">peuvent </w:t>
      </w:r>
      <w:r w:rsidR="00E14372">
        <w:rPr>
          <w:snapToGrid w:val="0"/>
          <w:kern w:val="22"/>
          <w:szCs w:val="22"/>
          <w:lang w:val="fr-FR"/>
        </w:rPr>
        <w:t>être envisagées</w:t>
      </w:r>
      <w:r w:rsidR="00F957CA" w:rsidRPr="00E14372">
        <w:rPr>
          <w:snapToGrid w:val="0"/>
          <w:kern w:val="22"/>
          <w:szCs w:val="22"/>
          <w:lang w:val="fr-FR"/>
        </w:rPr>
        <w:t>,</w:t>
      </w:r>
      <w:r w:rsidR="0031189A">
        <w:rPr>
          <w:snapToGrid w:val="0"/>
          <w:kern w:val="22"/>
          <w:szCs w:val="22"/>
          <w:lang w:val="fr-FR"/>
        </w:rPr>
        <w:t xml:space="preserve"> y compris la création</w:t>
      </w:r>
      <w:r w:rsidR="00E14372">
        <w:rPr>
          <w:snapToGrid w:val="0"/>
          <w:kern w:val="22"/>
          <w:szCs w:val="22"/>
          <w:lang w:val="fr-FR"/>
        </w:rPr>
        <w:t xml:space="preserve"> d’u</w:t>
      </w:r>
      <w:r w:rsidR="0031189A">
        <w:rPr>
          <w:snapToGrid w:val="0"/>
          <w:kern w:val="22"/>
          <w:szCs w:val="22"/>
          <w:lang w:val="fr-FR"/>
        </w:rPr>
        <w:t>ne plateforme permanente pour un</w:t>
      </w:r>
      <w:r w:rsidR="00F957CA" w:rsidRPr="00E14372">
        <w:rPr>
          <w:snapToGrid w:val="0"/>
          <w:kern w:val="22"/>
          <w:szCs w:val="22"/>
          <w:lang w:val="fr-FR"/>
        </w:rPr>
        <w:t xml:space="preserve"> dialogue</w:t>
      </w:r>
      <w:r w:rsidR="00623402" w:rsidRPr="00E14372">
        <w:rPr>
          <w:snapToGrid w:val="0"/>
          <w:kern w:val="22"/>
          <w:szCs w:val="22"/>
          <w:lang w:val="fr-FR"/>
        </w:rPr>
        <w:t xml:space="preserve"> et </w:t>
      </w:r>
      <w:r w:rsidR="00E14372">
        <w:rPr>
          <w:snapToGrid w:val="0"/>
          <w:kern w:val="22"/>
          <w:szCs w:val="22"/>
          <w:lang w:val="fr-FR"/>
        </w:rPr>
        <w:t>une coordination (voir les exemples cités dans la</w:t>
      </w:r>
      <w:r w:rsidR="00F957CA" w:rsidRPr="00E14372">
        <w:rPr>
          <w:snapToGrid w:val="0"/>
          <w:kern w:val="22"/>
          <w:szCs w:val="22"/>
          <w:lang w:val="fr-FR"/>
        </w:rPr>
        <w:t xml:space="preserve"> </w:t>
      </w:r>
      <w:r w:rsidR="0045647A" w:rsidRPr="00E14372">
        <w:rPr>
          <w:snapToGrid w:val="0"/>
          <w:kern w:val="22"/>
          <w:szCs w:val="22"/>
          <w:lang w:val="fr-FR"/>
        </w:rPr>
        <w:t>partie</w:t>
      </w:r>
      <w:r w:rsidR="00F957CA" w:rsidRPr="00E14372">
        <w:rPr>
          <w:snapToGrid w:val="0"/>
          <w:kern w:val="22"/>
          <w:szCs w:val="22"/>
          <w:lang w:val="fr-FR"/>
        </w:rPr>
        <w:t xml:space="preserve"> 5.3 </w:t>
      </w:r>
      <w:r w:rsidR="00E14372">
        <w:rPr>
          <w:snapToGrid w:val="0"/>
          <w:kern w:val="22"/>
          <w:szCs w:val="22"/>
          <w:lang w:val="fr-FR"/>
        </w:rPr>
        <w:t>de l’</w:t>
      </w:r>
      <w:r w:rsidR="00A01DA3" w:rsidRPr="00E14372">
        <w:rPr>
          <w:snapToGrid w:val="0"/>
          <w:kern w:val="22"/>
          <w:szCs w:val="22"/>
          <w:lang w:val="fr-FR"/>
        </w:rPr>
        <w:t>étude</w:t>
      </w:r>
      <w:r w:rsidR="0031189A">
        <w:rPr>
          <w:snapToGrid w:val="0"/>
          <w:kern w:val="22"/>
          <w:szCs w:val="22"/>
          <w:lang w:val="fr-FR"/>
        </w:rPr>
        <w:t>). De tell</w:t>
      </w:r>
      <w:r w:rsidR="00E14372" w:rsidRPr="00E14372">
        <w:rPr>
          <w:snapToGrid w:val="0"/>
          <w:kern w:val="22"/>
          <w:szCs w:val="22"/>
          <w:lang w:val="fr-FR"/>
        </w:rPr>
        <w:t>es</w:t>
      </w:r>
      <w:r w:rsidR="00F957CA" w:rsidRPr="00E14372">
        <w:rPr>
          <w:snapToGrid w:val="0"/>
          <w:kern w:val="22"/>
          <w:szCs w:val="22"/>
          <w:lang w:val="fr-FR"/>
        </w:rPr>
        <w:t xml:space="preserve"> options </w:t>
      </w:r>
      <w:r w:rsidR="0031189A">
        <w:rPr>
          <w:snapToGrid w:val="0"/>
          <w:kern w:val="22"/>
          <w:szCs w:val="22"/>
          <w:lang w:val="fr-FR"/>
        </w:rPr>
        <w:t>permettraient d’exploiter les avantages retiré</w:t>
      </w:r>
      <w:r w:rsidR="00E14372" w:rsidRPr="00E14372">
        <w:rPr>
          <w:snapToGrid w:val="0"/>
          <w:kern w:val="22"/>
          <w:szCs w:val="22"/>
          <w:lang w:val="fr-FR"/>
        </w:rPr>
        <w:t>s de l’apprentis</w:t>
      </w:r>
      <w:r w:rsidR="0031189A">
        <w:rPr>
          <w:snapToGrid w:val="0"/>
          <w:kern w:val="22"/>
          <w:szCs w:val="22"/>
          <w:lang w:val="fr-FR"/>
        </w:rPr>
        <w:t>sage et d’assurer l’</w:t>
      </w:r>
      <w:r w:rsidR="00E14372">
        <w:rPr>
          <w:snapToGrid w:val="0"/>
          <w:kern w:val="22"/>
          <w:szCs w:val="22"/>
          <w:lang w:val="fr-FR"/>
        </w:rPr>
        <w:t>efficacité continu</w:t>
      </w:r>
      <w:r w:rsidR="0031189A">
        <w:rPr>
          <w:snapToGrid w:val="0"/>
          <w:kern w:val="22"/>
          <w:szCs w:val="22"/>
          <w:lang w:val="fr-FR"/>
        </w:rPr>
        <w:t xml:space="preserve">e de l’ensemble des régimes relatifs à l’accès et au </w:t>
      </w:r>
      <w:r w:rsidR="005D3CDB" w:rsidRPr="00E14372">
        <w:rPr>
          <w:snapToGrid w:val="0"/>
          <w:kern w:val="22"/>
          <w:szCs w:val="22"/>
          <w:lang w:val="fr-FR"/>
        </w:rPr>
        <w:t>partage des avantages</w:t>
      </w:r>
      <w:r w:rsidR="00F957CA" w:rsidRPr="00E14372">
        <w:rPr>
          <w:snapToGrid w:val="0"/>
          <w:kern w:val="22"/>
          <w:szCs w:val="22"/>
          <w:lang w:val="fr-FR"/>
        </w:rPr>
        <w:t>.</w:t>
      </w:r>
    </w:p>
    <w:p w:rsidR="00082280" w:rsidRPr="00C01103" w:rsidRDefault="00231CD8" w:rsidP="00101345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szCs w:val="22"/>
          <w:lang w:val="fr-FR"/>
        </w:rPr>
      </w:pPr>
      <w:r w:rsidRPr="00231CD8">
        <w:rPr>
          <w:kern w:val="22"/>
          <w:szCs w:val="22"/>
          <w:lang w:val="fr-FR"/>
        </w:rPr>
        <w:t>Pour que ce</w:t>
      </w:r>
      <w:r w:rsidR="00F957CA" w:rsidRPr="00231CD8">
        <w:rPr>
          <w:kern w:val="22"/>
          <w:szCs w:val="22"/>
          <w:lang w:val="fr-FR"/>
        </w:rPr>
        <w:t xml:space="preserve"> </w:t>
      </w:r>
      <w:r w:rsidRPr="00231CD8">
        <w:rPr>
          <w:kern w:val="22"/>
          <w:szCs w:val="22"/>
          <w:lang w:val="fr-FR"/>
        </w:rPr>
        <w:t xml:space="preserve">processus </w:t>
      </w:r>
      <w:r>
        <w:rPr>
          <w:kern w:val="22"/>
          <w:szCs w:val="22"/>
          <w:lang w:val="fr-FR"/>
        </w:rPr>
        <w:t>soit efficac</w:t>
      </w:r>
      <w:r w:rsidR="00F957CA" w:rsidRPr="00231CD8">
        <w:rPr>
          <w:kern w:val="22"/>
          <w:szCs w:val="22"/>
          <w:lang w:val="fr-FR"/>
        </w:rPr>
        <w:t xml:space="preserve">e, </w:t>
      </w:r>
      <w:r>
        <w:rPr>
          <w:kern w:val="22"/>
          <w:szCs w:val="22"/>
          <w:lang w:val="fr-FR"/>
        </w:rPr>
        <w:t xml:space="preserve">les </w:t>
      </w:r>
      <w:r w:rsidR="006675CA" w:rsidRPr="00231CD8">
        <w:rPr>
          <w:kern w:val="22"/>
          <w:szCs w:val="22"/>
          <w:lang w:val="fr-FR"/>
        </w:rPr>
        <w:t xml:space="preserve">Parties </w:t>
      </w:r>
      <w:r w:rsidR="00A01DA3" w:rsidRPr="00231CD8">
        <w:rPr>
          <w:kern w:val="22"/>
          <w:szCs w:val="22"/>
          <w:lang w:val="fr-FR"/>
        </w:rPr>
        <w:t>au Protocole de Nagoya</w:t>
      </w:r>
      <w:r w:rsidR="00F957CA" w:rsidRPr="00231CD8">
        <w:rPr>
          <w:kern w:val="22"/>
          <w:szCs w:val="22"/>
          <w:lang w:val="fr-FR"/>
        </w:rPr>
        <w:t xml:space="preserve"> </w:t>
      </w:r>
      <w:r w:rsidR="00D066C3">
        <w:rPr>
          <w:kern w:val="22"/>
          <w:szCs w:val="22"/>
          <w:lang w:val="fr-FR"/>
        </w:rPr>
        <w:t>dev</w:t>
      </w:r>
      <w:r w:rsidR="0031189A">
        <w:rPr>
          <w:kern w:val="22"/>
          <w:szCs w:val="22"/>
          <w:lang w:val="fr-FR"/>
        </w:rPr>
        <w:t>raient faire en sorte, à l’échelon</w:t>
      </w:r>
      <w:r w:rsidR="00D066C3">
        <w:rPr>
          <w:kern w:val="22"/>
          <w:szCs w:val="22"/>
          <w:lang w:val="fr-FR"/>
        </w:rPr>
        <w:t xml:space="preserve"> national, que les autorités compétentes (</w:t>
      </w:r>
      <w:r w:rsidR="0031189A">
        <w:rPr>
          <w:kern w:val="22"/>
          <w:szCs w:val="22"/>
          <w:lang w:val="fr-FR"/>
        </w:rPr>
        <w:t xml:space="preserve">potentiellement </w:t>
      </w:r>
      <w:r w:rsidR="00D066C3">
        <w:rPr>
          <w:kern w:val="22"/>
          <w:szCs w:val="22"/>
          <w:lang w:val="fr-FR"/>
        </w:rPr>
        <w:t>dans dif</w:t>
      </w:r>
      <w:r w:rsidR="0031189A">
        <w:rPr>
          <w:kern w:val="22"/>
          <w:szCs w:val="22"/>
          <w:lang w:val="fr-FR"/>
        </w:rPr>
        <w:t>férents secteurs</w:t>
      </w:r>
      <w:r w:rsidR="00D066C3">
        <w:rPr>
          <w:kern w:val="22"/>
          <w:szCs w:val="22"/>
          <w:lang w:val="fr-FR"/>
        </w:rPr>
        <w:t xml:space="preserve">) utilisent l’approche de </w:t>
      </w:r>
      <w:r w:rsidR="00E14372">
        <w:rPr>
          <w:kern w:val="22"/>
          <w:szCs w:val="22"/>
          <w:lang w:val="fr-FR"/>
        </w:rPr>
        <w:t>renforcement mutuel</w:t>
      </w:r>
      <w:r w:rsidR="00D066C3">
        <w:rPr>
          <w:kern w:val="22"/>
          <w:szCs w:val="22"/>
          <w:lang w:val="fr-FR"/>
        </w:rPr>
        <w:t xml:space="preserve"> </w:t>
      </w:r>
      <w:r w:rsidR="00F957CA" w:rsidRPr="00231CD8">
        <w:rPr>
          <w:kern w:val="22"/>
          <w:szCs w:val="22"/>
          <w:lang w:val="fr-FR"/>
        </w:rPr>
        <w:t>propos</w:t>
      </w:r>
      <w:r w:rsidR="00D066C3">
        <w:rPr>
          <w:kern w:val="22"/>
          <w:szCs w:val="22"/>
          <w:lang w:val="fr-FR"/>
        </w:rPr>
        <w:t>ée par la</w:t>
      </w:r>
      <w:r w:rsidR="00A01DA3" w:rsidRPr="00231CD8">
        <w:rPr>
          <w:kern w:val="22"/>
          <w:szCs w:val="22"/>
          <w:lang w:val="fr-FR"/>
        </w:rPr>
        <w:t xml:space="preserve"> Conférence des Parties siégeant en tant que</w:t>
      </w:r>
      <w:r w:rsidR="00F246E2" w:rsidRPr="00231CD8">
        <w:rPr>
          <w:kern w:val="22"/>
          <w:szCs w:val="22"/>
          <w:lang w:val="fr-FR"/>
        </w:rPr>
        <w:t xml:space="preserve"> </w:t>
      </w:r>
      <w:r w:rsidR="00A01DA3" w:rsidRPr="00231CD8">
        <w:rPr>
          <w:kern w:val="22"/>
          <w:szCs w:val="22"/>
          <w:lang w:val="fr-FR"/>
        </w:rPr>
        <w:t>réunion</w:t>
      </w:r>
      <w:r w:rsidR="00F246E2" w:rsidRPr="00231CD8">
        <w:rPr>
          <w:kern w:val="22"/>
          <w:szCs w:val="22"/>
          <w:lang w:val="fr-FR"/>
        </w:rPr>
        <w:t xml:space="preserve"> </w:t>
      </w:r>
      <w:r w:rsidR="0045647A" w:rsidRPr="00231CD8">
        <w:rPr>
          <w:kern w:val="22"/>
          <w:szCs w:val="22"/>
          <w:lang w:val="fr-FR"/>
        </w:rPr>
        <w:t>des Par</w:t>
      </w:r>
      <w:r w:rsidR="00F246E2" w:rsidRPr="00231CD8">
        <w:rPr>
          <w:kern w:val="22"/>
          <w:szCs w:val="22"/>
          <w:lang w:val="fr-FR"/>
        </w:rPr>
        <w:t>ties</w:t>
      </w:r>
      <w:r w:rsidR="00F957CA" w:rsidRPr="00231CD8">
        <w:rPr>
          <w:kern w:val="22"/>
          <w:szCs w:val="22"/>
          <w:lang w:val="fr-FR"/>
        </w:rPr>
        <w:t xml:space="preserve"> </w:t>
      </w:r>
      <w:r w:rsidR="00D066C3">
        <w:rPr>
          <w:kern w:val="22"/>
          <w:szCs w:val="22"/>
          <w:lang w:val="fr-FR"/>
        </w:rPr>
        <w:t>dans le cadre des négoc</w:t>
      </w:r>
      <w:r w:rsidR="00F957CA" w:rsidRPr="00231CD8">
        <w:rPr>
          <w:kern w:val="22"/>
          <w:szCs w:val="22"/>
          <w:lang w:val="fr-FR"/>
        </w:rPr>
        <w:t>iations</w:t>
      </w:r>
      <w:r w:rsidR="00D066C3">
        <w:rPr>
          <w:kern w:val="22"/>
          <w:szCs w:val="22"/>
          <w:lang w:val="fr-FR"/>
        </w:rPr>
        <w:t>,</w:t>
      </w:r>
      <w:r w:rsidR="00BE3F56" w:rsidRPr="00231CD8">
        <w:rPr>
          <w:kern w:val="22"/>
          <w:szCs w:val="22"/>
          <w:lang w:val="fr-FR"/>
        </w:rPr>
        <w:t xml:space="preserve"> </w:t>
      </w:r>
      <w:r w:rsidR="005D3CDB" w:rsidRPr="00231CD8">
        <w:rPr>
          <w:kern w:val="22"/>
          <w:szCs w:val="22"/>
          <w:lang w:val="fr-FR"/>
        </w:rPr>
        <w:t>ainsi que</w:t>
      </w:r>
      <w:r w:rsidR="00F957CA" w:rsidRPr="00231CD8">
        <w:rPr>
          <w:kern w:val="22"/>
          <w:szCs w:val="22"/>
          <w:lang w:val="fr-FR"/>
        </w:rPr>
        <w:t xml:space="preserve"> </w:t>
      </w:r>
      <w:r w:rsidR="0031189A">
        <w:rPr>
          <w:kern w:val="22"/>
          <w:szCs w:val="22"/>
          <w:lang w:val="fr-FR"/>
        </w:rPr>
        <w:t>dans les initiatives d’</w:t>
      </w:r>
      <w:r w:rsidR="00D066C3">
        <w:rPr>
          <w:kern w:val="22"/>
          <w:szCs w:val="22"/>
          <w:lang w:val="fr-FR"/>
        </w:rPr>
        <w:t>interpré</w:t>
      </w:r>
      <w:r w:rsidR="00F957CA" w:rsidRPr="00231CD8">
        <w:rPr>
          <w:kern w:val="22"/>
          <w:szCs w:val="22"/>
          <w:lang w:val="fr-FR"/>
        </w:rPr>
        <w:t>tation</w:t>
      </w:r>
      <w:r w:rsidR="00623402" w:rsidRPr="00231CD8">
        <w:rPr>
          <w:kern w:val="22"/>
          <w:szCs w:val="22"/>
          <w:lang w:val="fr-FR"/>
        </w:rPr>
        <w:t xml:space="preserve"> et </w:t>
      </w:r>
      <w:r w:rsidR="0031189A">
        <w:rPr>
          <w:kern w:val="22"/>
          <w:szCs w:val="22"/>
          <w:lang w:val="fr-FR"/>
        </w:rPr>
        <w:t>d</w:t>
      </w:r>
      <w:r w:rsidR="00F83893" w:rsidRPr="00231CD8">
        <w:rPr>
          <w:kern w:val="22"/>
          <w:szCs w:val="22"/>
          <w:lang w:val="fr-FR"/>
        </w:rPr>
        <w:t>’application</w:t>
      </w:r>
      <w:r w:rsidR="00D066C3">
        <w:rPr>
          <w:kern w:val="22"/>
          <w:szCs w:val="22"/>
          <w:lang w:val="fr-FR"/>
        </w:rPr>
        <w:t xml:space="preserve"> </w:t>
      </w:r>
      <w:r w:rsidR="0031189A">
        <w:rPr>
          <w:kern w:val="22"/>
          <w:szCs w:val="22"/>
          <w:lang w:val="fr-FR"/>
        </w:rPr>
        <w:t xml:space="preserve">menées </w:t>
      </w:r>
      <w:r w:rsidR="00D066C3">
        <w:rPr>
          <w:kern w:val="22"/>
          <w:szCs w:val="22"/>
          <w:lang w:val="fr-FR"/>
        </w:rPr>
        <w:t>dans d’</w:t>
      </w:r>
      <w:r w:rsidR="00623402" w:rsidRPr="00231CD8">
        <w:rPr>
          <w:kern w:val="22"/>
          <w:szCs w:val="22"/>
          <w:lang w:val="fr-FR"/>
        </w:rPr>
        <w:t xml:space="preserve">autres </w:t>
      </w:r>
      <w:r w:rsidR="00E14372">
        <w:rPr>
          <w:kern w:val="22"/>
          <w:szCs w:val="22"/>
          <w:lang w:val="fr-FR"/>
        </w:rPr>
        <w:t>instance</w:t>
      </w:r>
      <w:r w:rsidR="00A255FB" w:rsidRPr="00231CD8">
        <w:rPr>
          <w:kern w:val="22"/>
          <w:szCs w:val="22"/>
          <w:lang w:val="fr-FR"/>
        </w:rPr>
        <w:t>s</w:t>
      </w:r>
      <w:r w:rsidR="00623402" w:rsidRPr="00231CD8">
        <w:rPr>
          <w:kern w:val="22"/>
          <w:szCs w:val="22"/>
          <w:lang w:val="fr-FR"/>
        </w:rPr>
        <w:t xml:space="preserve"> et </w:t>
      </w:r>
      <w:r w:rsidR="00D066C3">
        <w:rPr>
          <w:kern w:val="22"/>
          <w:szCs w:val="22"/>
          <w:lang w:val="fr-FR"/>
        </w:rPr>
        <w:t>d’</w:t>
      </w:r>
      <w:r w:rsidR="00623402" w:rsidRPr="00231CD8">
        <w:rPr>
          <w:kern w:val="22"/>
          <w:szCs w:val="22"/>
          <w:lang w:val="fr-FR"/>
        </w:rPr>
        <w:t xml:space="preserve">autres </w:t>
      </w:r>
      <w:r w:rsidR="004A1AB3">
        <w:rPr>
          <w:kern w:val="22"/>
          <w:szCs w:val="22"/>
          <w:lang w:val="fr-FR"/>
        </w:rPr>
        <w:t>in</w:t>
      </w:r>
      <w:r w:rsidR="00D066C3">
        <w:rPr>
          <w:kern w:val="22"/>
          <w:szCs w:val="22"/>
          <w:lang w:val="fr-FR"/>
        </w:rPr>
        <w:t xml:space="preserve">struments spéciaux </w:t>
      </w:r>
      <w:r>
        <w:rPr>
          <w:kern w:val="22"/>
          <w:szCs w:val="22"/>
          <w:lang w:val="fr-FR"/>
        </w:rPr>
        <w:t>internationaux</w:t>
      </w:r>
      <w:r w:rsidR="00F957CA" w:rsidRPr="00231CD8">
        <w:rPr>
          <w:kern w:val="22"/>
          <w:szCs w:val="22"/>
          <w:lang w:val="fr-FR"/>
        </w:rPr>
        <w:t xml:space="preserve">. </w:t>
      </w:r>
      <w:r w:rsidR="00D066C3">
        <w:rPr>
          <w:kern w:val="22"/>
          <w:szCs w:val="22"/>
          <w:lang w:val="fr-FR"/>
        </w:rPr>
        <w:t>Ceci nécessi</w:t>
      </w:r>
      <w:r w:rsidR="0031189A">
        <w:rPr>
          <w:kern w:val="22"/>
          <w:szCs w:val="22"/>
          <w:lang w:val="fr-FR"/>
        </w:rPr>
        <w:t>tera des initiatives des Parties afin de</w:t>
      </w:r>
      <w:r w:rsidR="00D066C3">
        <w:rPr>
          <w:kern w:val="22"/>
          <w:szCs w:val="22"/>
          <w:lang w:val="fr-FR"/>
        </w:rPr>
        <w:t xml:space="preserve"> : </w:t>
      </w:r>
      <w:r w:rsidR="00990CB1" w:rsidRPr="00C01103">
        <w:rPr>
          <w:kern w:val="22"/>
          <w:szCs w:val="22"/>
          <w:lang w:val="fr-FR"/>
        </w:rPr>
        <w:t>a) </w:t>
      </w:r>
      <w:r w:rsidR="00D066C3">
        <w:rPr>
          <w:kern w:val="22"/>
          <w:szCs w:val="22"/>
          <w:lang w:val="fr-FR"/>
        </w:rPr>
        <w:t>porter le</w:t>
      </w:r>
      <w:r w:rsidR="00A01DA3" w:rsidRPr="00C01103">
        <w:rPr>
          <w:kern w:val="22"/>
          <w:szCs w:val="22"/>
          <w:lang w:val="fr-FR"/>
        </w:rPr>
        <w:t>s critères</w:t>
      </w:r>
      <w:r w:rsidR="00D066C3">
        <w:rPr>
          <w:kern w:val="22"/>
          <w:szCs w:val="22"/>
          <w:lang w:val="fr-FR"/>
        </w:rPr>
        <w:t xml:space="preserve"> à l’attention des</w:t>
      </w:r>
      <w:r w:rsidR="00F957CA" w:rsidRPr="00C01103">
        <w:rPr>
          <w:kern w:val="22"/>
          <w:szCs w:val="22"/>
          <w:lang w:val="fr-FR"/>
        </w:rPr>
        <w:t xml:space="preserve"> </w:t>
      </w:r>
      <w:r w:rsidR="00D066C3">
        <w:rPr>
          <w:kern w:val="22"/>
          <w:szCs w:val="22"/>
          <w:lang w:val="fr-FR"/>
        </w:rPr>
        <w:t>autorités comp</w:t>
      </w:r>
      <w:r w:rsidR="0031189A">
        <w:rPr>
          <w:kern w:val="22"/>
          <w:szCs w:val="22"/>
          <w:lang w:val="fr-FR"/>
        </w:rPr>
        <w:t xml:space="preserve">étentes qui peuvent être amenées à négocier, </w:t>
      </w:r>
      <w:r w:rsidR="00D066C3">
        <w:rPr>
          <w:kern w:val="22"/>
          <w:szCs w:val="22"/>
          <w:lang w:val="fr-FR"/>
        </w:rPr>
        <w:t>i</w:t>
      </w:r>
      <w:r w:rsidR="0031189A">
        <w:rPr>
          <w:kern w:val="22"/>
          <w:szCs w:val="22"/>
          <w:lang w:val="fr-FR"/>
        </w:rPr>
        <w:t>nterpréter ou appliquer</w:t>
      </w:r>
      <w:r w:rsidR="00D066C3">
        <w:rPr>
          <w:kern w:val="22"/>
          <w:szCs w:val="22"/>
          <w:lang w:val="fr-FR"/>
        </w:rPr>
        <w:t xml:space="preserve"> un </w:t>
      </w:r>
      <w:r w:rsidR="005D3CDB" w:rsidRPr="00C01103">
        <w:rPr>
          <w:kern w:val="22"/>
          <w:szCs w:val="22"/>
          <w:lang w:val="fr-FR"/>
        </w:rPr>
        <w:t xml:space="preserve">instrument </w:t>
      </w:r>
      <w:r w:rsidR="0026155E" w:rsidRPr="00C01103">
        <w:rPr>
          <w:kern w:val="22"/>
          <w:szCs w:val="22"/>
          <w:lang w:val="fr-FR"/>
        </w:rPr>
        <w:t>spécial</w:t>
      </w:r>
      <w:r w:rsidR="005D3CDB" w:rsidRPr="00C01103">
        <w:rPr>
          <w:kern w:val="22"/>
          <w:szCs w:val="22"/>
          <w:lang w:val="fr-FR"/>
        </w:rPr>
        <w:t xml:space="preserve"> sur l’accès et le partage des avantages</w:t>
      </w:r>
      <w:r w:rsidR="00D066C3">
        <w:rPr>
          <w:kern w:val="22"/>
          <w:szCs w:val="22"/>
          <w:lang w:val="fr-FR"/>
        </w:rPr>
        <w:t xml:space="preserve">; </w:t>
      </w:r>
      <w:r w:rsidR="00990CB1" w:rsidRPr="00C01103">
        <w:rPr>
          <w:kern w:val="22"/>
          <w:szCs w:val="22"/>
          <w:lang w:val="fr-FR"/>
        </w:rPr>
        <w:t>b) </w:t>
      </w:r>
      <w:r w:rsidR="00D066C3">
        <w:rPr>
          <w:kern w:val="22"/>
          <w:szCs w:val="22"/>
          <w:lang w:val="fr-FR"/>
        </w:rPr>
        <w:t xml:space="preserve">mettre en place un dialogue périodique axé sur </w:t>
      </w:r>
      <w:r w:rsidR="0031189A">
        <w:rPr>
          <w:kern w:val="22"/>
          <w:szCs w:val="22"/>
          <w:lang w:val="fr-FR"/>
        </w:rPr>
        <w:t xml:space="preserve">le </w:t>
      </w:r>
      <w:r w:rsidR="00C01103" w:rsidRPr="00C01103">
        <w:rPr>
          <w:kern w:val="22"/>
          <w:szCs w:val="22"/>
          <w:lang w:val="fr-FR"/>
        </w:rPr>
        <w:t>renforcement mutuel</w:t>
      </w:r>
      <w:r w:rsidR="0031189A">
        <w:rPr>
          <w:kern w:val="22"/>
          <w:szCs w:val="22"/>
          <w:lang w:val="fr-FR"/>
        </w:rPr>
        <w:t xml:space="preserve"> et l’</w:t>
      </w:r>
      <w:r w:rsidR="00C01103" w:rsidRPr="00C01103">
        <w:rPr>
          <w:kern w:val="22"/>
          <w:szCs w:val="22"/>
          <w:lang w:val="fr-FR"/>
        </w:rPr>
        <w:t>apprentissage mutuel</w:t>
      </w:r>
      <w:r w:rsidR="00D066C3">
        <w:rPr>
          <w:kern w:val="22"/>
          <w:szCs w:val="22"/>
          <w:lang w:val="fr-FR"/>
        </w:rPr>
        <w:t xml:space="preserve"> </w:t>
      </w:r>
      <w:r w:rsidR="0031189A">
        <w:rPr>
          <w:kern w:val="22"/>
          <w:szCs w:val="22"/>
          <w:lang w:val="fr-FR"/>
        </w:rPr>
        <w:t xml:space="preserve">à l’échelon </w:t>
      </w:r>
      <w:r w:rsidR="00D066C3">
        <w:rPr>
          <w:kern w:val="22"/>
          <w:szCs w:val="22"/>
          <w:lang w:val="fr-FR"/>
        </w:rPr>
        <w:t>national</w:t>
      </w:r>
      <w:r w:rsidR="00F957CA" w:rsidRPr="00C01103">
        <w:rPr>
          <w:kern w:val="22"/>
          <w:szCs w:val="22"/>
          <w:lang w:val="fr-FR"/>
        </w:rPr>
        <w:t>.</w:t>
      </w:r>
    </w:p>
    <w:p w:rsidR="00AF5D39" w:rsidRPr="0045647A" w:rsidRDefault="00E52AAB" w:rsidP="009F4D84">
      <w:pPr>
        <w:pStyle w:val="Heading1"/>
        <w:numPr>
          <w:ilvl w:val="0"/>
          <w:numId w:val="36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</w:pP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lastRenderedPageBreak/>
        <w:t xml:space="preserve">  suggestions d’ÉlÉments </w:t>
      </w:r>
      <w:r w:rsidR="00427C5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pour </w:t>
      </w:r>
      <w:r w:rsidR="00231CD8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un </w:t>
      </w:r>
      <w:r w:rsidR="0045647A" w:rsidRPr="0045647A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projet de recommandation</w:t>
      </w:r>
    </w:p>
    <w:p w:rsidR="00C2564D" w:rsidRPr="00623402" w:rsidRDefault="00B55D0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A la lumière d</w:t>
      </w:r>
      <w:r w:rsidR="00A01DA3" w:rsidRPr="00623402">
        <w:rPr>
          <w:kern w:val="22"/>
          <w:szCs w:val="22"/>
          <w:lang w:val="fr-FR"/>
        </w:rPr>
        <w:t>es critères</w:t>
      </w:r>
      <w:r w:rsidR="00623402" w:rsidRPr="00623402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des</w:t>
      </w:r>
      <w:r w:rsidR="00636007" w:rsidRPr="00623402">
        <w:rPr>
          <w:kern w:val="22"/>
          <w:szCs w:val="22"/>
          <w:lang w:val="fr-FR"/>
        </w:rPr>
        <w:t xml:space="preserve"> </w:t>
      </w:r>
      <w:r w:rsidR="00231CD8">
        <w:rPr>
          <w:kern w:val="22"/>
          <w:szCs w:val="22"/>
          <w:lang w:val="fr-FR"/>
        </w:rPr>
        <w:t>élément</w:t>
      </w:r>
      <w:r w:rsidR="00636007" w:rsidRPr="00623402">
        <w:rPr>
          <w:kern w:val="22"/>
          <w:szCs w:val="22"/>
          <w:lang w:val="fr-FR"/>
        </w:rPr>
        <w:t xml:space="preserve">s </w:t>
      </w:r>
      <w:r>
        <w:rPr>
          <w:kern w:val="22"/>
          <w:szCs w:val="22"/>
          <w:lang w:val="fr-FR"/>
        </w:rPr>
        <w:t xml:space="preserve">identifiés pour un </w:t>
      </w:r>
      <w:r w:rsidR="00231CD8">
        <w:rPr>
          <w:kern w:val="22"/>
          <w:szCs w:val="22"/>
          <w:lang w:val="fr-FR"/>
        </w:rPr>
        <w:t xml:space="preserve">processus </w:t>
      </w:r>
      <w:r>
        <w:rPr>
          <w:kern w:val="22"/>
          <w:szCs w:val="22"/>
          <w:lang w:val="fr-FR"/>
        </w:rPr>
        <w:t>optimal dans l</w:t>
      </w:r>
      <w:r w:rsidR="0001030F">
        <w:rPr>
          <w:kern w:val="22"/>
          <w:szCs w:val="22"/>
          <w:lang w:val="fr-FR"/>
        </w:rPr>
        <w:t>’analyse</w:t>
      </w:r>
      <w:r w:rsidR="00636007" w:rsidRPr="00623402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ci-dessus, l’</w:t>
      </w:r>
      <w:r w:rsidR="00A01DA3" w:rsidRPr="00623402">
        <w:rPr>
          <w:kern w:val="22"/>
          <w:szCs w:val="22"/>
          <w:lang w:val="fr-FR"/>
        </w:rPr>
        <w:t>Organe subsidiaire chargé de l’application</w:t>
      </w:r>
      <w:r w:rsidR="00AF5D39" w:rsidRPr="00623402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souhaitera peut-être envisager de recommander que</w:t>
      </w:r>
      <w:r w:rsidR="00EF5578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l</w:t>
      </w:r>
      <w:r w:rsidR="00A01DA3" w:rsidRPr="00623402">
        <w:rPr>
          <w:kern w:val="22"/>
          <w:szCs w:val="22"/>
          <w:lang w:val="fr-FR"/>
        </w:rPr>
        <w:t>a Conférence des Parties siégeant en tant que</w:t>
      </w:r>
      <w:r w:rsidR="00AF5D39"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>réunion</w:t>
      </w:r>
      <w:r w:rsidR="00AF5D39" w:rsidRPr="00623402">
        <w:rPr>
          <w:kern w:val="22"/>
          <w:szCs w:val="22"/>
          <w:lang w:val="fr-FR"/>
        </w:rPr>
        <w:t xml:space="preserve"> </w:t>
      </w:r>
      <w:r w:rsidR="0045647A" w:rsidRPr="00623402">
        <w:rPr>
          <w:kern w:val="22"/>
          <w:szCs w:val="22"/>
          <w:lang w:val="fr-FR"/>
        </w:rPr>
        <w:t>des Par</w:t>
      </w:r>
      <w:r w:rsidR="00AF5D39" w:rsidRPr="00623402">
        <w:rPr>
          <w:kern w:val="22"/>
          <w:szCs w:val="22"/>
          <w:lang w:val="fr-FR"/>
        </w:rPr>
        <w:t xml:space="preserve">ties </w:t>
      </w:r>
      <w:r w:rsidR="00A01DA3" w:rsidRPr="00623402">
        <w:rPr>
          <w:kern w:val="22"/>
          <w:szCs w:val="22"/>
          <w:lang w:val="fr-FR"/>
        </w:rPr>
        <w:t>au Protocole de Nagoya</w:t>
      </w:r>
      <w:r w:rsidR="00EF5578">
        <w:rPr>
          <w:kern w:val="22"/>
          <w:szCs w:val="22"/>
          <w:lang w:val="fr-FR"/>
        </w:rPr>
        <w:t>, à sa troisième réunion</w:t>
      </w:r>
      <w:r w:rsidR="002559D4" w:rsidRPr="00623402">
        <w:rPr>
          <w:kern w:val="22"/>
          <w:szCs w:val="22"/>
          <w:lang w:val="fr-FR"/>
        </w:rPr>
        <w:t>:</w:t>
      </w:r>
    </w:p>
    <w:p w:rsidR="002559D4" w:rsidRPr="00A01DA3" w:rsidRDefault="00317D0D" w:rsidP="00CA0357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A01DA3">
        <w:rPr>
          <w:kern w:val="22"/>
          <w:szCs w:val="22"/>
          <w:lang w:val="fr-FR"/>
        </w:rPr>
        <w:t>Adopt</w:t>
      </w:r>
      <w:r w:rsidR="00B55D08">
        <w:rPr>
          <w:kern w:val="22"/>
          <w:szCs w:val="22"/>
          <w:lang w:val="fr-FR"/>
        </w:rPr>
        <w:t>e</w:t>
      </w:r>
      <w:r w:rsidRPr="00A01DA3">
        <w:rPr>
          <w:kern w:val="22"/>
          <w:szCs w:val="22"/>
          <w:lang w:val="fr-FR"/>
        </w:rPr>
        <w:t xml:space="preserve"> </w:t>
      </w:r>
      <w:r w:rsidR="00A01DA3">
        <w:rPr>
          <w:kern w:val="22"/>
          <w:szCs w:val="22"/>
          <w:lang w:val="fr-FR"/>
        </w:rPr>
        <w:t>les critères</w:t>
      </w:r>
      <w:r w:rsidR="00EF5578">
        <w:rPr>
          <w:kern w:val="22"/>
          <w:szCs w:val="22"/>
          <w:lang w:val="fr-FR"/>
        </w:rPr>
        <w:t xml:space="preserve"> pour la reconnaissance de</w:t>
      </w:r>
      <w:r w:rsidR="00CA0357">
        <w:rPr>
          <w:kern w:val="22"/>
          <w:szCs w:val="22"/>
          <w:lang w:val="fr-FR"/>
        </w:rPr>
        <w:t>s</w:t>
      </w:r>
      <w:r w:rsidR="006C0AFD" w:rsidRPr="00A01DA3">
        <w:rPr>
          <w:kern w:val="22"/>
          <w:szCs w:val="22"/>
          <w:lang w:val="fr-FR"/>
        </w:rPr>
        <w:t xml:space="preserve"> </w:t>
      </w:r>
      <w:r w:rsidR="00A01DA3" w:rsidRPr="00A01DA3">
        <w:rPr>
          <w:kern w:val="22"/>
          <w:szCs w:val="22"/>
          <w:lang w:val="fr-FR"/>
        </w:rPr>
        <w:t xml:space="preserve">instruments internationaux </w:t>
      </w:r>
      <w:r w:rsidR="00C3300B">
        <w:rPr>
          <w:kern w:val="22"/>
          <w:szCs w:val="22"/>
          <w:lang w:val="fr-FR"/>
        </w:rPr>
        <w:t>spéciaux</w:t>
      </w:r>
      <w:r w:rsidR="00A01DA3" w:rsidRPr="00A01DA3">
        <w:rPr>
          <w:kern w:val="22"/>
          <w:szCs w:val="22"/>
          <w:lang w:val="fr-FR"/>
        </w:rPr>
        <w:t xml:space="preserve"> sur l’accès et le partage des avantages</w:t>
      </w:r>
      <w:r w:rsidR="006C0AFD" w:rsidRPr="00A01DA3">
        <w:rPr>
          <w:kern w:val="22"/>
          <w:szCs w:val="22"/>
          <w:lang w:val="fr-FR"/>
        </w:rPr>
        <w:t xml:space="preserve"> </w:t>
      </w:r>
      <w:r w:rsidR="00A01DA3" w:rsidRPr="00A01DA3">
        <w:rPr>
          <w:kern w:val="22"/>
          <w:szCs w:val="22"/>
          <w:lang w:val="fr-FR"/>
        </w:rPr>
        <w:t>dans</w:t>
      </w:r>
      <w:r w:rsidR="00EF5578">
        <w:rPr>
          <w:kern w:val="22"/>
          <w:szCs w:val="22"/>
          <w:lang w:val="fr-FR"/>
        </w:rPr>
        <w:t xml:space="preserve"> le cadre </w:t>
      </w:r>
      <w:r w:rsidR="00231CD8">
        <w:rPr>
          <w:kern w:val="22"/>
          <w:szCs w:val="22"/>
          <w:lang w:val="fr-FR"/>
        </w:rPr>
        <w:t>du p</w:t>
      </w:r>
      <w:r w:rsidR="00A01DA3" w:rsidRPr="00A01DA3">
        <w:rPr>
          <w:kern w:val="22"/>
          <w:szCs w:val="22"/>
          <w:lang w:val="fr-FR"/>
        </w:rPr>
        <w:t>aragraphe 4 de l’article 4</w:t>
      </w:r>
      <w:r w:rsidR="006C0AFD" w:rsidRPr="00A01DA3">
        <w:rPr>
          <w:kern w:val="22"/>
          <w:szCs w:val="22"/>
          <w:lang w:val="fr-FR"/>
        </w:rPr>
        <w:t xml:space="preserve"> </w:t>
      </w:r>
      <w:r w:rsidR="005D3CDB">
        <w:rPr>
          <w:kern w:val="22"/>
          <w:szCs w:val="22"/>
          <w:lang w:val="fr-FR"/>
        </w:rPr>
        <w:t>du Pro</w:t>
      </w:r>
      <w:r w:rsidR="00A01DA3" w:rsidRPr="00A01DA3">
        <w:rPr>
          <w:kern w:val="22"/>
          <w:szCs w:val="22"/>
          <w:lang w:val="fr-FR"/>
        </w:rPr>
        <w:t>tocole de Nagoya</w:t>
      </w:r>
      <w:r w:rsidR="00EF5578">
        <w:rPr>
          <w:kern w:val="22"/>
          <w:szCs w:val="22"/>
          <w:lang w:val="fr-FR"/>
        </w:rPr>
        <w:t>, tels qu’énumér</w:t>
      </w:r>
      <w:r w:rsidR="00231CD8">
        <w:rPr>
          <w:kern w:val="22"/>
          <w:szCs w:val="22"/>
          <w:lang w:val="fr-FR"/>
        </w:rPr>
        <w:t>és dans l’</w:t>
      </w:r>
      <w:r w:rsidR="00C2564D" w:rsidRPr="00A01DA3">
        <w:rPr>
          <w:kern w:val="22"/>
          <w:szCs w:val="22"/>
          <w:lang w:val="fr-FR"/>
        </w:rPr>
        <w:t>annex</w:t>
      </w:r>
      <w:r w:rsidR="00231CD8">
        <w:rPr>
          <w:kern w:val="22"/>
          <w:szCs w:val="22"/>
          <w:lang w:val="fr-FR"/>
        </w:rPr>
        <w:t>e ci-dessous</w:t>
      </w:r>
      <w:r w:rsidRPr="00A01DA3">
        <w:rPr>
          <w:kern w:val="22"/>
          <w:szCs w:val="22"/>
          <w:lang w:val="fr-FR"/>
        </w:rPr>
        <w:t>;</w:t>
      </w:r>
    </w:p>
    <w:p w:rsidR="005C6405" w:rsidRPr="00623402" w:rsidRDefault="00B55D08" w:rsidP="00CA0357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Transmett</w:t>
      </w:r>
      <w:r w:rsidR="00CA0357">
        <w:rPr>
          <w:kern w:val="22"/>
          <w:szCs w:val="22"/>
          <w:lang w:val="fr-FR"/>
        </w:rPr>
        <w:t>e</w:t>
      </w:r>
      <w:r w:rsidR="0032188A"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>les critères</w:t>
      </w:r>
      <w:r w:rsidR="00CA0357">
        <w:rPr>
          <w:kern w:val="22"/>
          <w:szCs w:val="22"/>
          <w:lang w:val="fr-FR"/>
        </w:rPr>
        <w:t xml:space="preserve"> à d’</w:t>
      </w:r>
      <w:r w:rsidR="00623402" w:rsidRPr="00623402">
        <w:rPr>
          <w:kern w:val="22"/>
          <w:szCs w:val="22"/>
          <w:lang w:val="fr-FR"/>
        </w:rPr>
        <w:t xml:space="preserve">autres </w:t>
      </w:r>
      <w:r w:rsidR="00231CD8">
        <w:rPr>
          <w:kern w:val="22"/>
          <w:szCs w:val="22"/>
          <w:lang w:val="fr-FR"/>
        </w:rPr>
        <w:t>organisations intergouvernementales</w:t>
      </w:r>
      <w:r w:rsidR="00623402">
        <w:rPr>
          <w:kern w:val="22"/>
          <w:szCs w:val="22"/>
          <w:lang w:val="fr-FR"/>
        </w:rPr>
        <w:t xml:space="preserve"> et </w:t>
      </w:r>
      <w:r w:rsidR="00CA0357">
        <w:rPr>
          <w:kern w:val="22"/>
          <w:szCs w:val="22"/>
          <w:lang w:val="fr-FR"/>
        </w:rPr>
        <w:t xml:space="preserve">aux </w:t>
      </w:r>
      <w:r w:rsidR="00E8277D" w:rsidRPr="00623402">
        <w:rPr>
          <w:kern w:val="22"/>
          <w:szCs w:val="22"/>
          <w:lang w:val="fr-FR"/>
        </w:rPr>
        <w:t>Parties</w:t>
      </w:r>
      <w:r w:rsidR="00623402">
        <w:rPr>
          <w:kern w:val="22"/>
          <w:szCs w:val="22"/>
          <w:lang w:val="fr-FR"/>
        </w:rPr>
        <w:t xml:space="preserve"> et </w:t>
      </w:r>
      <w:r w:rsidR="00623402" w:rsidRPr="00623402">
        <w:rPr>
          <w:kern w:val="22"/>
          <w:szCs w:val="22"/>
          <w:lang w:val="fr-FR"/>
        </w:rPr>
        <w:t xml:space="preserve">autres </w:t>
      </w:r>
      <w:r w:rsidR="00231CD8">
        <w:rPr>
          <w:kern w:val="22"/>
          <w:szCs w:val="22"/>
          <w:lang w:val="fr-FR"/>
        </w:rPr>
        <w:t>gouvernement</w:t>
      </w:r>
      <w:r w:rsidR="00810BC1" w:rsidRPr="00623402">
        <w:rPr>
          <w:kern w:val="22"/>
          <w:szCs w:val="22"/>
          <w:lang w:val="fr-FR"/>
        </w:rPr>
        <w:t>s</w:t>
      </w:r>
      <w:r w:rsidR="004B5713">
        <w:rPr>
          <w:kern w:val="22"/>
          <w:szCs w:val="22"/>
          <w:lang w:val="fr-FR"/>
        </w:rPr>
        <w:t xml:space="preserve">, pour </w:t>
      </w:r>
      <w:r w:rsidR="00EF5578">
        <w:rPr>
          <w:kern w:val="22"/>
          <w:szCs w:val="22"/>
          <w:lang w:val="fr-FR"/>
        </w:rPr>
        <w:t xml:space="preserve">les appliquer lors de </w:t>
      </w:r>
      <w:r w:rsidR="00A07F66">
        <w:rPr>
          <w:kern w:val="22"/>
          <w:szCs w:val="22"/>
          <w:lang w:val="fr-FR"/>
        </w:rPr>
        <w:t>l’élaboration et/ou la reconnaissance d’éventuels</w:t>
      </w:r>
      <w:r w:rsidR="0032188A"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 xml:space="preserve">instruments internationaux </w:t>
      </w:r>
      <w:r w:rsidR="00C3300B">
        <w:rPr>
          <w:kern w:val="22"/>
          <w:szCs w:val="22"/>
          <w:lang w:val="fr-FR"/>
        </w:rPr>
        <w:t>spéciaux</w:t>
      </w:r>
      <w:r w:rsidR="00A01DA3" w:rsidRPr="00623402">
        <w:rPr>
          <w:kern w:val="22"/>
          <w:szCs w:val="22"/>
          <w:lang w:val="fr-FR"/>
        </w:rPr>
        <w:t xml:space="preserve"> sur l’accès et le partage des avantages</w:t>
      </w:r>
      <w:r w:rsidR="0032188A" w:rsidRPr="00623402">
        <w:rPr>
          <w:kern w:val="22"/>
          <w:szCs w:val="22"/>
          <w:lang w:val="fr-FR"/>
        </w:rPr>
        <w:t>;</w:t>
      </w:r>
    </w:p>
    <w:p w:rsidR="0032188A" w:rsidRPr="00623402" w:rsidRDefault="0032188A" w:rsidP="00CA0357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623402">
        <w:rPr>
          <w:kern w:val="22"/>
          <w:szCs w:val="22"/>
          <w:lang w:val="fr-FR"/>
        </w:rPr>
        <w:t>Invite</w:t>
      </w:r>
      <w:r w:rsidR="00401F9E">
        <w:rPr>
          <w:kern w:val="22"/>
          <w:szCs w:val="22"/>
          <w:lang w:val="fr-FR"/>
        </w:rPr>
        <w:t xml:space="preserve"> les </w:t>
      </w:r>
      <w:r w:rsidR="00623402" w:rsidRPr="00623402">
        <w:rPr>
          <w:kern w:val="22"/>
          <w:szCs w:val="22"/>
          <w:lang w:val="fr-FR"/>
        </w:rPr>
        <w:t xml:space="preserve">autres </w:t>
      </w:r>
      <w:r w:rsidR="00231CD8">
        <w:rPr>
          <w:kern w:val="22"/>
          <w:szCs w:val="22"/>
          <w:lang w:val="fr-FR"/>
        </w:rPr>
        <w:t>organis</w:t>
      </w:r>
      <w:r w:rsidRPr="00623402">
        <w:rPr>
          <w:kern w:val="22"/>
          <w:szCs w:val="22"/>
          <w:lang w:val="fr-FR"/>
        </w:rPr>
        <w:t>ations</w:t>
      </w:r>
      <w:r w:rsidR="00231CD8">
        <w:rPr>
          <w:kern w:val="22"/>
          <w:szCs w:val="22"/>
          <w:lang w:val="fr-FR"/>
        </w:rPr>
        <w:t xml:space="preserve"> intergouvernementales</w:t>
      </w:r>
      <w:r w:rsidR="00810BC1" w:rsidRPr="00623402">
        <w:rPr>
          <w:kern w:val="22"/>
          <w:szCs w:val="22"/>
          <w:lang w:val="fr-FR"/>
        </w:rPr>
        <w:t>,</w:t>
      </w:r>
      <w:r w:rsidRPr="00623402">
        <w:rPr>
          <w:kern w:val="22"/>
          <w:szCs w:val="22"/>
          <w:lang w:val="fr-FR"/>
        </w:rPr>
        <w:t xml:space="preserve"> </w:t>
      </w:r>
      <w:r w:rsidR="00A07F66">
        <w:rPr>
          <w:kern w:val="22"/>
          <w:szCs w:val="22"/>
          <w:lang w:val="fr-FR"/>
        </w:rPr>
        <w:t>l</w:t>
      </w:r>
      <w:r w:rsidR="00231CD8">
        <w:rPr>
          <w:kern w:val="22"/>
          <w:szCs w:val="22"/>
          <w:lang w:val="fr-FR"/>
        </w:rPr>
        <w:t xml:space="preserve">es </w:t>
      </w:r>
      <w:r w:rsidR="00E8277D" w:rsidRPr="00623402">
        <w:rPr>
          <w:kern w:val="22"/>
          <w:szCs w:val="22"/>
          <w:lang w:val="fr-FR"/>
        </w:rPr>
        <w:t>Parties</w:t>
      </w:r>
      <w:r w:rsidR="00623402" w:rsidRPr="00623402">
        <w:rPr>
          <w:kern w:val="22"/>
          <w:szCs w:val="22"/>
          <w:lang w:val="fr-FR"/>
        </w:rPr>
        <w:t xml:space="preserve"> et </w:t>
      </w:r>
      <w:r w:rsidR="00404F03">
        <w:rPr>
          <w:kern w:val="22"/>
          <w:szCs w:val="22"/>
          <w:lang w:val="fr-FR"/>
        </w:rPr>
        <w:t xml:space="preserve">les </w:t>
      </w:r>
      <w:r w:rsidR="00623402" w:rsidRPr="00623402">
        <w:rPr>
          <w:kern w:val="22"/>
          <w:szCs w:val="22"/>
          <w:lang w:val="fr-FR"/>
        </w:rPr>
        <w:t xml:space="preserve">autres </w:t>
      </w:r>
      <w:r w:rsidR="00231CD8">
        <w:rPr>
          <w:kern w:val="22"/>
          <w:szCs w:val="22"/>
          <w:lang w:val="fr-FR"/>
        </w:rPr>
        <w:t>gouvernement</w:t>
      </w:r>
      <w:r w:rsidR="00810BC1" w:rsidRPr="00623402">
        <w:rPr>
          <w:kern w:val="22"/>
          <w:szCs w:val="22"/>
          <w:lang w:val="fr-FR"/>
        </w:rPr>
        <w:t xml:space="preserve">s </w:t>
      </w:r>
      <w:r w:rsidR="004B5713">
        <w:rPr>
          <w:kern w:val="22"/>
          <w:szCs w:val="22"/>
          <w:lang w:val="fr-FR"/>
        </w:rPr>
        <w:t>qui prévoient d’élaborer</w:t>
      </w:r>
      <w:r w:rsidR="00A07F66">
        <w:rPr>
          <w:kern w:val="22"/>
          <w:szCs w:val="22"/>
          <w:lang w:val="fr-FR"/>
        </w:rPr>
        <w:t xml:space="preserve"> d’un</w:t>
      </w:r>
      <w:r w:rsidRPr="00623402">
        <w:rPr>
          <w:kern w:val="22"/>
          <w:szCs w:val="22"/>
          <w:lang w:val="fr-FR"/>
        </w:rPr>
        <w:t xml:space="preserve"> </w:t>
      </w:r>
      <w:r w:rsidR="00231CD8">
        <w:rPr>
          <w:kern w:val="22"/>
          <w:szCs w:val="22"/>
          <w:lang w:val="fr-FR"/>
        </w:rPr>
        <w:t>instrument international</w:t>
      </w:r>
      <w:r w:rsidR="00404F03">
        <w:rPr>
          <w:kern w:val="22"/>
          <w:szCs w:val="22"/>
          <w:lang w:val="fr-FR"/>
        </w:rPr>
        <w:t xml:space="preserve"> qui pourrait être reconnu comme </w:t>
      </w:r>
      <w:r w:rsidR="00A01DA3" w:rsidRPr="00623402">
        <w:rPr>
          <w:kern w:val="22"/>
          <w:szCs w:val="22"/>
          <w:lang w:val="fr-FR"/>
        </w:rPr>
        <w:t xml:space="preserve">instrument international </w:t>
      </w:r>
      <w:r w:rsidR="0026155E">
        <w:rPr>
          <w:kern w:val="22"/>
          <w:szCs w:val="22"/>
          <w:lang w:val="fr-FR"/>
        </w:rPr>
        <w:t>spécial</w:t>
      </w:r>
      <w:r w:rsidR="00A01DA3" w:rsidRPr="00623402">
        <w:rPr>
          <w:kern w:val="22"/>
          <w:szCs w:val="22"/>
          <w:lang w:val="fr-FR"/>
        </w:rPr>
        <w:t xml:space="preserve"> sur l’accès et le partage des avantages</w:t>
      </w:r>
      <w:r w:rsidR="00404F03">
        <w:rPr>
          <w:kern w:val="22"/>
          <w:szCs w:val="22"/>
          <w:lang w:val="fr-FR"/>
        </w:rPr>
        <w:t xml:space="preserve">, à rechercher </w:t>
      </w:r>
      <w:r w:rsidR="00B55D08">
        <w:rPr>
          <w:kern w:val="22"/>
          <w:szCs w:val="22"/>
          <w:lang w:val="fr-FR"/>
        </w:rPr>
        <w:t>une cohé</w:t>
      </w:r>
      <w:r w:rsidRPr="00623402">
        <w:rPr>
          <w:kern w:val="22"/>
          <w:szCs w:val="22"/>
          <w:lang w:val="fr-FR"/>
        </w:rPr>
        <w:t xml:space="preserve">rence </w:t>
      </w:r>
      <w:r w:rsidR="00B55D08">
        <w:rPr>
          <w:kern w:val="22"/>
          <w:szCs w:val="22"/>
          <w:lang w:val="fr-FR"/>
        </w:rPr>
        <w:t>avec le</w:t>
      </w:r>
      <w:r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>Protocole de Nagoya</w:t>
      </w:r>
      <w:r w:rsidR="00404F03">
        <w:rPr>
          <w:kern w:val="22"/>
          <w:szCs w:val="22"/>
          <w:lang w:val="fr-FR"/>
        </w:rPr>
        <w:t>,</w:t>
      </w:r>
      <w:r w:rsidR="00B55D08">
        <w:rPr>
          <w:kern w:val="22"/>
          <w:szCs w:val="22"/>
          <w:lang w:val="fr-FR"/>
        </w:rPr>
        <w:t xml:space="preserve"> à la lumière d</w:t>
      </w:r>
      <w:r w:rsidR="00A01DA3" w:rsidRPr="00623402">
        <w:rPr>
          <w:kern w:val="22"/>
          <w:szCs w:val="22"/>
          <w:lang w:val="fr-FR"/>
        </w:rPr>
        <w:t>es critères</w:t>
      </w:r>
      <w:r w:rsidR="00B55D08">
        <w:rPr>
          <w:kern w:val="22"/>
          <w:szCs w:val="22"/>
          <w:lang w:val="fr-FR"/>
        </w:rPr>
        <w:t xml:space="preserve"> de</w:t>
      </w:r>
      <w:r w:rsidRPr="00623402">
        <w:rPr>
          <w:kern w:val="22"/>
          <w:szCs w:val="22"/>
          <w:lang w:val="fr-FR"/>
        </w:rPr>
        <w:t xml:space="preserve"> </w:t>
      </w:r>
      <w:r w:rsidR="00B55D08">
        <w:rPr>
          <w:kern w:val="22"/>
          <w:szCs w:val="22"/>
          <w:lang w:val="fr-FR"/>
        </w:rPr>
        <w:t xml:space="preserve">reconnaissance adoptés au </w:t>
      </w:r>
      <w:r w:rsidRPr="00623402">
        <w:rPr>
          <w:kern w:val="22"/>
          <w:szCs w:val="22"/>
          <w:lang w:val="fr-FR"/>
        </w:rPr>
        <w:t>paragraph</w:t>
      </w:r>
      <w:r w:rsidR="00B55D08">
        <w:rPr>
          <w:kern w:val="22"/>
          <w:szCs w:val="22"/>
          <w:lang w:val="fr-FR"/>
        </w:rPr>
        <w:t>e</w:t>
      </w:r>
      <w:r w:rsidRPr="00623402">
        <w:rPr>
          <w:kern w:val="22"/>
          <w:szCs w:val="22"/>
          <w:lang w:val="fr-FR"/>
        </w:rPr>
        <w:t xml:space="preserve"> </w:t>
      </w:r>
      <w:r w:rsidR="00B55D08">
        <w:rPr>
          <w:kern w:val="22"/>
          <w:szCs w:val="22"/>
          <w:lang w:val="fr-FR"/>
        </w:rPr>
        <w:t>a) ci-dessus</w:t>
      </w:r>
      <w:r w:rsidRPr="00623402">
        <w:rPr>
          <w:kern w:val="22"/>
          <w:szCs w:val="22"/>
          <w:lang w:val="fr-FR"/>
        </w:rPr>
        <w:t>;</w:t>
      </w:r>
    </w:p>
    <w:p w:rsidR="0032188A" w:rsidRPr="00623402" w:rsidRDefault="0032188A" w:rsidP="00CA0357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623402">
        <w:rPr>
          <w:kern w:val="22"/>
          <w:szCs w:val="22"/>
          <w:lang w:val="fr-FR"/>
        </w:rPr>
        <w:t>Invite</w:t>
      </w:r>
      <w:r w:rsidR="00623402" w:rsidRPr="00623402">
        <w:rPr>
          <w:kern w:val="22"/>
          <w:szCs w:val="22"/>
          <w:lang w:val="fr-FR"/>
        </w:rPr>
        <w:t xml:space="preserve"> </w:t>
      </w:r>
      <w:r w:rsidR="00401F9E">
        <w:rPr>
          <w:kern w:val="22"/>
          <w:szCs w:val="22"/>
          <w:lang w:val="fr-FR"/>
        </w:rPr>
        <w:t xml:space="preserve">les </w:t>
      </w:r>
      <w:r w:rsidR="00623402" w:rsidRPr="00623402">
        <w:rPr>
          <w:kern w:val="22"/>
          <w:szCs w:val="22"/>
          <w:lang w:val="fr-FR"/>
        </w:rPr>
        <w:t xml:space="preserve">autres </w:t>
      </w:r>
      <w:r w:rsidR="00231CD8">
        <w:rPr>
          <w:kern w:val="22"/>
          <w:szCs w:val="22"/>
          <w:lang w:val="fr-FR"/>
        </w:rPr>
        <w:t>organisations intergouvernementales</w:t>
      </w:r>
      <w:r w:rsidR="00B55D08">
        <w:rPr>
          <w:kern w:val="22"/>
          <w:szCs w:val="22"/>
          <w:lang w:val="fr-FR"/>
        </w:rPr>
        <w:t xml:space="preserve"> et/ou</w:t>
      </w:r>
      <w:r w:rsidRPr="00623402">
        <w:rPr>
          <w:kern w:val="22"/>
          <w:szCs w:val="22"/>
          <w:lang w:val="fr-FR"/>
        </w:rPr>
        <w:t xml:space="preserve"> </w:t>
      </w:r>
      <w:r w:rsidR="00404F03">
        <w:rPr>
          <w:kern w:val="22"/>
          <w:szCs w:val="22"/>
          <w:lang w:val="fr-FR"/>
        </w:rPr>
        <w:t xml:space="preserve">les </w:t>
      </w:r>
      <w:r w:rsidR="00E8277D" w:rsidRPr="00623402">
        <w:rPr>
          <w:kern w:val="22"/>
          <w:szCs w:val="22"/>
          <w:lang w:val="fr-FR"/>
        </w:rPr>
        <w:t>Parties</w:t>
      </w:r>
      <w:r w:rsidR="00401F9E">
        <w:rPr>
          <w:kern w:val="22"/>
          <w:szCs w:val="22"/>
          <w:lang w:val="fr-FR"/>
        </w:rPr>
        <w:t xml:space="preserve"> ou </w:t>
      </w:r>
      <w:r w:rsidR="00404F03">
        <w:rPr>
          <w:kern w:val="22"/>
          <w:szCs w:val="22"/>
          <w:lang w:val="fr-FR"/>
        </w:rPr>
        <w:t xml:space="preserve">les </w:t>
      </w:r>
      <w:r w:rsidR="00623402" w:rsidRPr="00623402">
        <w:rPr>
          <w:kern w:val="22"/>
          <w:szCs w:val="22"/>
          <w:lang w:val="fr-FR"/>
        </w:rPr>
        <w:t xml:space="preserve">autres </w:t>
      </w:r>
      <w:r w:rsidR="00231CD8">
        <w:rPr>
          <w:kern w:val="22"/>
          <w:szCs w:val="22"/>
          <w:lang w:val="fr-FR"/>
        </w:rPr>
        <w:t>gouvernement</w:t>
      </w:r>
      <w:r w:rsidR="00810BC1" w:rsidRPr="00623402">
        <w:rPr>
          <w:kern w:val="22"/>
          <w:szCs w:val="22"/>
          <w:lang w:val="fr-FR"/>
        </w:rPr>
        <w:t>s</w:t>
      </w:r>
      <w:r w:rsidR="00B55D08">
        <w:rPr>
          <w:kern w:val="22"/>
          <w:szCs w:val="22"/>
          <w:lang w:val="fr-FR"/>
        </w:rPr>
        <w:t xml:space="preserve"> à partager des</w:t>
      </w:r>
      <w:r w:rsidRPr="00623402">
        <w:rPr>
          <w:kern w:val="22"/>
          <w:szCs w:val="22"/>
          <w:lang w:val="fr-FR"/>
        </w:rPr>
        <w:t xml:space="preserve"> information</w:t>
      </w:r>
      <w:r w:rsidR="00B55D08">
        <w:rPr>
          <w:kern w:val="22"/>
          <w:szCs w:val="22"/>
          <w:lang w:val="fr-FR"/>
        </w:rPr>
        <w:t>s avec l</w:t>
      </w:r>
      <w:r w:rsidR="00A01DA3" w:rsidRPr="00623402">
        <w:rPr>
          <w:kern w:val="22"/>
          <w:szCs w:val="22"/>
          <w:lang w:val="fr-FR"/>
        </w:rPr>
        <w:t>a Conférence des Parties siégeant en tant que</w:t>
      </w:r>
      <w:r w:rsidR="00700C64"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>réunion</w:t>
      </w:r>
      <w:r w:rsidR="00700C64" w:rsidRPr="00623402">
        <w:rPr>
          <w:kern w:val="22"/>
          <w:szCs w:val="22"/>
          <w:lang w:val="fr-FR"/>
        </w:rPr>
        <w:t xml:space="preserve"> </w:t>
      </w:r>
      <w:r w:rsidR="0045647A" w:rsidRPr="00623402">
        <w:rPr>
          <w:kern w:val="22"/>
          <w:szCs w:val="22"/>
          <w:lang w:val="fr-FR"/>
        </w:rPr>
        <w:t>des Par</w:t>
      </w:r>
      <w:r w:rsidR="00700C64" w:rsidRPr="00623402">
        <w:rPr>
          <w:kern w:val="22"/>
          <w:szCs w:val="22"/>
          <w:lang w:val="fr-FR"/>
        </w:rPr>
        <w:t xml:space="preserve">ties </w:t>
      </w:r>
      <w:r w:rsidR="00A01DA3" w:rsidRPr="00623402">
        <w:rPr>
          <w:kern w:val="22"/>
          <w:szCs w:val="22"/>
          <w:lang w:val="fr-FR"/>
        </w:rPr>
        <w:t>au Protocole de Nagoya</w:t>
      </w:r>
      <w:r w:rsidRPr="00623402">
        <w:rPr>
          <w:kern w:val="22"/>
          <w:szCs w:val="22"/>
          <w:lang w:val="fr-FR"/>
        </w:rPr>
        <w:t xml:space="preserve"> </w:t>
      </w:r>
      <w:r w:rsidR="00B55D08">
        <w:rPr>
          <w:kern w:val="22"/>
          <w:szCs w:val="22"/>
          <w:lang w:val="fr-FR"/>
        </w:rPr>
        <w:t xml:space="preserve">sur les mesures prises en vue d’élaborer et/ou de </w:t>
      </w:r>
      <w:r w:rsidR="00623402" w:rsidRPr="00623402">
        <w:rPr>
          <w:kern w:val="22"/>
          <w:szCs w:val="22"/>
          <w:lang w:val="fr-FR"/>
        </w:rPr>
        <w:t>reconnaître</w:t>
      </w:r>
      <w:r w:rsidR="00404F03">
        <w:rPr>
          <w:kern w:val="22"/>
          <w:szCs w:val="22"/>
          <w:lang w:val="fr-FR"/>
        </w:rPr>
        <w:t xml:space="preserve"> d</w:t>
      </w:r>
      <w:r w:rsidR="00B55D08">
        <w:rPr>
          <w:kern w:val="22"/>
          <w:szCs w:val="22"/>
          <w:lang w:val="fr-FR"/>
        </w:rPr>
        <w:t>es</w:t>
      </w:r>
      <w:r w:rsidRPr="00623402">
        <w:rPr>
          <w:kern w:val="22"/>
          <w:szCs w:val="22"/>
          <w:lang w:val="fr-FR"/>
        </w:rPr>
        <w:t xml:space="preserve"> </w:t>
      </w:r>
      <w:r w:rsidR="00A01DA3" w:rsidRPr="00623402">
        <w:rPr>
          <w:kern w:val="22"/>
          <w:szCs w:val="22"/>
          <w:lang w:val="fr-FR"/>
        </w:rPr>
        <w:t xml:space="preserve">instruments internationaux </w:t>
      </w:r>
      <w:r w:rsidR="00C3300B">
        <w:rPr>
          <w:kern w:val="22"/>
          <w:szCs w:val="22"/>
          <w:lang w:val="fr-FR"/>
        </w:rPr>
        <w:t>spéciaux</w:t>
      </w:r>
      <w:r w:rsidR="00A01DA3" w:rsidRPr="00623402">
        <w:rPr>
          <w:kern w:val="22"/>
          <w:szCs w:val="22"/>
          <w:lang w:val="fr-FR"/>
        </w:rPr>
        <w:t xml:space="preserve"> sur l’accès et le partage des avantages</w:t>
      </w:r>
      <w:r w:rsidRPr="00623402">
        <w:rPr>
          <w:kern w:val="22"/>
          <w:szCs w:val="22"/>
          <w:lang w:val="fr-FR"/>
        </w:rPr>
        <w:t>;</w:t>
      </w:r>
    </w:p>
    <w:p w:rsidR="0032188A" w:rsidRPr="00B55D08" w:rsidRDefault="00B55D08" w:rsidP="00CA0357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Demande</w:t>
      </w:r>
      <w:r w:rsidR="00231CD8">
        <w:rPr>
          <w:kern w:val="22"/>
          <w:szCs w:val="22"/>
          <w:lang w:val="fr-FR"/>
        </w:rPr>
        <w:t xml:space="preserve"> à la</w:t>
      </w:r>
      <w:r w:rsidR="0032188A" w:rsidRPr="00B55D08">
        <w:rPr>
          <w:kern w:val="22"/>
          <w:szCs w:val="22"/>
          <w:lang w:val="fr-FR"/>
        </w:rPr>
        <w:t xml:space="preserve"> </w:t>
      </w:r>
      <w:r w:rsidR="00A01DA3" w:rsidRPr="00B55D08">
        <w:rPr>
          <w:kern w:val="22"/>
          <w:szCs w:val="22"/>
          <w:lang w:val="fr-FR"/>
        </w:rPr>
        <w:t>Secrétaire exécutive</w:t>
      </w:r>
      <w:r w:rsidRPr="00B55D08">
        <w:rPr>
          <w:kern w:val="22"/>
          <w:szCs w:val="22"/>
          <w:lang w:val="fr-FR"/>
        </w:rPr>
        <w:t xml:space="preserve"> de</w:t>
      </w:r>
      <w:r w:rsidR="0032188A" w:rsidRPr="00B55D08">
        <w:rPr>
          <w:kern w:val="22"/>
          <w:szCs w:val="22"/>
          <w:lang w:val="fr-FR"/>
        </w:rPr>
        <w:t xml:space="preserve"> continue</w:t>
      </w:r>
      <w:r w:rsidR="00404F03">
        <w:rPr>
          <w:kern w:val="22"/>
          <w:szCs w:val="22"/>
          <w:lang w:val="fr-FR"/>
        </w:rPr>
        <w:t xml:space="preserve">r à suivre les </w:t>
      </w:r>
      <w:r w:rsidR="0012232E">
        <w:rPr>
          <w:kern w:val="22"/>
          <w:szCs w:val="22"/>
          <w:lang w:val="fr-FR"/>
        </w:rPr>
        <w:t xml:space="preserve">dernières évolutions </w:t>
      </w:r>
      <w:r>
        <w:rPr>
          <w:kern w:val="22"/>
          <w:szCs w:val="22"/>
          <w:lang w:val="fr-FR"/>
        </w:rPr>
        <w:t xml:space="preserve">dans les </w:t>
      </w:r>
      <w:r w:rsidR="00231CD8" w:rsidRPr="00B55D08">
        <w:rPr>
          <w:kern w:val="22"/>
          <w:szCs w:val="22"/>
          <w:lang w:val="fr-FR"/>
        </w:rPr>
        <w:t>instance</w:t>
      </w:r>
      <w:r>
        <w:rPr>
          <w:kern w:val="22"/>
          <w:szCs w:val="22"/>
          <w:lang w:val="fr-FR"/>
        </w:rPr>
        <w:t>s</w:t>
      </w:r>
      <w:r w:rsidR="00231CD8" w:rsidRPr="00B55D08">
        <w:rPr>
          <w:kern w:val="22"/>
          <w:szCs w:val="22"/>
          <w:lang w:val="fr-FR"/>
        </w:rPr>
        <w:t xml:space="preserve"> internationale</w:t>
      </w:r>
      <w:r w:rsidR="00A255FB" w:rsidRPr="00B55D08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compétentes</w:t>
      </w:r>
      <w:r w:rsidR="0032188A" w:rsidRPr="00B55D08">
        <w:rPr>
          <w:kern w:val="22"/>
          <w:szCs w:val="22"/>
          <w:lang w:val="fr-FR"/>
        </w:rPr>
        <w:t>;</w:t>
      </w:r>
    </w:p>
    <w:p w:rsidR="0032188A" w:rsidRPr="00B55D08" w:rsidRDefault="00B55D08" w:rsidP="00CA0357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Convienne</w:t>
      </w:r>
      <w:r w:rsidRPr="00B55D08">
        <w:rPr>
          <w:kern w:val="22"/>
          <w:szCs w:val="22"/>
          <w:lang w:val="fr-FR"/>
        </w:rPr>
        <w:t xml:space="preserve"> d’inscrire à l’ordre du jour </w:t>
      </w:r>
      <w:r>
        <w:rPr>
          <w:kern w:val="22"/>
          <w:szCs w:val="22"/>
          <w:lang w:val="fr-FR"/>
        </w:rPr>
        <w:t xml:space="preserve">de ses futures réunions </w:t>
      </w:r>
      <w:r w:rsidR="00404F03">
        <w:rPr>
          <w:kern w:val="22"/>
          <w:szCs w:val="22"/>
          <w:lang w:val="fr-FR"/>
        </w:rPr>
        <w:t>un point permanent</w:t>
      </w:r>
      <w:r>
        <w:rPr>
          <w:kern w:val="22"/>
          <w:szCs w:val="22"/>
          <w:lang w:val="fr-FR"/>
        </w:rPr>
        <w:t xml:space="preserve"> </w:t>
      </w:r>
      <w:r w:rsidRPr="00B55D08">
        <w:rPr>
          <w:kern w:val="22"/>
          <w:szCs w:val="22"/>
          <w:lang w:val="fr-FR"/>
        </w:rPr>
        <w:t>sur la</w:t>
      </w:r>
      <w:r w:rsidR="005C6405" w:rsidRPr="00B55D08">
        <w:rPr>
          <w:kern w:val="22"/>
          <w:szCs w:val="22"/>
          <w:lang w:val="fr-FR"/>
        </w:rPr>
        <w:t xml:space="preserve"> </w:t>
      </w:r>
      <w:r w:rsidR="00404F03">
        <w:rPr>
          <w:kern w:val="22"/>
          <w:szCs w:val="22"/>
          <w:lang w:val="fr-FR"/>
        </w:rPr>
        <w:t>« </w:t>
      </w:r>
      <w:r>
        <w:rPr>
          <w:kern w:val="22"/>
          <w:szCs w:val="22"/>
          <w:lang w:val="fr-FR"/>
        </w:rPr>
        <w:t>coopé</w:t>
      </w:r>
      <w:r w:rsidR="005C6405" w:rsidRPr="00B55D08">
        <w:rPr>
          <w:kern w:val="22"/>
          <w:szCs w:val="22"/>
          <w:lang w:val="fr-FR"/>
        </w:rPr>
        <w:t>ration</w:t>
      </w:r>
      <w:r w:rsidRPr="00B55D08">
        <w:rPr>
          <w:kern w:val="22"/>
          <w:szCs w:val="22"/>
          <w:lang w:val="fr-FR"/>
        </w:rPr>
        <w:t xml:space="preserve"> avec</w:t>
      </w:r>
      <w:r>
        <w:rPr>
          <w:kern w:val="22"/>
          <w:szCs w:val="22"/>
          <w:lang w:val="fr-FR"/>
        </w:rPr>
        <w:t xml:space="preserve"> d’</w:t>
      </w:r>
      <w:r w:rsidR="00623402" w:rsidRPr="00B55D08">
        <w:rPr>
          <w:kern w:val="22"/>
          <w:szCs w:val="22"/>
          <w:lang w:val="fr-FR"/>
        </w:rPr>
        <w:t xml:space="preserve">autres </w:t>
      </w:r>
      <w:r w:rsidR="00404F03">
        <w:rPr>
          <w:kern w:val="22"/>
          <w:szCs w:val="22"/>
          <w:lang w:val="fr-FR"/>
        </w:rPr>
        <w:t>organisations internationales », pour tenir compte</w:t>
      </w:r>
      <w:r w:rsidR="0012232E">
        <w:rPr>
          <w:kern w:val="22"/>
          <w:szCs w:val="22"/>
          <w:lang w:val="fr-FR"/>
        </w:rPr>
        <w:t xml:space="preserve"> des dernières évolutions</w:t>
      </w:r>
      <w:r>
        <w:rPr>
          <w:kern w:val="22"/>
          <w:szCs w:val="22"/>
          <w:lang w:val="fr-FR"/>
        </w:rPr>
        <w:t xml:space="preserve"> dans les</w:t>
      </w:r>
      <w:r w:rsidR="00B61873" w:rsidRPr="00B55D08">
        <w:rPr>
          <w:kern w:val="22"/>
          <w:szCs w:val="22"/>
          <w:lang w:val="fr-FR"/>
        </w:rPr>
        <w:t xml:space="preserve"> </w:t>
      </w:r>
      <w:r w:rsidR="00231CD8" w:rsidRPr="00B55D08">
        <w:rPr>
          <w:kern w:val="22"/>
          <w:szCs w:val="22"/>
          <w:lang w:val="fr-FR"/>
        </w:rPr>
        <w:t>instance</w:t>
      </w:r>
      <w:r>
        <w:rPr>
          <w:kern w:val="22"/>
          <w:szCs w:val="22"/>
          <w:lang w:val="fr-FR"/>
        </w:rPr>
        <w:t>s</w:t>
      </w:r>
      <w:r w:rsidR="00231CD8" w:rsidRPr="00B55D08">
        <w:rPr>
          <w:kern w:val="22"/>
          <w:szCs w:val="22"/>
          <w:lang w:val="fr-FR"/>
        </w:rPr>
        <w:t xml:space="preserve"> internationale</w:t>
      </w:r>
      <w:r w:rsidR="00A255FB" w:rsidRPr="00B55D08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compétentes</w:t>
      </w:r>
      <w:r w:rsidR="00B61873" w:rsidRPr="00B55D08">
        <w:rPr>
          <w:kern w:val="22"/>
          <w:szCs w:val="22"/>
          <w:lang w:val="fr-FR"/>
        </w:rPr>
        <w:t>;</w:t>
      </w:r>
    </w:p>
    <w:p w:rsidR="005C6405" w:rsidRPr="00B55D08" w:rsidRDefault="00B55D08" w:rsidP="00CA0357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Convienne</w:t>
      </w:r>
      <w:r w:rsidR="00404F03">
        <w:rPr>
          <w:kern w:val="22"/>
          <w:szCs w:val="22"/>
          <w:lang w:val="fr-FR"/>
        </w:rPr>
        <w:t xml:space="preserve"> d’envisager, de prendre note</w:t>
      </w:r>
      <w:r>
        <w:rPr>
          <w:kern w:val="22"/>
          <w:szCs w:val="22"/>
          <w:lang w:val="fr-FR"/>
        </w:rPr>
        <w:t xml:space="preserve"> ou d’approuver la</w:t>
      </w:r>
      <w:r w:rsidR="005C6405" w:rsidRPr="00B55D08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reconnaissance d’un</w:t>
      </w:r>
      <w:r w:rsidR="005C6405" w:rsidRPr="00B55D08">
        <w:rPr>
          <w:kern w:val="22"/>
          <w:szCs w:val="22"/>
          <w:lang w:val="fr-FR"/>
        </w:rPr>
        <w:t xml:space="preserve"> </w:t>
      </w:r>
      <w:r w:rsidR="00A01DA3" w:rsidRPr="00B55D08">
        <w:rPr>
          <w:kern w:val="22"/>
          <w:szCs w:val="22"/>
          <w:lang w:val="fr-FR"/>
        </w:rPr>
        <w:t xml:space="preserve">instrument international </w:t>
      </w:r>
      <w:r w:rsidR="0026155E" w:rsidRPr="00B55D08">
        <w:rPr>
          <w:kern w:val="22"/>
          <w:szCs w:val="22"/>
          <w:lang w:val="fr-FR"/>
        </w:rPr>
        <w:t>spécial</w:t>
      </w:r>
      <w:r w:rsidR="00A01DA3" w:rsidRPr="00B55D08">
        <w:rPr>
          <w:kern w:val="22"/>
          <w:szCs w:val="22"/>
          <w:lang w:val="fr-FR"/>
        </w:rPr>
        <w:t xml:space="preserve"> sur l’accès et le partage des avantages</w:t>
      </w:r>
      <w:r>
        <w:rPr>
          <w:kern w:val="22"/>
          <w:szCs w:val="22"/>
          <w:lang w:val="fr-FR"/>
        </w:rPr>
        <w:t xml:space="preserve"> par un autre organisme</w:t>
      </w:r>
      <w:r w:rsidR="005C6405" w:rsidRPr="00B55D08">
        <w:rPr>
          <w:kern w:val="22"/>
          <w:szCs w:val="22"/>
          <w:lang w:val="fr-FR"/>
        </w:rPr>
        <w:t xml:space="preserve"> </w:t>
      </w:r>
      <w:r w:rsidR="00231CD8" w:rsidRPr="00B55D08">
        <w:rPr>
          <w:kern w:val="22"/>
          <w:szCs w:val="22"/>
          <w:lang w:val="fr-FR"/>
        </w:rPr>
        <w:t>intergouvernemental</w:t>
      </w:r>
      <w:r w:rsidR="00404F03">
        <w:rPr>
          <w:kern w:val="22"/>
          <w:szCs w:val="22"/>
          <w:lang w:val="fr-FR"/>
        </w:rPr>
        <w:t xml:space="preserve"> et/ou </w:t>
      </w:r>
      <w:r>
        <w:rPr>
          <w:kern w:val="22"/>
          <w:szCs w:val="22"/>
          <w:lang w:val="fr-FR"/>
        </w:rPr>
        <w:t xml:space="preserve">une </w:t>
      </w:r>
      <w:r w:rsidR="00231CD8" w:rsidRPr="00B55D08">
        <w:rPr>
          <w:kern w:val="22"/>
          <w:szCs w:val="22"/>
          <w:lang w:val="fr-FR"/>
        </w:rPr>
        <w:t>Partie</w:t>
      </w:r>
      <w:r>
        <w:rPr>
          <w:kern w:val="22"/>
          <w:szCs w:val="22"/>
          <w:lang w:val="fr-FR"/>
        </w:rPr>
        <w:t xml:space="preserve"> ou</w:t>
      </w:r>
      <w:r w:rsidR="005C6405" w:rsidRPr="00B55D08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un </w:t>
      </w:r>
      <w:r w:rsidR="005C6405" w:rsidRPr="00B55D08">
        <w:rPr>
          <w:kern w:val="22"/>
          <w:szCs w:val="22"/>
          <w:lang w:val="fr-FR"/>
        </w:rPr>
        <w:t>group</w:t>
      </w:r>
      <w:r>
        <w:rPr>
          <w:kern w:val="22"/>
          <w:szCs w:val="22"/>
          <w:lang w:val="fr-FR"/>
        </w:rPr>
        <w:t xml:space="preserve">e de </w:t>
      </w:r>
      <w:r w:rsidR="00A41775" w:rsidRPr="00B55D08">
        <w:rPr>
          <w:kern w:val="22"/>
          <w:szCs w:val="22"/>
          <w:lang w:val="fr-FR"/>
        </w:rPr>
        <w:t>Parties</w:t>
      </w:r>
      <w:r w:rsidR="0032188A" w:rsidRPr="00B55D08">
        <w:rPr>
          <w:kern w:val="22"/>
          <w:szCs w:val="22"/>
          <w:lang w:val="fr-FR"/>
        </w:rPr>
        <w:t>;</w:t>
      </w:r>
    </w:p>
    <w:p w:rsidR="0032188A" w:rsidRPr="00231CD8" w:rsidRDefault="00B55D08" w:rsidP="009F4D84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Demande</w:t>
      </w:r>
      <w:r w:rsidR="00231CD8" w:rsidRPr="00231CD8">
        <w:rPr>
          <w:kern w:val="22"/>
          <w:szCs w:val="22"/>
          <w:lang w:val="fr-FR"/>
        </w:rPr>
        <w:t xml:space="preserve"> à la</w:t>
      </w:r>
      <w:r w:rsidR="0032188A" w:rsidRPr="00231CD8">
        <w:rPr>
          <w:kern w:val="22"/>
          <w:szCs w:val="22"/>
          <w:lang w:val="fr-FR"/>
        </w:rPr>
        <w:t xml:space="preserve"> </w:t>
      </w:r>
      <w:r w:rsidR="00A01DA3" w:rsidRPr="00231CD8">
        <w:rPr>
          <w:kern w:val="22"/>
          <w:szCs w:val="22"/>
          <w:lang w:val="fr-FR"/>
        </w:rPr>
        <w:t>Secrétaire exécutive</w:t>
      </w:r>
      <w:r w:rsidR="00CA0357">
        <w:rPr>
          <w:kern w:val="22"/>
          <w:szCs w:val="22"/>
          <w:lang w:val="fr-FR"/>
        </w:rPr>
        <w:t xml:space="preserve"> d’</w:t>
      </w:r>
      <w:r w:rsidR="0032188A" w:rsidRPr="00231CD8">
        <w:rPr>
          <w:kern w:val="22"/>
          <w:szCs w:val="22"/>
          <w:lang w:val="fr-FR"/>
        </w:rPr>
        <w:t>invite</w:t>
      </w:r>
      <w:r w:rsidR="00CA0357">
        <w:rPr>
          <w:kern w:val="22"/>
          <w:szCs w:val="22"/>
          <w:lang w:val="fr-FR"/>
        </w:rPr>
        <w:t>r les secrétariats d’autres</w:t>
      </w:r>
      <w:r w:rsidR="0032188A" w:rsidRPr="00231CD8">
        <w:rPr>
          <w:kern w:val="22"/>
          <w:szCs w:val="22"/>
          <w:lang w:val="fr-FR"/>
        </w:rPr>
        <w:t xml:space="preserve"> </w:t>
      </w:r>
      <w:r w:rsidR="00231CD8" w:rsidRPr="00231CD8">
        <w:rPr>
          <w:kern w:val="22"/>
          <w:szCs w:val="22"/>
          <w:lang w:val="fr-FR"/>
        </w:rPr>
        <w:t>organisations intergouvernementales</w:t>
      </w:r>
      <w:r w:rsidR="0032188A" w:rsidRPr="00231CD8">
        <w:rPr>
          <w:kern w:val="22"/>
          <w:szCs w:val="22"/>
          <w:lang w:val="fr-FR"/>
        </w:rPr>
        <w:t xml:space="preserve"> </w:t>
      </w:r>
      <w:r w:rsidR="00CA0357">
        <w:rPr>
          <w:kern w:val="22"/>
          <w:szCs w:val="22"/>
          <w:lang w:val="fr-FR"/>
        </w:rPr>
        <w:t>compétentes à constituer un groupe de liaison sur</w:t>
      </w:r>
      <w:r w:rsidR="0032188A" w:rsidRPr="00231CD8">
        <w:rPr>
          <w:kern w:val="22"/>
          <w:szCs w:val="22"/>
          <w:lang w:val="fr-FR"/>
        </w:rPr>
        <w:t xml:space="preserve"> </w:t>
      </w:r>
      <w:r w:rsidR="00A01DA3" w:rsidRPr="00231CD8">
        <w:rPr>
          <w:kern w:val="22"/>
          <w:szCs w:val="22"/>
          <w:lang w:val="fr-FR"/>
        </w:rPr>
        <w:t>l’accès et le partage des avantages</w:t>
      </w:r>
      <w:r w:rsidR="0012232E">
        <w:rPr>
          <w:kern w:val="22"/>
          <w:szCs w:val="22"/>
          <w:lang w:val="fr-FR"/>
        </w:rPr>
        <w:t xml:space="preserve"> pour</w:t>
      </w:r>
      <w:r w:rsidR="00CA0357">
        <w:rPr>
          <w:kern w:val="22"/>
          <w:szCs w:val="22"/>
          <w:lang w:val="fr-FR"/>
        </w:rPr>
        <w:t xml:space="preserve"> faciliter</w:t>
      </w:r>
      <w:r w:rsidR="00623402" w:rsidRPr="00231CD8">
        <w:rPr>
          <w:kern w:val="22"/>
          <w:szCs w:val="22"/>
          <w:lang w:val="fr-FR"/>
        </w:rPr>
        <w:t xml:space="preserve"> et </w:t>
      </w:r>
      <w:r w:rsidR="00CA0357">
        <w:rPr>
          <w:kern w:val="22"/>
          <w:szCs w:val="22"/>
          <w:lang w:val="fr-FR"/>
        </w:rPr>
        <w:t xml:space="preserve">améliorer l’échange d’information </w:t>
      </w:r>
      <w:r w:rsidR="00623402" w:rsidRPr="00231CD8">
        <w:rPr>
          <w:kern w:val="22"/>
          <w:szCs w:val="22"/>
          <w:lang w:val="fr-FR"/>
        </w:rPr>
        <w:t xml:space="preserve">et </w:t>
      </w:r>
      <w:r w:rsidR="00CA0357">
        <w:rPr>
          <w:kern w:val="22"/>
          <w:szCs w:val="22"/>
          <w:lang w:val="fr-FR"/>
        </w:rPr>
        <w:t xml:space="preserve">la </w:t>
      </w:r>
      <w:r w:rsidR="0032188A" w:rsidRPr="00231CD8">
        <w:rPr>
          <w:kern w:val="22"/>
          <w:szCs w:val="22"/>
          <w:lang w:val="fr-FR"/>
        </w:rPr>
        <w:t>coordination;</w:t>
      </w:r>
    </w:p>
    <w:p w:rsidR="00D41624" w:rsidRPr="00231CD8" w:rsidRDefault="00D41624" w:rsidP="009F4D84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231CD8">
        <w:rPr>
          <w:kern w:val="22"/>
          <w:szCs w:val="22"/>
          <w:lang w:val="fr-FR"/>
        </w:rPr>
        <w:t xml:space="preserve">Encourage </w:t>
      </w:r>
      <w:r w:rsidR="00231CD8">
        <w:rPr>
          <w:kern w:val="22"/>
          <w:szCs w:val="22"/>
          <w:lang w:val="fr-FR"/>
        </w:rPr>
        <w:t xml:space="preserve">les </w:t>
      </w:r>
      <w:r w:rsidRPr="00231CD8">
        <w:rPr>
          <w:kern w:val="22"/>
          <w:szCs w:val="22"/>
          <w:lang w:val="fr-FR"/>
        </w:rPr>
        <w:t>Parties</w:t>
      </w:r>
      <w:r w:rsidR="00623402" w:rsidRPr="00231CD8">
        <w:rPr>
          <w:kern w:val="22"/>
          <w:szCs w:val="22"/>
          <w:lang w:val="fr-FR"/>
        </w:rPr>
        <w:t xml:space="preserve"> et </w:t>
      </w:r>
      <w:r w:rsidR="00231CD8">
        <w:rPr>
          <w:kern w:val="22"/>
          <w:szCs w:val="22"/>
          <w:lang w:val="fr-FR"/>
        </w:rPr>
        <w:t xml:space="preserve">les </w:t>
      </w:r>
      <w:r w:rsidR="00623402" w:rsidRPr="00231CD8">
        <w:rPr>
          <w:kern w:val="22"/>
          <w:szCs w:val="22"/>
          <w:lang w:val="fr-FR"/>
        </w:rPr>
        <w:t xml:space="preserve">autres </w:t>
      </w:r>
      <w:r w:rsidR="00231CD8" w:rsidRPr="00231CD8">
        <w:rPr>
          <w:kern w:val="22"/>
          <w:szCs w:val="22"/>
          <w:lang w:val="fr-FR"/>
        </w:rPr>
        <w:t>gouvernement</w:t>
      </w:r>
      <w:r w:rsidR="00231CD8">
        <w:rPr>
          <w:kern w:val="22"/>
          <w:szCs w:val="22"/>
          <w:lang w:val="fr-FR"/>
        </w:rPr>
        <w:t>s à</w:t>
      </w:r>
      <w:r w:rsidR="00CA0357">
        <w:rPr>
          <w:kern w:val="22"/>
          <w:szCs w:val="22"/>
          <w:lang w:val="fr-FR"/>
        </w:rPr>
        <w:t xml:space="preserve"> se coordonner au niveau </w:t>
      </w:r>
      <w:r w:rsidRPr="00231CD8">
        <w:rPr>
          <w:kern w:val="22"/>
          <w:szCs w:val="22"/>
          <w:lang w:val="fr-FR"/>
        </w:rPr>
        <w:t xml:space="preserve">national </w:t>
      </w:r>
      <w:r w:rsidR="00CA0357">
        <w:rPr>
          <w:kern w:val="22"/>
          <w:szCs w:val="22"/>
          <w:lang w:val="fr-FR"/>
        </w:rPr>
        <w:t xml:space="preserve">sur les questions relatives à </w:t>
      </w:r>
      <w:r w:rsidR="00A01DA3" w:rsidRPr="00231CD8">
        <w:rPr>
          <w:kern w:val="22"/>
          <w:szCs w:val="22"/>
          <w:lang w:val="fr-FR"/>
        </w:rPr>
        <w:t>l’accès et le partage des avantages</w:t>
      </w:r>
      <w:r w:rsidR="00CA0357">
        <w:rPr>
          <w:kern w:val="22"/>
          <w:szCs w:val="22"/>
          <w:lang w:val="fr-FR"/>
        </w:rPr>
        <w:t xml:space="preserve"> qui sont abordées dans diffé</w:t>
      </w:r>
      <w:r w:rsidRPr="00231CD8">
        <w:rPr>
          <w:kern w:val="22"/>
          <w:szCs w:val="22"/>
          <w:lang w:val="fr-FR"/>
        </w:rPr>
        <w:t>rent</w:t>
      </w:r>
      <w:r w:rsidR="00CA0357">
        <w:rPr>
          <w:kern w:val="22"/>
          <w:szCs w:val="22"/>
          <w:lang w:val="fr-FR"/>
        </w:rPr>
        <w:t>es</w:t>
      </w:r>
      <w:r w:rsidRPr="00231CD8">
        <w:rPr>
          <w:kern w:val="22"/>
          <w:szCs w:val="22"/>
          <w:lang w:val="fr-FR"/>
        </w:rPr>
        <w:t xml:space="preserve"> </w:t>
      </w:r>
      <w:r w:rsidR="00231CD8" w:rsidRPr="00231CD8">
        <w:rPr>
          <w:kern w:val="22"/>
          <w:szCs w:val="22"/>
          <w:lang w:val="fr-FR"/>
        </w:rPr>
        <w:t>instance</w:t>
      </w:r>
      <w:r w:rsidR="00CA0357">
        <w:rPr>
          <w:kern w:val="22"/>
          <w:szCs w:val="22"/>
          <w:lang w:val="fr-FR"/>
        </w:rPr>
        <w:t>s</w:t>
      </w:r>
      <w:r w:rsidR="00231CD8" w:rsidRPr="00231CD8">
        <w:rPr>
          <w:kern w:val="22"/>
          <w:szCs w:val="22"/>
          <w:lang w:val="fr-FR"/>
        </w:rPr>
        <w:t xml:space="preserve"> internationale</w:t>
      </w:r>
      <w:r w:rsidRPr="00231CD8">
        <w:rPr>
          <w:kern w:val="22"/>
          <w:szCs w:val="22"/>
          <w:lang w:val="fr-FR"/>
        </w:rPr>
        <w:t>s</w:t>
      </w:r>
      <w:r w:rsidR="0012232E">
        <w:rPr>
          <w:kern w:val="22"/>
          <w:szCs w:val="22"/>
          <w:lang w:val="fr-FR"/>
        </w:rPr>
        <w:t>, afin d’appuyer</w:t>
      </w:r>
      <w:r w:rsidR="00CA0357">
        <w:rPr>
          <w:kern w:val="22"/>
          <w:szCs w:val="22"/>
          <w:lang w:val="fr-FR"/>
        </w:rPr>
        <w:t xml:space="preserve"> un régime international cohérent sur</w:t>
      </w:r>
      <w:r w:rsidRPr="00231CD8">
        <w:rPr>
          <w:kern w:val="22"/>
          <w:szCs w:val="22"/>
          <w:lang w:val="fr-FR"/>
        </w:rPr>
        <w:t xml:space="preserve"> </w:t>
      </w:r>
      <w:r w:rsidR="00A01DA3" w:rsidRPr="00231CD8">
        <w:rPr>
          <w:kern w:val="22"/>
          <w:szCs w:val="22"/>
          <w:lang w:val="fr-FR"/>
        </w:rPr>
        <w:t>l’accès et le partage des avantages</w:t>
      </w:r>
      <w:r w:rsidRPr="00231CD8">
        <w:rPr>
          <w:kern w:val="22"/>
          <w:szCs w:val="22"/>
          <w:lang w:val="fr-FR"/>
        </w:rPr>
        <w:t>;</w:t>
      </w:r>
    </w:p>
    <w:p w:rsidR="00D41624" w:rsidRPr="00231CD8" w:rsidRDefault="00D41624" w:rsidP="009F4D84">
      <w:pPr>
        <w:pStyle w:val="Para1"/>
        <w:numPr>
          <w:ilvl w:val="1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231CD8">
        <w:rPr>
          <w:kern w:val="22"/>
          <w:szCs w:val="22"/>
          <w:lang w:val="fr-FR"/>
        </w:rPr>
        <w:t>Encourage</w:t>
      </w:r>
      <w:r w:rsidR="00231CD8" w:rsidRPr="00231CD8">
        <w:rPr>
          <w:kern w:val="22"/>
          <w:szCs w:val="22"/>
          <w:lang w:val="fr-FR"/>
        </w:rPr>
        <w:t xml:space="preserve"> les</w:t>
      </w:r>
      <w:r w:rsidRPr="00231CD8">
        <w:rPr>
          <w:kern w:val="22"/>
          <w:szCs w:val="22"/>
          <w:lang w:val="fr-FR"/>
        </w:rPr>
        <w:t xml:space="preserve"> Parties</w:t>
      </w:r>
      <w:r w:rsidR="00623402" w:rsidRPr="00231CD8">
        <w:rPr>
          <w:kern w:val="22"/>
          <w:szCs w:val="22"/>
          <w:lang w:val="fr-FR"/>
        </w:rPr>
        <w:t xml:space="preserve"> et </w:t>
      </w:r>
      <w:r w:rsidR="00231CD8">
        <w:rPr>
          <w:kern w:val="22"/>
          <w:szCs w:val="22"/>
          <w:lang w:val="fr-FR"/>
        </w:rPr>
        <w:t xml:space="preserve">les </w:t>
      </w:r>
      <w:r w:rsidR="00623402" w:rsidRPr="00231CD8">
        <w:rPr>
          <w:kern w:val="22"/>
          <w:szCs w:val="22"/>
          <w:lang w:val="fr-FR"/>
        </w:rPr>
        <w:t xml:space="preserve">autres </w:t>
      </w:r>
      <w:r w:rsidR="00231CD8" w:rsidRPr="00231CD8">
        <w:rPr>
          <w:kern w:val="22"/>
          <w:szCs w:val="22"/>
          <w:lang w:val="fr-FR"/>
        </w:rPr>
        <w:t>gouvernement</w:t>
      </w:r>
      <w:r w:rsidRPr="00231CD8">
        <w:rPr>
          <w:kern w:val="22"/>
          <w:szCs w:val="22"/>
          <w:lang w:val="fr-FR"/>
        </w:rPr>
        <w:t xml:space="preserve">s </w:t>
      </w:r>
      <w:r w:rsidR="0012232E">
        <w:rPr>
          <w:kern w:val="22"/>
          <w:szCs w:val="22"/>
          <w:lang w:val="fr-FR"/>
        </w:rPr>
        <w:t>qui sont ou peuvent</w:t>
      </w:r>
      <w:r w:rsidR="00CA0357">
        <w:rPr>
          <w:kern w:val="22"/>
          <w:szCs w:val="22"/>
          <w:lang w:val="fr-FR"/>
        </w:rPr>
        <w:t xml:space="preserve"> devenir </w:t>
      </w:r>
      <w:r w:rsidRPr="00231CD8">
        <w:rPr>
          <w:kern w:val="22"/>
          <w:szCs w:val="22"/>
          <w:lang w:val="fr-FR"/>
        </w:rPr>
        <w:t xml:space="preserve">Parties </w:t>
      </w:r>
      <w:r w:rsidR="00A01DA3" w:rsidRPr="00231CD8">
        <w:rPr>
          <w:kern w:val="22"/>
          <w:szCs w:val="22"/>
          <w:lang w:val="fr-FR"/>
        </w:rPr>
        <w:t>au Protocole de Nagoya</w:t>
      </w:r>
      <w:r w:rsidR="00623402" w:rsidRPr="00231CD8">
        <w:rPr>
          <w:kern w:val="22"/>
          <w:szCs w:val="22"/>
          <w:lang w:val="fr-FR"/>
        </w:rPr>
        <w:t xml:space="preserve"> et </w:t>
      </w:r>
      <w:r w:rsidR="00CA0357">
        <w:rPr>
          <w:kern w:val="22"/>
          <w:szCs w:val="22"/>
          <w:lang w:val="fr-FR"/>
        </w:rPr>
        <w:t>à un</w:t>
      </w:r>
      <w:r w:rsidRPr="00231CD8">
        <w:rPr>
          <w:kern w:val="22"/>
          <w:szCs w:val="22"/>
          <w:lang w:val="fr-FR"/>
        </w:rPr>
        <w:t xml:space="preserve"> </w:t>
      </w:r>
      <w:r w:rsidR="00A01DA3" w:rsidRPr="00231CD8">
        <w:rPr>
          <w:kern w:val="22"/>
          <w:szCs w:val="22"/>
          <w:lang w:val="fr-FR"/>
        </w:rPr>
        <w:t xml:space="preserve">instrument international </w:t>
      </w:r>
      <w:r w:rsidR="0026155E">
        <w:rPr>
          <w:kern w:val="22"/>
          <w:szCs w:val="22"/>
          <w:lang w:val="fr-FR"/>
        </w:rPr>
        <w:t>spécial</w:t>
      </w:r>
      <w:r w:rsidR="00A01DA3" w:rsidRPr="00231CD8">
        <w:rPr>
          <w:kern w:val="22"/>
          <w:szCs w:val="22"/>
          <w:lang w:val="fr-FR"/>
        </w:rPr>
        <w:t xml:space="preserve"> sur l’accès et le partage des avantages</w:t>
      </w:r>
      <w:r w:rsidRPr="00231CD8">
        <w:rPr>
          <w:kern w:val="22"/>
          <w:szCs w:val="22"/>
          <w:lang w:val="fr-FR"/>
        </w:rPr>
        <w:t xml:space="preserve"> </w:t>
      </w:r>
      <w:r w:rsidR="0012232E">
        <w:rPr>
          <w:kern w:val="22"/>
          <w:szCs w:val="22"/>
          <w:lang w:val="fr-FR"/>
        </w:rPr>
        <w:t>à</w:t>
      </w:r>
      <w:r w:rsidR="00CA0357">
        <w:rPr>
          <w:kern w:val="22"/>
          <w:szCs w:val="22"/>
          <w:lang w:val="fr-FR"/>
        </w:rPr>
        <w:t xml:space="preserve"> prendre des mesures pour </w:t>
      </w:r>
      <w:r w:rsidR="00F83893" w:rsidRPr="00231CD8">
        <w:rPr>
          <w:kern w:val="22"/>
          <w:szCs w:val="22"/>
          <w:lang w:val="fr-FR"/>
        </w:rPr>
        <w:t xml:space="preserve">appliquer </w:t>
      </w:r>
      <w:r w:rsidR="00CA0357">
        <w:rPr>
          <w:kern w:val="22"/>
          <w:szCs w:val="22"/>
          <w:lang w:val="fr-FR"/>
        </w:rPr>
        <w:t>les deux</w:t>
      </w:r>
      <w:r w:rsidRPr="00231CD8">
        <w:rPr>
          <w:kern w:val="22"/>
          <w:szCs w:val="22"/>
          <w:lang w:val="fr-FR"/>
        </w:rPr>
        <w:t xml:space="preserve"> instruments </w:t>
      </w:r>
      <w:r w:rsidR="0012232E">
        <w:rPr>
          <w:kern w:val="22"/>
          <w:szCs w:val="22"/>
          <w:lang w:val="fr-FR"/>
        </w:rPr>
        <w:t>d’une façon complémentaire</w:t>
      </w:r>
      <w:r w:rsidRPr="00231CD8">
        <w:rPr>
          <w:kern w:val="22"/>
          <w:szCs w:val="22"/>
          <w:lang w:val="fr-FR"/>
        </w:rPr>
        <w:t>.</w:t>
      </w:r>
    </w:p>
    <w:p w:rsidR="00B63C96" w:rsidRDefault="00B63C96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outlineLvl w:val="0"/>
        <w:rPr>
          <w:bCs/>
          <w:snapToGrid w:val="0"/>
          <w:kern w:val="22"/>
          <w:szCs w:val="22"/>
          <w:lang w:val="fr-FR"/>
        </w:rPr>
      </w:pPr>
    </w:p>
    <w:p w:rsidR="00B63C96" w:rsidRDefault="00B63C96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outlineLvl w:val="0"/>
        <w:rPr>
          <w:bCs/>
          <w:snapToGrid w:val="0"/>
          <w:kern w:val="22"/>
          <w:szCs w:val="22"/>
          <w:lang w:val="fr-FR"/>
        </w:rPr>
      </w:pPr>
    </w:p>
    <w:p w:rsidR="00B63C96" w:rsidRPr="00231CD8" w:rsidRDefault="00B63C96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outlineLvl w:val="0"/>
        <w:rPr>
          <w:bCs/>
          <w:snapToGrid w:val="0"/>
          <w:kern w:val="22"/>
          <w:szCs w:val="22"/>
          <w:lang w:val="fr-FR"/>
        </w:rPr>
      </w:pPr>
    </w:p>
    <w:p w:rsidR="00B63C96" w:rsidRDefault="00B63C96">
      <w:pPr>
        <w:jc w:val="left"/>
        <w:rPr>
          <w:i/>
          <w:snapToGrid w:val="0"/>
          <w:kern w:val="22"/>
          <w:szCs w:val="22"/>
          <w:lang w:val="fr-FR"/>
        </w:rPr>
      </w:pPr>
      <w:r>
        <w:rPr>
          <w:i/>
          <w:snapToGrid w:val="0"/>
          <w:kern w:val="22"/>
          <w:szCs w:val="22"/>
          <w:lang w:val="fr-FR"/>
        </w:rPr>
        <w:br w:type="page"/>
      </w:r>
    </w:p>
    <w:p w:rsidR="004A4C07" w:rsidRPr="00231CD8" w:rsidRDefault="004A4C07" w:rsidP="00B63C9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jc w:val="center"/>
        <w:outlineLvl w:val="0"/>
        <w:rPr>
          <w:i/>
          <w:snapToGrid w:val="0"/>
          <w:kern w:val="22"/>
          <w:szCs w:val="22"/>
          <w:lang w:val="fr-FR"/>
        </w:rPr>
      </w:pPr>
      <w:r w:rsidRPr="00231CD8">
        <w:rPr>
          <w:i/>
          <w:snapToGrid w:val="0"/>
          <w:kern w:val="22"/>
          <w:szCs w:val="22"/>
          <w:lang w:val="fr-FR"/>
        </w:rPr>
        <w:lastRenderedPageBreak/>
        <w:t>Annex</w:t>
      </w:r>
      <w:r w:rsidR="00231CD8" w:rsidRPr="00231CD8">
        <w:rPr>
          <w:i/>
          <w:snapToGrid w:val="0"/>
          <w:kern w:val="22"/>
          <w:szCs w:val="22"/>
          <w:lang w:val="fr-FR"/>
        </w:rPr>
        <w:t>e</w:t>
      </w:r>
    </w:p>
    <w:p w:rsidR="00975032" w:rsidRPr="00623402" w:rsidRDefault="00E52AAB" w:rsidP="00B63C96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360"/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</w:pP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critÈ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res</w:t>
      </w:r>
      <w:r w:rsidR="00231CD8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pour les 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instruments internationaux 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spÉ</w:t>
      </w:r>
      <w:r w:rsidR="00C3300B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ciaux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sur l’accÈ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s et le partage des avantages</w:t>
      </w:r>
      <w:r w:rsidR="00975032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</w:t>
      </w:r>
      <w:r w:rsidR="00C327EE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dans le contexte du</w:t>
      </w:r>
      <w:r w:rsidR="00975032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</w:t>
      </w:r>
      <w:r w:rsidR="00231CD8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Paragraphe 4 de l’article 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4</w:t>
      </w:r>
      <w:r w:rsidR="00975032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</w:t>
      </w:r>
      <w:r w:rsidR="005D3CDB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du Pro</w:t>
      </w:r>
      <w:r w:rsidR="00A01DA3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tocole de Nagoya</w:t>
      </w:r>
      <w:r w:rsidR="005432AC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sur 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L’accÈs aux ressources gÉnÉ</w:t>
      </w:r>
      <w:r w:rsidR="00231CD8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tiques</w:t>
      </w:r>
      <w:r w:rsidR="00623402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et </w:t>
      </w:r>
      <w:r w:rsidR="005432AC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le partage juste et 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É</w:t>
      </w:r>
      <w:r w:rsidR="00975032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quitable </w:t>
      </w:r>
      <w:r w:rsidR="00C327EE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des avantages dÉ</w:t>
      </w:r>
      <w:r w:rsidR="005432AC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coulant de leur Utilis</w:t>
      </w:r>
      <w:r w:rsidR="00975032" w:rsidRPr="0062340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ation</w:t>
      </w:r>
    </w:p>
    <w:p w:rsidR="00975032" w:rsidRPr="00CA0357" w:rsidRDefault="008B0995" w:rsidP="009F4D84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snapToGrid w:val="0"/>
          <w:kern w:val="22"/>
          <w:szCs w:val="22"/>
          <w:lang w:val="fr-FR"/>
        </w:rPr>
      </w:pPr>
      <w:r w:rsidRPr="00CA0357">
        <w:rPr>
          <w:bCs/>
          <w:snapToGrid w:val="0"/>
          <w:kern w:val="22"/>
          <w:szCs w:val="22"/>
          <w:lang w:val="fr-FR"/>
        </w:rPr>
        <w:t>1.</w:t>
      </w:r>
      <w:r w:rsidRPr="00CA0357">
        <w:rPr>
          <w:bCs/>
          <w:snapToGrid w:val="0"/>
          <w:kern w:val="22"/>
          <w:szCs w:val="22"/>
          <w:lang w:val="fr-FR"/>
        </w:rPr>
        <w:tab/>
      </w:r>
      <w:r w:rsidR="00E52AAB">
        <w:rPr>
          <w:bCs/>
          <w:i/>
          <w:iCs/>
          <w:snapToGrid w:val="0"/>
          <w:kern w:val="22"/>
          <w:szCs w:val="22"/>
          <w:lang w:val="fr-FR"/>
        </w:rPr>
        <w:t>Conclu au niveau</w:t>
      </w:r>
      <w:r w:rsidR="000F39DA">
        <w:rPr>
          <w:bCs/>
          <w:i/>
          <w:iCs/>
          <w:snapToGrid w:val="0"/>
          <w:kern w:val="22"/>
          <w:szCs w:val="22"/>
          <w:lang w:val="fr-FR"/>
        </w:rPr>
        <w:t xml:space="preserve"> </w:t>
      </w:r>
      <w:r w:rsidR="005432AC" w:rsidRPr="00CA0357">
        <w:rPr>
          <w:bCs/>
          <w:i/>
          <w:iCs/>
          <w:snapToGrid w:val="0"/>
          <w:kern w:val="22"/>
          <w:szCs w:val="22"/>
          <w:lang w:val="fr-FR"/>
        </w:rPr>
        <w:t>intergouvernemental</w:t>
      </w:r>
      <w:r w:rsidR="00975032" w:rsidRPr="00CA0357">
        <w:rPr>
          <w:bCs/>
          <w:snapToGrid w:val="0"/>
          <w:kern w:val="22"/>
          <w:szCs w:val="22"/>
          <w:lang w:val="fr-FR"/>
        </w:rPr>
        <w:t xml:space="preserve"> </w:t>
      </w:r>
      <w:r w:rsidR="004A791D" w:rsidRPr="00CA0357">
        <w:rPr>
          <w:bCs/>
          <w:snapToGrid w:val="0"/>
          <w:kern w:val="22"/>
          <w:szCs w:val="22"/>
          <w:lang w:val="fr-FR"/>
        </w:rPr>
        <w:t>—</w:t>
      </w:r>
      <w:r w:rsidR="00975032" w:rsidRPr="00CA0357">
        <w:rPr>
          <w:bCs/>
          <w:snapToGrid w:val="0"/>
          <w:kern w:val="22"/>
          <w:szCs w:val="22"/>
          <w:lang w:val="fr-FR"/>
        </w:rPr>
        <w:t xml:space="preserve"> </w:t>
      </w:r>
      <w:r w:rsidR="00CA0357" w:rsidRPr="00CA0357">
        <w:rPr>
          <w:snapToGrid w:val="0"/>
          <w:kern w:val="22"/>
          <w:szCs w:val="22"/>
          <w:lang w:val="fr-FR"/>
        </w:rPr>
        <w:t xml:space="preserve">L’instrument est élaboré et conclu dans le cadre d’un processus </w:t>
      </w:r>
      <w:r w:rsidR="00231CD8" w:rsidRPr="00CA0357">
        <w:rPr>
          <w:snapToGrid w:val="0"/>
          <w:kern w:val="22"/>
          <w:szCs w:val="22"/>
          <w:lang w:val="fr-FR"/>
        </w:rPr>
        <w:t>intergouvernemental</w:t>
      </w:r>
      <w:r w:rsidR="0012000A" w:rsidRPr="00CA0357">
        <w:rPr>
          <w:snapToGrid w:val="0"/>
          <w:kern w:val="22"/>
          <w:szCs w:val="22"/>
          <w:lang w:val="fr-FR"/>
        </w:rPr>
        <w:t xml:space="preserve">. </w:t>
      </w:r>
      <w:r w:rsidR="00CA0357" w:rsidRPr="00CA0357">
        <w:rPr>
          <w:snapToGrid w:val="0"/>
          <w:kern w:val="22"/>
          <w:szCs w:val="22"/>
          <w:lang w:val="fr-FR"/>
        </w:rPr>
        <w:t>L’</w:t>
      </w:r>
      <w:r w:rsidR="0012000A" w:rsidRPr="00CA0357">
        <w:rPr>
          <w:snapToGrid w:val="0"/>
          <w:kern w:val="22"/>
          <w:szCs w:val="22"/>
          <w:lang w:val="fr-FR"/>
        </w:rPr>
        <w:t>instrument</w:t>
      </w:r>
      <w:r w:rsidR="00CA0357" w:rsidRPr="00CA0357">
        <w:rPr>
          <w:snapToGrid w:val="0"/>
          <w:kern w:val="22"/>
          <w:szCs w:val="22"/>
          <w:lang w:val="fr-FR"/>
        </w:rPr>
        <w:t xml:space="preserve"> peut être </w:t>
      </w:r>
      <w:r w:rsidR="00C327EE">
        <w:rPr>
          <w:snapToGrid w:val="0"/>
          <w:kern w:val="22"/>
          <w:szCs w:val="22"/>
          <w:lang w:val="fr-FR"/>
        </w:rPr>
        <w:t xml:space="preserve">juridiquement </w:t>
      </w:r>
      <w:r w:rsidR="00CA0357" w:rsidRPr="00CA0357">
        <w:rPr>
          <w:snapToGrid w:val="0"/>
          <w:kern w:val="22"/>
          <w:szCs w:val="22"/>
          <w:lang w:val="fr-FR"/>
        </w:rPr>
        <w:t>contraignant ou non contraignant</w:t>
      </w:r>
      <w:r w:rsidR="008B7AD8" w:rsidRPr="00CA0357">
        <w:rPr>
          <w:snapToGrid w:val="0"/>
          <w:kern w:val="22"/>
          <w:szCs w:val="22"/>
          <w:lang w:val="fr-FR"/>
        </w:rPr>
        <w:t>.</w:t>
      </w:r>
    </w:p>
    <w:p w:rsidR="0012000A" w:rsidRPr="000F39DA" w:rsidRDefault="008B0995" w:rsidP="009F4D84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b/>
          <w:snapToGrid w:val="0"/>
          <w:kern w:val="22"/>
          <w:szCs w:val="22"/>
          <w:lang w:val="fr-FR"/>
        </w:rPr>
      </w:pPr>
      <w:r w:rsidRPr="000F39DA">
        <w:rPr>
          <w:bCs/>
          <w:snapToGrid w:val="0"/>
          <w:kern w:val="22"/>
          <w:szCs w:val="22"/>
          <w:lang w:val="fr-FR"/>
        </w:rPr>
        <w:t>2.</w:t>
      </w:r>
      <w:r w:rsidRPr="000F39DA">
        <w:rPr>
          <w:bCs/>
          <w:snapToGrid w:val="0"/>
          <w:kern w:val="22"/>
          <w:szCs w:val="22"/>
          <w:lang w:val="fr-FR"/>
        </w:rPr>
        <w:tab/>
      </w:r>
      <w:r w:rsidR="0026155E" w:rsidRPr="000F39DA">
        <w:rPr>
          <w:bCs/>
          <w:i/>
          <w:iCs/>
          <w:snapToGrid w:val="0"/>
          <w:kern w:val="22"/>
          <w:szCs w:val="22"/>
          <w:lang w:val="fr-FR"/>
        </w:rPr>
        <w:t>Spécial</w:t>
      </w:r>
      <w:r w:rsidR="0012000A" w:rsidRPr="000F39DA">
        <w:rPr>
          <w:bCs/>
          <w:snapToGrid w:val="0"/>
          <w:kern w:val="22"/>
          <w:szCs w:val="22"/>
          <w:lang w:val="fr-FR"/>
        </w:rPr>
        <w:t xml:space="preserve"> </w:t>
      </w:r>
      <w:r w:rsidR="004A791D" w:rsidRPr="000F39DA">
        <w:rPr>
          <w:snapToGrid w:val="0"/>
          <w:kern w:val="22"/>
          <w:szCs w:val="22"/>
          <w:lang w:val="fr-FR"/>
        </w:rPr>
        <w:t>—</w:t>
      </w:r>
      <w:r w:rsidR="00101345" w:rsidRPr="000F39DA">
        <w:rPr>
          <w:snapToGrid w:val="0"/>
          <w:kern w:val="22"/>
          <w:szCs w:val="22"/>
          <w:lang w:val="fr-FR"/>
        </w:rPr>
        <w:t xml:space="preserve"> L’instrument </w:t>
      </w:r>
      <w:r w:rsidR="0012000A" w:rsidRPr="000F39DA">
        <w:rPr>
          <w:snapToGrid w:val="0"/>
          <w:kern w:val="22"/>
          <w:szCs w:val="22"/>
          <w:lang w:val="fr-FR"/>
        </w:rPr>
        <w:t>:</w:t>
      </w:r>
    </w:p>
    <w:p w:rsidR="00975032" w:rsidRPr="00C32630" w:rsidRDefault="00101345" w:rsidP="009F4D84">
      <w:pPr>
        <w:pStyle w:val="ListParagraph"/>
        <w:numPr>
          <w:ilvl w:val="1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C32630">
        <w:rPr>
          <w:snapToGrid w:val="0"/>
          <w:kern w:val="22"/>
          <w:szCs w:val="22"/>
          <w:lang w:val="fr-FR"/>
        </w:rPr>
        <w:t>S’applique à</w:t>
      </w:r>
      <w:r w:rsidR="00C327EE">
        <w:rPr>
          <w:snapToGrid w:val="0"/>
          <w:kern w:val="22"/>
          <w:szCs w:val="22"/>
          <w:lang w:val="fr-FR"/>
        </w:rPr>
        <w:t xml:space="preserve"> un ensemble spécifique</w:t>
      </w:r>
      <w:r w:rsidR="00E14372">
        <w:rPr>
          <w:snapToGrid w:val="0"/>
          <w:kern w:val="22"/>
          <w:szCs w:val="22"/>
          <w:lang w:val="fr-FR"/>
        </w:rPr>
        <w:t xml:space="preserve"> de</w:t>
      </w:r>
      <w:r w:rsidR="00975032" w:rsidRPr="00C32630">
        <w:rPr>
          <w:snapToGrid w:val="0"/>
          <w:kern w:val="22"/>
          <w:szCs w:val="22"/>
          <w:lang w:val="fr-FR"/>
        </w:rPr>
        <w:t xml:space="preserve"> </w:t>
      </w:r>
      <w:r w:rsidR="0001030F" w:rsidRPr="00C32630">
        <w:rPr>
          <w:snapToGrid w:val="0"/>
          <w:kern w:val="22"/>
          <w:szCs w:val="22"/>
          <w:lang w:val="fr-FR"/>
        </w:rPr>
        <w:t>ressources génétiques</w:t>
      </w:r>
      <w:r w:rsidR="00975032" w:rsidRPr="00C32630">
        <w:rPr>
          <w:snapToGrid w:val="0"/>
          <w:kern w:val="22"/>
          <w:szCs w:val="22"/>
          <w:lang w:val="fr-FR"/>
        </w:rPr>
        <w:t xml:space="preserve"> </w:t>
      </w:r>
      <w:r w:rsidR="00C32630" w:rsidRPr="00C32630">
        <w:rPr>
          <w:snapToGrid w:val="0"/>
          <w:kern w:val="22"/>
          <w:szCs w:val="22"/>
          <w:lang w:val="fr-FR"/>
        </w:rPr>
        <w:t>et/ou</w:t>
      </w:r>
      <w:r w:rsidR="00975032" w:rsidRPr="00C32630">
        <w:rPr>
          <w:snapToGrid w:val="0"/>
          <w:kern w:val="22"/>
          <w:szCs w:val="22"/>
          <w:lang w:val="fr-FR"/>
        </w:rPr>
        <w:t xml:space="preserve"> </w:t>
      </w:r>
      <w:r w:rsidR="00C327EE">
        <w:rPr>
          <w:snapToGrid w:val="0"/>
          <w:kern w:val="22"/>
          <w:szCs w:val="22"/>
          <w:lang w:val="fr-FR"/>
        </w:rPr>
        <w:t xml:space="preserve">de </w:t>
      </w:r>
      <w:r w:rsidR="0001030F" w:rsidRPr="00C32630">
        <w:rPr>
          <w:snapToGrid w:val="0"/>
          <w:kern w:val="22"/>
          <w:szCs w:val="22"/>
          <w:lang w:val="fr-FR"/>
        </w:rPr>
        <w:t>connaissances traditionnelles</w:t>
      </w:r>
      <w:r w:rsidR="00975032" w:rsidRPr="00C32630">
        <w:rPr>
          <w:snapToGrid w:val="0"/>
          <w:kern w:val="22"/>
          <w:szCs w:val="22"/>
          <w:lang w:val="fr-FR"/>
        </w:rPr>
        <w:t xml:space="preserve"> </w:t>
      </w:r>
      <w:r w:rsidR="00C32630">
        <w:rPr>
          <w:snapToGrid w:val="0"/>
          <w:kern w:val="22"/>
          <w:szCs w:val="22"/>
          <w:lang w:val="fr-FR"/>
        </w:rPr>
        <w:t>associées aux</w:t>
      </w:r>
      <w:r w:rsidR="00B55D08" w:rsidRPr="00C32630">
        <w:rPr>
          <w:snapToGrid w:val="0"/>
          <w:kern w:val="22"/>
          <w:szCs w:val="22"/>
          <w:lang w:val="fr-FR"/>
        </w:rPr>
        <w:t xml:space="preserve"> </w:t>
      </w:r>
      <w:r w:rsidR="0001030F" w:rsidRPr="00C32630">
        <w:rPr>
          <w:snapToGrid w:val="0"/>
          <w:kern w:val="22"/>
          <w:szCs w:val="22"/>
          <w:lang w:val="fr-FR"/>
        </w:rPr>
        <w:t>ressources génétiques</w:t>
      </w:r>
      <w:r w:rsidR="00E14372">
        <w:rPr>
          <w:snapToGrid w:val="0"/>
          <w:kern w:val="22"/>
          <w:szCs w:val="22"/>
          <w:lang w:val="fr-FR"/>
        </w:rPr>
        <w:t xml:space="preserve">, qui entrent dans le champ d’application du </w:t>
      </w:r>
      <w:r w:rsidR="005D3CDB" w:rsidRPr="00C32630">
        <w:rPr>
          <w:snapToGrid w:val="0"/>
          <w:kern w:val="22"/>
          <w:szCs w:val="22"/>
          <w:lang w:val="fr-FR"/>
        </w:rPr>
        <w:t>Pro</w:t>
      </w:r>
      <w:r w:rsidR="00A01DA3" w:rsidRPr="00C32630">
        <w:rPr>
          <w:snapToGrid w:val="0"/>
          <w:kern w:val="22"/>
          <w:szCs w:val="22"/>
          <w:lang w:val="fr-FR"/>
        </w:rPr>
        <w:t>tocole de Nagoya</w:t>
      </w:r>
      <w:r w:rsidR="00975032" w:rsidRPr="00C32630">
        <w:rPr>
          <w:snapToGrid w:val="0"/>
          <w:kern w:val="22"/>
          <w:szCs w:val="22"/>
          <w:lang w:val="fr-FR"/>
        </w:rPr>
        <w:t>;</w:t>
      </w:r>
    </w:p>
    <w:p w:rsidR="00975032" w:rsidRPr="00B55D08" w:rsidRDefault="00E14372" w:rsidP="009F4D84">
      <w:pPr>
        <w:pStyle w:val="ListParagraph"/>
        <w:numPr>
          <w:ilvl w:val="1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S’app</w:t>
      </w:r>
      <w:r w:rsidR="00C327EE">
        <w:rPr>
          <w:snapToGrid w:val="0"/>
          <w:kern w:val="22"/>
          <w:szCs w:val="22"/>
          <w:lang w:val="fr-FR"/>
        </w:rPr>
        <w:t>lique à des utilisations spécifique</w:t>
      </w:r>
      <w:r w:rsidR="007D1A9C">
        <w:rPr>
          <w:snapToGrid w:val="0"/>
          <w:kern w:val="22"/>
          <w:szCs w:val="22"/>
          <w:lang w:val="fr-FR"/>
        </w:rPr>
        <w:t>s de</w:t>
      </w:r>
      <w:r w:rsidR="00975032" w:rsidRPr="00B55D08">
        <w:rPr>
          <w:snapToGrid w:val="0"/>
          <w:kern w:val="22"/>
          <w:szCs w:val="22"/>
          <w:lang w:val="fr-FR"/>
        </w:rPr>
        <w:t xml:space="preserve"> </w:t>
      </w:r>
      <w:r w:rsidR="0001030F" w:rsidRPr="00B55D08">
        <w:rPr>
          <w:snapToGrid w:val="0"/>
          <w:kern w:val="22"/>
          <w:szCs w:val="22"/>
          <w:lang w:val="fr-FR"/>
        </w:rPr>
        <w:t>ressources génétiques</w:t>
      </w:r>
      <w:r w:rsidR="00975032" w:rsidRPr="00B55D08">
        <w:rPr>
          <w:snapToGrid w:val="0"/>
          <w:kern w:val="22"/>
          <w:szCs w:val="22"/>
          <w:lang w:val="fr-FR"/>
        </w:rPr>
        <w:t xml:space="preserve"> </w:t>
      </w:r>
      <w:r w:rsidR="00C32630">
        <w:rPr>
          <w:snapToGrid w:val="0"/>
          <w:kern w:val="22"/>
          <w:szCs w:val="22"/>
          <w:lang w:val="fr-FR"/>
        </w:rPr>
        <w:t>et/ou</w:t>
      </w:r>
      <w:r w:rsidR="00975032" w:rsidRPr="00B55D08">
        <w:rPr>
          <w:snapToGrid w:val="0"/>
          <w:kern w:val="22"/>
          <w:szCs w:val="22"/>
          <w:lang w:val="fr-FR"/>
        </w:rPr>
        <w:t xml:space="preserve"> </w:t>
      </w:r>
      <w:r w:rsidR="007D1A9C">
        <w:rPr>
          <w:snapToGrid w:val="0"/>
          <w:kern w:val="22"/>
          <w:szCs w:val="22"/>
          <w:lang w:val="fr-FR"/>
        </w:rPr>
        <w:t xml:space="preserve">de </w:t>
      </w:r>
      <w:r w:rsidR="0001030F" w:rsidRPr="00B55D08">
        <w:rPr>
          <w:snapToGrid w:val="0"/>
          <w:kern w:val="22"/>
          <w:szCs w:val="22"/>
          <w:lang w:val="fr-FR"/>
        </w:rPr>
        <w:t>connaissances traditionnelles</w:t>
      </w:r>
      <w:r w:rsidR="00975032" w:rsidRPr="00B55D08">
        <w:rPr>
          <w:snapToGrid w:val="0"/>
          <w:kern w:val="22"/>
          <w:szCs w:val="22"/>
          <w:lang w:val="fr-FR"/>
        </w:rPr>
        <w:t xml:space="preserve"> </w:t>
      </w:r>
      <w:r w:rsidR="00C32630">
        <w:rPr>
          <w:snapToGrid w:val="0"/>
          <w:kern w:val="22"/>
          <w:szCs w:val="22"/>
          <w:lang w:val="fr-FR"/>
        </w:rPr>
        <w:t>associées aux</w:t>
      </w:r>
      <w:r w:rsidR="00B55D08" w:rsidRPr="00B55D08">
        <w:rPr>
          <w:snapToGrid w:val="0"/>
          <w:kern w:val="22"/>
          <w:szCs w:val="22"/>
          <w:lang w:val="fr-FR"/>
        </w:rPr>
        <w:t xml:space="preserve"> </w:t>
      </w:r>
      <w:r w:rsidR="0001030F" w:rsidRPr="00B55D08">
        <w:rPr>
          <w:snapToGrid w:val="0"/>
          <w:kern w:val="22"/>
          <w:szCs w:val="22"/>
          <w:lang w:val="fr-FR"/>
        </w:rPr>
        <w:t>ressources génétiques</w:t>
      </w:r>
      <w:r>
        <w:rPr>
          <w:snapToGrid w:val="0"/>
          <w:kern w:val="22"/>
          <w:szCs w:val="22"/>
          <w:lang w:val="fr-FR"/>
        </w:rPr>
        <w:t>, qui nécess</w:t>
      </w:r>
      <w:r w:rsidR="007D1A9C">
        <w:rPr>
          <w:snapToGrid w:val="0"/>
          <w:kern w:val="22"/>
          <w:szCs w:val="22"/>
          <w:lang w:val="fr-FR"/>
        </w:rPr>
        <w:t>itent une approche différenciée</w:t>
      </w:r>
      <w:r>
        <w:rPr>
          <w:snapToGrid w:val="0"/>
          <w:kern w:val="22"/>
          <w:szCs w:val="22"/>
          <w:lang w:val="fr-FR"/>
        </w:rPr>
        <w:t xml:space="preserve"> et</w:t>
      </w:r>
      <w:r w:rsidR="007D1A9C">
        <w:rPr>
          <w:snapToGrid w:val="0"/>
          <w:kern w:val="22"/>
          <w:szCs w:val="22"/>
          <w:lang w:val="fr-FR"/>
        </w:rPr>
        <w:t>,</w:t>
      </w:r>
      <w:r>
        <w:rPr>
          <w:snapToGrid w:val="0"/>
          <w:kern w:val="22"/>
          <w:szCs w:val="22"/>
          <w:lang w:val="fr-FR"/>
        </w:rPr>
        <w:t xml:space="preserve"> par conséquent</w:t>
      </w:r>
      <w:r w:rsidR="007D1A9C">
        <w:rPr>
          <w:snapToGrid w:val="0"/>
          <w:kern w:val="22"/>
          <w:szCs w:val="22"/>
          <w:lang w:val="fr-FR"/>
        </w:rPr>
        <w:t>,</w:t>
      </w:r>
      <w:r>
        <w:rPr>
          <w:snapToGrid w:val="0"/>
          <w:kern w:val="22"/>
          <w:szCs w:val="22"/>
          <w:lang w:val="fr-FR"/>
        </w:rPr>
        <w:t xml:space="preserve"> spéciale</w:t>
      </w:r>
      <w:r w:rsidR="0012000A" w:rsidRPr="00B55D08">
        <w:rPr>
          <w:snapToGrid w:val="0"/>
          <w:kern w:val="22"/>
          <w:szCs w:val="22"/>
          <w:lang w:val="fr-FR"/>
        </w:rPr>
        <w:t>.</w:t>
      </w:r>
    </w:p>
    <w:p w:rsidR="0012000A" w:rsidRPr="00B55D08" w:rsidRDefault="008B0995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snapToGrid w:val="0"/>
          <w:kern w:val="22"/>
          <w:szCs w:val="22"/>
          <w:lang w:val="fr-FR"/>
        </w:rPr>
      </w:pPr>
      <w:r w:rsidRPr="00B55D08">
        <w:rPr>
          <w:bCs/>
          <w:snapToGrid w:val="0"/>
          <w:kern w:val="22"/>
          <w:szCs w:val="22"/>
          <w:lang w:val="fr-FR"/>
        </w:rPr>
        <w:t>3.</w:t>
      </w:r>
      <w:r w:rsidRPr="00B55D08">
        <w:rPr>
          <w:bCs/>
          <w:snapToGrid w:val="0"/>
          <w:kern w:val="22"/>
          <w:szCs w:val="22"/>
          <w:lang w:val="fr-FR"/>
        </w:rPr>
        <w:tab/>
      </w:r>
      <w:r w:rsidR="00E14372">
        <w:rPr>
          <w:bCs/>
          <w:i/>
          <w:iCs/>
          <w:snapToGrid w:val="0"/>
          <w:kern w:val="22"/>
          <w:szCs w:val="22"/>
          <w:lang w:val="fr-FR"/>
        </w:rPr>
        <w:t>Renforcement mutuel</w:t>
      </w:r>
      <w:r w:rsidR="0012000A" w:rsidRPr="00B55D08">
        <w:rPr>
          <w:bCs/>
          <w:snapToGrid w:val="0"/>
          <w:kern w:val="22"/>
          <w:szCs w:val="22"/>
          <w:lang w:val="fr-FR"/>
        </w:rPr>
        <w:t xml:space="preserve"> </w:t>
      </w:r>
      <w:r w:rsidR="004A791D" w:rsidRPr="00B55D08">
        <w:rPr>
          <w:bCs/>
          <w:snapToGrid w:val="0"/>
          <w:kern w:val="22"/>
          <w:szCs w:val="22"/>
          <w:lang w:val="fr-FR"/>
        </w:rPr>
        <w:t>—</w:t>
      </w:r>
      <w:r w:rsidR="0012000A" w:rsidRPr="00B55D08">
        <w:rPr>
          <w:bCs/>
          <w:snapToGrid w:val="0"/>
          <w:kern w:val="22"/>
          <w:szCs w:val="22"/>
          <w:lang w:val="fr-FR"/>
        </w:rPr>
        <w:t xml:space="preserve"> </w:t>
      </w:r>
      <w:r w:rsidR="00E14372">
        <w:rPr>
          <w:snapToGrid w:val="0"/>
          <w:kern w:val="22"/>
          <w:szCs w:val="22"/>
          <w:lang w:val="fr-FR"/>
        </w:rPr>
        <w:t>L’</w:t>
      </w:r>
      <w:r w:rsidR="0012000A" w:rsidRPr="00B55D08">
        <w:rPr>
          <w:snapToGrid w:val="0"/>
          <w:kern w:val="22"/>
          <w:szCs w:val="22"/>
          <w:lang w:val="fr-FR"/>
        </w:rPr>
        <w:t xml:space="preserve">instrument </w:t>
      </w:r>
      <w:r w:rsidR="00E14372">
        <w:rPr>
          <w:snapToGrid w:val="0"/>
          <w:kern w:val="22"/>
          <w:szCs w:val="22"/>
          <w:lang w:val="fr-FR"/>
        </w:rPr>
        <w:t xml:space="preserve">est complémentaire et compatible avec les </w:t>
      </w:r>
      <w:r w:rsidR="005D3CDB" w:rsidRPr="00B55D08">
        <w:rPr>
          <w:snapToGrid w:val="0"/>
          <w:kern w:val="22"/>
          <w:szCs w:val="22"/>
          <w:lang w:val="fr-FR"/>
        </w:rPr>
        <w:t>objectifs</w:t>
      </w:r>
      <w:r w:rsidR="0012000A" w:rsidRPr="00B55D08">
        <w:rPr>
          <w:snapToGrid w:val="0"/>
          <w:kern w:val="22"/>
          <w:szCs w:val="22"/>
          <w:lang w:val="fr-FR"/>
        </w:rPr>
        <w:t xml:space="preserve"> </w:t>
      </w:r>
      <w:r w:rsidR="0001030F" w:rsidRPr="00B55D08">
        <w:rPr>
          <w:snapToGrid w:val="0"/>
          <w:kern w:val="22"/>
          <w:szCs w:val="22"/>
          <w:lang w:val="fr-FR"/>
        </w:rPr>
        <w:t>de la Co</w:t>
      </w:r>
      <w:r w:rsidR="0012000A" w:rsidRPr="00B55D08">
        <w:rPr>
          <w:snapToGrid w:val="0"/>
          <w:kern w:val="22"/>
          <w:szCs w:val="22"/>
          <w:lang w:val="fr-FR"/>
        </w:rPr>
        <w:t xml:space="preserve">nvention </w:t>
      </w:r>
      <w:r w:rsidR="005D3CDB" w:rsidRPr="00B55D08">
        <w:rPr>
          <w:snapToGrid w:val="0"/>
          <w:kern w:val="22"/>
          <w:szCs w:val="22"/>
          <w:lang w:val="fr-FR"/>
        </w:rPr>
        <w:t>sur la diversité biologique</w:t>
      </w:r>
      <w:r w:rsidR="00623402" w:rsidRPr="00B55D08">
        <w:rPr>
          <w:snapToGrid w:val="0"/>
          <w:kern w:val="22"/>
          <w:szCs w:val="22"/>
          <w:lang w:val="fr-FR"/>
        </w:rPr>
        <w:t xml:space="preserve"> et </w:t>
      </w:r>
      <w:r w:rsidR="007D1A9C">
        <w:rPr>
          <w:snapToGrid w:val="0"/>
          <w:kern w:val="22"/>
          <w:szCs w:val="22"/>
          <w:lang w:val="fr-FR"/>
        </w:rPr>
        <w:t>du</w:t>
      </w:r>
      <w:r w:rsidR="0022338A" w:rsidRPr="00B55D08">
        <w:rPr>
          <w:snapToGrid w:val="0"/>
          <w:kern w:val="22"/>
          <w:szCs w:val="22"/>
          <w:lang w:val="fr-FR"/>
        </w:rPr>
        <w:t xml:space="preserve"> </w:t>
      </w:r>
      <w:r w:rsidR="00A01DA3" w:rsidRPr="00B55D08">
        <w:rPr>
          <w:snapToGrid w:val="0"/>
          <w:kern w:val="22"/>
          <w:szCs w:val="22"/>
          <w:lang w:val="fr-FR"/>
        </w:rPr>
        <w:t>Protocole de Nagoya</w:t>
      </w:r>
      <w:r w:rsidR="000C580B" w:rsidRPr="00B55D08">
        <w:rPr>
          <w:snapToGrid w:val="0"/>
          <w:kern w:val="22"/>
          <w:szCs w:val="22"/>
          <w:lang w:val="fr-FR"/>
        </w:rPr>
        <w:t xml:space="preserve">, </w:t>
      </w:r>
      <w:r w:rsidR="00E14372">
        <w:rPr>
          <w:snapToGrid w:val="0"/>
          <w:kern w:val="22"/>
          <w:szCs w:val="22"/>
          <w:lang w:val="fr-FR"/>
        </w:rPr>
        <w:t xml:space="preserve">et ne va pas à l’encontre de ces objectifs, </w:t>
      </w:r>
      <w:r w:rsidR="005D3CDB" w:rsidRPr="00B55D08">
        <w:rPr>
          <w:snapToGrid w:val="0"/>
          <w:kern w:val="22"/>
          <w:szCs w:val="22"/>
          <w:lang w:val="fr-FR"/>
        </w:rPr>
        <w:t>y compris</w:t>
      </w:r>
      <w:r w:rsidR="00E14372">
        <w:rPr>
          <w:snapToGrid w:val="0"/>
          <w:kern w:val="22"/>
          <w:szCs w:val="22"/>
          <w:lang w:val="fr-FR"/>
        </w:rPr>
        <w:t xml:space="preserve"> en ce qui concerne les éléments suivants</w:t>
      </w:r>
      <w:r w:rsidR="000C580B" w:rsidRPr="00B55D08">
        <w:rPr>
          <w:snapToGrid w:val="0"/>
          <w:kern w:val="22"/>
          <w:szCs w:val="22"/>
          <w:lang w:val="fr-FR"/>
        </w:rPr>
        <w:t>:</w:t>
      </w:r>
    </w:p>
    <w:p w:rsidR="00975032" w:rsidRPr="00101345" w:rsidRDefault="00101345" w:rsidP="009F4D84">
      <w:pPr>
        <w:numPr>
          <w:ilvl w:val="1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 w:rsidRPr="00101345">
        <w:rPr>
          <w:snapToGrid w:val="0"/>
          <w:kern w:val="22"/>
          <w:szCs w:val="22"/>
          <w:lang w:val="fr-FR"/>
        </w:rPr>
        <w:t xml:space="preserve">Compatible avec les objectifs de </w:t>
      </w:r>
      <w:r w:rsidR="00975032" w:rsidRPr="00101345">
        <w:rPr>
          <w:snapToGrid w:val="0"/>
          <w:kern w:val="22"/>
          <w:szCs w:val="22"/>
          <w:lang w:val="fr-FR"/>
        </w:rPr>
        <w:t>conservation</w:t>
      </w:r>
      <w:r w:rsidR="00623402" w:rsidRPr="00101345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d</w:t>
      </w:r>
      <w:r w:rsidRPr="00101345">
        <w:rPr>
          <w:snapToGrid w:val="0"/>
          <w:kern w:val="22"/>
          <w:szCs w:val="22"/>
          <w:lang w:val="fr-FR"/>
        </w:rPr>
        <w:t>’utilisation durable</w:t>
      </w:r>
      <w:r w:rsidR="00975032" w:rsidRPr="00101345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de la diversité biologique</w:t>
      </w:r>
      <w:r w:rsidR="00975032" w:rsidRPr="00101345">
        <w:rPr>
          <w:snapToGrid w:val="0"/>
          <w:kern w:val="22"/>
          <w:szCs w:val="22"/>
          <w:lang w:val="fr-FR"/>
        </w:rPr>
        <w:t>;</w:t>
      </w:r>
    </w:p>
    <w:p w:rsidR="00975032" w:rsidRPr="00101345" w:rsidRDefault="00E14372" w:rsidP="009F4D84">
      <w:pPr>
        <w:numPr>
          <w:ilvl w:val="1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Justice </w:t>
      </w:r>
      <w:r w:rsidR="00623402" w:rsidRPr="00101345">
        <w:rPr>
          <w:snapToGrid w:val="0"/>
          <w:kern w:val="22"/>
          <w:szCs w:val="22"/>
          <w:lang w:val="fr-FR"/>
        </w:rPr>
        <w:t xml:space="preserve">et </w:t>
      </w:r>
      <w:r>
        <w:rPr>
          <w:snapToGrid w:val="0"/>
          <w:kern w:val="22"/>
          <w:szCs w:val="22"/>
          <w:lang w:val="fr-FR"/>
        </w:rPr>
        <w:t>é</w:t>
      </w:r>
      <w:r w:rsidR="00101345" w:rsidRPr="00101345">
        <w:rPr>
          <w:snapToGrid w:val="0"/>
          <w:kern w:val="22"/>
          <w:szCs w:val="22"/>
          <w:lang w:val="fr-FR"/>
        </w:rPr>
        <w:t>quité</w:t>
      </w:r>
      <w:r w:rsidR="00975032" w:rsidRPr="00101345">
        <w:rPr>
          <w:snapToGrid w:val="0"/>
          <w:kern w:val="22"/>
          <w:szCs w:val="22"/>
          <w:lang w:val="fr-FR"/>
        </w:rPr>
        <w:t xml:space="preserve"> </w:t>
      </w:r>
      <w:r w:rsidR="00101345" w:rsidRPr="00101345">
        <w:rPr>
          <w:snapToGrid w:val="0"/>
          <w:kern w:val="22"/>
          <w:szCs w:val="22"/>
          <w:lang w:val="fr-FR"/>
        </w:rPr>
        <w:t>dans le</w:t>
      </w:r>
      <w:r>
        <w:rPr>
          <w:snapToGrid w:val="0"/>
          <w:kern w:val="22"/>
          <w:szCs w:val="22"/>
          <w:lang w:val="fr-FR"/>
        </w:rPr>
        <w:t xml:space="preserve"> cadre du</w:t>
      </w:r>
      <w:r w:rsidR="00101345" w:rsidRPr="00101345">
        <w:rPr>
          <w:snapToGrid w:val="0"/>
          <w:kern w:val="22"/>
          <w:szCs w:val="22"/>
          <w:lang w:val="fr-FR"/>
        </w:rPr>
        <w:t xml:space="preserve"> partage des avantages</w:t>
      </w:r>
      <w:r w:rsidR="00975032" w:rsidRPr="00101345">
        <w:rPr>
          <w:snapToGrid w:val="0"/>
          <w:kern w:val="22"/>
          <w:szCs w:val="22"/>
          <w:lang w:val="fr-FR"/>
        </w:rPr>
        <w:t>;</w:t>
      </w:r>
    </w:p>
    <w:p w:rsidR="00975032" w:rsidRPr="00B55D08" w:rsidRDefault="00C01103" w:rsidP="009F4D84">
      <w:pPr>
        <w:numPr>
          <w:ilvl w:val="1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Sécurité juridique</w:t>
      </w:r>
      <w:r w:rsidR="00E14372">
        <w:rPr>
          <w:snapToGrid w:val="0"/>
          <w:kern w:val="22"/>
          <w:szCs w:val="22"/>
          <w:lang w:val="fr-FR"/>
        </w:rPr>
        <w:t xml:space="preserve"> en ce qui concerne</w:t>
      </w:r>
      <w:r w:rsidR="00975032" w:rsidRPr="00B55D08">
        <w:rPr>
          <w:snapToGrid w:val="0"/>
          <w:kern w:val="22"/>
          <w:szCs w:val="22"/>
          <w:lang w:val="fr-FR"/>
        </w:rPr>
        <w:t xml:space="preserve"> </w:t>
      </w:r>
      <w:r w:rsidR="0001030F" w:rsidRPr="00B55D08">
        <w:rPr>
          <w:snapToGrid w:val="0"/>
          <w:kern w:val="22"/>
          <w:szCs w:val="22"/>
          <w:lang w:val="fr-FR"/>
        </w:rPr>
        <w:t>l’accès aux ressources génétiques</w:t>
      </w:r>
      <w:r w:rsidR="00E14372">
        <w:rPr>
          <w:snapToGrid w:val="0"/>
          <w:kern w:val="22"/>
          <w:szCs w:val="22"/>
          <w:lang w:val="fr-FR"/>
        </w:rPr>
        <w:t xml:space="preserve"> ou aux </w:t>
      </w:r>
      <w:r w:rsidR="0001030F" w:rsidRPr="00B55D08">
        <w:rPr>
          <w:snapToGrid w:val="0"/>
          <w:kern w:val="22"/>
          <w:szCs w:val="22"/>
          <w:lang w:val="fr-FR"/>
        </w:rPr>
        <w:t>connaissances traditionnelles</w:t>
      </w:r>
      <w:r w:rsidR="007D1A9C">
        <w:rPr>
          <w:snapToGrid w:val="0"/>
          <w:kern w:val="22"/>
          <w:szCs w:val="22"/>
          <w:lang w:val="fr-FR"/>
        </w:rPr>
        <w:t>, et</w:t>
      </w:r>
      <w:r w:rsidR="00623402" w:rsidRPr="00B55D08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le partage des avantages</w:t>
      </w:r>
      <w:r w:rsidR="00975032" w:rsidRPr="00B55D08">
        <w:rPr>
          <w:snapToGrid w:val="0"/>
          <w:kern w:val="22"/>
          <w:szCs w:val="22"/>
          <w:lang w:val="fr-FR"/>
        </w:rPr>
        <w:t>;</w:t>
      </w:r>
    </w:p>
    <w:p w:rsidR="00975032" w:rsidRPr="00E14372" w:rsidRDefault="00101345" w:rsidP="009F4D84">
      <w:pPr>
        <w:numPr>
          <w:ilvl w:val="1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vertAlign w:val="superscript"/>
          <w:lang w:val="fr-FR"/>
        </w:rPr>
      </w:pPr>
      <w:r w:rsidRPr="00E14372">
        <w:rPr>
          <w:snapToGrid w:val="0"/>
          <w:kern w:val="22"/>
          <w:szCs w:val="22"/>
          <w:lang w:val="fr-FR"/>
        </w:rPr>
        <w:t>Contribution au</w:t>
      </w:r>
      <w:r w:rsidR="00E14372" w:rsidRPr="00E14372">
        <w:rPr>
          <w:snapToGrid w:val="0"/>
          <w:kern w:val="22"/>
          <w:szCs w:val="22"/>
          <w:lang w:val="fr-FR"/>
        </w:rPr>
        <w:t xml:space="preserve"> </w:t>
      </w:r>
      <w:r w:rsidRPr="00E14372">
        <w:rPr>
          <w:snapToGrid w:val="0"/>
          <w:kern w:val="22"/>
          <w:szCs w:val="22"/>
          <w:lang w:val="fr-FR"/>
        </w:rPr>
        <w:t>développement durable</w:t>
      </w:r>
      <w:r w:rsidR="00975032" w:rsidRPr="00E14372">
        <w:rPr>
          <w:snapToGrid w:val="0"/>
          <w:kern w:val="22"/>
          <w:szCs w:val="22"/>
          <w:lang w:val="fr-FR"/>
        </w:rPr>
        <w:t xml:space="preserve">, </w:t>
      </w:r>
      <w:r w:rsidR="007D1A9C">
        <w:rPr>
          <w:snapToGrid w:val="0"/>
          <w:kern w:val="22"/>
          <w:szCs w:val="22"/>
          <w:lang w:val="fr-FR"/>
        </w:rPr>
        <w:t>tel que consacré</w:t>
      </w:r>
      <w:r w:rsidR="00E14372" w:rsidRPr="00E14372">
        <w:rPr>
          <w:snapToGrid w:val="0"/>
          <w:kern w:val="22"/>
          <w:szCs w:val="22"/>
          <w:lang w:val="fr-FR"/>
        </w:rPr>
        <w:t xml:space="preserve"> dans les objectifs </w:t>
      </w:r>
      <w:r w:rsidR="00D066C3">
        <w:rPr>
          <w:snapToGrid w:val="0"/>
          <w:kern w:val="22"/>
          <w:szCs w:val="22"/>
          <w:lang w:val="fr-FR"/>
        </w:rPr>
        <w:t>convenus au niveau international</w:t>
      </w:r>
      <w:r w:rsidR="00975032" w:rsidRPr="00E14372">
        <w:rPr>
          <w:snapToGrid w:val="0"/>
          <w:kern w:val="22"/>
          <w:szCs w:val="22"/>
          <w:lang w:val="fr-FR"/>
        </w:rPr>
        <w:t>;</w:t>
      </w:r>
    </w:p>
    <w:p w:rsidR="00975032" w:rsidRPr="00101345" w:rsidRDefault="00101345" w:rsidP="00B63C96">
      <w:pPr>
        <w:numPr>
          <w:ilvl w:val="1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720"/>
        <w:rPr>
          <w:snapToGrid w:val="0"/>
          <w:kern w:val="22"/>
          <w:szCs w:val="22"/>
          <w:lang w:val="fr-FR"/>
        </w:rPr>
      </w:pPr>
      <w:r w:rsidRPr="00101345">
        <w:rPr>
          <w:snapToGrid w:val="0"/>
          <w:kern w:val="22"/>
          <w:szCs w:val="22"/>
          <w:lang w:val="fr-FR"/>
        </w:rPr>
        <w:t>D’autres principes généraux du droit international</w:t>
      </w:r>
      <w:r w:rsidR="00126BD2" w:rsidRPr="00101345">
        <w:rPr>
          <w:snapToGrid w:val="0"/>
          <w:kern w:val="22"/>
          <w:szCs w:val="22"/>
          <w:lang w:val="fr-FR"/>
        </w:rPr>
        <w:t>,</w:t>
      </w:r>
      <w:r w:rsidR="00975032" w:rsidRPr="00101345">
        <w:rPr>
          <w:snapToGrid w:val="0"/>
          <w:kern w:val="22"/>
          <w:szCs w:val="22"/>
          <w:lang w:val="fr-FR"/>
        </w:rPr>
        <w:t xml:space="preserve"> </w:t>
      </w:r>
      <w:r w:rsidR="005D3CDB" w:rsidRPr="00101345">
        <w:rPr>
          <w:snapToGrid w:val="0"/>
          <w:kern w:val="22"/>
          <w:szCs w:val="22"/>
          <w:lang w:val="fr-FR"/>
        </w:rPr>
        <w:t>y compris</w:t>
      </w:r>
      <w:r w:rsidR="00975032" w:rsidRPr="00101345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la bonne foi, l’efficacité et les attentes légitime</w:t>
      </w:r>
      <w:r w:rsidR="00975032" w:rsidRPr="00101345">
        <w:rPr>
          <w:snapToGrid w:val="0"/>
          <w:kern w:val="22"/>
          <w:szCs w:val="22"/>
          <w:lang w:val="fr-FR"/>
        </w:rPr>
        <w:t>s.</w:t>
      </w:r>
    </w:p>
    <w:p w:rsidR="00736BC2" w:rsidRPr="00CA0357" w:rsidRDefault="00CA6B87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  <w:lang w:val="fr-FR"/>
        </w:rPr>
      </w:pPr>
      <w:r w:rsidRPr="00BA2AE3">
        <w:rPr>
          <w:snapToGrid w:val="0"/>
          <w:kern w:val="22"/>
          <w:szCs w:val="22"/>
        </w:rPr>
        <w:t>__________</w:t>
      </w:r>
    </w:p>
    <w:sectPr w:rsidR="00736BC2" w:rsidRPr="00CA0357" w:rsidSect="00CA1572">
      <w:headerReference w:type="even" r:id="rId15"/>
      <w:headerReference w:type="default" r:id="rId16"/>
      <w:footerReference w:type="even" r:id="rId17"/>
      <w:footerReference w:type="first" r:id="rId1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38" w:rsidRDefault="00404B38">
      <w:r>
        <w:separator/>
      </w:r>
    </w:p>
  </w:endnote>
  <w:endnote w:type="continuationSeparator" w:id="0">
    <w:p w:rsidR="00404B38" w:rsidRDefault="0040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EE" w:rsidRDefault="00C327EE" w:rsidP="009F4D84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EE" w:rsidRDefault="00C327EE" w:rsidP="009F4D84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38" w:rsidRDefault="00404B38">
      <w:r>
        <w:separator/>
      </w:r>
    </w:p>
  </w:footnote>
  <w:footnote w:type="continuationSeparator" w:id="0">
    <w:p w:rsidR="00404B38" w:rsidRDefault="00404B38">
      <w:r>
        <w:continuationSeparator/>
      </w:r>
    </w:p>
  </w:footnote>
  <w:footnote w:id="1">
    <w:p w:rsidR="00C327EE" w:rsidRPr="00C3300B" w:rsidRDefault="00C327EE" w:rsidP="009F4D84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lang w:val="fr-FR"/>
        </w:rPr>
      </w:pPr>
      <w:r w:rsidRPr="00C3300B">
        <w:rPr>
          <w:rStyle w:val="FootnoteReference"/>
          <w:kern w:val="18"/>
          <w:u w:val="none"/>
          <w:lang w:val="fr-FR"/>
        </w:rPr>
        <w:t>*</w:t>
      </w:r>
      <w:r w:rsidRPr="00C3300B">
        <w:rPr>
          <w:kern w:val="18"/>
          <w:lang w:val="fr-FR"/>
        </w:rPr>
        <w:t xml:space="preserve"> </w:t>
      </w:r>
      <w:hyperlink r:id="rId1" w:history="1">
        <w:r w:rsidRPr="00C3300B">
          <w:rPr>
            <w:rStyle w:val="Hyperlink"/>
            <w:kern w:val="18"/>
            <w:lang w:val="fr-FR"/>
          </w:rPr>
          <w:t>CBD/SBI/2/1</w:t>
        </w:r>
      </w:hyperlink>
      <w:r w:rsidRPr="00C3300B">
        <w:rPr>
          <w:kern w:val="18"/>
          <w:lang w:val="fr-FR"/>
        </w:rPr>
        <w:t>.</w:t>
      </w:r>
    </w:p>
  </w:footnote>
  <w:footnote w:id="2">
    <w:p w:rsidR="00C327EE" w:rsidRPr="0001030F" w:rsidRDefault="00C327EE" w:rsidP="009F4D84">
      <w:pPr>
        <w:pStyle w:val="FootnoteText"/>
        <w:ind w:firstLine="0"/>
        <w:rPr>
          <w:lang w:val="fr-FR"/>
        </w:rPr>
      </w:pPr>
      <w:r w:rsidRPr="009F4D84">
        <w:rPr>
          <w:rStyle w:val="FootnoteReference"/>
          <w:u w:val="none"/>
          <w:vertAlign w:val="superscript"/>
        </w:rPr>
        <w:footnoteRef/>
      </w:r>
      <w:r w:rsidRPr="0001030F">
        <w:rPr>
          <w:lang w:val="fr-FR"/>
        </w:rPr>
        <w:t xml:space="preserve"> Organisation des Nations Unies, </w:t>
      </w:r>
      <w:r w:rsidRPr="0001030F">
        <w:rPr>
          <w:i/>
          <w:iCs/>
          <w:lang w:val="fr-FR"/>
        </w:rPr>
        <w:t>Recueil des traités</w:t>
      </w:r>
      <w:r w:rsidRPr="0001030F">
        <w:rPr>
          <w:lang w:val="fr-FR"/>
        </w:rPr>
        <w:t xml:space="preserve">, vol. 1155, </w:t>
      </w:r>
      <w:hyperlink r:id="rId2" w:history="1">
        <w:r w:rsidRPr="0001030F">
          <w:rPr>
            <w:rStyle w:val="Hyperlink"/>
            <w:lang w:val="fr-FR"/>
          </w:rPr>
          <w:t>No. 18232</w:t>
        </w:r>
      </w:hyperlink>
      <w:r w:rsidRPr="0001030F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C327EE" w:rsidRPr="004A102D" w:rsidRDefault="00C327EE" w:rsidP="009F4D84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 w:rsidRPr="004A102D">
          <w:rPr>
            <w:noProof/>
            <w:kern w:val="22"/>
          </w:rPr>
          <w:t>CBD/SBI/2/6</w:t>
        </w:r>
      </w:p>
    </w:sdtContent>
  </w:sdt>
  <w:p w:rsidR="00C327EE" w:rsidRPr="004A102D" w:rsidRDefault="00C327EE" w:rsidP="009F4D84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4A102D">
      <w:rPr>
        <w:noProof/>
        <w:kern w:val="22"/>
      </w:rPr>
      <w:t xml:space="preserve">Page </w:t>
    </w:r>
    <w:r w:rsidRPr="004A102D">
      <w:rPr>
        <w:noProof/>
        <w:kern w:val="22"/>
      </w:rPr>
      <w:fldChar w:fldCharType="begin"/>
    </w:r>
    <w:r w:rsidRPr="009F4D84">
      <w:rPr>
        <w:noProof/>
        <w:kern w:val="22"/>
      </w:rPr>
      <w:instrText xml:space="preserve"> PAGE   \* MERGEFORMAT </w:instrText>
    </w:r>
    <w:r w:rsidRPr="004A102D">
      <w:rPr>
        <w:noProof/>
        <w:kern w:val="22"/>
      </w:rPr>
      <w:fldChar w:fldCharType="separate"/>
    </w:r>
    <w:r w:rsidR="00F568F5">
      <w:rPr>
        <w:noProof/>
        <w:kern w:val="22"/>
      </w:rPr>
      <w:t>10</w:t>
    </w:r>
    <w:r w:rsidRPr="004A102D">
      <w:rPr>
        <w:noProof/>
        <w:kern w:val="22"/>
      </w:rPr>
      <w:fldChar w:fldCharType="end"/>
    </w:r>
  </w:p>
  <w:p w:rsidR="00C327EE" w:rsidRPr="0049005C" w:rsidRDefault="00C327EE" w:rsidP="009F4D84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C327EE" w:rsidRPr="005440A6" w:rsidRDefault="00C327EE" w:rsidP="009F4D84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CBD/SBI/2/6</w:t>
        </w:r>
      </w:p>
    </w:sdtContent>
  </w:sdt>
  <w:p w:rsidR="00C327EE" w:rsidRPr="005440A6" w:rsidRDefault="00C327EE" w:rsidP="009F4D84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F568F5">
      <w:rPr>
        <w:noProof/>
        <w:kern w:val="22"/>
      </w:rPr>
      <w:t>9</w:t>
    </w:r>
    <w:r w:rsidRPr="005440A6">
      <w:rPr>
        <w:noProof/>
        <w:kern w:val="22"/>
      </w:rPr>
      <w:fldChar w:fldCharType="end"/>
    </w:r>
  </w:p>
  <w:p w:rsidR="00C327EE" w:rsidRPr="005440A6" w:rsidRDefault="00C327EE" w:rsidP="009F4D84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481.6pt;height:408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EFF"/>
    <w:multiLevelType w:val="multilevel"/>
    <w:tmpl w:val="2F32E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2733062"/>
    <w:multiLevelType w:val="multilevel"/>
    <w:tmpl w:val="BBB82B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5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5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7653727"/>
    <w:multiLevelType w:val="hybridMultilevel"/>
    <w:tmpl w:val="2924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C40683F"/>
    <w:multiLevelType w:val="multilevel"/>
    <w:tmpl w:val="73502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0442B4"/>
    <w:multiLevelType w:val="multilevel"/>
    <w:tmpl w:val="A34C0F1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5"/>
      <w:numFmt w:val="lowerRoman"/>
      <w:pStyle w:val="Para3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5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DF4844"/>
    <w:multiLevelType w:val="hybridMultilevel"/>
    <w:tmpl w:val="1F14BDE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6F2440"/>
    <w:multiLevelType w:val="hybridMultilevel"/>
    <w:tmpl w:val="14020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43B8"/>
    <w:multiLevelType w:val="multilevel"/>
    <w:tmpl w:val="AE2418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109569F"/>
    <w:multiLevelType w:val="hybridMultilevel"/>
    <w:tmpl w:val="C3A8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C2318"/>
    <w:multiLevelType w:val="hybridMultilevel"/>
    <w:tmpl w:val="3FAE87CE"/>
    <w:lvl w:ilvl="0" w:tplc="552CE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6"/>
  </w:num>
  <w:num w:numId="5">
    <w:abstractNumId w:val="13"/>
  </w:num>
  <w:num w:numId="6">
    <w:abstractNumId w:val="23"/>
  </w:num>
  <w:num w:numId="7">
    <w:abstractNumId w:val="17"/>
  </w:num>
  <w:num w:numId="8">
    <w:abstractNumId w:val="15"/>
  </w:num>
  <w:num w:numId="9">
    <w:abstractNumId w:val="23"/>
  </w:num>
  <w:num w:numId="10">
    <w:abstractNumId w:val="21"/>
  </w:num>
  <w:num w:numId="11">
    <w:abstractNumId w:val="16"/>
  </w:num>
  <w:num w:numId="12">
    <w:abstractNumId w:val="8"/>
  </w:num>
  <w:num w:numId="13">
    <w:abstractNumId w:val="19"/>
  </w:num>
  <w:num w:numId="14">
    <w:abstractNumId w:val="1"/>
  </w:num>
  <w:num w:numId="15">
    <w:abstractNumId w:val="37"/>
  </w:num>
  <w:num w:numId="16">
    <w:abstractNumId w:val="28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30"/>
  </w:num>
  <w:num w:numId="22">
    <w:abstractNumId w:val="24"/>
  </w:num>
  <w:num w:numId="23">
    <w:abstractNumId w:val="9"/>
  </w:num>
  <w:num w:numId="24">
    <w:abstractNumId w:val="33"/>
  </w:num>
  <w:num w:numId="25">
    <w:abstractNumId w:val="34"/>
  </w:num>
  <w:num w:numId="26">
    <w:abstractNumId w:val="18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31"/>
  </w:num>
  <w:num w:numId="36">
    <w:abstractNumId w:val="29"/>
  </w:num>
  <w:num w:numId="37">
    <w:abstractNumId w:val="32"/>
  </w:num>
  <w:num w:numId="38">
    <w:abstractNumId w:val="20"/>
  </w:num>
  <w:num w:numId="39">
    <w:abstractNumId w:val="5"/>
  </w:num>
  <w:num w:numId="40">
    <w:abstractNumId w:val="26"/>
  </w:num>
  <w:num w:numId="41">
    <w:abstractNumId w:val="25"/>
  </w:num>
  <w:num w:numId="42">
    <w:abstractNumId w:val="35"/>
  </w:num>
  <w:num w:numId="43">
    <w:abstractNumId w:val="23"/>
  </w:num>
  <w:num w:numId="44">
    <w:abstractNumId w:val="23"/>
    <w:lvlOverride w:ilvl="0">
      <w:startOverride w:val="4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22"/>
  </w:num>
  <w:num w:numId="50">
    <w:abstractNumId w:val="27"/>
  </w:num>
  <w:num w:numId="51">
    <w:abstractNumId w:val="23"/>
  </w:num>
  <w:num w:numId="52">
    <w:abstractNumId w:val="14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05D6"/>
    <w:rsid w:val="00000E9B"/>
    <w:rsid w:val="00006E5C"/>
    <w:rsid w:val="000076A8"/>
    <w:rsid w:val="0001030F"/>
    <w:rsid w:val="000151FE"/>
    <w:rsid w:val="000219AC"/>
    <w:rsid w:val="00023064"/>
    <w:rsid w:val="00023AE4"/>
    <w:rsid w:val="00031D24"/>
    <w:rsid w:val="0003707F"/>
    <w:rsid w:val="00037873"/>
    <w:rsid w:val="00041BC3"/>
    <w:rsid w:val="00044BEE"/>
    <w:rsid w:val="000467DC"/>
    <w:rsid w:val="00054381"/>
    <w:rsid w:val="00057387"/>
    <w:rsid w:val="00061A11"/>
    <w:rsid w:val="0006758E"/>
    <w:rsid w:val="00067B4A"/>
    <w:rsid w:val="000711E1"/>
    <w:rsid w:val="00073708"/>
    <w:rsid w:val="00082280"/>
    <w:rsid w:val="00082C5E"/>
    <w:rsid w:val="00091A03"/>
    <w:rsid w:val="000B2362"/>
    <w:rsid w:val="000B4686"/>
    <w:rsid w:val="000B60F0"/>
    <w:rsid w:val="000C580B"/>
    <w:rsid w:val="000D2984"/>
    <w:rsid w:val="000D442D"/>
    <w:rsid w:val="000E637D"/>
    <w:rsid w:val="000E7E6A"/>
    <w:rsid w:val="000F39DA"/>
    <w:rsid w:val="000F4C96"/>
    <w:rsid w:val="000F63AB"/>
    <w:rsid w:val="000F721D"/>
    <w:rsid w:val="00101345"/>
    <w:rsid w:val="001133EF"/>
    <w:rsid w:val="0012000A"/>
    <w:rsid w:val="0012214B"/>
    <w:rsid w:val="0012232E"/>
    <w:rsid w:val="00126BD2"/>
    <w:rsid w:val="0013173C"/>
    <w:rsid w:val="00152C56"/>
    <w:rsid w:val="0015529D"/>
    <w:rsid w:val="00166367"/>
    <w:rsid w:val="001701AA"/>
    <w:rsid w:val="001733F1"/>
    <w:rsid w:val="00174241"/>
    <w:rsid w:val="00192A28"/>
    <w:rsid w:val="00192E06"/>
    <w:rsid w:val="00193288"/>
    <w:rsid w:val="0019468B"/>
    <w:rsid w:val="00197A5E"/>
    <w:rsid w:val="001A24EF"/>
    <w:rsid w:val="001A5072"/>
    <w:rsid w:val="001A71B9"/>
    <w:rsid w:val="001B37E0"/>
    <w:rsid w:val="001C5176"/>
    <w:rsid w:val="001D4737"/>
    <w:rsid w:val="001D522F"/>
    <w:rsid w:val="001D5FD7"/>
    <w:rsid w:val="001E06B7"/>
    <w:rsid w:val="001E755C"/>
    <w:rsid w:val="001F2EA9"/>
    <w:rsid w:val="001F6379"/>
    <w:rsid w:val="00204415"/>
    <w:rsid w:val="00205335"/>
    <w:rsid w:val="00207A6E"/>
    <w:rsid w:val="0022338A"/>
    <w:rsid w:val="00224B92"/>
    <w:rsid w:val="0022662E"/>
    <w:rsid w:val="00227CD0"/>
    <w:rsid w:val="00231CD8"/>
    <w:rsid w:val="00232AC9"/>
    <w:rsid w:val="002357E1"/>
    <w:rsid w:val="00243E4A"/>
    <w:rsid w:val="00246318"/>
    <w:rsid w:val="00252897"/>
    <w:rsid w:val="002559D4"/>
    <w:rsid w:val="0026155E"/>
    <w:rsid w:val="00266400"/>
    <w:rsid w:val="002763F1"/>
    <w:rsid w:val="00290DD4"/>
    <w:rsid w:val="00297FD8"/>
    <w:rsid w:val="002A185F"/>
    <w:rsid w:val="002A30BC"/>
    <w:rsid w:val="002B0942"/>
    <w:rsid w:val="002B0DBE"/>
    <w:rsid w:val="002C1230"/>
    <w:rsid w:val="002C468B"/>
    <w:rsid w:val="002C4BDB"/>
    <w:rsid w:val="002C56EB"/>
    <w:rsid w:val="002D610F"/>
    <w:rsid w:val="002D68DC"/>
    <w:rsid w:val="002E0627"/>
    <w:rsid w:val="002E18A7"/>
    <w:rsid w:val="002E332A"/>
    <w:rsid w:val="002F09C0"/>
    <w:rsid w:val="002F4679"/>
    <w:rsid w:val="00301CD4"/>
    <w:rsid w:val="00301ED8"/>
    <w:rsid w:val="00306034"/>
    <w:rsid w:val="0031189A"/>
    <w:rsid w:val="00317D0D"/>
    <w:rsid w:val="003210FF"/>
    <w:rsid w:val="0032188A"/>
    <w:rsid w:val="00325DE3"/>
    <w:rsid w:val="00335425"/>
    <w:rsid w:val="00336766"/>
    <w:rsid w:val="003417B3"/>
    <w:rsid w:val="003468D4"/>
    <w:rsid w:val="003506B4"/>
    <w:rsid w:val="00351F3F"/>
    <w:rsid w:val="00355FFE"/>
    <w:rsid w:val="00361332"/>
    <w:rsid w:val="0037418F"/>
    <w:rsid w:val="00376E3E"/>
    <w:rsid w:val="00377DEA"/>
    <w:rsid w:val="003949F9"/>
    <w:rsid w:val="00394BC9"/>
    <w:rsid w:val="00396240"/>
    <w:rsid w:val="003968F6"/>
    <w:rsid w:val="00396AB2"/>
    <w:rsid w:val="003A5670"/>
    <w:rsid w:val="003B10B9"/>
    <w:rsid w:val="003B7611"/>
    <w:rsid w:val="003C113F"/>
    <w:rsid w:val="003C15BC"/>
    <w:rsid w:val="003C2000"/>
    <w:rsid w:val="003D0BBA"/>
    <w:rsid w:val="003D2989"/>
    <w:rsid w:val="003E2DAE"/>
    <w:rsid w:val="003E370D"/>
    <w:rsid w:val="003E4E83"/>
    <w:rsid w:val="003E6814"/>
    <w:rsid w:val="003F6B97"/>
    <w:rsid w:val="003F6E44"/>
    <w:rsid w:val="003F7742"/>
    <w:rsid w:val="00401398"/>
    <w:rsid w:val="00401F9E"/>
    <w:rsid w:val="00404B38"/>
    <w:rsid w:val="00404F03"/>
    <w:rsid w:val="00406BC6"/>
    <w:rsid w:val="0040713F"/>
    <w:rsid w:val="0041016D"/>
    <w:rsid w:val="004125D5"/>
    <w:rsid w:val="00416A9A"/>
    <w:rsid w:val="004239B1"/>
    <w:rsid w:val="00427C52"/>
    <w:rsid w:val="00440371"/>
    <w:rsid w:val="004412AD"/>
    <w:rsid w:val="0044424E"/>
    <w:rsid w:val="0045647A"/>
    <w:rsid w:val="00467A63"/>
    <w:rsid w:val="004842E7"/>
    <w:rsid w:val="004851EA"/>
    <w:rsid w:val="0049005C"/>
    <w:rsid w:val="00491904"/>
    <w:rsid w:val="0049367F"/>
    <w:rsid w:val="004A102D"/>
    <w:rsid w:val="004A1AB3"/>
    <w:rsid w:val="004A1EAC"/>
    <w:rsid w:val="004A4C07"/>
    <w:rsid w:val="004A52C0"/>
    <w:rsid w:val="004A791D"/>
    <w:rsid w:val="004B4451"/>
    <w:rsid w:val="004B5713"/>
    <w:rsid w:val="004B597A"/>
    <w:rsid w:val="004C060A"/>
    <w:rsid w:val="004C77D4"/>
    <w:rsid w:val="004D1F20"/>
    <w:rsid w:val="004E298C"/>
    <w:rsid w:val="004F2A44"/>
    <w:rsid w:val="004F76E1"/>
    <w:rsid w:val="00500530"/>
    <w:rsid w:val="005032C9"/>
    <w:rsid w:val="00506213"/>
    <w:rsid w:val="00507830"/>
    <w:rsid w:val="00515764"/>
    <w:rsid w:val="00516C26"/>
    <w:rsid w:val="0052404A"/>
    <w:rsid w:val="00526B6A"/>
    <w:rsid w:val="00530D4B"/>
    <w:rsid w:val="0053768E"/>
    <w:rsid w:val="005432AC"/>
    <w:rsid w:val="005440A6"/>
    <w:rsid w:val="00560491"/>
    <w:rsid w:val="00575CD5"/>
    <w:rsid w:val="005821D9"/>
    <w:rsid w:val="00585925"/>
    <w:rsid w:val="00587CAC"/>
    <w:rsid w:val="005955D2"/>
    <w:rsid w:val="005A3D91"/>
    <w:rsid w:val="005A4284"/>
    <w:rsid w:val="005A6BCB"/>
    <w:rsid w:val="005A77A6"/>
    <w:rsid w:val="005A7CB3"/>
    <w:rsid w:val="005B1B34"/>
    <w:rsid w:val="005C62C5"/>
    <w:rsid w:val="005C6405"/>
    <w:rsid w:val="005D139C"/>
    <w:rsid w:val="005D3CDB"/>
    <w:rsid w:val="005E0454"/>
    <w:rsid w:val="005F4C74"/>
    <w:rsid w:val="00616367"/>
    <w:rsid w:val="00621871"/>
    <w:rsid w:val="00623402"/>
    <w:rsid w:val="00625852"/>
    <w:rsid w:val="006260D5"/>
    <w:rsid w:val="00636007"/>
    <w:rsid w:val="00646B31"/>
    <w:rsid w:val="006507F2"/>
    <w:rsid w:val="00651B3B"/>
    <w:rsid w:val="00651C5D"/>
    <w:rsid w:val="00651D5C"/>
    <w:rsid w:val="00662DBB"/>
    <w:rsid w:val="006675CA"/>
    <w:rsid w:val="00671C01"/>
    <w:rsid w:val="00674139"/>
    <w:rsid w:val="00680351"/>
    <w:rsid w:val="0068518D"/>
    <w:rsid w:val="0068580C"/>
    <w:rsid w:val="0068725B"/>
    <w:rsid w:val="00687842"/>
    <w:rsid w:val="00690847"/>
    <w:rsid w:val="006951E4"/>
    <w:rsid w:val="006A40BA"/>
    <w:rsid w:val="006B074E"/>
    <w:rsid w:val="006B2BD5"/>
    <w:rsid w:val="006B72E7"/>
    <w:rsid w:val="006C0AFD"/>
    <w:rsid w:val="006C3B70"/>
    <w:rsid w:val="006D0E3D"/>
    <w:rsid w:val="006F284C"/>
    <w:rsid w:val="006F7227"/>
    <w:rsid w:val="006F78C0"/>
    <w:rsid w:val="00700C64"/>
    <w:rsid w:val="00702366"/>
    <w:rsid w:val="0071051C"/>
    <w:rsid w:val="007163BC"/>
    <w:rsid w:val="00721F27"/>
    <w:rsid w:val="00721FCC"/>
    <w:rsid w:val="00730AE3"/>
    <w:rsid w:val="0073435B"/>
    <w:rsid w:val="007351DB"/>
    <w:rsid w:val="00735D15"/>
    <w:rsid w:val="00736BC2"/>
    <w:rsid w:val="00741678"/>
    <w:rsid w:val="0076008B"/>
    <w:rsid w:val="007603DB"/>
    <w:rsid w:val="007646BE"/>
    <w:rsid w:val="00774CFF"/>
    <w:rsid w:val="00783D88"/>
    <w:rsid w:val="00787708"/>
    <w:rsid w:val="0079325E"/>
    <w:rsid w:val="007A1F4B"/>
    <w:rsid w:val="007B1587"/>
    <w:rsid w:val="007C5285"/>
    <w:rsid w:val="007C633B"/>
    <w:rsid w:val="007C7CA4"/>
    <w:rsid w:val="007D0BB6"/>
    <w:rsid w:val="007D0C51"/>
    <w:rsid w:val="007D1A9C"/>
    <w:rsid w:val="007D3182"/>
    <w:rsid w:val="007F2E77"/>
    <w:rsid w:val="00810BC1"/>
    <w:rsid w:val="008209A9"/>
    <w:rsid w:val="00825524"/>
    <w:rsid w:val="00831253"/>
    <w:rsid w:val="0083211E"/>
    <w:rsid w:val="0084380E"/>
    <w:rsid w:val="00843FF1"/>
    <w:rsid w:val="0085578C"/>
    <w:rsid w:val="00860AAA"/>
    <w:rsid w:val="008621CF"/>
    <w:rsid w:val="00870D40"/>
    <w:rsid w:val="00877024"/>
    <w:rsid w:val="00881FB5"/>
    <w:rsid w:val="00882409"/>
    <w:rsid w:val="00891902"/>
    <w:rsid w:val="00896120"/>
    <w:rsid w:val="008B0995"/>
    <w:rsid w:val="008B59E8"/>
    <w:rsid w:val="008B70C1"/>
    <w:rsid w:val="008B74E9"/>
    <w:rsid w:val="008B7AD8"/>
    <w:rsid w:val="008C013C"/>
    <w:rsid w:val="008C1E35"/>
    <w:rsid w:val="008C6D6D"/>
    <w:rsid w:val="008D50C9"/>
    <w:rsid w:val="008D5AA2"/>
    <w:rsid w:val="008D5BFE"/>
    <w:rsid w:val="008E1A62"/>
    <w:rsid w:val="008E5F84"/>
    <w:rsid w:val="008E7500"/>
    <w:rsid w:val="008E7EF3"/>
    <w:rsid w:val="008F0C32"/>
    <w:rsid w:val="008F4022"/>
    <w:rsid w:val="008F743F"/>
    <w:rsid w:val="00902618"/>
    <w:rsid w:val="009067F8"/>
    <w:rsid w:val="00917F3C"/>
    <w:rsid w:val="00922EAD"/>
    <w:rsid w:val="00925FE9"/>
    <w:rsid w:val="00926FB4"/>
    <w:rsid w:val="0092794B"/>
    <w:rsid w:val="00933045"/>
    <w:rsid w:val="00934E97"/>
    <w:rsid w:val="00940CCE"/>
    <w:rsid w:val="0095160D"/>
    <w:rsid w:val="00953856"/>
    <w:rsid w:val="009554D5"/>
    <w:rsid w:val="0096548D"/>
    <w:rsid w:val="009716A4"/>
    <w:rsid w:val="00975032"/>
    <w:rsid w:val="009770C9"/>
    <w:rsid w:val="009812FD"/>
    <w:rsid w:val="00983501"/>
    <w:rsid w:val="009854D5"/>
    <w:rsid w:val="00986388"/>
    <w:rsid w:val="00990CB1"/>
    <w:rsid w:val="0099597A"/>
    <w:rsid w:val="00996CD9"/>
    <w:rsid w:val="00997500"/>
    <w:rsid w:val="009A1211"/>
    <w:rsid w:val="009B5943"/>
    <w:rsid w:val="009B5E1D"/>
    <w:rsid w:val="009B5E7B"/>
    <w:rsid w:val="009C1B01"/>
    <w:rsid w:val="009C5FB7"/>
    <w:rsid w:val="009D1484"/>
    <w:rsid w:val="009D2F92"/>
    <w:rsid w:val="009D57E8"/>
    <w:rsid w:val="009D6100"/>
    <w:rsid w:val="009E2B79"/>
    <w:rsid w:val="009F4D84"/>
    <w:rsid w:val="00A01DA3"/>
    <w:rsid w:val="00A07F66"/>
    <w:rsid w:val="00A10051"/>
    <w:rsid w:val="00A11BB6"/>
    <w:rsid w:val="00A20F36"/>
    <w:rsid w:val="00A21AFB"/>
    <w:rsid w:val="00A25337"/>
    <w:rsid w:val="00A255FB"/>
    <w:rsid w:val="00A30DAD"/>
    <w:rsid w:val="00A32EA4"/>
    <w:rsid w:val="00A336DB"/>
    <w:rsid w:val="00A373EF"/>
    <w:rsid w:val="00A412BD"/>
    <w:rsid w:val="00A41775"/>
    <w:rsid w:val="00A436CE"/>
    <w:rsid w:val="00A45096"/>
    <w:rsid w:val="00A51599"/>
    <w:rsid w:val="00A651DE"/>
    <w:rsid w:val="00A669E0"/>
    <w:rsid w:val="00A70EB6"/>
    <w:rsid w:val="00A76462"/>
    <w:rsid w:val="00A914C6"/>
    <w:rsid w:val="00AA014E"/>
    <w:rsid w:val="00AA1FE4"/>
    <w:rsid w:val="00AA3FEB"/>
    <w:rsid w:val="00AA4A85"/>
    <w:rsid w:val="00AA6BE5"/>
    <w:rsid w:val="00AC0418"/>
    <w:rsid w:val="00AC0CD9"/>
    <w:rsid w:val="00AC1E69"/>
    <w:rsid w:val="00AC2339"/>
    <w:rsid w:val="00AD1381"/>
    <w:rsid w:val="00AD2312"/>
    <w:rsid w:val="00AE3652"/>
    <w:rsid w:val="00AF1E58"/>
    <w:rsid w:val="00AF5D39"/>
    <w:rsid w:val="00B131D5"/>
    <w:rsid w:val="00B271A0"/>
    <w:rsid w:val="00B3299A"/>
    <w:rsid w:val="00B37FAA"/>
    <w:rsid w:val="00B51F76"/>
    <w:rsid w:val="00B55D08"/>
    <w:rsid w:val="00B56B11"/>
    <w:rsid w:val="00B61873"/>
    <w:rsid w:val="00B63092"/>
    <w:rsid w:val="00B63C96"/>
    <w:rsid w:val="00B73723"/>
    <w:rsid w:val="00B740EC"/>
    <w:rsid w:val="00B75588"/>
    <w:rsid w:val="00B85F9B"/>
    <w:rsid w:val="00B85FC0"/>
    <w:rsid w:val="00B86F77"/>
    <w:rsid w:val="00B90131"/>
    <w:rsid w:val="00BA1498"/>
    <w:rsid w:val="00BA2AE3"/>
    <w:rsid w:val="00BA3233"/>
    <w:rsid w:val="00BD0DF5"/>
    <w:rsid w:val="00BD2F4C"/>
    <w:rsid w:val="00BE37A4"/>
    <w:rsid w:val="00BE3F56"/>
    <w:rsid w:val="00BE45DE"/>
    <w:rsid w:val="00BE6777"/>
    <w:rsid w:val="00C01103"/>
    <w:rsid w:val="00C05456"/>
    <w:rsid w:val="00C076A9"/>
    <w:rsid w:val="00C076CA"/>
    <w:rsid w:val="00C15BBB"/>
    <w:rsid w:val="00C16533"/>
    <w:rsid w:val="00C20376"/>
    <w:rsid w:val="00C205FF"/>
    <w:rsid w:val="00C20CF2"/>
    <w:rsid w:val="00C2347F"/>
    <w:rsid w:val="00C2564D"/>
    <w:rsid w:val="00C31A6E"/>
    <w:rsid w:val="00C31FC0"/>
    <w:rsid w:val="00C32630"/>
    <w:rsid w:val="00C327EE"/>
    <w:rsid w:val="00C3300B"/>
    <w:rsid w:val="00C37FF1"/>
    <w:rsid w:val="00C42C50"/>
    <w:rsid w:val="00C4411D"/>
    <w:rsid w:val="00C507CD"/>
    <w:rsid w:val="00C84E3A"/>
    <w:rsid w:val="00C85EA4"/>
    <w:rsid w:val="00C90DC9"/>
    <w:rsid w:val="00C912FE"/>
    <w:rsid w:val="00CA0357"/>
    <w:rsid w:val="00CA0F71"/>
    <w:rsid w:val="00CA1572"/>
    <w:rsid w:val="00CA5753"/>
    <w:rsid w:val="00CA6B87"/>
    <w:rsid w:val="00CB47A1"/>
    <w:rsid w:val="00CB5D6E"/>
    <w:rsid w:val="00CC2031"/>
    <w:rsid w:val="00CC374A"/>
    <w:rsid w:val="00CC37F3"/>
    <w:rsid w:val="00CC47BF"/>
    <w:rsid w:val="00CC4870"/>
    <w:rsid w:val="00CD0643"/>
    <w:rsid w:val="00CD3B99"/>
    <w:rsid w:val="00CD6393"/>
    <w:rsid w:val="00CE1E08"/>
    <w:rsid w:val="00CE51C3"/>
    <w:rsid w:val="00CF42A0"/>
    <w:rsid w:val="00CF4F69"/>
    <w:rsid w:val="00D066C3"/>
    <w:rsid w:val="00D11FC2"/>
    <w:rsid w:val="00D13CB0"/>
    <w:rsid w:val="00D15589"/>
    <w:rsid w:val="00D22AE8"/>
    <w:rsid w:val="00D250D4"/>
    <w:rsid w:val="00D27394"/>
    <w:rsid w:val="00D3228D"/>
    <w:rsid w:val="00D409C0"/>
    <w:rsid w:val="00D41029"/>
    <w:rsid w:val="00D4118C"/>
    <w:rsid w:val="00D41624"/>
    <w:rsid w:val="00D4257C"/>
    <w:rsid w:val="00D432AD"/>
    <w:rsid w:val="00D51069"/>
    <w:rsid w:val="00D53EE3"/>
    <w:rsid w:val="00D64ED8"/>
    <w:rsid w:val="00D75378"/>
    <w:rsid w:val="00D760EB"/>
    <w:rsid w:val="00D76FBF"/>
    <w:rsid w:val="00D82EAB"/>
    <w:rsid w:val="00D87AE6"/>
    <w:rsid w:val="00D9537D"/>
    <w:rsid w:val="00D9635A"/>
    <w:rsid w:val="00DA19C3"/>
    <w:rsid w:val="00DA39C0"/>
    <w:rsid w:val="00DA4F9B"/>
    <w:rsid w:val="00DA70A9"/>
    <w:rsid w:val="00DB486C"/>
    <w:rsid w:val="00DB58DF"/>
    <w:rsid w:val="00DC701B"/>
    <w:rsid w:val="00DC71D9"/>
    <w:rsid w:val="00DD52CC"/>
    <w:rsid w:val="00DE308B"/>
    <w:rsid w:val="00DE5DC4"/>
    <w:rsid w:val="00E0175C"/>
    <w:rsid w:val="00E01A14"/>
    <w:rsid w:val="00E14372"/>
    <w:rsid w:val="00E14868"/>
    <w:rsid w:val="00E2571A"/>
    <w:rsid w:val="00E31836"/>
    <w:rsid w:val="00E31C99"/>
    <w:rsid w:val="00E3671F"/>
    <w:rsid w:val="00E37A7A"/>
    <w:rsid w:val="00E41BEC"/>
    <w:rsid w:val="00E47030"/>
    <w:rsid w:val="00E47630"/>
    <w:rsid w:val="00E52AAB"/>
    <w:rsid w:val="00E55B3B"/>
    <w:rsid w:val="00E55E91"/>
    <w:rsid w:val="00E6675A"/>
    <w:rsid w:val="00E7308B"/>
    <w:rsid w:val="00E76CEC"/>
    <w:rsid w:val="00E80DD0"/>
    <w:rsid w:val="00E8277D"/>
    <w:rsid w:val="00EA0E1C"/>
    <w:rsid w:val="00EA7525"/>
    <w:rsid w:val="00EC0891"/>
    <w:rsid w:val="00EC5B2F"/>
    <w:rsid w:val="00ED418E"/>
    <w:rsid w:val="00ED56ED"/>
    <w:rsid w:val="00ED737F"/>
    <w:rsid w:val="00ED752D"/>
    <w:rsid w:val="00EE25C8"/>
    <w:rsid w:val="00EE2C7A"/>
    <w:rsid w:val="00EE51DB"/>
    <w:rsid w:val="00EE7748"/>
    <w:rsid w:val="00EF5578"/>
    <w:rsid w:val="00EF74BB"/>
    <w:rsid w:val="00F01665"/>
    <w:rsid w:val="00F06373"/>
    <w:rsid w:val="00F13DC0"/>
    <w:rsid w:val="00F13ECB"/>
    <w:rsid w:val="00F14485"/>
    <w:rsid w:val="00F16F02"/>
    <w:rsid w:val="00F246E2"/>
    <w:rsid w:val="00F26A60"/>
    <w:rsid w:val="00F43BCE"/>
    <w:rsid w:val="00F461D2"/>
    <w:rsid w:val="00F465B6"/>
    <w:rsid w:val="00F568F5"/>
    <w:rsid w:val="00F607FE"/>
    <w:rsid w:val="00F61003"/>
    <w:rsid w:val="00F616E2"/>
    <w:rsid w:val="00F64CB9"/>
    <w:rsid w:val="00F67181"/>
    <w:rsid w:val="00F70A27"/>
    <w:rsid w:val="00F74D8E"/>
    <w:rsid w:val="00F763AC"/>
    <w:rsid w:val="00F77628"/>
    <w:rsid w:val="00F81A78"/>
    <w:rsid w:val="00F83893"/>
    <w:rsid w:val="00F838DD"/>
    <w:rsid w:val="00F8715B"/>
    <w:rsid w:val="00F90B7C"/>
    <w:rsid w:val="00F92076"/>
    <w:rsid w:val="00F957CA"/>
    <w:rsid w:val="00F97F9F"/>
    <w:rsid w:val="00FA0D29"/>
    <w:rsid w:val="00FB268E"/>
    <w:rsid w:val="00FB3B70"/>
    <w:rsid w:val="00FB6831"/>
    <w:rsid w:val="00FB69DF"/>
    <w:rsid w:val="00FC6159"/>
    <w:rsid w:val="00FD061C"/>
    <w:rsid w:val="00FD3406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10B9BB-44E8-4D41-B6D8-3EA6FBD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4A4C07"/>
    <w:pPr>
      <w:numPr>
        <w:numId w:val="9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cbd.int/doc/decisions/cop-10/cop-10-dec-01-fr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c/9376/a644/1bed20a1837af8e3d1edc5f9/sbi-02-inf-17-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abs/text/articles/default.shtml?sec=abs-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www.cbd.int/invasive/lg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eaties.un.org/doc/publication/unts/volume%201155/volume-1155-i-18232-english.pdf" TargetMode="External"/><Relationship Id="rId1" Type="http://schemas.openxmlformats.org/officeDocument/2006/relationships/hyperlink" Target="https://www.cbd.int/doc/c/c418/4b06/65b26745a1c1a1793cc5ea40/sbi-02-01-fr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9055457EAF9D477A93FD183372AA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9CE4-A93E-400F-A95C-704C8D82D730}"/>
      </w:docPartPr>
      <w:docPartBody>
        <w:p w:rsidR="00867213" w:rsidRDefault="00B852C6">
          <w:r w:rsidRPr="00B852C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2CE5"/>
    <w:rsid w:val="00015BC6"/>
    <w:rsid w:val="000573CB"/>
    <w:rsid w:val="000B0022"/>
    <w:rsid w:val="0014256C"/>
    <w:rsid w:val="00193994"/>
    <w:rsid w:val="001B29AF"/>
    <w:rsid w:val="00201F55"/>
    <w:rsid w:val="00340AAF"/>
    <w:rsid w:val="0037757D"/>
    <w:rsid w:val="00491A71"/>
    <w:rsid w:val="004A69EC"/>
    <w:rsid w:val="004F41F9"/>
    <w:rsid w:val="006C0FE5"/>
    <w:rsid w:val="006E13CE"/>
    <w:rsid w:val="00765B1F"/>
    <w:rsid w:val="007E501A"/>
    <w:rsid w:val="00803AD8"/>
    <w:rsid w:val="0083264A"/>
    <w:rsid w:val="00867213"/>
    <w:rsid w:val="00A01499"/>
    <w:rsid w:val="00A27574"/>
    <w:rsid w:val="00AB1246"/>
    <w:rsid w:val="00B31B7C"/>
    <w:rsid w:val="00B36C7B"/>
    <w:rsid w:val="00B75925"/>
    <w:rsid w:val="00B852C6"/>
    <w:rsid w:val="00BB2CFE"/>
    <w:rsid w:val="00BD4C58"/>
    <w:rsid w:val="00D0336F"/>
    <w:rsid w:val="00D051DB"/>
    <w:rsid w:val="00D12F2D"/>
    <w:rsid w:val="00D5481D"/>
    <w:rsid w:val="00DE0A09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B852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22D66-371A-4871-8E11-58CEB933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875</TotalTime>
  <Pages>1</Pages>
  <Words>6071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Instruments internationaux spÉciaux sur l’accÈs et le partage des avantages dans le contexte du Paragraphe 4 de l’article 4 du Protocole de Nagoya</vt:lpstr>
    </vt:vector>
  </TitlesOfParts>
  <Company>Biodiversity</Company>
  <LinksUpToDate>false</LinksUpToDate>
  <CharactersWithSpaces>39386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internationaux spÉciaux sur l’accÈs et le partage des avantages dans le contexte du Paragraphe 4 de l’article 4 du Protocole de Nagoya</dc:title>
  <dc:subject>CBD/SBI/2/6</dc:subject>
  <dc:creator>SCBD</dc:creator>
  <cp:lastModifiedBy>Finn Kinley</cp:lastModifiedBy>
  <cp:revision>47</cp:revision>
  <cp:lastPrinted>2018-05-14T13:51:00Z</cp:lastPrinted>
  <dcterms:created xsi:type="dcterms:W3CDTF">2018-05-29T19:18:00Z</dcterms:created>
  <dcterms:modified xsi:type="dcterms:W3CDTF">2018-06-04T07:23:00Z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ORGANE SUBSIDIAIRE CHARGÉ DE L'APPLICATION</vt:lpwstr>
  </property>
</Properties>
</file>